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80"/>
        <w:tblBorders>
          <w:top w:val="none" w:color="FFFFFF" w:sz="0"/>
          <w:left w:val="none" w:color="FFFFFF" w:sz="0"/>
          <w:bottom w:val="single" w:color="E4002B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4840"/>
        <w:gridCol w:w="4840"/>
      </w:tblGrid>
      <w:tr>
        <w:tc>
          <w:tcPr>
            <w:tcW w:type="dxa" w:w="4840"/>
            <w:tcMar>
              <w:top w:type="dxa" w:w="4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rackspace</w:t>
            </w:r>
            <w:r>
              <w:rPr>
                <w:rFonts w:ascii="Arial" w:cs="Arial" w:eastAsia="Arial" w:hAnsi="Arial"/>
                <w:color w:val="595959"/>
                <w:sz w:val="26"/>
                <w:szCs w:val="26"/>
              </w:rPr>
              <w:t xml:space="preserve"> technology</w:t>
            </w:r>
          </w:p>
        </w:tc>
        <w:tc>
          <w:tcPr>
            <w:tcW w:type="dxa" w:w="4840"/>
            <w:tcMar>
              <w:top w:type="dxa" w:w="40"/>
              <w:left w:type="dxa" w:w="0"/>
              <w:bottom w:type="dxa" w:w="10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4002B"/>
                <w:sz w:val="16"/>
                <w:szCs w:val="16"/>
              </w:rPr>
              <w:t xml:space="preserve">CAREERS  ·  ENGINEERING  ·  FOR INTERNAL POSTING</w:t>
            </w:r>
          </w:p>
        </w:tc>
      </w:tr>
    </w:tbl>
    <w:p>
      <w:pPr>
        <w:spacing w:after="40" w:before="24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Principal Engineer, AI Harness</w:t>
      </w:r>
    </w:p>
    <w:p>
      <w:pPr>
        <w:spacing w:after="30"/>
      </w:pPr>
      <w:r>
        <w:rPr>
          <w:rFonts w:ascii="Arial" w:cs="Arial" w:eastAsia="Arial" w:hAnsi="Arial"/>
          <w:b/>
          <w:bCs/>
          <w:caps/>
          <w:color w:val="E4002B"/>
          <w:sz w:val="20"/>
          <w:szCs w:val="20"/>
        </w:rPr>
        <w:t xml:space="preserve">Principal Engineering  ·  Harness Pattern, Agent Runtime and SDK</w:t>
      </w:r>
    </w:p>
    <w:p>
      <w:pPr>
        <w:pBdr>
          <w:bottom w:val="single" w:color="D9D9D9" w:sz="6" w:space="6"/>
        </w:pBdr>
        <w:spacing w:after="18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Principal Engineer Level  ·  RackAI Product and Engineering  ·  Remote / Hybrid  ·  Reports to Director, AI Harness, Orchestration and Governance</w:t>
      </w:r>
    </w:p>
    <w:p>
      <w:pPr>
        <w:pStyle w:val="Heading1"/>
        <w:pBdr>
          <w:bottom w:val="single" w:color="E4002B" w:sz="8" w:space="4"/>
        </w:pBdr>
        <w:spacing w:after="70" w:before="17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About the opportunity</w:t>
      </w:r>
    </w:p>
    <w:p>
      <w:pPr>
        <w:spacing w:after="80" w:line="24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RackAI is Rackspace's managed AI inference platform. A raw model is not reliable on its own: the same model behaves very differently depending on the scaffolding around it — the context it is given, the tools it can call, what it remembers, and the guardrails it runs inside. That scaffolding is the harness, and it is what turns a capable model into a system an enterprise can depend on.</w:t>
      </w:r>
    </w:p>
    <w:p>
      <w:pPr>
        <w:spacing w:after="80" w:line="24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As Principal Engineer, AI Harness you are the senior engineer accountable for building it. You will own the harness pattern itself — designed once to repeat across domains rather than rebuilt per use case — together with the durable agent runtime beneath it, the SDK and hosting surface teams develop against, and the evaluation framework that measures whether any of it works.</w:t>
      </w:r>
    </w:p>
    <w:p>
      <w:pPr>
        <w:spacing w:after="80" w:line="24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You will work alongside a Chief Architect who owns the orchestration layer running work across many harnesses, and a Director who owns the function. An enterprise runs many harnesses rather than one, so your job is to make the second and the tenth cost a fraction of the first.</w:t>
      </w:r>
    </w:p>
    <w:p>
      <w:pPr>
        <w:pStyle w:val="Heading1"/>
        <w:pBdr>
          <w:bottom w:val="single" w:color="E4002B" w:sz="8" w:space="4"/>
        </w:pBdr>
        <w:spacing w:after="70" w:before="17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Why RackAI</w:t>
      </w:r>
    </w:p>
    <w:p>
      <w:pPr>
        <w:spacing w:after="80" w:line="24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Building agent systems that hold up in production is the engineering capability enterprises most want and can least easily hire.</w:t>
      </w:r>
    </w:p>
    <w:p>
      <w:pPr>
        <w:spacing w:after="80" w:line="24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You get to build it here first. The harness is where an unreliable model becomes a dependable system, and the hard parts are real engineering: a restart that loses context is useless, a non-deterministic run cannot be snapshotted and replayed the way ordinary software can, and conventional observability tells you very little when every run takes a different path. The good patterns are still being established, and you will be working them out against real workloads rather than in a prototype.</w:t>
      </w:r>
    </w:p>
    <w:p>
      <w:pPr>
        <w:spacing w:after="80" w:line="242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And we work the way we build: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we build AI, and we build with AI.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If you want the deepest technical problem in the organisation and the authority to solve it properly, this is that seat.</w:t>
      </w:r>
    </w:p>
    <w:p>
      <w:pPr>
        <w:pStyle w:val="Heading1"/>
        <w:pBdr>
          <w:bottom w:val="single" w:color="E4002B" w:sz="8" w:space="4"/>
        </w:pBdr>
        <w:spacing w:after="70" w:before="17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What you'll do</w:t>
      </w:r>
    </w:p>
    <w:p>
      <w:pPr>
        <w:pStyle w:val="Heading2"/>
        <w:spacing w:after="44" w:before="112"/>
      </w:pPr>
      <w:r>
        <w:rPr>
          <w:rFonts w:ascii="Arial" w:cs="Arial" w:eastAsia="Arial" w:hAnsi="Arial"/>
          <w:b/>
          <w:bCs/>
          <w:color w:val="E4002B"/>
          <w:sz w:val="19"/>
          <w:szCs w:val="19"/>
        </w:rPr>
        <w:t xml:space="preserve">Build the harness pattern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Own the harness pattern — context assembly, tool surface, memory, control flow and guardrails — built once to repeat across domains rather than rebuilt for each.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Solve context assembly properly: pulling the right internal data out of messy sources, and showing each user only what they are permitted to see.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Build memory management for long-running tasks — what to keep, what to drop, and what to resurface.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Prove the pattern on one real workload, then make the second and third domains cheap.</w:t>
      </w:r>
    </w:p>
    <w:p>
      <w:pPr>
        <w:pStyle w:val="Heading2"/>
        <w:spacing w:after="44" w:before="112"/>
      </w:pPr>
      <w:r>
        <w:rPr>
          <w:rFonts w:ascii="Arial" w:cs="Arial" w:eastAsia="Arial" w:hAnsi="Arial"/>
          <w:b/>
          <w:bCs/>
          <w:color w:val="E4002B"/>
          <w:sz w:val="19"/>
          <w:szCs w:val="19"/>
        </w:rPr>
        <w:t xml:space="preserve">Build the runtime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Build a durable, observable agent runtime that can replay and recover a run rather than losing it on restart.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Measure cost per outcome from the runtime itself, from the first release, rather than estimating it afterwards.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Solve observability for non-deterministic execution: tracing, attribution and debugging when no two runs take the same path.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Get dependable behaviour out of undependable parts — retries, fallbacks, partial failure, and knowing when to stop.</w:t>
      </w:r>
    </w:p>
    <w:p>
      <w:pPr>
        <w:pStyle w:val="Heading2"/>
        <w:spacing w:after="44" w:before="112"/>
      </w:pPr>
      <w:r>
        <w:rPr>
          <w:rFonts w:ascii="Arial" w:cs="Arial" w:eastAsia="Arial" w:hAnsi="Arial"/>
          <w:b/>
          <w:bCs/>
          <w:color w:val="E4002B"/>
          <w:sz w:val="19"/>
          <w:szCs w:val="19"/>
        </w:rPr>
        <w:t xml:space="preserve">Build the developer surface and evaluation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Build the agent SDK and hosting surface internal teams and customers develop against, treating its ergonomics as a first-class concern.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Build the evaluation framework as a platform capability: run a workload against several models, and record what each did and what it cost.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Build the hooks the governance controls plug into, so policy enforcement and provenance capture happen inside the harness without the harness owning them.</w:t>
      </w:r>
    </w:p>
    <w:p>
      <w:pPr>
        <w:pStyle w:val="Heading2"/>
        <w:spacing w:after="44" w:before="112"/>
      </w:pPr>
      <w:r>
        <w:rPr>
          <w:rFonts w:ascii="Arial" w:cs="Arial" w:eastAsia="Arial" w:hAnsi="Arial"/>
          <w:b/>
          <w:bCs/>
          <w:color w:val="E4002B"/>
          <w:sz w:val="19"/>
          <w:szCs w:val="19"/>
        </w:rPr>
        <w:t xml:space="preserve">Set the engineering standard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Set code quality, testing, review and operational standards for the pod around you, and make them stick by example.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Technically lead and mentor engineers without managing them, and be the escalation point for hard calls.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Hold the interface with the Chief Architect cleanly: the harness is yours, the orchestration above it is theirs, and the contract between them is explicit.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Make AI-assisted engineering the default across design, coding, testing, review and documentation, with clear standards for code quality, security, licensing and human review.</w:t>
      </w:r>
    </w:p>
    <w:p>
      <w:pPr>
        <w:pStyle w:val="Heading1"/>
        <w:pBdr>
          <w:bottom w:val="single" w:color="E4002B" w:sz="8" w:space="4"/>
        </w:pBdr>
        <w:spacing w:after="70" w:before="17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What you'll bring</w:t>
      </w:r>
    </w:p>
    <w:p>
      <w:pPr>
        <w:pStyle w:val="Heading2"/>
        <w:spacing w:after="44" w:before="112"/>
      </w:pPr>
      <w:r>
        <w:rPr>
          <w:rFonts w:ascii="Arial" w:cs="Arial" w:eastAsia="Arial" w:hAnsi="Arial"/>
          <w:b/>
          <w:bCs/>
          <w:color w:val="E4002B"/>
          <w:sz w:val="19"/>
          <w:szCs w:val="19"/>
        </w:rPr>
        <w:t xml:space="preserve">Engineering depth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Twelve or more years building production software, including principal or staff-level responsibility for a significant system and three or more years building LLM-based systems, with recent hands-on agentic work.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 track record as the senior engineer on something hard and new — you have built the first version of a platform component others then depended on.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Deep distributed systems: durable execution, state management, failure recovery, idempotency, backpressure.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Strong Go or Python, and Kubernetes to the depth needed to build platform services on it, including operators and controllers.</w:t>
      </w:r>
    </w:p>
    <w:p>
      <w:pPr>
        <w:pStyle w:val="Heading2"/>
        <w:spacing w:after="44" w:before="112"/>
      </w:pPr>
      <w:r>
        <w:rPr>
          <w:rFonts w:ascii="Arial" w:cs="Arial" w:eastAsia="Arial" w:hAnsi="Arial"/>
          <w:b/>
          <w:bCs/>
          <w:color w:val="E4002B"/>
          <w:sz w:val="19"/>
          <w:szCs w:val="19"/>
        </w:rPr>
        <w:t xml:space="preserve">Harness and agentic systems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Hands-on experience building with LLMs beyond prompting: tool use, function calling, retrieval, context assembly, memory management, multi-step agent loops.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Practical understanding of why scaffolding changes model behaviour, and the instinct to fix the harness rather than the prompt.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Retrieval and context engineering against messy enterprise data, including per-user access constraints.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Durable execution or workflow engines, and observability for systems whose execution path varies every run.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Working knowledge of agentic security failure modes — prompt injection, cross-tenant leakage, over-broad tool authority.</w:t>
      </w:r>
    </w:p>
    <w:p>
      <w:pPr>
        <w:pStyle w:val="Heading2"/>
        <w:spacing w:after="44" w:before="112"/>
      </w:pPr>
      <w:r>
        <w:rPr>
          <w:rFonts w:ascii="Arial" w:cs="Arial" w:eastAsia="Arial" w:hAnsi="Arial"/>
          <w:b/>
          <w:bCs/>
          <w:color w:val="E4002B"/>
          <w:sz w:val="19"/>
          <w:szCs w:val="19"/>
        </w:rPr>
        <w:t xml:space="preserve">Ways of working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Technical leadership without line authority: you influence through design, code and review.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Comfort operating with an architect peer and a director above you, with the boundaries negotiated rather than fixed.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Hands-on use of AI coding assistants in real engineering work.</w:t>
      </w:r>
    </w:p>
    <w:p>
      <w:pPr>
        <w:pStyle w:val="Heading1"/>
        <w:pBdr>
          <w:bottom w:val="single" w:color="E4002B" w:sz="8" w:space="4"/>
        </w:pBdr>
        <w:spacing w:after="70" w:before="17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Nice to have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an SDK or developer platform with consumers outside your own team.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Durable execution or workflow engine experience (Temporal or similar).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Evaluation framework or harness work for LLM-based systems.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Delivery inside regulated or sovereign environments.</w:t>
      </w:r>
    </w:p>
    <w:p>
      <w:pPr>
        <w:pStyle w:val="Heading1"/>
        <w:pBdr>
          <w:bottom w:val="single" w:color="E4002B" w:sz="8" w:space="4"/>
        </w:pBdr>
        <w:spacing w:after="70" w:before="17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How we'll measure success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harness pattern is in production on a real workload and gets reused rather than rebuilt for the second domain.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Runs replay and recover reliably, and cost per outcome is measured from the runtime rather than estimated.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SDK has consumers outside your own team who choose it.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Context assembly respects per-user permissions without other teams having to think about it.</w:t>
      </w:r>
    </w:p>
    <w:p>
      <w:pPr>
        <w:pStyle w:val="ListParagraph"/>
        <w:numPr>
          <w:ilvl w:val="0"/>
          <w:numId w:val="2"/>
        </w:numPr>
        <w:spacing w:after="30" w:line="2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engineering standard in the pod is visibly yours, and the engineers around you are getting better.</w:t>
      </w:r>
    </w:p>
    <w:p>
      <w:pPr>
        <w:pStyle w:val="Heading1"/>
        <w:pBdr>
          <w:bottom w:val="single" w:color="E4002B" w:sz="8" w:space="4"/>
        </w:pBdr>
        <w:spacing w:after="70" w:before="17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Technology you'll work with</w:t>
      </w:r>
    </w:p>
    <w:p>
      <w:pPr>
        <w:spacing w:after="0" w:line="242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Go and Python  ·  Kubernetes (operators, controllers, CRDs)  ·  Agent frameworks and SDKs  ·  Durable execution and workflow engines  ·  Retrieval, embeddings and context pipelines  ·  Eval and regression tooling  ·  Identity and secrets management  ·  OpenTelemetry / Prometheus / Grafana  ·  CI/CD  ·  AWS  ·  Private and sovereign cloud  ·  AI-assisted development tooling (Claude Code, Kiro, Codex, GitHub Copilot)</w:t>
      </w:r>
    </w:p>
    <w:sectPr>
      <w:footerReference w:type="default" r:id="rId7"/>
      <w:pgSz w:w="11906" w:h="16838" w:orient="portrait"/>
      <w:pgMar w:top="760" w:right="960" w:bottom="7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Rackspace Technology  ·  Confidential — Internal use only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595959"/>
        <w:sz w:val="14"/>
        <w:szCs w:val="14"/>
      </w:rPr>
      <w:t xml:space="preserve">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  <w:rPr>
        <w:rFonts w:ascii="Arial" w:cs="Arial" w:eastAsia="Arial" w:hAnsi="Arial"/>
        <w:color w:val="E400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2C14B45DD4C644BC96213ACB087480" ma:contentTypeVersion="3" ma:contentTypeDescription="Create a new document." ma:contentTypeScope="" ma:versionID="a73f04db5aba893f1d779be7421a2bb8">
  <xsd:schema xmlns:xsd="http://www.w3.org/2001/XMLSchema" xmlns:xs="http://www.w3.org/2001/XMLSchema" xmlns:p="http://schemas.microsoft.com/office/2006/metadata/properties" xmlns:ns2="39c84f24-a008-4cce-bb9c-5ad717601f75" targetNamespace="http://schemas.microsoft.com/office/2006/metadata/properties" ma:root="true" ma:fieldsID="7a3862965fe48b1ad119faff3af803b7" ns2:_="">
    <xsd:import namespace="39c84f24-a008-4cce-bb9c-5ad717601f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c84f24-a008-4cce-bb9c-5ad717601f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1DD4EF-804A-4B6F-B79C-B91FF926BE69}"/>
</file>

<file path=customXml/itemProps2.xml><?xml version="1.0" encoding="utf-8"?>
<ds:datastoreItem xmlns:ds="http://schemas.openxmlformats.org/officeDocument/2006/customXml" ds:itemID="{50FC903D-FD77-4EAF-8AB7-ED5C599CF757}"/>
</file>

<file path=customXml/itemProps3.xml><?xml version="1.0" encoding="utf-8"?>
<ds:datastoreItem xmlns:ds="http://schemas.openxmlformats.org/officeDocument/2006/customXml" ds:itemID="{38C7B7BB-EBD4-4036-BDC1-ED1A676D394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Principal Engineer, AI Harness — RackAI</dc:title>
  <dc:creator>Rackspace Technology</dc:creator>
  <cp:lastModifiedBy>Un-named</cp:lastModifiedBy>
  <cp:revision>1</cp:revision>
  <dcterms:created xsi:type="dcterms:W3CDTF">2026-09-15T00:25:45Z</dcterms:created>
  <dcterms:modified xsi:type="dcterms:W3CDTF">2026-09-15T00:25:45Z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0x010100432C14B45DD4C644BC96213ACB087480</vt:lpwstr>
  </property>
  <property fmtid="{D5CDD505-2E9C-101B-9397-08002B2CF9AE}" pid="4" name="docLang">
    <vt:lpwstr>en</vt:lpwstr>
  </property>
</Properties>
</file>