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Quality Engineer III</w:t>
      </w:r>
    </w:p>
    <w:p>
      <w:pPr>
        <w:spacing w:after="30"/>
      </w:pPr>
      <w:r>
        <w:rPr>
          <w:rFonts w:ascii="Arial" w:cs="Arial" w:eastAsia="Arial" w:hAnsi="Arial"/>
          <w:b/>
          <w:bCs/>
          <w:caps/>
          <w:color w:val="E4002B"/>
          <w:sz w:val="20"/>
          <w:szCs w:val="20"/>
        </w:rPr>
        <w:t xml:space="preserve">Quality Engineering  ·  Product Surface, Integration and Release Readiness</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sold to regulated enterprises who expect it to work exactly as specified. Alongside the evaluation that judges whether the AI behaves well enough to ship, someone has to prove the product itself is correct — the API, the SDK, the console, the upgrade path, the tenant boundaries, and the controls that are supposed to block things. Quality Engineers do that.</w:t>
      </w:r>
    </w:p>
    <w:p>
      <w:pPr>
        <w:spacing w:after="80" w:line="242"/>
      </w:pPr>
      <w:r>
        <w:rPr>
          <w:rFonts w:ascii="Arial" w:cs="Arial" w:eastAsia="Arial" w:hAnsi="Arial"/>
          <w:color w:val="1A1A1A"/>
          <w:sz w:val="19"/>
          <w:szCs w:val="19"/>
        </w:rPr>
        <w:t xml:space="preserve">As a Quality Engineer III you will own quality for significant parts of the product end to end, solve complex testing problems independently, and act as a resource for less experienced engineers.</w:t>
      </w:r>
    </w:p>
    <w:p>
      <w:pPr>
        <w:spacing w:after="80" w:line="242"/>
      </w:pPr>
      <w:r>
        <w:rPr>
          <w:rFonts w:ascii="Arial" w:cs="Arial" w:eastAsia="Arial" w:hAnsi="Arial"/>
          <w:color w:val="1A1A1A"/>
          <w:sz w:val="19"/>
          <w:szCs w:val="19"/>
        </w:rPr>
        <w:t xml:space="preserve">You will work in the Governance and Assurance pod alongside AI Assurance Engineers, who gate on model behaviour, and AI Governance Engineers, who build the controls you verify. The boundary is clean: they judge whether the AI is good enough, you prove the product is correct.</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Regulated buyers do not take software quality on trust, and proving it is a discipline in its own right.</w:t>
      </w:r>
    </w:p>
    <w:p>
      <w:pPr>
        <w:spacing w:after="80" w:line="242"/>
      </w:pPr>
      <w:r>
        <w:rPr>
          <w:rFonts w:ascii="Arial" w:cs="Arial" w:eastAsia="Arial" w:hAnsi="Arial"/>
          <w:color w:val="1A1A1A"/>
          <w:sz w:val="19"/>
          <w:szCs w:val="19"/>
        </w:rPr>
        <w:t xml:space="preserve">On this platform a defect is not an inconvenience: a tenant boundary that leaks, a quota that fails to enforce, or an upgrade that loses a customer's configuration is a commercial and compliance event. You will build the testing that catches those before a customer does, across a product surface spanning API, SDK and console, on a platform running two accelerator stacks inside private and sovereign environments. The evidence your tests produce also feeds the certifications the whole offering rests on.</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a quality role with real consequence behind the call you make, this is an unusually good version of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quality for your areas</w:t>
      </w:r>
    </w:p>
    <w:p>
      <w:pPr>
        <w:pStyle w:val="ListParagraph"/>
        <w:numPr>
          <w:ilvl w:val="0"/>
          <w:numId w:val="2"/>
        </w:numPr>
        <w:spacing w:after="30" w:line="238"/>
      </w:pPr>
      <w:r>
        <w:rPr>
          <w:rFonts w:ascii="Arial" w:cs="Arial" w:eastAsia="Arial" w:hAnsi="Arial"/>
          <w:color w:val="1A1A1A"/>
          <w:sz w:val="19"/>
          <w:szCs w:val="19"/>
        </w:rPr>
        <w:t xml:space="preserve">Own the test strategy for significant product areas: what gets tested, at which level, and what risk is knowingly accepted.</w:t>
      </w:r>
    </w:p>
    <w:p>
      <w:pPr>
        <w:pStyle w:val="ListParagraph"/>
        <w:numPr>
          <w:ilvl w:val="0"/>
          <w:numId w:val="2"/>
        </w:numPr>
        <w:spacing w:after="30" w:line="238"/>
      </w:pPr>
      <w:r>
        <w:rPr>
          <w:rFonts w:ascii="Arial" w:cs="Arial" w:eastAsia="Arial" w:hAnsi="Arial"/>
          <w:color w:val="1A1A1A"/>
          <w:sz w:val="19"/>
          <w:szCs w:val="19"/>
        </w:rPr>
        <w:t xml:space="preserve">Own the automated suites and their integration into release gating.</w:t>
      </w:r>
    </w:p>
    <w:p>
      <w:pPr>
        <w:pStyle w:val="ListParagraph"/>
        <w:numPr>
          <w:ilvl w:val="0"/>
          <w:numId w:val="2"/>
        </w:numPr>
        <w:spacing w:after="30" w:line="238"/>
      </w:pPr>
      <w:r>
        <w:rPr>
          <w:rFonts w:ascii="Arial" w:cs="Arial" w:eastAsia="Arial" w:hAnsi="Arial"/>
          <w:color w:val="1A1A1A"/>
          <w:sz w:val="19"/>
          <w:szCs w:val="19"/>
        </w:rPr>
        <w:t xml:space="preserve">Own non-functional testing for your areas — load, soak, failover, upgrade and rollback.</w:t>
      </w:r>
    </w:p>
    <w:p>
      <w:pPr>
        <w:pStyle w:val="ListParagraph"/>
        <w:numPr>
          <w:ilvl w:val="0"/>
          <w:numId w:val="2"/>
        </w:numPr>
        <w:spacing w:after="30" w:line="238"/>
      </w:pPr>
      <w:r>
        <w:rPr>
          <w:rFonts w:ascii="Arial" w:cs="Arial" w:eastAsia="Arial" w:hAnsi="Arial"/>
          <w:color w:val="1A1A1A"/>
          <w:sz w:val="19"/>
          <w:szCs w:val="19"/>
        </w:rPr>
        <w:t xml:space="preserve">Own verification that governance and multi-tenant controls behave as specified, working from the control designs rather than guessing at them.</w:t>
      </w:r>
    </w:p>
    <w:p>
      <w:pPr>
        <w:pStyle w:val="Heading2"/>
        <w:spacing w:after="44" w:before="112"/>
      </w:pPr>
      <w:r>
        <w:rPr>
          <w:rFonts w:ascii="Arial" w:cs="Arial" w:eastAsia="Arial" w:hAnsi="Arial"/>
          <w:b/>
          <w:bCs/>
          <w:color w:val="E4002B"/>
          <w:sz w:val="19"/>
          <w:szCs w:val="19"/>
        </w:rPr>
        <w:t xml:space="preserve">Own release readiness</w:t>
      </w:r>
    </w:p>
    <w:p>
      <w:pPr>
        <w:pStyle w:val="ListParagraph"/>
        <w:numPr>
          <w:ilvl w:val="0"/>
          <w:numId w:val="2"/>
        </w:numPr>
        <w:spacing w:after="30" w:line="238"/>
      </w:pPr>
      <w:r>
        <w:rPr>
          <w:rFonts w:ascii="Arial" w:cs="Arial" w:eastAsia="Arial" w:hAnsi="Arial"/>
          <w:color w:val="1A1A1A"/>
          <w:sz w:val="19"/>
          <w:szCs w:val="19"/>
        </w:rPr>
        <w:t xml:space="preserve">Own the release readiness assessment for your areas, and the evidence behind it.</w:t>
      </w:r>
    </w:p>
    <w:p>
      <w:pPr>
        <w:pStyle w:val="ListParagraph"/>
        <w:numPr>
          <w:ilvl w:val="0"/>
          <w:numId w:val="2"/>
        </w:numPr>
        <w:spacing w:after="30" w:line="238"/>
      </w:pPr>
      <w:r>
        <w:rPr>
          <w:rFonts w:ascii="Arial" w:cs="Arial" w:eastAsia="Arial" w:hAnsi="Arial"/>
          <w:color w:val="1A1A1A"/>
          <w:sz w:val="19"/>
          <w:szCs w:val="19"/>
        </w:rPr>
        <w:t xml:space="preserve">Own defect triage and root-cause follow-through, including reopen and escape analysis.</w:t>
      </w:r>
    </w:p>
    <w:p>
      <w:pPr>
        <w:pStyle w:val="ListParagraph"/>
        <w:numPr>
          <w:ilvl w:val="0"/>
          <w:numId w:val="2"/>
        </w:numPr>
        <w:spacing w:after="30" w:line="238"/>
      </w:pPr>
      <w:r>
        <w:rPr>
          <w:rFonts w:ascii="Arial" w:cs="Arial" w:eastAsia="Arial" w:hAnsi="Arial"/>
          <w:color w:val="1A1A1A"/>
          <w:sz w:val="19"/>
          <w:szCs w:val="19"/>
        </w:rPr>
        <w:t xml:space="preserve">Own the test evidence compliance and certification draw on for your areas.</w:t>
      </w:r>
    </w:p>
    <w:p>
      <w:pPr>
        <w:pStyle w:val="Heading2"/>
        <w:spacing w:after="44" w:before="112"/>
      </w:pPr>
      <w:r>
        <w:rPr>
          <w:rFonts w:ascii="Arial" w:cs="Arial" w:eastAsia="Arial" w:hAnsi="Arial"/>
          <w:b/>
          <w:bCs/>
          <w:color w:val="E4002B"/>
          <w:sz w:val="19"/>
          <w:szCs w:val="19"/>
        </w:rPr>
        <w:t xml:space="preserve">Lead work and support others</w:t>
      </w:r>
    </w:p>
    <w:p>
      <w:pPr>
        <w:pStyle w:val="ListParagraph"/>
        <w:numPr>
          <w:ilvl w:val="0"/>
          <w:numId w:val="2"/>
        </w:numPr>
        <w:spacing w:after="30" w:line="238"/>
      </w:pPr>
      <w:r>
        <w:rPr>
          <w:rFonts w:ascii="Arial" w:cs="Arial" w:eastAsia="Arial" w:hAnsi="Arial"/>
          <w:color w:val="1A1A1A"/>
          <w:sz w:val="19"/>
          <w:szCs w:val="19"/>
        </w:rPr>
        <w:t xml:space="preserve">Act as a resource for less experienced engineers, and review their test designs and code.</w:t>
      </w:r>
    </w:p>
    <w:p>
      <w:pPr>
        <w:pStyle w:val="ListParagraph"/>
        <w:numPr>
          <w:ilvl w:val="0"/>
          <w:numId w:val="2"/>
        </w:numPr>
        <w:spacing w:after="30" w:line="238"/>
      </w:pPr>
      <w:r>
        <w:rPr>
          <w:rFonts w:ascii="Arial" w:cs="Arial" w:eastAsia="Arial" w:hAnsi="Arial"/>
          <w:color w:val="1A1A1A"/>
          <w:sz w:val="19"/>
          <w:szCs w:val="19"/>
        </w:rPr>
        <w:t xml:space="preserve">Lead a project, or a defined workstream within a larger effort, from design through production.</w:t>
      </w:r>
    </w:p>
    <w:p>
      <w:pPr>
        <w:pStyle w:val="ListParagraph"/>
        <w:numPr>
          <w:ilvl w:val="0"/>
          <w:numId w:val="2"/>
        </w:numPr>
        <w:spacing w:after="30" w:line="238"/>
      </w:pPr>
      <w:r>
        <w:rPr>
          <w:rFonts w:ascii="Arial" w:cs="Arial" w:eastAsia="Arial" w:hAnsi="Arial"/>
          <w:color w:val="1A1A1A"/>
          <w:sz w:val="19"/>
          <w:szCs w:val="19"/>
        </w:rPr>
        <w:t xml:space="preserve">Keep the boundary with the AI Assurance Engineers clean: they gate on model behaviour, you gate on product correctness.</w:t>
      </w:r>
    </w:p>
    <w:p>
      <w:pPr>
        <w:pStyle w:val="ListParagraph"/>
        <w:numPr>
          <w:ilvl w:val="0"/>
          <w:numId w:val="2"/>
        </w:numPr>
        <w:spacing w:after="30" w:line="238"/>
      </w:pPr>
      <w:r>
        <w:rPr>
          <w:rFonts w:ascii="Arial" w:cs="Arial" w:eastAsia="Arial" w:hAnsi="Arial"/>
          <w:color w:val="1A1A1A"/>
          <w:sz w:val="19"/>
          <w:szCs w:val="19"/>
        </w:rPr>
        <w:t xml:space="preserve">Use AI-assisted engineering as the default across design, coding, testing, review and documentation, within the standards the team sets.</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In-depth conceptual and practical knowledge of quality engineering, built in test automation, SDET or platform QA work.</w:t>
      </w:r>
    </w:p>
    <w:p>
      <w:pPr>
        <w:pStyle w:val="ListParagraph"/>
        <w:numPr>
          <w:ilvl w:val="0"/>
          <w:numId w:val="2"/>
        </w:numPr>
        <w:spacing w:after="30" w:line="238"/>
      </w:pPr>
      <w:r>
        <w:rPr>
          <w:rFonts w:ascii="Arial" w:cs="Arial" w:eastAsia="Arial" w:hAnsi="Arial"/>
          <w:color w:val="1A1A1A"/>
          <w:sz w:val="19"/>
          <w:szCs w:val="19"/>
        </w:rPr>
        <w:t xml:space="preserve">Strong Python or TypeScript, and enough of the platform's languages to read the code you are testing.</w:t>
      </w:r>
    </w:p>
    <w:p>
      <w:pPr>
        <w:pStyle w:val="ListParagraph"/>
        <w:numPr>
          <w:ilvl w:val="0"/>
          <w:numId w:val="2"/>
        </w:numPr>
        <w:spacing w:after="30" w:line="238"/>
      </w:pPr>
      <w:r>
        <w:rPr>
          <w:rFonts w:ascii="Arial" w:cs="Arial" w:eastAsia="Arial" w:hAnsi="Arial"/>
          <w:color w:val="1A1A1A"/>
          <w:sz w:val="19"/>
          <w:szCs w:val="19"/>
        </w:rPr>
        <w:t xml:space="preserve">Test architecture: where to test what, and how to keep a large suite fast enough to gate on.</w:t>
      </w:r>
    </w:p>
    <w:p>
      <w:pPr>
        <w:pStyle w:val="ListParagraph"/>
        <w:numPr>
          <w:ilvl w:val="0"/>
          <w:numId w:val="2"/>
        </w:numPr>
        <w:spacing w:after="30" w:line="238"/>
      </w:pPr>
      <w:r>
        <w:rPr>
          <w:rFonts w:ascii="Arial" w:cs="Arial" w:eastAsia="Arial" w:hAnsi="Arial"/>
          <w:color w:val="1A1A1A"/>
          <w:sz w:val="19"/>
          <w:szCs w:val="19"/>
        </w:rPr>
        <w:t xml:space="preserve">Kubernetes and CI/CD to the depth needed to build and operate test infrastructure.</w:t>
      </w:r>
    </w:p>
    <w:p>
      <w:pPr>
        <w:pStyle w:val="Heading2"/>
        <w:spacing w:after="44" w:before="112"/>
      </w:pPr>
      <w:r>
        <w:rPr>
          <w:rFonts w:ascii="Arial" w:cs="Arial" w:eastAsia="Arial" w:hAnsi="Arial"/>
          <w:b/>
          <w:bCs/>
          <w:color w:val="E4002B"/>
          <w:sz w:val="19"/>
          <w:szCs w:val="19"/>
        </w:rPr>
        <w:t xml:space="preserve">Testing depth</w:t>
      </w:r>
    </w:p>
    <w:p>
      <w:pPr>
        <w:pStyle w:val="ListParagraph"/>
        <w:numPr>
          <w:ilvl w:val="0"/>
          <w:numId w:val="2"/>
        </w:numPr>
        <w:spacing w:after="30" w:line="238"/>
      </w:pPr>
      <w:r>
        <w:rPr>
          <w:rFonts w:ascii="Arial" w:cs="Arial" w:eastAsia="Arial" w:hAnsi="Arial"/>
          <w:color w:val="1A1A1A"/>
          <w:sz w:val="19"/>
          <w:szCs w:val="19"/>
        </w:rPr>
        <w:t xml:space="preserve">Risk-based test strategy you have written and defended.</w:t>
      </w:r>
    </w:p>
    <w:p>
      <w:pPr>
        <w:pStyle w:val="ListParagraph"/>
        <w:numPr>
          <w:ilvl w:val="0"/>
          <w:numId w:val="2"/>
        </w:numPr>
        <w:spacing w:after="30" w:line="238"/>
      </w:pPr>
      <w:r>
        <w:rPr>
          <w:rFonts w:ascii="Arial" w:cs="Arial" w:eastAsia="Arial" w:hAnsi="Arial"/>
          <w:color w:val="1A1A1A"/>
          <w:sz w:val="19"/>
          <w:szCs w:val="19"/>
        </w:rPr>
        <w:t xml:space="preserve">API, contract and integration testing across distributed services.</w:t>
      </w:r>
    </w:p>
    <w:p>
      <w:pPr>
        <w:pStyle w:val="ListParagraph"/>
        <w:numPr>
          <w:ilvl w:val="0"/>
          <w:numId w:val="2"/>
        </w:numPr>
        <w:spacing w:after="30" w:line="238"/>
      </w:pPr>
      <w:r>
        <w:rPr>
          <w:rFonts w:ascii="Arial" w:cs="Arial" w:eastAsia="Arial" w:hAnsi="Arial"/>
          <w:color w:val="1A1A1A"/>
          <w:sz w:val="19"/>
          <w:szCs w:val="19"/>
        </w:rPr>
        <w:t xml:space="preserve">Non-functional testing: load, soak, resilience, upgrade and rollback.</w:t>
      </w:r>
    </w:p>
    <w:p>
      <w:pPr>
        <w:pStyle w:val="ListParagraph"/>
        <w:numPr>
          <w:ilvl w:val="0"/>
          <w:numId w:val="2"/>
        </w:numPr>
        <w:spacing w:after="30" w:line="238"/>
      </w:pPr>
      <w:r>
        <w:rPr>
          <w:rFonts w:ascii="Arial" w:cs="Arial" w:eastAsia="Arial" w:hAnsi="Arial"/>
          <w:color w:val="1A1A1A"/>
          <w:sz w:val="19"/>
          <w:szCs w:val="19"/>
        </w:rPr>
        <w:t xml:space="preserve">Multi-tenant testing, including isolation, quota and entitlement behaviour.</w:t>
      </w:r>
    </w:p>
    <w:p>
      <w:pPr>
        <w:pStyle w:val="ListParagraph"/>
        <w:numPr>
          <w:ilvl w:val="0"/>
          <w:numId w:val="2"/>
        </w:numPr>
        <w:spacing w:after="30" w:line="238"/>
      </w:pPr>
      <w:r>
        <w:rPr>
          <w:rFonts w:ascii="Arial" w:cs="Arial" w:eastAsia="Arial" w:hAnsi="Arial"/>
          <w:color w:val="1A1A1A"/>
          <w:sz w:val="19"/>
          <w:szCs w:val="19"/>
        </w:rPr>
        <w:t xml:space="preserve">Testing features backed by non-deterministic components, and knowing where to hand over to evaluation.</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Delivery inside a regulated, audited or sovereign environment, and a working sense of what an auditor accepts as test evidence.</w:t>
      </w:r>
    </w:p>
    <w:p>
      <w:pPr>
        <w:pStyle w:val="ListParagraph"/>
        <w:numPr>
          <w:ilvl w:val="0"/>
          <w:numId w:val="2"/>
        </w:numPr>
        <w:spacing w:after="30" w:line="238"/>
      </w:pPr>
      <w:r>
        <w:rPr>
          <w:rFonts w:ascii="Arial" w:cs="Arial" w:eastAsia="Arial" w:hAnsi="Arial"/>
          <w:color w:val="1A1A1A"/>
          <w:sz w:val="19"/>
          <w:szCs w:val="19"/>
        </w:rPr>
        <w:t xml:space="preserve">Working knowledge of at least one control framework in practice.</w:t>
      </w:r>
    </w:p>
    <w:p>
      <w:pPr>
        <w:pStyle w:val="ListParagraph"/>
        <w:numPr>
          <w:ilvl w:val="0"/>
          <w:numId w:val="2"/>
        </w:numPr>
        <w:spacing w:after="30" w:line="238"/>
      </w:pPr>
      <w:r>
        <w:rPr>
          <w:rFonts w:ascii="Arial" w:cs="Arial" w:eastAsia="Arial" w:hAnsi="Arial"/>
          <w:color w:val="1A1A1A"/>
          <w:sz w:val="19"/>
          <w:szCs w:val="19"/>
        </w:rPr>
        <w:t xml:space="preserve">The willingness to call a release not ready, and the evidence to support it.</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Experience contributing to a SOC 2 or ISO/IEC 42001 readiness effort.</w:t>
      </w:r>
    </w:p>
    <w:p>
      <w:pPr>
        <w:pStyle w:val="ListParagraph"/>
        <w:numPr>
          <w:ilvl w:val="0"/>
          <w:numId w:val="2"/>
        </w:numPr>
        <w:spacing w:after="30" w:line="238"/>
      </w:pPr>
      <w:r>
        <w:rPr>
          <w:rFonts w:ascii="Arial" w:cs="Arial" w:eastAsia="Arial" w:hAnsi="Arial"/>
          <w:color w:val="1A1A1A"/>
          <w:sz w:val="19"/>
          <w:szCs w:val="19"/>
        </w:rPr>
        <w:t xml:space="preserve">Chaos or resilience engineering.</w:t>
      </w:r>
    </w:p>
    <w:p>
      <w:pPr>
        <w:pStyle w:val="ListParagraph"/>
        <w:numPr>
          <w:ilvl w:val="0"/>
          <w:numId w:val="2"/>
        </w:numPr>
        <w:spacing w:after="30" w:line="238"/>
      </w:pPr>
      <w:r>
        <w:rPr>
          <w:rFonts w:ascii="Arial" w:cs="Arial" w:eastAsia="Arial" w:hAnsi="Arial"/>
          <w:color w:val="1A1A1A"/>
          <w:sz w:val="19"/>
          <w:szCs w:val="19"/>
        </w:rPr>
        <w:t xml:space="preserve">Security testing, or working alongside a penetration-testing programme.</w:t>
      </w:r>
    </w:p>
    <w:p>
      <w:pPr>
        <w:pStyle w:val="ListParagraph"/>
        <w:numPr>
          <w:ilvl w:val="0"/>
          <w:numId w:val="2"/>
        </w:numPr>
        <w:spacing w:after="30" w:line="238"/>
      </w:pPr>
      <w:r>
        <w:rPr>
          <w:rFonts w:ascii="Arial" w:cs="Arial" w:eastAsia="Arial" w:hAnsi="Arial"/>
          <w:color w:val="1A1A1A"/>
          <w:sz w:val="19"/>
          <w:szCs w:val="19"/>
        </w:rPr>
        <w:t xml:space="preserve">Open-source contributions in the testing ecosystem.</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Escaped defects in your areas trend down, and the ones that escape are understood.</w:t>
      </w:r>
    </w:p>
    <w:p>
      <w:pPr>
        <w:pStyle w:val="ListParagraph"/>
        <w:numPr>
          <w:ilvl w:val="0"/>
          <w:numId w:val="2"/>
        </w:numPr>
        <w:spacing w:after="30" w:line="238"/>
      </w:pPr>
      <w:r>
        <w:rPr>
          <w:rFonts w:ascii="Arial" w:cs="Arial" w:eastAsia="Arial" w:hAnsi="Arial"/>
          <w:color w:val="1A1A1A"/>
          <w:sz w:val="19"/>
          <w:szCs w:val="19"/>
        </w:rPr>
        <w:t xml:space="preserve">Release readiness calls you make hold up after release.</w:t>
      </w:r>
    </w:p>
    <w:p>
      <w:pPr>
        <w:pStyle w:val="ListParagraph"/>
        <w:numPr>
          <w:ilvl w:val="0"/>
          <w:numId w:val="2"/>
        </w:numPr>
        <w:spacing w:after="30" w:line="238"/>
      </w:pPr>
      <w:r>
        <w:rPr>
          <w:rFonts w:ascii="Arial" w:cs="Arial" w:eastAsia="Arial" w:hAnsi="Arial"/>
          <w:color w:val="1A1A1A"/>
          <w:sz w:val="19"/>
          <w:szCs w:val="19"/>
        </w:rPr>
        <w:t xml:space="preserve">Your suites gate releases and are trusted rather than overridden.</w:t>
      </w:r>
    </w:p>
    <w:p>
      <w:pPr>
        <w:pStyle w:val="ListParagraph"/>
        <w:numPr>
          <w:ilvl w:val="0"/>
          <w:numId w:val="2"/>
        </w:numPr>
        <w:spacing w:after="30" w:line="238"/>
      </w:pPr>
      <w:r>
        <w:rPr>
          <w:rFonts w:ascii="Arial" w:cs="Arial" w:eastAsia="Arial" w:hAnsi="Arial"/>
          <w:color w:val="1A1A1A"/>
          <w:sz w:val="19"/>
          <w:szCs w:val="19"/>
        </w:rPr>
        <w:t xml:space="preserve">Test evidence for your areas is accepted without rework.</w:t>
      </w:r>
    </w:p>
    <w:p>
      <w:pPr>
        <w:pStyle w:val="ListParagraph"/>
        <w:numPr>
          <w:ilvl w:val="0"/>
          <w:numId w:val="2"/>
        </w:numPr>
        <w:spacing w:after="30" w:line="238"/>
      </w:pPr>
      <w:r>
        <w:rPr>
          <w:rFonts w:ascii="Arial" w:cs="Arial" w:eastAsia="Arial" w:hAnsi="Arial"/>
          <w:color w:val="1A1A1A"/>
          <w:sz w:val="19"/>
          <w:szCs w:val="19"/>
        </w:rPr>
        <w:t xml:space="preserve">Complex testing problems land with you and get solved without escalation.</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TypeScript  ·  Test automation frameworks (pytest, Playwright or similar)  ·  API and contract testing  ·  Load, soak and resilience testing tooling  ·  Kubernetes  ·  CI/CD and release gating  ·  Test data and environment management  ·  Defect tracking and reporting  ·  Prometheus / Grafana / OpenTelemetry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III — Applying — uses learned knowledge and skills to perform all aspects of the role with autonomy</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In-depth conceptual and practical knowledge in own discipline, plus basic knowledge of related disciplines. Solves complex problems and works independently with minimal guidance. May lead projects or project steps, and acts as a resource for colleagues with less experience.</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5 – 7 years in quality or software engineering, including hands-on testing of AI-backed features.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7B027E-FD11-4928-935D-29F189932B73}"/>
</file>

<file path=customXml/itemProps2.xml><?xml version="1.0" encoding="utf-8"?>
<ds:datastoreItem xmlns:ds="http://schemas.openxmlformats.org/officeDocument/2006/customXml" ds:itemID="{066301AD-590B-4843-A8D6-0EF0766314A6}"/>
</file>

<file path=customXml/itemProps3.xml><?xml version="1.0" encoding="utf-8"?>
<ds:datastoreItem xmlns:ds="http://schemas.openxmlformats.org/officeDocument/2006/customXml" ds:itemID="{178A816B-9BD3-4F0A-9AD0-230BC8FF90E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Engineer III — RackAI</dc:title>
  <dc:creator>Rackspace Technology</dc:creator>
  <cp:lastModifiedBy>Un-named</cp:lastModifiedBy>
  <cp:revision>1</cp:revision>
  <dcterms:created xsi:type="dcterms:W3CDTF">2026-09-15T00:25:45Z</dcterms:created>
  <dcterms:modified xsi:type="dcterms:W3CDTF">2026-09-15T00:25:45Z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