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Quality Engineer II</w:t>
      </w:r>
    </w:p>
    <w:p>
      <w:pPr>
        <w:spacing w:after="30"/>
      </w:pPr>
      <w:r>
        <w:rPr>
          <w:rFonts w:ascii="Arial" w:cs="Arial" w:eastAsia="Arial" w:hAnsi="Arial"/>
          <w:b/>
          <w:bCs/>
          <w:caps/>
          <w:color w:val="E4002B"/>
          <w:sz w:val="20"/>
          <w:szCs w:val="20"/>
        </w:rPr>
        <w:t xml:space="preserve">Quality Engineering  ·  Product Surface, Integration and Release Readiness</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 Quality Engineers do that.</w:t>
      </w:r>
    </w:p>
    <w:p>
      <w:pPr>
        <w:spacing w:after="80" w:line="242"/>
      </w:pPr>
      <w:r>
        <w:rPr>
          <w:rFonts w:ascii="Arial" w:cs="Arial" w:eastAsia="Arial" w:hAnsi="Arial"/>
          <w:color w:val="1A1A1A"/>
          <w:sz w:val="19"/>
          <w:szCs w:val="19"/>
        </w:rPr>
        <w:t xml:space="preserve">As a Quality Engineer II you will own testing for defined product areas — API surfaces, console flows, integration paths — working from established patterns with a moderate level of guidance, and broadening across the platform.</w:t>
      </w:r>
    </w:p>
    <w:p>
      <w:pPr>
        <w:spacing w:after="80" w:line="242"/>
      </w:pPr>
      <w:r>
        <w:rPr>
          <w:rFonts w:ascii="Arial" w:cs="Arial" w:eastAsia="Arial" w:hAnsi="Arial"/>
          <w:color w:val="1A1A1A"/>
          <w:sz w:val="19"/>
          <w:szCs w:val="19"/>
        </w:rPr>
        <w:t xml:space="preserve">You will work in the Governance and Assurance pod alongside AI Assurance Engineers, who gate on model behaviour, and AI Governance Engineers, who build the controls you verify. Product correctness is your half of the job.</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Regulated buyers do not take software quality on trust, and proving it is a discipline in its own right.</w:t>
      </w:r>
    </w:p>
    <w:p>
      <w:pPr>
        <w:spacing w:after="80" w:line="242"/>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You will build the testing that catches those before a customer does, across a product surface spanning API, SDK and console, on a platform running two accelerator stacks inside private and sovereign environments. The evidence your tests produce also feeds the certifications the whole offering rests on.</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build real quality engineering depth rather than execute someone else's script, this is an unusually good place to do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testing for your areas</w:t>
      </w:r>
    </w:p>
    <w:p>
      <w:pPr>
        <w:pStyle w:val="ListParagraph"/>
        <w:numPr>
          <w:ilvl w:val="0"/>
          <w:numId w:val="2"/>
        </w:numPr>
        <w:spacing w:after="30" w:line="238"/>
      </w:pPr>
      <w:r>
        <w:rPr>
          <w:rFonts w:ascii="Arial" w:cs="Arial" w:eastAsia="Arial" w:hAnsi="Arial"/>
          <w:color w:val="1A1A1A"/>
          <w:sz w:val="19"/>
          <w:szCs w:val="19"/>
        </w:rPr>
        <w:t xml:space="preserve">Own functional and regression coverage for defined product areas, including the coverage decisions behind it.</w:t>
      </w:r>
    </w:p>
    <w:p>
      <w:pPr>
        <w:pStyle w:val="ListParagraph"/>
        <w:numPr>
          <w:ilvl w:val="0"/>
          <w:numId w:val="2"/>
        </w:numPr>
        <w:spacing w:after="30" w:line="238"/>
      </w:pPr>
      <w:r>
        <w:rPr>
          <w:rFonts w:ascii="Arial" w:cs="Arial" w:eastAsia="Arial" w:hAnsi="Arial"/>
          <w:color w:val="1A1A1A"/>
          <w:sz w:val="19"/>
          <w:szCs w:val="19"/>
        </w:rPr>
        <w:t xml:space="preserve">Build and maintain the automated suites, and keep them fast and stable enough to gate a release.</w:t>
      </w:r>
    </w:p>
    <w:p>
      <w:pPr>
        <w:pStyle w:val="ListParagraph"/>
        <w:numPr>
          <w:ilvl w:val="0"/>
          <w:numId w:val="2"/>
        </w:numPr>
        <w:spacing w:after="30" w:line="238"/>
      </w:pPr>
      <w:r>
        <w:rPr>
          <w:rFonts w:ascii="Arial" w:cs="Arial" w:eastAsia="Arial" w:hAnsi="Arial"/>
          <w:color w:val="1A1A1A"/>
          <w:sz w:val="19"/>
          <w:szCs w:val="19"/>
        </w:rPr>
        <w:t xml:space="preserve">Test API contracts and SDK behaviour, including compatibility across versions.</w:t>
      </w:r>
    </w:p>
    <w:p>
      <w:pPr>
        <w:pStyle w:val="ListParagraph"/>
        <w:numPr>
          <w:ilvl w:val="0"/>
          <w:numId w:val="2"/>
        </w:numPr>
        <w:spacing w:after="30" w:line="238"/>
      </w:pPr>
      <w:r>
        <w:rPr>
          <w:rFonts w:ascii="Arial" w:cs="Arial" w:eastAsia="Arial" w:hAnsi="Arial"/>
          <w:color w:val="1A1A1A"/>
          <w:sz w:val="19"/>
          <w:szCs w:val="19"/>
        </w:rPr>
        <w:t xml:space="preserve">Verify that the platform's controls behave as specified — tenant boundaries hold, quotas enforce, tokens expire.</w:t>
      </w:r>
    </w:p>
    <w:p>
      <w:pPr>
        <w:pStyle w:val="Heading2"/>
        <w:spacing w:after="44" w:before="112"/>
      </w:pPr>
      <w:r>
        <w:rPr>
          <w:rFonts w:ascii="Arial" w:cs="Arial" w:eastAsia="Arial" w:hAnsi="Arial"/>
          <w:b/>
          <w:bCs/>
          <w:color w:val="E4002B"/>
          <w:sz w:val="19"/>
          <w:szCs w:val="19"/>
        </w:rPr>
        <w:t xml:space="preserve">Support release and compliance</w:t>
      </w:r>
    </w:p>
    <w:p>
      <w:pPr>
        <w:pStyle w:val="ListParagraph"/>
        <w:numPr>
          <w:ilvl w:val="0"/>
          <w:numId w:val="2"/>
        </w:numPr>
        <w:spacing w:after="30" w:line="238"/>
      </w:pPr>
      <w:r>
        <w:rPr>
          <w:rFonts w:ascii="Arial" w:cs="Arial" w:eastAsia="Arial" w:hAnsi="Arial"/>
          <w:color w:val="1A1A1A"/>
          <w:sz w:val="19"/>
          <w:szCs w:val="19"/>
        </w:rPr>
        <w:t xml:space="preserve">Own release regression for your areas and the readiness view that follows from it.</w:t>
      </w:r>
    </w:p>
    <w:p>
      <w:pPr>
        <w:pStyle w:val="ListParagraph"/>
        <w:numPr>
          <w:ilvl w:val="0"/>
          <w:numId w:val="2"/>
        </w:numPr>
        <w:spacing w:after="30" w:line="238"/>
      </w:pPr>
      <w:r>
        <w:rPr>
          <w:rFonts w:ascii="Arial" w:cs="Arial" w:eastAsia="Arial" w:hAnsi="Arial"/>
          <w:color w:val="1A1A1A"/>
          <w:sz w:val="19"/>
          <w:szCs w:val="19"/>
        </w:rPr>
        <w:t xml:space="preserve">Test upgrade and rollback paths, not only the happy path.</w:t>
      </w:r>
    </w:p>
    <w:p>
      <w:pPr>
        <w:pStyle w:val="ListParagraph"/>
        <w:numPr>
          <w:ilvl w:val="0"/>
          <w:numId w:val="2"/>
        </w:numPr>
        <w:spacing w:after="30" w:line="238"/>
      </w:pPr>
      <w:r>
        <w:rPr>
          <w:rFonts w:ascii="Arial" w:cs="Arial" w:eastAsia="Arial" w:hAnsi="Arial"/>
          <w:color w:val="1A1A1A"/>
          <w:sz w:val="19"/>
          <w:szCs w:val="19"/>
        </w:rPr>
        <w:t xml:space="preserve">Maintain the test records compliance and certification draw on.</w:t>
      </w:r>
    </w:p>
    <w:p>
      <w:pPr>
        <w:pStyle w:val="Heading2"/>
        <w:spacing w:after="44" w:before="112"/>
      </w:pPr>
      <w:r>
        <w:rPr>
          <w:rFonts w:ascii="Arial" w:cs="Arial" w:eastAsia="Arial" w:hAnsi="Arial"/>
          <w:b/>
          <w:bCs/>
          <w:color w:val="E4002B"/>
          <w:sz w:val="19"/>
          <w:szCs w:val="19"/>
        </w:rPr>
        <w:t xml:space="preserve">Work as part of the pod</w:t>
      </w:r>
    </w:p>
    <w:p>
      <w:pPr>
        <w:pStyle w:val="ListParagraph"/>
        <w:numPr>
          <w:ilvl w:val="0"/>
          <w:numId w:val="2"/>
        </w:numPr>
        <w:spacing w:after="30" w:line="238"/>
      </w:pPr>
      <w:r>
        <w:rPr>
          <w:rFonts w:ascii="Arial" w:cs="Arial" w:eastAsia="Arial" w:hAnsi="Arial"/>
          <w:color w:val="1A1A1A"/>
          <w:sz w:val="19"/>
          <w:szCs w:val="19"/>
        </w:rPr>
        <w:t xml:space="preserve">Support engineers newer than you, and document your suites so others can run them.</w:t>
      </w:r>
    </w:p>
    <w:p>
      <w:pPr>
        <w:pStyle w:val="ListParagraph"/>
        <w:numPr>
          <w:ilvl w:val="0"/>
          <w:numId w:val="2"/>
        </w:numPr>
        <w:spacing w:after="30" w:line="238"/>
      </w:pPr>
      <w:r>
        <w:rPr>
          <w:rFonts w:ascii="Arial" w:cs="Arial" w:eastAsia="Arial" w:hAnsi="Arial"/>
          <w:color w:val="1A1A1A"/>
          <w:sz w:val="19"/>
          <w:szCs w:val="19"/>
        </w:rPr>
        <w:t xml:space="preserve">Work with the AI Assurance Engineers so product testing and evaluation gating neither duplicate nor contradict each other.</w:t>
      </w:r>
    </w:p>
    <w:p>
      <w:pPr>
        <w:pStyle w:val="ListParagraph"/>
        <w:numPr>
          <w:ilvl w:val="0"/>
          <w:numId w:val="2"/>
        </w:numPr>
        <w:spacing w:after="30" w:line="238"/>
      </w:pPr>
      <w:r>
        <w:rPr>
          <w:rFonts w:ascii="Arial" w:cs="Arial" w:eastAsia="Arial" w:hAnsi="Arial"/>
          <w:color w:val="1A1A1A"/>
          <w:sz w:val="19"/>
          <w:szCs w:val="19"/>
        </w:rPr>
        <w:t xml:space="preserve">Use AI-assisted engineering as a normal part of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Working knowledge and experience of quality engineering, with shipped production work behind you.</w:t>
      </w:r>
    </w:p>
    <w:p>
      <w:pPr>
        <w:pStyle w:val="ListParagraph"/>
        <w:numPr>
          <w:ilvl w:val="0"/>
          <w:numId w:val="2"/>
        </w:numPr>
        <w:spacing w:after="30" w:line="238"/>
      </w:pPr>
      <w:r>
        <w:rPr>
          <w:rFonts w:ascii="Arial" w:cs="Arial" w:eastAsia="Arial" w:hAnsi="Arial"/>
          <w:color w:val="1A1A1A"/>
          <w:sz w:val="19"/>
          <w:szCs w:val="19"/>
        </w:rPr>
        <w:t xml:space="preserve">Solid Python or TypeScript, and the ability to work in an unfamiliar codebase without hand-holding.</w:t>
      </w:r>
    </w:p>
    <w:p>
      <w:pPr>
        <w:pStyle w:val="ListParagraph"/>
        <w:numPr>
          <w:ilvl w:val="0"/>
          <w:numId w:val="2"/>
        </w:numPr>
        <w:spacing w:after="30" w:line="238"/>
      </w:pPr>
      <w:r>
        <w:rPr>
          <w:rFonts w:ascii="Arial" w:cs="Arial" w:eastAsia="Arial" w:hAnsi="Arial"/>
          <w:color w:val="1A1A1A"/>
          <w:sz w:val="19"/>
          <w:szCs w:val="19"/>
        </w:rPr>
        <w:t xml:space="preserve">Test automation and CI to the depth needed to own a suite rather than just add to one.</w:t>
      </w:r>
    </w:p>
    <w:p>
      <w:pPr>
        <w:pStyle w:val="ListParagraph"/>
        <w:numPr>
          <w:ilvl w:val="0"/>
          <w:numId w:val="2"/>
        </w:numPr>
        <w:spacing w:after="30" w:line="238"/>
      </w:pPr>
      <w:r>
        <w:rPr>
          <w:rFonts w:ascii="Arial" w:cs="Arial" w:eastAsia="Arial" w:hAnsi="Arial"/>
          <w:color w:val="1A1A1A"/>
          <w:sz w:val="19"/>
          <w:szCs w:val="19"/>
        </w:rPr>
        <w:t xml:space="preserve">Enough Kubernetes to deploy, inspect and debug the system under test.</w:t>
      </w:r>
    </w:p>
    <w:p>
      <w:pPr>
        <w:pStyle w:val="Heading2"/>
        <w:spacing w:after="44" w:before="112"/>
      </w:pPr>
      <w:r>
        <w:rPr>
          <w:rFonts w:ascii="Arial" w:cs="Arial" w:eastAsia="Arial" w:hAnsi="Arial"/>
          <w:b/>
          <w:bCs/>
          <w:color w:val="E4002B"/>
          <w:sz w:val="19"/>
          <w:szCs w:val="19"/>
        </w:rPr>
        <w:t xml:space="preserve">Testing depth</w:t>
      </w:r>
    </w:p>
    <w:p>
      <w:pPr>
        <w:pStyle w:val="ListParagraph"/>
        <w:numPr>
          <w:ilvl w:val="0"/>
          <w:numId w:val="2"/>
        </w:numPr>
        <w:spacing w:after="30" w:line="238"/>
      </w:pPr>
      <w:r>
        <w:rPr>
          <w:rFonts w:ascii="Arial" w:cs="Arial" w:eastAsia="Arial" w:hAnsi="Arial"/>
          <w:color w:val="1A1A1A"/>
          <w:sz w:val="19"/>
          <w:szCs w:val="19"/>
        </w:rPr>
        <w:t xml:space="preserve">Test design at depth: risk-based coverage, negative and boundary cases, and knowing what not to automate.</w:t>
      </w:r>
    </w:p>
    <w:p>
      <w:pPr>
        <w:pStyle w:val="ListParagraph"/>
        <w:numPr>
          <w:ilvl w:val="0"/>
          <w:numId w:val="2"/>
        </w:numPr>
        <w:spacing w:after="30" w:line="238"/>
      </w:pPr>
      <w:r>
        <w:rPr>
          <w:rFonts w:ascii="Arial" w:cs="Arial" w:eastAsia="Arial" w:hAnsi="Arial"/>
          <w:color w:val="1A1A1A"/>
          <w:sz w:val="19"/>
          <w:szCs w:val="19"/>
        </w:rPr>
        <w:t xml:space="preserve">API and contract testing, including backwards compatibility.</w:t>
      </w:r>
    </w:p>
    <w:p>
      <w:pPr>
        <w:pStyle w:val="ListParagraph"/>
        <w:numPr>
          <w:ilvl w:val="0"/>
          <w:numId w:val="2"/>
        </w:numPr>
        <w:spacing w:after="30" w:line="238"/>
      </w:pPr>
      <w:r>
        <w:rPr>
          <w:rFonts w:ascii="Arial" w:cs="Arial" w:eastAsia="Arial" w:hAnsi="Arial"/>
          <w:color w:val="1A1A1A"/>
          <w:sz w:val="19"/>
          <w:szCs w:val="19"/>
        </w:rPr>
        <w:t xml:space="preserve">Flake diagnosis and elimination as a routine skill rather than an occasional heroic.</w:t>
      </w:r>
    </w:p>
    <w:p>
      <w:pPr>
        <w:pStyle w:val="ListParagraph"/>
        <w:numPr>
          <w:ilvl w:val="0"/>
          <w:numId w:val="2"/>
        </w:numPr>
        <w:spacing w:after="30" w:line="238"/>
      </w:pPr>
      <w:r>
        <w:rPr>
          <w:rFonts w:ascii="Arial" w:cs="Arial" w:eastAsia="Arial" w:hAnsi="Arial"/>
          <w:color w:val="1A1A1A"/>
          <w:sz w:val="19"/>
          <w:szCs w:val="19"/>
        </w:rPr>
        <w:t xml:space="preserve">Test data and environment management for a multi-tenant system.</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using prescribed guidelines and processes to analyse a situation, with a moderate level of guidance.</w:t>
      </w:r>
    </w:p>
    <w:p>
      <w:pPr>
        <w:pStyle w:val="ListParagraph"/>
        <w:numPr>
          <w:ilvl w:val="0"/>
          <w:numId w:val="2"/>
        </w:numPr>
        <w:spacing w:after="30" w:line="238"/>
      </w:pPr>
      <w:r>
        <w:rPr>
          <w:rFonts w:ascii="Arial" w:cs="Arial" w:eastAsia="Arial" w:hAnsi="Arial"/>
          <w:color w:val="1A1A1A"/>
          <w:sz w:val="19"/>
          <w:szCs w:val="19"/>
        </w:rPr>
        <w:t xml:space="preserve">Clear written communication with engineers and non-engineers.</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Exposure to a control framework in practice — SOC 2, ISO/IEC 42001 or a sector equivalent.</w:t>
      </w:r>
    </w:p>
    <w:p>
      <w:pPr>
        <w:pStyle w:val="ListParagraph"/>
        <w:numPr>
          <w:ilvl w:val="0"/>
          <w:numId w:val="2"/>
        </w:numPr>
        <w:spacing w:after="30" w:line="238"/>
      </w:pPr>
      <w:r>
        <w:rPr>
          <w:rFonts w:ascii="Arial" w:cs="Arial" w:eastAsia="Arial" w:hAnsi="Arial"/>
          <w:color w:val="1A1A1A"/>
          <w:sz w:val="19"/>
          <w:szCs w:val="19"/>
        </w:rPr>
        <w:t xml:space="preserve">Load, soak or performance testing experience.</w:t>
      </w:r>
    </w:p>
    <w:p>
      <w:pPr>
        <w:pStyle w:val="ListParagraph"/>
        <w:numPr>
          <w:ilvl w:val="0"/>
          <w:numId w:val="2"/>
        </w:numPr>
        <w:spacing w:after="30" w:line="238"/>
      </w:pPr>
      <w:r>
        <w:rPr>
          <w:rFonts w:ascii="Arial" w:cs="Arial" w:eastAsia="Arial" w:hAnsi="Arial"/>
          <w:color w:val="1A1A1A"/>
          <w:sz w:val="19"/>
          <w:szCs w:val="19"/>
        </w:rPr>
        <w:t xml:space="preserve">Testing of AI or ML-backed product features.</w:t>
      </w:r>
    </w:p>
    <w:p>
      <w:pPr>
        <w:pStyle w:val="ListParagraph"/>
        <w:numPr>
          <w:ilvl w:val="0"/>
          <w:numId w:val="2"/>
        </w:numPr>
        <w:spacing w:after="30" w:line="238"/>
      </w:pPr>
      <w:r>
        <w:rPr>
          <w:rFonts w:ascii="Arial" w:cs="Arial" w:eastAsia="Arial" w:hAnsi="Arial"/>
          <w:color w:val="1A1A1A"/>
          <w:sz w:val="19"/>
          <w:szCs w:val="19"/>
        </w:rPr>
        <w:t xml:space="preserve">Open-source contributions in the testing ecosystem.</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Coverage for your areas is risk-based, and you can justify what is not covered.</w:t>
      </w:r>
    </w:p>
    <w:p>
      <w:pPr>
        <w:pStyle w:val="ListParagraph"/>
        <w:numPr>
          <w:ilvl w:val="0"/>
          <w:numId w:val="2"/>
        </w:numPr>
        <w:spacing w:after="30" w:line="238"/>
      </w:pPr>
      <w:r>
        <w:rPr>
          <w:rFonts w:ascii="Arial" w:cs="Arial" w:eastAsia="Arial" w:hAnsi="Arial"/>
          <w:color w:val="1A1A1A"/>
          <w:sz w:val="19"/>
          <w:szCs w:val="19"/>
        </w:rPr>
        <w:t xml:space="preserve">Your suites are stable enough that a red build is believed rather than re-run.</w:t>
      </w:r>
    </w:p>
    <w:p>
      <w:pPr>
        <w:pStyle w:val="ListParagraph"/>
        <w:numPr>
          <w:ilvl w:val="0"/>
          <w:numId w:val="2"/>
        </w:numPr>
        <w:spacing w:after="30" w:line="238"/>
      </w:pPr>
      <w:r>
        <w:rPr>
          <w:rFonts w:ascii="Arial" w:cs="Arial" w:eastAsia="Arial" w:hAnsi="Arial"/>
          <w:color w:val="1A1A1A"/>
          <w:sz w:val="19"/>
          <w:szCs w:val="19"/>
        </w:rPr>
        <w:t xml:space="preserve">Release regression for your areas runs on schedule and finds real problems.</w:t>
      </w:r>
    </w:p>
    <w:p>
      <w:pPr>
        <w:pStyle w:val="ListParagraph"/>
        <w:numPr>
          <w:ilvl w:val="0"/>
          <w:numId w:val="2"/>
        </w:numPr>
        <w:spacing w:after="30" w:line="238"/>
      </w:pPr>
      <w:r>
        <w:rPr>
          <w:rFonts w:ascii="Arial" w:cs="Arial" w:eastAsia="Arial" w:hAnsi="Arial"/>
          <w:color w:val="1A1A1A"/>
          <w:sz w:val="19"/>
          <w:szCs w:val="19"/>
        </w:rPr>
        <w:t xml:space="preserve">Engineers newer than you come to you first.</w:t>
      </w:r>
    </w:p>
    <w:p>
      <w:pPr>
        <w:pStyle w:val="ListParagraph"/>
        <w:numPr>
          <w:ilvl w:val="0"/>
          <w:numId w:val="2"/>
        </w:numPr>
        <w:spacing w:after="30" w:line="238"/>
      </w:pPr>
      <w:r>
        <w:rPr>
          <w:rFonts w:ascii="Arial" w:cs="Arial" w:eastAsia="Arial" w:hAnsi="Arial"/>
          <w:color w:val="1A1A1A"/>
          <w:sz w:val="19"/>
          <w:szCs w:val="19"/>
        </w:rPr>
        <w:t xml:space="preserve">You are broadening — new product areas take less ramp than the first.</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TypeScript  ·  Test automation frameworks (pytest, Playwright or similar)  ·  API and contract testing  ·  Load, soak and resilience testing tooling  ·  Kubernetes  ·  CI/CD and release gating  ·  Test data and environment management  ·  Defect tracking and reporting  ·  Prometheus / Grafana / OpenTelemetry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 — Supporting — competent at the basics and expanding capabilities</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Working knowledge and experience in own discipline, broadening capabilities. Performs a range of assignments using prescribed guidelines, with a moderate level of guidance and direction.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2 – 4 years in quality or software engineering, with some exposure to AI or ML-backed features.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409981-36F4-4D1A-B0F2-36057E326DC6}"/>
</file>

<file path=customXml/itemProps2.xml><?xml version="1.0" encoding="utf-8"?>
<ds:datastoreItem xmlns:ds="http://schemas.openxmlformats.org/officeDocument/2006/customXml" ds:itemID="{BE58ABEE-0B9C-4994-9FA2-738D9B092AE0}"/>
</file>

<file path=customXml/itemProps3.xml><?xml version="1.0" encoding="utf-8"?>
<ds:datastoreItem xmlns:ds="http://schemas.openxmlformats.org/officeDocument/2006/customXml" ds:itemID="{83D77628-F65A-4FDB-8FD0-AC456B3181A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Engineer II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