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Quality Engineer V</w:t>
      </w:r>
    </w:p>
    <w:p>
      <w:pPr>
        <w:spacing w:after="30"/>
      </w:pPr>
      <w:r>
        <w:rPr>
          <w:rFonts w:ascii="Arial" w:cs="Arial" w:eastAsia="Arial" w:hAnsi="Arial"/>
          <w:b/>
          <w:bCs/>
          <w:caps/>
          <w:color w:val="E4002B"/>
          <w:sz w:val="20"/>
          <w:szCs w:val="20"/>
        </w:rPr>
        <w:t xml:space="preserve">Quality Engineering  ·  Product Surface, Integration and Release Readiness</w:t>
      </w:r>
    </w:p>
    <w:p>
      <w:pPr>
        <w:pBdr>
          <w:bottom w:val="single" w:color="D9D9D9" w:sz="6" w:space="6"/>
        </w:pBdr>
        <w:spacing w:after="180"/>
      </w:pPr>
      <w:r>
        <w:rPr>
          <w:rFonts w:ascii="Arial" w:cs="Arial" w:eastAsia="Arial" w:hAnsi="Arial"/>
          <w:color w:val="595959"/>
          <w:sz w:val="16"/>
          <w:szCs w:val="16"/>
        </w:rPr>
        <w:t xml:space="preserve">Individual Contributor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sold to regulated enterprises who expect it to work exactly as specified. Alongside the evaluation that judges whether the AI behaves well enough to ship, someone has to prove the product itself is correct — the API, the SDK, the console, the upgrade path, the tenant boundaries, and the controls that are supposed to block things. Quality Engineers do that.</w:t>
      </w:r>
    </w:p>
    <w:p>
      <w:pPr>
        <w:spacing w:after="80" w:line="242"/>
      </w:pPr>
      <w:r>
        <w:rPr>
          <w:rFonts w:ascii="Arial" w:cs="Arial" w:eastAsia="Arial" w:hAnsi="Arial"/>
          <w:color w:val="1A1A1A"/>
          <w:sz w:val="19"/>
          <w:szCs w:val="19"/>
        </w:rPr>
        <w:t xml:space="preserve">As a Quality Engineer V you are the recognised expert for quality engineering at RackAI. You own the platform's test strategy, the automation and infrastructure behind it, the release readiness standard, and the test evidence certification depends on — and you contribute to the strategy for the sub-function.</w:t>
      </w:r>
    </w:p>
    <w:p>
      <w:pPr>
        <w:spacing w:after="80" w:line="242"/>
      </w:pPr>
      <w:r>
        <w:rPr>
          <w:rFonts w:ascii="Arial" w:cs="Arial" w:eastAsia="Arial" w:hAnsi="Arial"/>
          <w:color w:val="1A1A1A"/>
          <w:sz w:val="19"/>
          <w:szCs w:val="19"/>
        </w:rPr>
        <w:t xml:space="preserve">You will work in the Governance and Assurance pod alongside an AI Assurance Engineer who owns evaluation and verification, and AI Governance Engineers who build the controls you verify. They judge whether the AI is good enough; you prove the product is correct.</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Regulated buyers do not take software quality on trust, and proving it is a discipline in its own right.</w:t>
      </w:r>
    </w:p>
    <w:p>
      <w:pPr>
        <w:spacing w:after="80" w:line="242"/>
      </w:pPr>
      <w:r>
        <w:rPr>
          <w:rFonts w:ascii="Arial" w:cs="Arial" w:eastAsia="Arial" w:hAnsi="Arial"/>
          <w:color w:val="1A1A1A"/>
          <w:sz w:val="19"/>
          <w:szCs w:val="19"/>
        </w:rPr>
        <w:t xml:space="preserve">On this platform a defect is not an inconvenience: a tenant boundary that leaks, a quota that fails to enforce, or an upgrade that loses a customer's configuration is a commercial and compliance event. You will build the testing that catches those before a customer does, across a product surface spanning API, SDK and console, on a platform running two accelerator stacks inside private and sovereign environments. The evidence your tests produce also feeds the certifications the whole offering rests on.</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to own the quality standard for a platform regulated customers are betting on, this is the seat.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Own quality for the platform</w:t>
      </w:r>
    </w:p>
    <w:p>
      <w:pPr>
        <w:pStyle w:val="ListParagraph"/>
        <w:numPr>
          <w:ilvl w:val="0"/>
          <w:numId w:val="2"/>
        </w:numPr>
        <w:spacing w:after="30" w:line="238"/>
      </w:pPr>
      <w:r>
        <w:rPr>
          <w:rFonts w:ascii="Arial" w:cs="Arial" w:eastAsia="Arial" w:hAnsi="Arial"/>
          <w:color w:val="1A1A1A"/>
          <w:sz w:val="19"/>
          <w:szCs w:val="19"/>
        </w:rPr>
        <w:t xml:space="preserve">Own the platform test strategy: what gets tested, at which level, and the risk position the business is accepting.</w:t>
      </w:r>
    </w:p>
    <w:p>
      <w:pPr>
        <w:pStyle w:val="ListParagraph"/>
        <w:numPr>
          <w:ilvl w:val="0"/>
          <w:numId w:val="2"/>
        </w:numPr>
        <w:spacing w:after="30" w:line="238"/>
      </w:pPr>
      <w:r>
        <w:rPr>
          <w:rFonts w:ascii="Arial" w:cs="Arial" w:eastAsia="Arial" w:hAnsi="Arial"/>
          <w:color w:val="1A1A1A"/>
          <w:sz w:val="19"/>
          <w:szCs w:val="19"/>
        </w:rPr>
        <w:t xml:space="preserve">Own the automated suite and test infrastructure as a platform capability, including its execution time and cost.</w:t>
      </w:r>
    </w:p>
    <w:p>
      <w:pPr>
        <w:pStyle w:val="ListParagraph"/>
        <w:numPr>
          <w:ilvl w:val="0"/>
          <w:numId w:val="2"/>
        </w:numPr>
        <w:spacing w:after="30" w:line="238"/>
      </w:pPr>
      <w:r>
        <w:rPr>
          <w:rFonts w:ascii="Arial" w:cs="Arial" w:eastAsia="Arial" w:hAnsi="Arial"/>
          <w:color w:val="1A1A1A"/>
          <w:sz w:val="19"/>
          <w:szCs w:val="19"/>
        </w:rPr>
        <w:t xml:space="preserve">Own non-functional testing across the platform — load, soak, resilience, failover, upgrade and rollback.</w:t>
      </w:r>
    </w:p>
    <w:p>
      <w:pPr>
        <w:pStyle w:val="ListParagraph"/>
        <w:numPr>
          <w:ilvl w:val="0"/>
          <w:numId w:val="2"/>
        </w:numPr>
        <w:spacing w:after="30" w:line="238"/>
      </w:pPr>
      <w:r>
        <w:rPr>
          <w:rFonts w:ascii="Arial" w:cs="Arial" w:eastAsia="Arial" w:hAnsi="Arial"/>
          <w:color w:val="1A1A1A"/>
          <w:sz w:val="19"/>
          <w:szCs w:val="19"/>
        </w:rPr>
        <w:t xml:space="preserve">Own verification that governance and multi-tenant controls behave as specified, in partnership with the engineers who build them.</w:t>
      </w:r>
    </w:p>
    <w:p>
      <w:pPr>
        <w:pStyle w:val="Heading2"/>
        <w:spacing w:after="44" w:before="112"/>
      </w:pPr>
      <w:r>
        <w:rPr>
          <w:rFonts w:ascii="Arial" w:cs="Arial" w:eastAsia="Arial" w:hAnsi="Arial"/>
          <w:b/>
          <w:bCs/>
          <w:color w:val="E4002B"/>
          <w:sz w:val="19"/>
          <w:szCs w:val="19"/>
        </w:rPr>
        <w:t xml:space="preserve">Own the release standard</w:t>
      </w:r>
    </w:p>
    <w:p>
      <w:pPr>
        <w:pStyle w:val="ListParagraph"/>
        <w:numPr>
          <w:ilvl w:val="0"/>
          <w:numId w:val="2"/>
        </w:numPr>
        <w:spacing w:after="30" w:line="238"/>
      </w:pPr>
      <w:r>
        <w:rPr>
          <w:rFonts w:ascii="Arial" w:cs="Arial" w:eastAsia="Arial" w:hAnsi="Arial"/>
          <w:color w:val="1A1A1A"/>
          <w:sz w:val="19"/>
          <w:szCs w:val="19"/>
        </w:rPr>
        <w:t xml:space="preserve">Own the release readiness standard and the criteria a release is held against, and defend a hold to leadership.</w:t>
      </w:r>
    </w:p>
    <w:p>
      <w:pPr>
        <w:pStyle w:val="ListParagraph"/>
        <w:numPr>
          <w:ilvl w:val="0"/>
          <w:numId w:val="2"/>
        </w:numPr>
        <w:spacing w:after="30" w:line="238"/>
      </w:pPr>
      <w:r>
        <w:rPr>
          <w:rFonts w:ascii="Arial" w:cs="Arial" w:eastAsia="Arial" w:hAnsi="Arial"/>
          <w:color w:val="1A1A1A"/>
          <w:sz w:val="19"/>
          <w:szCs w:val="19"/>
        </w:rPr>
        <w:t xml:space="preserve">Own escape analysis, and turn what it finds into changes in how the organisation builds rather than how it tests.</w:t>
      </w:r>
    </w:p>
    <w:p>
      <w:pPr>
        <w:pStyle w:val="ListParagraph"/>
        <w:numPr>
          <w:ilvl w:val="0"/>
          <w:numId w:val="2"/>
        </w:numPr>
        <w:spacing w:after="30" w:line="238"/>
      </w:pPr>
      <w:r>
        <w:rPr>
          <w:rFonts w:ascii="Arial" w:cs="Arial" w:eastAsia="Arial" w:hAnsi="Arial"/>
          <w:color w:val="1A1A1A"/>
          <w:sz w:val="19"/>
          <w:szCs w:val="19"/>
        </w:rPr>
        <w:t xml:space="preserve">Own the test evidence compliance and certification rest on, generated as a by-product of normal operation, and present it to auditors.</w:t>
      </w:r>
    </w:p>
    <w:p>
      <w:pPr>
        <w:pStyle w:val="Heading2"/>
        <w:spacing w:after="44" w:before="112"/>
      </w:pPr>
      <w:r>
        <w:rPr>
          <w:rFonts w:ascii="Arial" w:cs="Arial" w:eastAsia="Arial" w:hAnsi="Arial"/>
          <w:b/>
          <w:bCs/>
          <w:color w:val="E4002B"/>
          <w:sz w:val="19"/>
          <w:szCs w:val="19"/>
        </w:rPr>
        <w:t xml:space="preserve">Lead the discipline</w:t>
      </w:r>
    </w:p>
    <w:p>
      <w:pPr>
        <w:pStyle w:val="ListParagraph"/>
        <w:numPr>
          <w:ilvl w:val="0"/>
          <w:numId w:val="2"/>
        </w:numPr>
        <w:spacing w:after="30" w:line="238"/>
      </w:pPr>
      <w:r>
        <w:rPr>
          <w:rFonts w:ascii="Arial" w:cs="Arial" w:eastAsia="Arial" w:hAnsi="Arial"/>
          <w:color w:val="1A1A1A"/>
          <w:sz w:val="19"/>
          <w:szCs w:val="19"/>
        </w:rPr>
        <w:t xml:space="preserve">Set the testing standard across the function, review the work of teams measuring against it, and contribute to the strategy for the sub-function.</w:t>
      </w:r>
    </w:p>
    <w:p>
      <w:pPr>
        <w:pStyle w:val="ListParagraph"/>
        <w:numPr>
          <w:ilvl w:val="0"/>
          <w:numId w:val="2"/>
        </w:numPr>
        <w:spacing w:after="30" w:line="238"/>
      </w:pPr>
      <w:r>
        <w:rPr>
          <w:rFonts w:ascii="Arial" w:cs="Arial" w:eastAsia="Arial" w:hAnsi="Arial"/>
          <w:color w:val="1A1A1A"/>
          <w:sz w:val="19"/>
          <w:szCs w:val="19"/>
        </w:rPr>
        <w:t xml:space="preserve">Coach engineers across the business on test design, automation and risk, and be the final escalation point for quality questions.</w:t>
      </w:r>
    </w:p>
    <w:p>
      <w:pPr>
        <w:pStyle w:val="ListParagraph"/>
        <w:numPr>
          <w:ilvl w:val="0"/>
          <w:numId w:val="2"/>
        </w:numPr>
        <w:spacing w:after="30" w:line="238"/>
      </w:pPr>
      <w:r>
        <w:rPr>
          <w:rFonts w:ascii="Arial" w:cs="Arial" w:eastAsia="Arial" w:hAnsi="Arial"/>
          <w:color w:val="1A1A1A"/>
          <w:sz w:val="19"/>
          <w:szCs w:val="19"/>
        </w:rPr>
        <w:t xml:space="preserve">Keep the boundary with AI Assurance explicit and current as the product changes.</w:t>
      </w:r>
    </w:p>
    <w:p>
      <w:pPr>
        <w:pStyle w:val="ListParagraph"/>
        <w:numPr>
          <w:ilvl w:val="0"/>
          <w:numId w:val="2"/>
        </w:numPr>
        <w:spacing w:after="30" w:line="238"/>
      </w:pPr>
      <w:r>
        <w:rPr>
          <w:rFonts w:ascii="Arial" w:cs="Arial" w:eastAsia="Arial" w:hAnsi="Arial"/>
          <w:color w:val="1A1A1A"/>
          <w:sz w:val="19"/>
          <w:szCs w:val="19"/>
        </w:rPr>
        <w:t xml:space="preserve">Make AI-assisted engineering the default across the discipline, within clear standards for quality, security, licensing and human review.</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Engineering depth</w:t>
      </w:r>
    </w:p>
    <w:p>
      <w:pPr>
        <w:pStyle w:val="ListParagraph"/>
        <w:numPr>
          <w:ilvl w:val="0"/>
          <w:numId w:val="2"/>
        </w:numPr>
        <w:spacing w:after="30" w:line="238"/>
      </w:pPr>
      <w:r>
        <w:rPr>
          <w:rFonts w:ascii="Arial" w:cs="Arial" w:eastAsia="Arial" w:hAnsi="Arial"/>
          <w:color w:val="1A1A1A"/>
          <w:sz w:val="19"/>
          <w:szCs w:val="19"/>
        </w:rPr>
        <w:t xml:space="preserve">Recognised expertise in quality engineering, with broad knowledge of the other disciplines in the function.</w:t>
      </w:r>
    </w:p>
    <w:p>
      <w:pPr>
        <w:pStyle w:val="ListParagraph"/>
        <w:numPr>
          <w:ilvl w:val="0"/>
          <w:numId w:val="2"/>
        </w:numPr>
        <w:spacing w:after="30" w:line="238"/>
      </w:pPr>
      <w:r>
        <w:rPr>
          <w:rFonts w:ascii="Arial" w:cs="Arial" w:eastAsia="Arial" w:hAnsi="Arial"/>
          <w:color w:val="1A1A1A"/>
          <w:sz w:val="19"/>
          <w:szCs w:val="19"/>
        </w:rPr>
        <w:t xml:space="preserve">Strong Python or TypeScript, and the judgement to set direction across the function.</w:t>
      </w:r>
    </w:p>
    <w:p>
      <w:pPr>
        <w:pStyle w:val="ListParagraph"/>
        <w:numPr>
          <w:ilvl w:val="0"/>
          <w:numId w:val="2"/>
        </w:numPr>
        <w:spacing w:after="30" w:line="238"/>
      </w:pPr>
      <w:r>
        <w:rPr>
          <w:rFonts w:ascii="Arial" w:cs="Arial" w:eastAsia="Arial" w:hAnsi="Arial"/>
          <w:color w:val="1A1A1A"/>
          <w:sz w:val="19"/>
          <w:szCs w:val="19"/>
        </w:rPr>
        <w:t xml:space="preserve">Test architecture at scale, including having rebuilt a suite that had stopped being trusted.</w:t>
      </w:r>
    </w:p>
    <w:p>
      <w:pPr>
        <w:pStyle w:val="ListParagraph"/>
        <w:numPr>
          <w:ilvl w:val="0"/>
          <w:numId w:val="2"/>
        </w:numPr>
        <w:spacing w:after="30" w:line="238"/>
      </w:pPr>
      <w:r>
        <w:rPr>
          <w:rFonts w:ascii="Arial" w:cs="Arial" w:eastAsia="Arial" w:hAnsi="Arial"/>
          <w:color w:val="1A1A1A"/>
          <w:sz w:val="19"/>
          <w:szCs w:val="19"/>
        </w:rPr>
        <w:t xml:space="preserve">Kubernetes and CI/CD to the depth needed to operate test infrastructure at scale.</w:t>
      </w:r>
    </w:p>
    <w:p>
      <w:pPr>
        <w:pStyle w:val="Heading2"/>
        <w:spacing w:after="44" w:before="112"/>
      </w:pPr>
      <w:r>
        <w:rPr>
          <w:rFonts w:ascii="Arial" w:cs="Arial" w:eastAsia="Arial" w:hAnsi="Arial"/>
          <w:b/>
          <w:bCs/>
          <w:color w:val="E4002B"/>
          <w:sz w:val="19"/>
          <w:szCs w:val="19"/>
        </w:rPr>
        <w:t xml:space="preserve">Testing depth</w:t>
      </w:r>
    </w:p>
    <w:p>
      <w:pPr>
        <w:pStyle w:val="ListParagraph"/>
        <w:numPr>
          <w:ilvl w:val="0"/>
          <w:numId w:val="2"/>
        </w:numPr>
        <w:spacing w:after="30" w:line="238"/>
      </w:pPr>
      <w:r>
        <w:rPr>
          <w:rFonts w:ascii="Arial" w:cs="Arial" w:eastAsia="Arial" w:hAnsi="Arial"/>
          <w:color w:val="1A1A1A"/>
          <w:sz w:val="19"/>
          <w:szCs w:val="19"/>
        </w:rPr>
        <w:t xml:space="preserve">Platform-wide test strategy you have owned, defended and revised as the product changed.</w:t>
      </w:r>
    </w:p>
    <w:p>
      <w:pPr>
        <w:pStyle w:val="ListParagraph"/>
        <w:numPr>
          <w:ilvl w:val="0"/>
          <w:numId w:val="2"/>
        </w:numPr>
        <w:spacing w:after="30" w:line="238"/>
      </w:pPr>
      <w:r>
        <w:rPr>
          <w:rFonts w:ascii="Arial" w:cs="Arial" w:eastAsia="Arial" w:hAnsi="Arial"/>
          <w:color w:val="1A1A1A"/>
          <w:sz w:val="19"/>
          <w:szCs w:val="19"/>
        </w:rPr>
        <w:t xml:space="preserve">API, contract and integration testing across distributed services and third-party components.</w:t>
      </w:r>
    </w:p>
    <w:p>
      <w:pPr>
        <w:pStyle w:val="ListParagraph"/>
        <w:numPr>
          <w:ilvl w:val="0"/>
          <w:numId w:val="2"/>
        </w:numPr>
        <w:spacing w:after="30" w:line="238"/>
      </w:pPr>
      <w:r>
        <w:rPr>
          <w:rFonts w:ascii="Arial" w:cs="Arial" w:eastAsia="Arial" w:hAnsi="Arial"/>
          <w:color w:val="1A1A1A"/>
          <w:sz w:val="19"/>
          <w:szCs w:val="19"/>
        </w:rPr>
        <w:t xml:space="preserve">Non-functional testing as a programme, including resilience and upgrade paths in production-like conditions.</w:t>
      </w:r>
    </w:p>
    <w:p>
      <w:pPr>
        <w:pStyle w:val="ListParagraph"/>
        <w:numPr>
          <w:ilvl w:val="0"/>
          <w:numId w:val="2"/>
        </w:numPr>
        <w:spacing w:after="30" w:line="238"/>
      </w:pPr>
      <w:r>
        <w:rPr>
          <w:rFonts w:ascii="Arial" w:cs="Arial" w:eastAsia="Arial" w:hAnsi="Arial"/>
          <w:color w:val="1A1A1A"/>
          <w:sz w:val="19"/>
          <w:szCs w:val="19"/>
        </w:rPr>
        <w:t xml:space="preserve">Multi-tenant and entitlement testing at depth, including real isolation and quota failures you have found.</w:t>
      </w:r>
    </w:p>
    <w:p>
      <w:pPr>
        <w:pStyle w:val="ListParagraph"/>
        <w:numPr>
          <w:ilvl w:val="0"/>
          <w:numId w:val="2"/>
        </w:numPr>
        <w:spacing w:after="30" w:line="238"/>
      </w:pPr>
      <w:r>
        <w:rPr>
          <w:rFonts w:ascii="Arial" w:cs="Arial" w:eastAsia="Arial" w:hAnsi="Arial"/>
          <w:color w:val="1A1A1A"/>
          <w:sz w:val="19"/>
          <w:szCs w:val="19"/>
        </w:rPr>
        <w:t xml:space="preserve">A clear and defensible view of where deterministic testing ends and evaluation begins.</w:t>
      </w:r>
    </w:p>
    <w:p>
      <w:pPr>
        <w:pStyle w:val="Heading2"/>
        <w:spacing w:after="44" w:before="112"/>
      </w:pPr>
      <w:r>
        <w:rPr>
          <w:rFonts w:ascii="Arial" w:cs="Arial" w:eastAsia="Arial" w:hAnsi="Arial"/>
          <w:b/>
          <w:bCs/>
          <w:color w:val="E4002B"/>
          <w:sz w:val="19"/>
          <w:szCs w:val="19"/>
        </w:rPr>
        <w:t xml:space="preserve">Regulated-environment judgement</w:t>
      </w:r>
    </w:p>
    <w:p>
      <w:pPr>
        <w:pStyle w:val="ListParagraph"/>
        <w:numPr>
          <w:ilvl w:val="0"/>
          <w:numId w:val="2"/>
        </w:numPr>
        <w:spacing w:after="30" w:line="238"/>
      </w:pPr>
      <w:r>
        <w:rPr>
          <w:rFonts w:ascii="Arial" w:cs="Arial" w:eastAsia="Arial" w:hAnsi="Arial"/>
          <w:color w:val="1A1A1A"/>
          <w:sz w:val="19"/>
          <w:szCs w:val="19"/>
        </w:rPr>
        <w:t xml:space="preserve">Deep delivery experience inside regulated, audited or sovereign environments, and fluency in what auditors accept as evidence.</w:t>
      </w:r>
    </w:p>
    <w:p>
      <w:pPr>
        <w:pStyle w:val="ListParagraph"/>
        <w:numPr>
          <w:ilvl w:val="0"/>
          <w:numId w:val="2"/>
        </w:numPr>
        <w:spacing w:after="30" w:line="238"/>
      </w:pPr>
      <w:r>
        <w:rPr>
          <w:rFonts w:ascii="Arial" w:cs="Arial" w:eastAsia="Arial" w:hAnsi="Arial"/>
          <w:color w:val="1A1A1A"/>
          <w:sz w:val="19"/>
          <w:szCs w:val="19"/>
        </w:rPr>
        <w:t xml:space="preserve">Control frameworks — SOC 2, ISO/IEC 27001 or 42001, or sector equivalents — as things you have produced evidence against.</w:t>
      </w:r>
    </w:p>
    <w:p>
      <w:pPr>
        <w:pStyle w:val="ListParagraph"/>
        <w:numPr>
          <w:ilvl w:val="0"/>
          <w:numId w:val="2"/>
        </w:numPr>
        <w:spacing w:after="30" w:line="238"/>
      </w:pPr>
      <w:r>
        <w:rPr>
          <w:rFonts w:ascii="Arial" w:cs="Arial" w:eastAsia="Arial" w:hAnsi="Arial"/>
          <w:color w:val="1A1A1A"/>
          <w:sz w:val="19"/>
          <w:szCs w:val="19"/>
        </w:rPr>
        <w:t xml:space="preserve">The willingness to hold a release, the evidence to justify it, and the standing to make it stick.</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in real engineering work.</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Having led the test evidence workstream for a formal certification audit.</w:t>
      </w:r>
    </w:p>
    <w:p>
      <w:pPr>
        <w:pStyle w:val="ListParagraph"/>
        <w:numPr>
          <w:ilvl w:val="0"/>
          <w:numId w:val="2"/>
        </w:numPr>
        <w:spacing w:after="30" w:line="238"/>
      </w:pPr>
      <w:r>
        <w:rPr>
          <w:rFonts w:ascii="Arial" w:cs="Arial" w:eastAsia="Arial" w:hAnsi="Arial"/>
          <w:color w:val="1A1A1A"/>
          <w:sz w:val="19"/>
          <w:szCs w:val="19"/>
        </w:rPr>
        <w:t xml:space="preserve">Chaos or resilience engineering at scale.</w:t>
      </w:r>
    </w:p>
    <w:p>
      <w:pPr>
        <w:pStyle w:val="ListParagraph"/>
        <w:numPr>
          <w:ilvl w:val="0"/>
          <w:numId w:val="2"/>
        </w:numPr>
        <w:spacing w:after="30" w:line="238"/>
      </w:pPr>
      <w:r>
        <w:rPr>
          <w:rFonts w:ascii="Arial" w:cs="Arial" w:eastAsia="Arial" w:hAnsi="Arial"/>
          <w:color w:val="1A1A1A"/>
          <w:sz w:val="19"/>
          <w:szCs w:val="19"/>
        </w:rPr>
        <w:t xml:space="preserve">Ownership of a security or penetration-testing programme.</w:t>
      </w:r>
    </w:p>
    <w:p>
      <w:pPr>
        <w:pStyle w:val="ListParagraph"/>
        <w:numPr>
          <w:ilvl w:val="0"/>
          <w:numId w:val="2"/>
        </w:numPr>
        <w:spacing w:after="30" w:line="238"/>
      </w:pPr>
      <w:r>
        <w:rPr>
          <w:rFonts w:ascii="Arial" w:cs="Arial" w:eastAsia="Arial" w:hAnsi="Arial"/>
          <w:color w:val="1A1A1A"/>
          <w:sz w:val="19"/>
          <w:szCs w:val="19"/>
        </w:rPr>
        <w:t xml:space="preserve">Safety-critical QA background — aerospace, automotive or medical devices.</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Escaped defects trend down platform-wide, and escape analysis changes how the organisation builds.</w:t>
      </w:r>
    </w:p>
    <w:p>
      <w:pPr>
        <w:pStyle w:val="ListParagraph"/>
        <w:numPr>
          <w:ilvl w:val="0"/>
          <w:numId w:val="2"/>
        </w:numPr>
        <w:spacing w:after="30" w:line="238"/>
      </w:pPr>
      <w:r>
        <w:rPr>
          <w:rFonts w:ascii="Arial" w:cs="Arial" w:eastAsia="Arial" w:hAnsi="Arial"/>
          <w:color w:val="1A1A1A"/>
          <w:sz w:val="19"/>
          <w:szCs w:val="19"/>
        </w:rPr>
        <w:t xml:space="preserve">The release readiness standard is respected, and a hold is accepted rather than argued.</w:t>
      </w:r>
    </w:p>
    <w:p>
      <w:pPr>
        <w:pStyle w:val="ListParagraph"/>
        <w:numPr>
          <w:ilvl w:val="0"/>
          <w:numId w:val="2"/>
        </w:numPr>
        <w:spacing w:after="30" w:line="238"/>
      </w:pPr>
      <w:r>
        <w:rPr>
          <w:rFonts w:ascii="Arial" w:cs="Arial" w:eastAsia="Arial" w:hAnsi="Arial"/>
          <w:color w:val="1A1A1A"/>
          <w:sz w:val="19"/>
          <w:szCs w:val="19"/>
        </w:rPr>
        <w:t xml:space="preserve">Test evidence for certification is generated rather than assembled, and auditors accept it.</w:t>
      </w:r>
    </w:p>
    <w:p>
      <w:pPr>
        <w:pStyle w:val="ListParagraph"/>
        <w:numPr>
          <w:ilvl w:val="0"/>
          <w:numId w:val="2"/>
        </w:numPr>
        <w:spacing w:after="30" w:line="238"/>
      </w:pPr>
      <w:r>
        <w:rPr>
          <w:rFonts w:ascii="Arial" w:cs="Arial" w:eastAsia="Arial" w:hAnsi="Arial"/>
          <w:color w:val="1A1A1A"/>
          <w:sz w:val="19"/>
          <w:szCs w:val="19"/>
        </w:rPr>
        <w:t xml:space="preserve">The suite is fast and trusted enough that nobody proposes skipping it.</w:t>
      </w:r>
    </w:p>
    <w:p>
      <w:pPr>
        <w:pStyle w:val="ListParagraph"/>
        <w:numPr>
          <w:ilvl w:val="0"/>
          <w:numId w:val="2"/>
        </w:numPr>
        <w:spacing w:after="30" w:line="238"/>
      </w:pPr>
      <w:r>
        <w:rPr>
          <w:rFonts w:ascii="Arial" w:cs="Arial" w:eastAsia="Arial" w:hAnsi="Arial"/>
          <w:color w:val="1A1A1A"/>
          <w:sz w:val="19"/>
          <w:szCs w:val="19"/>
        </w:rPr>
        <w:t xml:space="preserve">The quality discipline has a direction, and you shaped it.</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80" w:line="242"/>
      </w:pPr>
      <w:r>
        <w:rPr>
          <w:rFonts w:ascii="Arial" w:cs="Arial" w:eastAsia="Arial" w:hAnsi="Arial"/>
          <w:color w:val="1A1A1A"/>
          <w:sz w:val="19"/>
          <w:szCs w:val="19"/>
        </w:rPr>
        <w:t xml:space="preserve">Python and TypeScript  ·  Test automation frameworks (pytest, Playwright or similar)  ·  API and contract testing  ·  Load, soak and resilience testing tooling  ·  Kubernetes  ·  CI/CD and release gating  ·  Test data and environment management  ·  Defect tracking and reporting  ·  Prometheus / Grafana / OpenTelemetry  ·  AWS  ·  Private and sovereign cloud  ·  AI-assisted development tooling (Claude Code, Kiro, Codex, GitHub Copilot)</w:t>
      </w:r>
    </w:p>
    <w:p>
      <w:pPr>
        <w:pStyle w:val="Heading1"/>
        <w:pBdr>
          <w:bottom w:val="single" w:color="E4002B" w:sz="8" w:space="4"/>
        </w:pBdr>
        <w:spacing w:after="70" w:before="170"/>
      </w:pPr>
      <w:r>
        <w:rPr>
          <w:rFonts w:ascii="Arial" w:cs="Arial" w:eastAsia="Arial" w:hAnsi="Arial"/>
          <w:b/>
          <w:bCs/>
          <w:color w:val="1A1A1A"/>
          <w:sz w:val="23"/>
          <w:szCs w:val="23"/>
        </w:rPr>
        <w:t xml:space="preserve">Career level and requirements</w:t>
      </w:r>
    </w:p>
    <w:p>
      <w:pPr>
        <w:spacing w:after="40" w:line="238"/>
      </w:pPr>
      <w:r>
        <w:rPr>
          <w:rFonts w:ascii="Arial" w:cs="Arial" w:eastAsia="Arial" w:hAnsi="Arial"/>
          <w:b/>
          <w:bCs/>
          <w:color w:val="1A1A1A"/>
          <w:sz w:val="19"/>
          <w:szCs w:val="19"/>
        </w:rPr>
        <w:t xml:space="preserve">Level: </w:t>
      </w:r>
      <w:r>
        <w:rPr>
          <w:rFonts w:ascii="Arial" w:cs="Arial" w:eastAsia="Arial" w:hAnsi="Arial"/>
          <w:color w:val="1A1A1A"/>
          <w:sz w:val="19"/>
          <w:szCs w:val="19"/>
        </w:rPr>
        <w:t xml:space="preserve">Level V — Shaping — influences the way work is done at Rackspace</w:t>
      </w:r>
    </w:p>
    <w:p>
      <w:pPr>
        <w:spacing w:after="40" w:line="238"/>
      </w:pPr>
      <w:r>
        <w:rPr>
          <w:rFonts w:ascii="Arial" w:cs="Arial" w:eastAsia="Arial" w:hAnsi="Arial"/>
          <w:b/>
          <w:bCs/>
          <w:color w:val="1A1A1A"/>
          <w:sz w:val="19"/>
          <w:szCs w:val="19"/>
        </w:rPr>
        <w:t xml:space="preserve">Career level: </w:t>
      </w:r>
      <w:r>
        <w:rPr>
          <w:rFonts w:ascii="Arial" w:cs="Arial" w:eastAsia="Arial" w:hAnsi="Arial"/>
          <w:color w:val="1A1A1A"/>
          <w:sz w:val="19"/>
          <w:szCs w:val="19"/>
        </w:rPr>
        <w:t xml:space="preserve">Recognised as an expert within the company, with broad knowledge of other disciplines in the function. Solves unique problems with broad business impact and contributes to sub-function strategy. Progression is restricted on the basis of business requirements.</w:t>
      </w:r>
    </w:p>
    <w:p>
      <w:pPr>
        <w:spacing w:after="40" w:line="238"/>
      </w:pPr>
      <w:r>
        <w:rPr>
          <w:rFonts w:ascii="Arial" w:cs="Arial" w:eastAsia="Arial" w:hAnsi="Arial"/>
          <w:b/>
          <w:bCs/>
          <w:color w:val="1A1A1A"/>
          <w:sz w:val="19"/>
          <w:szCs w:val="19"/>
        </w:rPr>
        <w:t xml:space="preserve">Experience: </w:t>
      </w:r>
      <w:r>
        <w:rPr>
          <w:rFonts w:ascii="Arial" w:cs="Arial" w:eastAsia="Arial" w:hAnsi="Arial"/>
          <w:color w:val="1A1A1A"/>
          <w:sz w:val="19"/>
          <w:szCs w:val="19"/>
        </w:rPr>
        <w:t xml:space="preserve">12 – 14 years in quality or software engineering, including at least 2 years testing AI-backed features.</w:t>
      </w:r>
    </w:p>
    <w:p>
      <w:pPr>
        <w:spacing w:after="40" w:line="238"/>
      </w:pPr>
      <w:r>
        <w:rPr>
          <w:rFonts w:ascii="Arial" w:cs="Arial" w:eastAsia="Arial" w:hAnsi="Arial"/>
          <w:b/>
          <w:bCs/>
          <w:color w:val="1A1A1A"/>
          <w:sz w:val="19"/>
          <w:szCs w:val="19"/>
        </w:rPr>
        <w:t xml:space="preserve">Education: </w:t>
      </w:r>
      <w:r>
        <w:rPr>
          <w:rFonts w:ascii="Arial" w:cs="Arial" w:eastAsia="Arial" w:hAnsi="Arial"/>
          <w:color w:val="1A1A1A"/>
          <w:sz w:val="19"/>
          <w:szCs w:val="19"/>
        </w:rPr>
        <w:t xml:space="preserve">Bachelor's Degree preferred in a field related to the role; additional relevant experience may substitute at the manager's discretion.</w:t>
      </w:r>
    </w:p>
    <w:p>
      <w:pPr>
        <w:spacing w:after="40" w:line="238"/>
      </w:pPr>
      <w:r>
        <w:rPr>
          <w:rFonts w:ascii="Arial" w:cs="Arial" w:eastAsia="Arial" w:hAnsi="Arial"/>
          <w:b/>
          <w:bCs/>
          <w:color w:val="1A1A1A"/>
          <w:sz w:val="19"/>
          <w:szCs w:val="19"/>
        </w:rPr>
        <w:t xml:space="preserve">Working pattern: </w:t>
      </w:r>
      <w:r>
        <w:rPr>
          <w:rFonts w:ascii="Arial" w:cs="Arial" w:eastAsia="Arial" w:hAnsi="Arial"/>
          <w:color w:val="1A1A1A"/>
          <w:sz w:val="19"/>
          <w:szCs w:val="19"/>
        </w:rPr>
        <w:t xml:space="preserve">Shift, on-call or alternative schedule may apply. No travel required.</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553297-7EB8-47A7-8635-60E05985CC8F}"/>
</file>

<file path=customXml/itemProps2.xml><?xml version="1.0" encoding="utf-8"?>
<ds:datastoreItem xmlns:ds="http://schemas.openxmlformats.org/officeDocument/2006/customXml" ds:itemID="{349109FD-0474-4EB0-9A97-22C351AC1701}"/>
</file>

<file path=customXml/itemProps3.xml><?xml version="1.0" encoding="utf-8"?>
<ds:datastoreItem xmlns:ds="http://schemas.openxmlformats.org/officeDocument/2006/customXml" ds:itemID="{543FE99D-D92C-4A30-8CE2-C86E7633133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Engineer V — RackAI</dc:title>
  <dc:creator>Rackspace Technology</dc:creator>
  <cp:lastModifiedBy>Un-named</cp:lastModifiedBy>
  <cp:revision>1</cp:revision>
  <dcterms:created xsi:type="dcterms:W3CDTF">2026-09-15T00:25:45Z</dcterms:created>
  <dcterms:modified xsi:type="dcterms:W3CDTF">2026-09-15T00:25:45Z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