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w:t>
            </w:r>
          </w:p>
        </w:tc>
      </w:tr>
    </w:tbl>
    <w:p>
      <w:pPr>
        <w:spacing w:after="40" w:before="240"/>
      </w:pPr>
      <w:r>
        <w:rPr>
          <w:rFonts w:ascii="Arial" w:cs="Arial" w:eastAsia="Arial" w:hAnsi="Arial"/>
          <w:b/>
          <w:bCs/>
          <w:color w:val="1A1A1A"/>
          <w:sz w:val="36"/>
          <w:szCs w:val="36"/>
        </w:rPr>
        <w:t xml:space="preserve">Chief Architect, AI Orchestration</w:t>
      </w:r>
    </w:p>
    <w:p>
      <w:pPr>
        <w:pBdr>
          <w:bottom w:val="single" w:color="D9D9D9" w:sz="6" w:space="6"/>
        </w:pBdr>
        <w:spacing w:after="200"/>
      </w:pPr>
      <w:r>
        <w:rPr>
          <w:rFonts w:ascii="Arial" w:cs="Arial" w:eastAsia="Arial" w:hAnsi="Arial"/>
          <w:color w:val="595959"/>
          <w:sz w:val="17"/>
          <w:szCs w:val="17"/>
        </w:rPr>
        <w:t xml:space="preserve">Principal Architecture  ·  Remote / Hybrid</w:t>
      </w:r>
    </w:p>
    <w:p>
      <w:pPr>
        <w:pStyle w:val="Heading1"/>
        <w:pBdr>
          <w:bottom w:val="single" w:color="E4002B" w:sz="8" w:space="4"/>
        </w:pBdr>
        <w:spacing w:after="75" w:before="190"/>
      </w:pPr>
      <w:r>
        <w:rPr>
          <w:rFonts w:ascii="Arial" w:cs="Arial" w:eastAsia="Arial" w:hAnsi="Arial"/>
          <w:b/>
          <w:bCs/>
          <w:color w:val="1A1A1A"/>
          <w:sz w:val="23"/>
          <w:szCs w:val="23"/>
        </w:rPr>
        <w:t xml:space="preserve">The opportunity</w:t>
      </w:r>
    </w:p>
    <w:p>
      <w:pPr>
        <w:spacing w:after="90" w:line="250"/>
      </w:pPr>
      <w:r>
        <w:rPr>
          <w:rFonts w:ascii="Arial" w:cs="Arial" w:eastAsia="Arial" w:hAnsi="Arial"/>
          <w:color w:val="1A1A1A"/>
          <w:sz w:val="19"/>
          <w:szCs w:val="19"/>
        </w:rPr>
        <w:t xml:space="preserve">RackAI is Rackspace's managed AI inference platform. An enterprise does not run one AI agent system; it runs many — one for coding, one per domain, each with its own tools, context and policy. Something has to decide which of them handles a given task, on which model, at what cost, and when to involve a person instead. That is orchestration.</w:t>
      </w:r>
    </w:p>
    <w:p>
      <w:pPr>
        <w:spacing w:after="90" w:line="250"/>
      </w:pPr>
      <w:r>
        <w:rPr>
          <w:rFonts w:ascii="Arial" w:cs="Arial" w:eastAsia="Arial" w:hAnsi="Arial"/>
          <w:color w:val="1A1A1A"/>
          <w:sz w:val="19"/>
          <w:szCs w:val="19"/>
        </w:rPr>
        <w:t xml:space="preserve">Deciding what runs where is where enterprise AI economics are won, and very few organizations are doing it on evidence. Always reaching for the strongest model is wasteful; always reaching for the cheapest is risky. Getting that choice right, across a whole workload rather than one step, is the difference between an AI platform that pays for itself and one that does not.</w:t>
      </w:r>
    </w:p>
    <w:p>
      <w:pPr>
        <w:spacing w:after="90" w:line="250"/>
      </w:pPr>
      <w:r>
        <w:rPr>
          <w:rFonts w:ascii="Arial" w:cs="Arial" w:eastAsia="Arial" w:hAnsi="Arial"/>
          <w:color w:val="1A1A1A"/>
          <w:sz w:val="19"/>
          <w:szCs w:val="19"/>
        </w:rPr>
        <w:t xml:space="preserve">As Chief Architect, AI Orchestration you own that decision layer — the design and the delivery. Architecture here is accountable rather than advisory: you own the decisions, you build against them, and you live with the consequences in production.</w:t>
      </w:r>
    </w:p>
    <w:p>
      <w:pPr>
        <w:pStyle w:val="Heading1"/>
        <w:pBdr>
          <w:bottom w:val="single" w:color="E4002B" w:sz="8" w:space="4"/>
        </w:pBdr>
        <w:spacing w:after="75" w:before="190"/>
      </w:pPr>
      <w:r>
        <w:rPr>
          <w:rFonts w:ascii="Arial" w:cs="Arial" w:eastAsia="Arial" w:hAnsi="Arial"/>
          <w:b/>
          <w:bCs/>
          <w:color w:val="1A1A1A"/>
          <w:sz w:val="23"/>
          <w:szCs w:val="23"/>
        </w:rPr>
        <w:t xml:space="preserve">What you'll do</w:t>
      </w:r>
    </w:p>
    <w:p>
      <w:pPr>
        <w:pStyle w:val="ListParagraph"/>
        <w:numPr>
          <w:ilvl w:val="0"/>
          <w:numId w:val="2"/>
        </w:numPr>
        <w:spacing w:after="45" w:line="245"/>
      </w:pPr>
      <w:r>
        <w:rPr>
          <w:rFonts w:ascii="Arial" w:cs="Arial" w:eastAsia="Arial" w:hAnsi="Arial"/>
          <w:color w:val="1A1A1A"/>
          <w:sz w:val="19"/>
          <w:szCs w:val="19"/>
        </w:rPr>
        <w:t xml:space="preserve">Own the design of the orchestration layer that runs work across many agent systems, models and people.</w:t>
      </w:r>
    </w:p>
    <w:p>
      <w:pPr>
        <w:pStyle w:val="ListParagraph"/>
        <w:numPr>
          <w:ilvl w:val="0"/>
          <w:numId w:val="2"/>
        </w:numPr>
        <w:spacing w:after="45" w:line="245"/>
      </w:pPr>
      <w:r>
        <w:rPr>
          <w:rFonts w:ascii="Arial" w:cs="Arial" w:eastAsia="Arial" w:hAnsi="Arial"/>
          <w:color w:val="1A1A1A"/>
          <w:sz w:val="19"/>
          <w:szCs w:val="19"/>
        </w:rPr>
        <w:t xml:space="preserve">Own the routing model: pick the cheapest executor that clears a required reliability bar, from measured cost and reliability rather than static rules.</w:t>
      </w:r>
    </w:p>
    <w:p>
      <w:pPr>
        <w:pStyle w:val="ListParagraph"/>
        <w:numPr>
          <w:ilvl w:val="0"/>
          <w:numId w:val="2"/>
        </w:numPr>
        <w:spacing w:after="45" w:line="245"/>
      </w:pPr>
      <w:r>
        <w:rPr>
          <w:rFonts w:ascii="Arial" w:cs="Arial" w:eastAsia="Arial" w:hAnsi="Arial"/>
          <w:color w:val="1A1A1A"/>
          <w:sz w:val="19"/>
          <w:szCs w:val="19"/>
        </w:rPr>
        <w:t xml:space="preserve">Own task planning and decomposition — how work is broken up, one agent or several, when to verify and when to stop.</w:t>
      </w:r>
    </w:p>
    <w:p>
      <w:pPr>
        <w:pStyle w:val="ListParagraph"/>
        <w:numPr>
          <w:ilvl w:val="0"/>
          <w:numId w:val="2"/>
        </w:numPr>
        <w:spacing w:after="45" w:line="245"/>
      </w:pPr>
      <w:r>
        <w:rPr>
          <w:rFonts w:ascii="Arial" w:cs="Arial" w:eastAsia="Arial" w:hAnsi="Arial"/>
          <w:color w:val="1A1A1A"/>
          <w:sz w:val="19"/>
          <w:szCs w:val="19"/>
        </w:rPr>
        <w:t xml:space="preserve">Own placement between edge and core under latency and data-residency constraints.</w:t>
      </w:r>
    </w:p>
    <w:p>
      <w:pPr>
        <w:pStyle w:val="ListParagraph"/>
        <w:numPr>
          <w:ilvl w:val="0"/>
          <w:numId w:val="2"/>
        </w:numPr>
        <w:spacing w:after="45" w:line="245"/>
      </w:pPr>
      <w:r>
        <w:rPr>
          <w:rFonts w:ascii="Arial" w:cs="Arial" w:eastAsia="Arial" w:hAnsi="Arial"/>
          <w:color w:val="1A1A1A"/>
          <w:sz w:val="19"/>
          <w:szCs w:val="19"/>
        </w:rPr>
        <w:t xml:space="preserve">Build the orchestration layer, not only its design — you are accountable for it running in production.</w:t>
      </w:r>
    </w:p>
    <w:p>
      <w:pPr>
        <w:pStyle w:val="ListParagraph"/>
        <w:numPr>
          <w:ilvl w:val="0"/>
          <w:numId w:val="2"/>
        </w:numPr>
        <w:spacing w:after="45" w:line="245"/>
      </w:pPr>
      <w:r>
        <w:rPr>
          <w:rFonts w:ascii="Arial" w:cs="Arial" w:eastAsia="Arial" w:hAnsi="Arial"/>
          <w:color w:val="1A1A1A"/>
          <w:sz w:val="19"/>
          <w:szCs w:val="19"/>
        </w:rPr>
        <w:t xml:space="preserve">Own the build-versus-buy line across a workload: when a tuned small model beats renting a frontier one, kept current as models and prices change.</w:t>
      </w:r>
    </w:p>
    <w:p>
      <w:pPr>
        <w:pStyle w:val="Heading1"/>
        <w:pBdr>
          <w:bottom w:val="single" w:color="E4002B" w:sz="8" w:space="4"/>
        </w:pBdr>
        <w:spacing w:after="75" w:before="190"/>
      </w:pPr>
      <w:r>
        <w:rPr>
          <w:rFonts w:ascii="Arial" w:cs="Arial" w:eastAsia="Arial" w:hAnsi="Arial"/>
          <w:b/>
          <w:bCs/>
          <w:color w:val="1A1A1A"/>
          <w:sz w:val="23"/>
          <w:szCs w:val="23"/>
        </w:rPr>
        <w:t xml:space="preserve">What you'll bring</w:t>
      </w:r>
    </w:p>
    <w:p>
      <w:pPr>
        <w:pStyle w:val="ListParagraph"/>
        <w:numPr>
          <w:ilvl w:val="0"/>
          <w:numId w:val="2"/>
        </w:numPr>
        <w:spacing w:after="45" w:line="245"/>
      </w:pPr>
      <w:r>
        <w:rPr>
          <w:rFonts w:ascii="Arial" w:cs="Arial" w:eastAsia="Arial" w:hAnsi="Arial"/>
          <w:color w:val="1A1A1A"/>
          <w:sz w:val="19"/>
          <w:szCs w:val="19"/>
        </w:rPr>
        <w:t xml:space="preserve">Fifteen or more years in software engineering, with significant time as a principal architect owning production systems at enterprise scale, and three or more years architecting LLM-based systems with recent hands-on agentic work.</w:t>
      </w:r>
    </w:p>
    <w:p>
      <w:pPr>
        <w:pStyle w:val="ListParagraph"/>
        <w:numPr>
          <w:ilvl w:val="0"/>
          <w:numId w:val="2"/>
        </w:numPr>
        <w:spacing w:after="45" w:line="245"/>
      </w:pPr>
      <w:r>
        <w:rPr>
          <w:rFonts w:ascii="Arial" w:cs="Arial" w:eastAsia="Arial" w:hAnsi="Arial"/>
          <w:color w:val="1A1A1A"/>
          <w:sz w:val="19"/>
          <w:szCs w:val="19"/>
        </w:rPr>
        <w:t xml:space="preserve">A track record designing platforms others build on, and the willingness to build as well as design.</w:t>
      </w:r>
    </w:p>
    <w:p>
      <w:pPr>
        <w:pStyle w:val="ListParagraph"/>
        <w:numPr>
          <w:ilvl w:val="0"/>
          <w:numId w:val="2"/>
        </w:numPr>
        <w:spacing w:after="45" w:line="245"/>
      </w:pPr>
      <w:r>
        <w:rPr>
          <w:rFonts w:ascii="Arial" w:cs="Arial" w:eastAsia="Arial" w:hAnsi="Arial"/>
          <w:color w:val="1A1A1A"/>
          <w:sz w:val="19"/>
          <w:szCs w:val="19"/>
        </w:rPr>
        <w:t xml:space="preserve">Distributed systems, multi-tenant platform and API design depth, with strong Go or Python.</w:t>
      </w:r>
    </w:p>
    <w:p>
      <w:pPr>
        <w:pStyle w:val="ListParagraph"/>
        <w:numPr>
          <w:ilvl w:val="0"/>
          <w:numId w:val="2"/>
        </w:numPr>
        <w:spacing w:after="45" w:line="245"/>
      </w:pPr>
      <w:r>
        <w:rPr>
          <w:rFonts w:ascii="Arial" w:cs="Arial" w:eastAsia="Arial" w:hAnsi="Arial"/>
          <w:color w:val="1A1A1A"/>
          <w:sz w:val="19"/>
          <w:szCs w:val="19"/>
        </w:rPr>
        <w:t xml:space="preserve">Hands-on understanding of agentic systems: multi-step loops, tool use, context assembly and memory.</w:t>
      </w:r>
    </w:p>
    <w:p>
      <w:pPr>
        <w:pStyle w:val="ListParagraph"/>
        <w:numPr>
          <w:ilvl w:val="0"/>
          <w:numId w:val="2"/>
        </w:numPr>
        <w:spacing w:after="45" w:line="245"/>
      </w:pPr>
      <w:r>
        <w:rPr>
          <w:rFonts w:ascii="Arial" w:cs="Arial" w:eastAsia="Arial" w:hAnsi="Arial"/>
          <w:color w:val="1A1A1A"/>
          <w:sz w:val="19"/>
          <w:szCs w:val="19"/>
        </w:rPr>
        <w:t xml:space="preserve">Routing, scheduling or workload-placement design, where cost and reliability trade-offs are made from measurement rather than heuristics.</w:t>
      </w:r>
    </w:p>
    <w:p>
      <w:pPr>
        <w:pStyle w:val="ListParagraph"/>
        <w:numPr>
          <w:ilvl w:val="0"/>
          <w:numId w:val="2"/>
        </w:numPr>
        <w:spacing w:after="45" w:line="245"/>
      </w:pPr>
      <w:r>
        <w:rPr>
          <w:rFonts w:ascii="Arial" w:cs="Arial" w:eastAsia="Arial" w:hAnsi="Arial"/>
          <w:color w:val="1A1A1A"/>
          <w:sz w:val="19"/>
          <w:szCs w:val="19"/>
        </w:rPr>
        <w:t xml:space="preserve">Fluency in unit economics as an architectural constraint, and delivery inside regulated or sovereign environments.</w:t>
      </w:r>
    </w:p>
    <w:p>
      <w:pPr>
        <w:pStyle w:val="Heading1"/>
        <w:pBdr>
          <w:bottom w:val="single" w:color="E4002B" w:sz="8" w:space="4"/>
        </w:pBdr>
        <w:spacing w:after="75" w:before="190"/>
      </w:pPr>
      <w:r>
        <w:rPr>
          <w:rFonts w:ascii="Arial" w:cs="Arial" w:eastAsia="Arial" w:hAnsi="Arial"/>
          <w:b/>
          <w:bCs/>
          <w:color w:val="1A1A1A"/>
          <w:sz w:val="23"/>
          <w:szCs w:val="23"/>
        </w:rPr>
        <w:t xml:space="preserve">Nice to have</w:t>
      </w:r>
    </w:p>
    <w:p>
      <w:pPr>
        <w:pStyle w:val="ListParagraph"/>
        <w:numPr>
          <w:ilvl w:val="0"/>
          <w:numId w:val="2"/>
        </w:numPr>
        <w:spacing w:after="45" w:line="245"/>
      </w:pPr>
      <w:r>
        <w:rPr>
          <w:rFonts w:ascii="Arial" w:cs="Arial" w:eastAsia="Arial" w:hAnsi="Arial"/>
          <w:color w:val="1A1A1A"/>
          <w:sz w:val="19"/>
          <w:szCs w:val="19"/>
        </w:rPr>
        <w:t xml:space="preserve">Scheduling, placement or capacity-optimization systems at scale.</w:t>
      </w:r>
    </w:p>
    <w:p>
      <w:pPr>
        <w:pStyle w:val="ListParagraph"/>
        <w:numPr>
          <w:ilvl w:val="0"/>
          <w:numId w:val="2"/>
        </w:numPr>
        <w:spacing w:after="45" w:line="245"/>
      </w:pPr>
      <w:r>
        <w:rPr>
          <w:rFonts w:ascii="Arial" w:cs="Arial" w:eastAsia="Arial" w:hAnsi="Arial"/>
          <w:color w:val="1A1A1A"/>
          <w:sz w:val="19"/>
          <w:szCs w:val="19"/>
        </w:rPr>
        <w:t xml:space="preserve">Learned or adaptive optimization in production rather than in research.</w:t>
      </w:r>
    </w:p>
    <w:p>
      <w:pPr>
        <w:pStyle w:val="ListParagraph"/>
        <w:numPr>
          <w:ilvl w:val="0"/>
          <w:numId w:val="2"/>
        </w:numPr>
        <w:spacing w:after="45" w:line="245"/>
      </w:pPr>
      <w:r>
        <w:rPr>
          <w:rFonts w:ascii="Arial" w:cs="Arial" w:eastAsia="Arial" w:hAnsi="Arial"/>
          <w:color w:val="1A1A1A"/>
          <w:sz w:val="19"/>
          <w:szCs w:val="19"/>
        </w:rPr>
        <w:t xml:space="preserve">Published or spoken work on agentic or AI platform architecture.</w:t>
      </w:r>
    </w:p>
    <w:p>
      <w:pPr>
        <w:pStyle w:val="Heading1"/>
        <w:pBdr>
          <w:bottom w:val="single" w:color="E4002B" w:sz="8" w:space="4"/>
        </w:pBdr>
        <w:spacing w:after="75" w:before="190"/>
      </w:pPr>
      <w:r>
        <w:rPr>
          <w:rFonts w:ascii="Arial" w:cs="Arial" w:eastAsia="Arial" w:hAnsi="Arial"/>
          <w:b/>
          <w:bCs/>
          <w:color w:val="1A1A1A"/>
          <w:sz w:val="23"/>
          <w:szCs w:val="23"/>
        </w:rPr>
        <w:t xml:space="preserve">Compensation and benefits</w:t>
      </w:r>
    </w:p>
    <w:p>
      <w:pPr>
        <w:shd w:fill="FDF0F3" w:val="clear"/>
        <w:spacing w:after="90" w:line="250"/>
      </w:pPr>
      <w:r>
        <w:rPr>
          <w:rFonts w:ascii="Arial" w:cs="Arial" w:eastAsia="Arial" w:hAnsi="Arial"/>
          <w:b/>
          <w:bCs/>
          <w:color w:val="B03060"/>
          <w:sz w:val="19"/>
          <w:szCs w:val="19"/>
        </w:rPr>
        <w:t xml:space="preserve">[ COMPENSATION RANGE — </w:t>
      </w:r>
      <w:r>
        <w:rPr>
          <w:rFonts w:ascii="Arial" w:cs="Arial" w:eastAsia="Arial" w:hAnsi="Arial"/>
          <w:i/>
          <w:iCs/>
          <w:color w:val="B03060"/>
          <w:sz w:val="19"/>
          <w:szCs w:val="19"/>
        </w:rPr>
        <w:t xml:space="preserve">insert the approved geographic pay-range statement for this grade, plus the incentive, equity and ESPP wording and the benefits link ]</w:t>
      </w:r>
    </w:p>
    <w:p>
      <w:pPr>
        <w:pStyle w:val="Heading1"/>
        <w:pBdr>
          <w:bottom w:val="single" w:color="E4002B" w:sz="8" w:space="4"/>
        </w:pBdr>
        <w:spacing w:after="75" w:before="190"/>
      </w:pPr>
      <w:r>
        <w:rPr>
          <w:rFonts w:ascii="Arial" w:cs="Arial" w:eastAsia="Arial" w:hAnsi="Arial"/>
          <w:b/>
          <w:bCs/>
          <w:color w:val="1A1A1A"/>
          <w:sz w:val="23"/>
          <w:szCs w:val="23"/>
        </w:rPr>
        <w:t xml:space="preserve">About Rackspace Technology</w:t>
      </w:r>
    </w:p>
    <w:p>
      <w:pPr>
        <w:spacing w:after="90" w:line="250"/>
      </w:pPr>
      <w:r>
        <w:rPr>
          <w:rFonts w:ascii="Arial" w:cs="Arial" w:eastAsia="Arial" w:hAnsi="Arial"/>
          <w:color w:val="1A1A1A"/>
          <w:sz w:val="19"/>
          <w:szCs w:val="19"/>
        </w:rPr>
        <w:t xml:space="preserve">We are the multicloud solutions experts. We combine our expertise with the world’s leading technologies — across applications, data and security — to deliver end-to-end solutions. We have a proven record of advising customers based on their business challenges, designing solutions that scale, building and managing those solutions, and optimizing returns into the future. Named a best place to work, year after year according to Fortune, Forbes and Glassdoor, we attract and develop world-class talent. Join us on our mission to embrace technology, empower customers and deliver the future.</w:t>
      </w:r>
    </w:p>
    <w:p>
      <w:pPr>
        <w:pStyle w:val="Heading1"/>
        <w:pBdr>
          <w:bottom w:val="single" w:color="E4002B" w:sz="8" w:space="4"/>
        </w:pBdr>
        <w:spacing w:after="75" w:before="190"/>
      </w:pPr>
      <w:r>
        <w:rPr>
          <w:rFonts w:ascii="Arial" w:cs="Arial" w:eastAsia="Arial" w:hAnsi="Arial"/>
          <w:b/>
          <w:bCs/>
          <w:color w:val="1A1A1A"/>
          <w:sz w:val="23"/>
          <w:szCs w:val="23"/>
        </w:rPr>
        <w:t xml:space="preserve">More on Rackspace Technology</w:t>
      </w:r>
    </w:p>
    <w:p>
      <w:pPr>
        <w:spacing w:after="90" w:line="250"/>
      </w:pPr>
      <w:r>
        <w:rPr>
          <w:rFonts w:ascii="Arial" w:cs="Arial" w:eastAsia="Arial" w:hAnsi="Arial"/>
          <w:color w:val="1A1A1A"/>
          <w:sz w:val="19"/>
          <w:szCs w:val="19"/>
        </w:rPr>
        <w:t xml:space="preserve">Though we’re all different, Rackers thrive through our connection to a central goal: to be a valued member of a winning team on an inspiring mission. We bring our whole selves to work every day. And we embrace the notion that unique perspectives fuel innovation and enable us to best serve our customers and communities around the globe. We welcome you to apply today and want you to know that we are committed to offering equal employment opportunity without regard to age, color, disability, gender reassignment or identity or expression, genetic information, marital or civil partner status, pregnancy or maternity status, military or veteran status, nationality, ethnic or national origin, race, religion or belief, sexual orientation, or any legally protected characteristic. If you have a disability or special need that requires accommodation, please let us know.</w:t>
      </w:r>
    </w:p>
    <w:p>
      <w:pPr>
        <w:spacing w:after="0" w:line="250"/>
      </w:pPr>
      <w:r>
        <w:rPr>
          <w:rFonts w:ascii="Arial" w:cs="Arial" w:eastAsia="Arial" w:hAnsi="Arial"/>
          <w:color w:val="1A1A1A"/>
          <w:sz w:val="19"/>
          <w:szCs w:val="19"/>
        </w:rPr>
        <w:t xml:space="preserve">#LI-[recruiter tag]</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rackspace.com/careers</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4F7ABA-0C10-499D-AD97-4C86C0CF75B5}"/>
</file>

<file path=customXml/itemProps2.xml><?xml version="1.0" encoding="utf-8"?>
<ds:datastoreItem xmlns:ds="http://schemas.openxmlformats.org/officeDocument/2006/customXml" ds:itemID="{F1C67936-F92B-4F75-997A-55838832BA6D}"/>
</file>

<file path=customXml/itemProps3.xml><?xml version="1.0" encoding="utf-8"?>
<ds:datastoreItem xmlns:ds="http://schemas.openxmlformats.org/officeDocument/2006/customXml" ds:itemID="{BBF703CB-4F79-4333-8838-40E830B75B1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Chief Architect, AI Orchestration — Rackspace Technology</dc:title>
  <dc:creator>Rackspace Technology</dc:creator>
  <cp:lastModifiedBy>Un-named</cp:lastModifiedBy>
  <cp:revision>1</cp:revision>
  <dcterms:created xsi:type="dcterms:W3CDTF">2026-09-15T00:18:27Z</dcterms:created>
  <dcterms:modified xsi:type="dcterms:W3CDTF">2026-09-15T00:18:27Z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