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AI Assurance Engineer III</w:t>
      </w:r>
    </w:p>
    <w:p>
      <w:pPr>
        <w:spacing w:after="30"/>
      </w:pPr>
      <w:r>
        <w:rPr>
          <w:rFonts w:ascii="Arial" w:cs="Arial" w:eastAsia="Arial" w:hAnsi="Arial"/>
          <w:b/>
          <w:bCs/>
          <w:caps/>
          <w:color w:val="E4002B"/>
          <w:sz w:val="20"/>
          <w:szCs w:val="20"/>
        </w:rPr>
        <w:t xml:space="preserve">AI Assurance Engineering  ·  Evaluation, Verification and Release Gating</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Selling that to a regulated buyer means proving, on demand, that the system does what we say it does — and proving anything about a non-deterministic system is a hard engineering problem in its own right. AI Assurance Engineers build that proof.</w:t>
      </w:r>
    </w:p>
    <w:p>
      <w:pPr>
        <w:spacing w:after="80" w:line="242"/>
      </w:pPr>
      <w:r>
        <w:rPr>
          <w:rFonts w:ascii="Arial" w:cs="Arial" w:eastAsia="Arial" w:hAnsi="Arial"/>
          <w:color w:val="1A1A1A"/>
          <w:sz w:val="19"/>
          <w:szCs w:val="19"/>
        </w:rPr>
        <w:t xml:space="preserve">As an AI Assurance Engineer III you will own significant parts of the platform's evaluation and verification capability end to end, solve complex measurement problems independently, and act as a resource for less experienced engineers.</w:t>
      </w:r>
    </w:p>
    <w:p>
      <w:pPr>
        <w:spacing w:after="80" w:line="242"/>
      </w:pPr>
      <w:r>
        <w:rPr>
          <w:rFonts w:ascii="Arial" w:cs="Arial" w:eastAsia="Arial" w:hAnsi="Arial"/>
          <w:color w:val="1A1A1A"/>
          <w:sz w:val="19"/>
          <w:szCs w:val="19"/>
        </w:rPr>
        <w:t xml:space="preserve">You will work alongside a Principal Engineer who builds the evaluation framework as a platform capability and AI Governance Engineers who build the controls. Your half is the measurement: deciding what good enough to ship means, and making it enforceable.</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Evaluation has become the bottleneck on enterprise AI, and engineers who can do it rigorously are scarce.</w:t>
      </w:r>
    </w:p>
    <w:p>
      <w:pPr>
        <w:spacing w:after="80" w:line="242"/>
      </w:pPr>
      <w:r>
        <w:rPr>
          <w:rFonts w:ascii="Arial" w:cs="Arial" w:eastAsia="Arial" w:hAnsi="Arial"/>
          <w:color w:val="1A1A1A"/>
          <w:sz w:val="19"/>
          <w:szCs w:val="19"/>
        </w:rPr>
        <w:t xml:space="preserve">Anyone can demo a model. Very few organisations can say, with evidence a regulator or a sceptical customer would accept, that a change to a model or a prompt did not break anything — and under frameworks like ISO/IEC 42001 and the EU AI Act, that evidence is becoming a requirement rather than good practice. The measurement built here decides what ships, and records where each model is reliable and what it costs from real operating data rather than public benchmarks.</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build the measurement discipline for a platform rather than test someone else's, this is an unusually good version of it.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Own evaluation and verification</w:t>
      </w:r>
    </w:p>
    <w:p>
      <w:pPr>
        <w:pStyle w:val="ListParagraph"/>
        <w:numPr>
          <w:ilvl w:val="0"/>
          <w:numId w:val="2"/>
        </w:numPr>
        <w:spacing w:after="30" w:line="238"/>
      </w:pPr>
      <w:r>
        <w:rPr>
          <w:rFonts w:ascii="Arial" w:cs="Arial" w:eastAsia="Arial" w:hAnsi="Arial"/>
          <w:color w:val="1A1A1A"/>
          <w:sz w:val="19"/>
          <w:szCs w:val="19"/>
        </w:rPr>
        <w:t xml:space="preserve">Own the evaluation approach for significant workloads: what gets measured, with which checks, and how much measurement is enough to trust a result.</w:t>
      </w:r>
    </w:p>
    <w:p>
      <w:pPr>
        <w:pStyle w:val="ListParagraph"/>
        <w:numPr>
          <w:ilvl w:val="0"/>
          <w:numId w:val="2"/>
        </w:numPr>
        <w:spacing w:after="30" w:line="238"/>
      </w:pPr>
      <w:r>
        <w:rPr>
          <w:rFonts w:ascii="Arial" w:cs="Arial" w:eastAsia="Arial" w:hAnsi="Arial"/>
          <w:color w:val="1A1A1A"/>
          <w:sz w:val="19"/>
          <w:szCs w:val="19"/>
        </w:rPr>
        <w:t xml:space="preserve">Build verification that checks the steps of a run rather than only its output — deterministic checks where the task allows, calibrated confidence and human escalation where it does not.</w:t>
      </w:r>
    </w:p>
    <w:p>
      <w:pPr>
        <w:pStyle w:val="ListParagraph"/>
        <w:numPr>
          <w:ilvl w:val="0"/>
          <w:numId w:val="2"/>
        </w:numPr>
        <w:spacing w:after="30" w:line="238"/>
      </w:pPr>
      <w:r>
        <w:rPr>
          <w:rFonts w:ascii="Arial" w:cs="Arial" w:eastAsia="Arial" w:hAnsi="Arial"/>
          <w:color w:val="1A1A1A"/>
          <w:sz w:val="19"/>
          <w:szCs w:val="19"/>
        </w:rPr>
        <w:t xml:space="preserve">Own the regression corpus and ground-truth data for your area, including the human feedback loop that keeps it honest.</w:t>
      </w:r>
    </w:p>
    <w:p>
      <w:pPr>
        <w:pStyle w:val="ListParagraph"/>
        <w:numPr>
          <w:ilvl w:val="0"/>
          <w:numId w:val="2"/>
        </w:numPr>
        <w:spacing w:after="30" w:line="238"/>
      </w:pPr>
      <w:r>
        <w:rPr>
          <w:rFonts w:ascii="Arial" w:cs="Arial" w:eastAsia="Arial" w:hAnsi="Arial"/>
          <w:color w:val="1A1A1A"/>
          <w:sz w:val="19"/>
          <w:szCs w:val="19"/>
        </w:rPr>
        <w:t xml:space="preserve">Own the drift and regression monitoring that catches degradation before a customer does.</w:t>
      </w:r>
    </w:p>
    <w:p>
      <w:pPr>
        <w:pStyle w:val="Heading2"/>
        <w:spacing w:after="44" w:before="112"/>
      </w:pPr>
      <w:r>
        <w:rPr>
          <w:rFonts w:ascii="Arial" w:cs="Arial" w:eastAsia="Arial" w:hAnsi="Arial"/>
          <w:b/>
          <w:bCs/>
          <w:color w:val="E4002B"/>
          <w:sz w:val="19"/>
          <w:szCs w:val="19"/>
        </w:rPr>
        <w:t xml:space="preserve">Make quality a release gate</w:t>
      </w:r>
    </w:p>
    <w:p>
      <w:pPr>
        <w:pStyle w:val="ListParagraph"/>
        <w:numPr>
          <w:ilvl w:val="0"/>
          <w:numId w:val="2"/>
        </w:numPr>
        <w:spacing w:after="30" w:line="238"/>
      </w:pPr>
      <w:r>
        <w:rPr>
          <w:rFonts w:ascii="Arial" w:cs="Arial" w:eastAsia="Arial" w:hAnsi="Arial"/>
          <w:color w:val="1A1A1A"/>
          <w:sz w:val="19"/>
          <w:szCs w:val="19"/>
        </w:rPr>
        <w:t xml:space="preserve">Own evaluation in CI for your area, so model, prompt and policy changes ship on evidence.</w:t>
      </w:r>
    </w:p>
    <w:p>
      <w:pPr>
        <w:pStyle w:val="ListParagraph"/>
        <w:numPr>
          <w:ilvl w:val="0"/>
          <w:numId w:val="2"/>
        </w:numPr>
        <w:spacing w:after="30" w:line="238"/>
      </w:pPr>
      <w:r>
        <w:rPr>
          <w:rFonts w:ascii="Arial" w:cs="Arial" w:eastAsia="Arial" w:hAnsi="Arial"/>
          <w:color w:val="1A1A1A"/>
          <w:sz w:val="19"/>
          <w:szCs w:val="19"/>
        </w:rPr>
        <w:t xml:space="preserve">Own the answer to "did this model swap break anything" for the components you cover.</w:t>
      </w:r>
    </w:p>
    <w:p>
      <w:pPr>
        <w:pStyle w:val="ListParagraph"/>
        <w:numPr>
          <w:ilvl w:val="0"/>
          <w:numId w:val="2"/>
        </w:numPr>
        <w:spacing w:after="30" w:line="238"/>
      </w:pPr>
      <w:r>
        <w:rPr>
          <w:rFonts w:ascii="Arial" w:cs="Arial" w:eastAsia="Arial" w:hAnsi="Arial"/>
          <w:color w:val="1A1A1A"/>
          <w:sz w:val="19"/>
          <w:szCs w:val="19"/>
        </w:rPr>
        <w:t xml:space="preserve">Own integration testing across the seams between serving, harness, orchestration and governance.</w:t>
      </w:r>
    </w:p>
    <w:p>
      <w:pPr>
        <w:pStyle w:val="ListParagraph"/>
        <w:numPr>
          <w:ilvl w:val="0"/>
          <w:numId w:val="2"/>
        </w:numPr>
        <w:spacing w:after="30" w:line="238"/>
      </w:pPr>
      <w:r>
        <w:rPr>
          <w:rFonts w:ascii="Arial" w:cs="Arial" w:eastAsia="Arial" w:hAnsi="Arial"/>
          <w:color w:val="1A1A1A"/>
          <w:sz w:val="19"/>
          <w:szCs w:val="19"/>
        </w:rPr>
        <w:t xml:space="preserve">Own the test and evaluation evidence compliance depends on, generated as a by-product of normal operation.</w:t>
      </w:r>
    </w:p>
    <w:p>
      <w:pPr>
        <w:pStyle w:val="Heading2"/>
        <w:spacing w:after="44" w:before="112"/>
      </w:pPr>
      <w:r>
        <w:rPr>
          <w:rFonts w:ascii="Arial" w:cs="Arial" w:eastAsia="Arial" w:hAnsi="Arial"/>
          <w:b/>
          <w:bCs/>
          <w:color w:val="E4002B"/>
          <w:sz w:val="19"/>
          <w:szCs w:val="19"/>
        </w:rPr>
        <w:t xml:space="preserve">Lead work and support others</w:t>
      </w:r>
    </w:p>
    <w:p>
      <w:pPr>
        <w:pStyle w:val="ListParagraph"/>
        <w:numPr>
          <w:ilvl w:val="0"/>
          <w:numId w:val="2"/>
        </w:numPr>
        <w:spacing w:after="30" w:line="238"/>
      </w:pPr>
      <w:r>
        <w:rPr>
          <w:rFonts w:ascii="Arial" w:cs="Arial" w:eastAsia="Arial" w:hAnsi="Arial"/>
          <w:color w:val="1A1A1A"/>
          <w:sz w:val="19"/>
          <w:szCs w:val="19"/>
        </w:rPr>
        <w:t xml:space="preserve">Act as a resource for less experienced engineers, and review their designs and evaluations.</w:t>
      </w:r>
    </w:p>
    <w:p>
      <w:pPr>
        <w:pStyle w:val="ListParagraph"/>
        <w:numPr>
          <w:ilvl w:val="0"/>
          <w:numId w:val="2"/>
        </w:numPr>
        <w:spacing w:after="30" w:line="238"/>
      </w:pPr>
      <w:r>
        <w:rPr>
          <w:rFonts w:ascii="Arial" w:cs="Arial" w:eastAsia="Arial" w:hAnsi="Arial"/>
          <w:color w:val="1A1A1A"/>
          <w:sz w:val="19"/>
          <w:szCs w:val="19"/>
        </w:rPr>
        <w:t xml:space="preserve">Lead a project, or a defined workstream within a larger effort, from design through production.</w:t>
      </w:r>
    </w:p>
    <w:p>
      <w:pPr>
        <w:pStyle w:val="ListParagraph"/>
        <w:numPr>
          <w:ilvl w:val="0"/>
          <w:numId w:val="2"/>
        </w:numPr>
        <w:spacing w:after="30" w:line="238"/>
      </w:pPr>
      <w:r>
        <w:rPr>
          <w:rFonts w:ascii="Arial" w:cs="Arial" w:eastAsia="Arial" w:hAnsi="Arial"/>
          <w:color w:val="1A1A1A"/>
          <w:sz w:val="19"/>
          <w:szCs w:val="19"/>
        </w:rPr>
        <w:t xml:space="preserve">Red-team the platform's behaviour in your area, and turn findings into regression cases.</w:t>
      </w:r>
    </w:p>
    <w:p>
      <w:pPr>
        <w:pStyle w:val="ListParagraph"/>
        <w:numPr>
          <w:ilvl w:val="0"/>
          <w:numId w:val="2"/>
        </w:numPr>
        <w:spacing w:after="30" w:line="238"/>
      </w:pPr>
      <w:r>
        <w:rPr>
          <w:rFonts w:ascii="Arial" w:cs="Arial" w:eastAsia="Arial" w:hAnsi="Arial"/>
          <w:color w:val="1A1A1A"/>
          <w:sz w:val="19"/>
          <w:szCs w:val="19"/>
        </w:rPr>
        <w:t xml:space="preserve">Use AI-assisted engineering as the default across design, coding, testing, review and documentation, within the standards the team sets.</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In-depth conceptual and practical knowledge of software engineering, built in test and evaluation engineering, quality engineering, model validation or a related discipline.</w:t>
      </w:r>
    </w:p>
    <w:p>
      <w:pPr>
        <w:pStyle w:val="ListParagraph"/>
        <w:numPr>
          <w:ilvl w:val="0"/>
          <w:numId w:val="2"/>
        </w:numPr>
        <w:spacing w:after="30" w:line="238"/>
      </w:pPr>
      <w:r>
        <w:rPr>
          <w:rFonts w:ascii="Arial" w:cs="Arial" w:eastAsia="Arial" w:hAnsi="Arial"/>
          <w:color w:val="1A1A1A"/>
          <w:sz w:val="19"/>
          <w:szCs w:val="19"/>
        </w:rPr>
        <w:t xml:space="preserve">Strong Python, and enough Go or equivalent to work inside the platform you evaluate.</w:t>
      </w:r>
    </w:p>
    <w:p>
      <w:pPr>
        <w:pStyle w:val="ListParagraph"/>
        <w:numPr>
          <w:ilvl w:val="0"/>
          <w:numId w:val="2"/>
        </w:numPr>
        <w:spacing w:after="30" w:line="238"/>
      </w:pPr>
      <w:r>
        <w:rPr>
          <w:rFonts w:ascii="Arial" w:cs="Arial" w:eastAsia="Arial" w:hAnsi="Arial"/>
          <w:color w:val="1A1A1A"/>
          <w:sz w:val="19"/>
          <w:szCs w:val="19"/>
        </w:rPr>
        <w:t xml:space="preserve">Test and evaluation engineering at depth: automation frameworks, CI integration, flake management, and test design that finds real defects.</w:t>
      </w:r>
    </w:p>
    <w:p>
      <w:pPr>
        <w:pStyle w:val="ListParagraph"/>
        <w:numPr>
          <w:ilvl w:val="0"/>
          <w:numId w:val="2"/>
        </w:numPr>
        <w:spacing w:after="30" w:line="238"/>
      </w:pPr>
      <w:r>
        <w:rPr>
          <w:rFonts w:ascii="Arial" w:cs="Arial" w:eastAsia="Arial" w:hAnsi="Arial"/>
          <w:color w:val="1A1A1A"/>
          <w:sz w:val="19"/>
          <w:szCs w:val="19"/>
        </w:rPr>
        <w:t xml:space="preserve">Kubernetes and CI/CD to the depth needed to build and operate evaluation infrastructure.</w:t>
      </w:r>
    </w:p>
    <w:p>
      <w:pPr>
        <w:pStyle w:val="Heading2"/>
        <w:spacing w:after="44" w:before="112"/>
      </w:pPr>
      <w:r>
        <w:rPr>
          <w:rFonts w:ascii="Arial" w:cs="Arial" w:eastAsia="Arial" w:hAnsi="Arial"/>
          <w:b/>
          <w:bCs/>
          <w:color w:val="E4002B"/>
          <w:sz w:val="19"/>
          <w:szCs w:val="19"/>
        </w:rPr>
        <w:t xml:space="preserve">Evaluation of AI systems</w:t>
      </w:r>
    </w:p>
    <w:p>
      <w:pPr>
        <w:pStyle w:val="ListParagraph"/>
        <w:numPr>
          <w:ilvl w:val="0"/>
          <w:numId w:val="2"/>
        </w:numPr>
        <w:spacing w:after="30" w:line="238"/>
      </w:pPr>
      <w:r>
        <w:rPr>
          <w:rFonts w:ascii="Arial" w:cs="Arial" w:eastAsia="Arial" w:hAnsi="Arial"/>
          <w:color w:val="1A1A1A"/>
          <w:sz w:val="19"/>
          <w:szCs w:val="19"/>
        </w:rPr>
        <w:t xml:space="preserve">Hands-on LLM evaluation: workload design, scoring approaches and their biases, and why model-graded evaluation alone will not satisfy a sceptical reviewer.</w:t>
      </w:r>
    </w:p>
    <w:p>
      <w:pPr>
        <w:pStyle w:val="ListParagraph"/>
        <w:numPr>
          <w:ilvl w:val="0"/>
          <w:numId w:val="2"/>
        </w:numPr>
        <w:spacing w:after="30" w:line="238"/>
      </w:pPr>
      <w:r>
        <w:rPr>
          <w:rFonts w:ascii="Arial" w:cs="Arial" w:eastAsia="Arial" w:hAnsi="Arial"/>
          <w:color w:val="1A1A1A"/>
          <w:sz w:val="19"/>
          <w:szCs w:val="19"/>
        </w:rPr>
        <w:t xml:space="preserve">Statistical literacy — sample size, variance, significance, calibration — applied to systems where every run differs.</w:t>
      </w:r>
    </w:p>
    <w:p>
      <w:pPr>
        <w:pStyle w:val="ListParagraph"/>
        <w:numPr>
          <w:ilvl w:val="0"/>
          <w:numId w:val="2"/>
        </w:numPr>
        <w:spacing w:after="30" w:line="238"/>
      </w:pPr>
      <w:r>
        <w:rPr>
          <w:rFonts w:ascii="Arial" w:cs="Arial" w:eastAsia="Arial" w:hAnsi="Arial"/>
          <w:color w:val="1A1A1A"/>
          <w:sz w:val="19"/>
          <w:szCs w:val="19"/>
        </w:rPr>
        <w:t xml:space="preserve">Experience evaluating agentic systems: multi-step runs, tool use, partial credit, and attributing a failure to the step that caused it.</w:t>
      </w:r>
    </w:p>
    <w:p>
      <w:pPr>
        <w:pStyle w:val="ListParagraph"/>
        <w:numPr>
          <w:ilvl w:val="0"/>
          <w:numId w:val="2"/>
        </w:numPr>
        <w:spacing w:after="30" w:line="238"/>
      </w:pPr>
      <w:r>
        <w:rPr>
          <w:rFonts w:ascii="Arial" w:cs="Arial" w:eastAsia="Arial" w:hAnsi="Arial"/>
          <w:color w:val="1A1A1A"/>
          <w:sz w:val="19"/>
          <w:szCs w:val="19"/>
        </w:rPr>
        <w:t xml:space="preserve">Red-teaming or adversarial testing, including prompt injection and jailbreak classes.</w:t>
      </w:r>
    </w:p>
    <w:p>
      <w:pPr>
        <w:pStyle w:val="ListParagraph"/>
        <w:numPr>
          <w:ilvl w:val="0"/>
          <w:numId w:val="2"/>
        </w:numPr>
        <w:spacing w:after="30" w:line="238"/>
      </w:pPr>
      <w:r>
        <w:rPr>
          <w:rFonts w:ascii="Arial" w:cs="Arial" w:eastAsia="Arial" w:hAnsi="Arial"/>
          <w:color w:val="1A1A1A"/>
          <w:sz w:val="19"/>
          <w:szCs w:val="19"/>
        </w:rPr>
        <w:t xml:space="preserve">Ground-truth data operations: labelling, curation, inter-rater reliability, and keeping a corpus current.</w:t>
      </w:r>
    </w:p>
    <w:p>
      <w:pPr>
        <w:pStyle w:val="Heading2"/>
        <w:spacing w:after="44" w:before="112"/>
      </w:pPr>
      <w:r>
        <w:rPr>
          <w:rFonts w:ascii="Arial" w:cs="Arial" w:eastAsia="Arial" w:hAnsi="Arial"/>
          <w:b/>
          <w:bCs/>
          <w:color w:val="E4002B"/>
          <w:sz w:val="19"/>
          <w:szCs w:val="19"/>
        </w:rPr>
        <w:t xml:space="preserve">Regulated-environment judgement</w:t>
      </w:r>
    </w:p>
    <w:p>
      <w:pPr>
        <w:pStyle w:val="ListParagraph"/>
        <w:numPr>
          <w:ilvl w:val="0"/>
          <w:numId w:val="2"/>
        </w:numPr>
        <w:spacing w:after="30" w:line="238"/>
      </w:pPr>
      <w:r>
        <w:rPr>
          <w:rFonts w:ascii="Arial" w:cs="Arial" w:eastAsia="Arial" w:hAnsi="Arial"/>
          <w:color w:val="1A1A1A"/>
          <w:sz w:val="19"/>
          <w:szCs w:val="19"/>
        </w:rPr>
        <w:t xml:space="preserve">Delivery inside a regulated, audited or sovereign environment, and a working sense of what an auditor accepts as evidence.</w:t>
      </w:r>
    </w:p>
    <w:p>
      <w:pPr>
        <w:pStyle w:val="ListParagraph"/>
        <w:numPr>
          <w:ilvl w:val="0"/>
          <w:numId w:val="2"/>
        </w:numPr>
        <w:spacing w:after="30" w:line="238"/>
      </w:pPr>
      <w:r>
        <w:rPr>
          <w:rFonts w:ascii="Arial" w:cs="Arial" w:eastAsia="Arial" w:hAnsi="Arial"/>
          <w:color w:val="1A1A1A"/>
          <w:sz w:val="19"/>
          <w:szCs w:val="19"/>
        </w:rPr>
        <w:t xml:space="preserve">Working knowledge of at least one assurance or control framework in practice.</w:t>
      </w:r>
    </w:p>
    <w:p>
      <w:pPr>
        <w:pStyle w:val="ListParagraph"/>
        <w:numPr>
          <w:ilvl w:val="0"/>
          <w:numId w:val="2"/>
        </w:numPr>
        <w:spacing w:after="30" w:line="238"/>
      </w:pPr>
      <w:r>
        <w:rPr>
          <w:rFonts w:ascii="Arial" w:cs="Arial" w:eastAsia="Arial" w:hAnsi="Arial"/>
          <w:color w:val="1A1A1A"/>
          <w:sz w:val="19"/>
          <w:szCs w:val="19"/>
        </w:rPr>
        <w:t xml:space="preserve">The willingness to hold a release, and the evidence to justify it.</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Experience contributing to an ISO/IEC 42001 or EU AI Act readiness effort.</w:t>
      </w:r>
    </w:p>
    <w:p>
      <w:pPr>
        <w:pStyle w:val="ListParagraph"/>
        <w:numPr>
          <w:ilvl w:val="0"/>
          <w:numId w:val="2"/>
        </w:numPr>
        <w:spacing w:after="30" w:line="238"/>
      </w:pPr>
      <w:r>
        <w:rPr>
          <w:rFonts w:ascii="Arial" w:cs="Arial" w:eastAsia="Arial" w:hAnsi="Arial"/>
          <w:color w:val="1A1A1A"/>
          <w:sz w:val="19"/>
          <w:szCs w:val="19"/>
        </w:rPr>
        <w:t xml:space="preserve">Property-based testing, formal methods, or verification stronger than sampling.</w:t>
      </w:r>
    </w:p>
    <w:p>
      <w:pPr>
        <w:pStyle w:val="ListParagraph"/>
        <w:numPr>
          <w:ilvl w:val="0"/>
          <w:numId w:val="2"/>
        </w:numPr>
        <w:spacing w:after="30" w:line="238"/>
      </w:pPr>
      <w:r>
        <w:rPr>
          <w:rFonts w:ascii="Arial" w:cs="Arial" w:eastAsia="Arial" w:hAnsi="Arial"/>
          <w:color w:val="1A1A1A"/>
          <w:sz w:val="19"/>
          <w:szCs w:val="19"/>
        </w:rPr>
        <w:t xml:space="preserve">Model validation or model risk management in a regulated sector.</w:t>
      </w:r>
    </w:p>
    <w:p>
      <w:pPr>
        <w:pStyle w:val="ListParagraph"/>
        <w:numPr>
          <w:ilvl w:val="0"/>
          <w:numId w:val="2"/>
        </w:numPr>
        <w:spacing w:after="30" w:line="238"/>
      </w:pPr>
      <w:r>
        <w:rPr>
          <w:rFonts w:ascii="Arial" w:cs="Arial" w:eastAsia="Arial" w:hAnsi="Arial"/>
          <w:color w:val="1A1A1A"/>
          <w:sz w:val="19"/>
          <w:szCs w:val="19"/>
        </w:rPr>
        <w:t xml:space="preserve">Contributions to open-source evaluation frameworks, or published evaluation work.</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Evaluations you own are trusted enough that teams act on their results without re-litigating them.</w:t>
      </w:r>
    </w:p>
    <w:p>
      <w:pPr>
        <w:pStyle w:val="ListParagraph"/>
        <w:numPr>
          <w:ilvl w:val="0"/>
          <w:numId w:val="2"/>
        </w:numPr>
        <w:spacing w:after="30" w:line="238"/>
      </w:pPr>
      <w:r>
        <w:rPr>
          <w:rFonts w:ascii="Arial" w:cs="Arial" w:eastAsia="Arial" w:hAnsi="Arial"/>
          <w:color w:val="1A1A1A"/>
          <w:sz w:val="19"/>
          <w:szCs w:val="19"/>
        </w:rPr>
        <w:t xml:space="preserve">Verification covers the steps of a run in your area, not just its output.</w:t>
      </w:r>
    </w:p>
    <w:p>
      <w:pPr>
        <w:pStyle w:val="ListParagraph"/>
        <w:numPr>
          <w:ilvl w:val="0"/>
          <w:numId w:val="2"/>
        </w:numPr>
        <w:spacing w:after="30" w:line="238"/>
      </w:pPr>
      <w:r>
        <w:rPr>
          <w:rFonts w:ascii="Arial" w:cs="Arial" w:eastAsia="Arial" w:hAnsi="Arial"/>
          <w:color w:val="1A1A1A"/>
          <w:sz w:val="19"/>
          <w:szCs w:val="19"/>
        </w:rPr>
        <w:t xml:space="preserve">Gates you own have genuinely blocked a bad change.</w:t>
      </w:r>
    </w:p>
    <w:p>
      <w:pPr>
        <w:pStyle w:val="ListParagraph"/>
        <w:numPr>
          <w:ilvl w:val="0"/>
          <w:numId w:val="2"/>
        </w:numPr>
        <w:spacing w:after="30" w:line="238"/>
      </w:pPr>
      <w:r>
        <w:rPr>
          <w:rFonts w:ascii="Arial" w:cs="Arial" w:eastAsia="Arial" w:hAnsi="Arial"/>
          <w:color w:val="1A1A1A"/>
          <w:sz w:val="19"/>
          <w:szCs w:val="19"/>
        </w:rPr>
        <w:t xml:space="preserve">The regression corpus and ground-truth data stay current, and their provenance is clear.</w:t>
      </w:r>
    </w:p>
    <w:p>
      <w:pPr>
        <w:pStyle w:val="ListParagraph"/>
        <w:numPr>
          <w:ilvl w:val="0"/>
          <w:numId w:val="2"/>
        </w:numPr>
        <w:spacing w:after="30" w:line="238"/>
      </w:pPr>
      <w:r>
        <w:rPr>
          <w:rFonts w:ascii="Arial" w:cs="Arial" w:eastAsia="Arial" w:hAnsi="Arial"/>
          <w:color w:val="1A1A1A"/>
          <w:sz w:val="19"/>
          <w:szCs w:val="19"/>
        </w:rPr>
        <w:t xml:space="preserve">Complex measurement problems land with you and get solved without escalation.</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Python and Go  ·  Evaluation frameworks and harnesses  ·  CI/CD and release gating  ·  Kubernetes  ·  Statistical analysis tooling  ·  Red-teaming and adversarial testing tooling  ·  Ground-truth and annotation pipelines  ·  OpenTelemetry / Prometheus / Grafana  ·  Provenance and audit tooling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III — Applying — uses learned knowledge and skills to perform all aspects of the role with autonomy</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In-depth conceptual and practical knowledge in own discipline, plus basic knowledge of related disciplines. Solves complex problems and works independently with minimal guidance. May lead projects or project steps, and acts as a resource for colleagues with less experience.</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5 – 7 years in the underlying engineering discipline, including at least 1 year applied to AI systems.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6FD56C-2892-4773-9950-5A9CF683B96A}"/>
</file>

<file path=customXml/itemProps2.xml><?xml version="1.0" encoding="utf-8"?>
<ds:datastoreItem xmlns:ds="http://schemas.openxmlformats.org/officeDocument/2006/customXml" ds:itemID="{0A236148-ABA1-4EF2-9583-1AAB26E7BB87}"/>
</file>

<file path=customXml/itemProps3.xml><?xml version="1.0" encoding="utf-8"?>
<ds:datastoreItem xmlns:ds="http://schemas.openxmlformats.org/officeDocument/2006/customXml" ds:itemID="{3968F145-4E91-4A05-A59F-5C73E9B77B0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Assurance Engineer III — RackAI</dc:title>
  <dc:creator>Rackspace Technology</dc:creator>
  <cp:lastModifiedBy>Un-named</cp:lastModifiedBy>
  <cp:revision>1</cp:revision>
  <dcterms:created xsi:type="dcterms:W3CDTF">2026-09-15T00:25:46Z</dcterms:created>
  <dcterms:modified xsi:type="dcterms:W3CDTF">2026-09-15T00:25:46Z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