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80"/>
        <w:tblBorders>
          <w:top w:val="none" w:color="FFFFFF" w:sz="0"/>
          <w:left w:val="none" w:color="FFFFFF" w:sz="0"/>
          <w:bottom w:val="single" w:color="E4002B" w:sz="18"/>
          <w:right w:val="none" w:color="FFFFFF" w:sz="0"/>
          <w:insideH w:val="none" w:color="FFFFFF" w:sz="0"/>
          <w:insideV w:val="none" w:color="FFFFFF" w:sz="0"/>
        </w:tblBorders>
      </w:tblPr>
      <w:tblGrid>
        <w:gridCol w:w="4840"/>
        <w:gridCol w:w="4840"/>
      </w:tblGrid>
      <w:tr>
        <w:tc>
          <w:tcPr>
            <w:tcW w:type="dxa" w:w="4840"/>
            <w:tcMar>
              <w:top w:type="dxa" w:w="40"/>
              <w:left w:type="dxa" w:w="0"/>
              <w:bottom w:type="dxa" w:w="100"/>
              <w:right w:type="dxa" w:w="0"/>
            </w:tcMar>
          </w:tcPr>
          <w:p>
            <w:r>
              <w:rPr>
                <w:rFonts w:ascii="Arial" w:cs="Arial" w:eastAsia="Arial" w:hAnsi="Arial"/>
                <w:b/>
                <w:bCs/>
                <w:color w:val="1A1A1A"/>
                <w:sz w:val="26"/>
                <w:szCs w:val="26"/>
              </w:rPr>
              <w:t xml:space="preserve">rackspace</w:t>
            </w:r>
            <w:r>
              <w:rPr>
                <w:rFonts w:ascii="Arial" w:cs="Arial" w:eastAsia="Arial" w:hAnsi="Arial"/>
                <w:color w:val="595959"/>
                <w:sz w:val="26"/>
                <w:szCs w:val="26"/>
              </w:rPr>
              <w:t xml:space="preserve"> technology</w:t>
            </w:r>
          </w:p>
        </w:tc>
        <w:tc>
          <w:tcPr>
            <w:tcW w:type="dxa" w:w="4840"/>
            <w:tcMar>
              <w:top w:type="dxa" w:w="40"/>
              <w:left w:type="dxa" w:w="0"/>
              <w:bottom w:type="dxa" w:w="100"/>
              <w:right w:type="dxa" w:w="0"/>
            </w:tcMar>
          </w:tcPr>
          <w:p>
            <w:pPr>
              <w:jc w:val="right"/>
            </w:pPr>
            <w:r>
              <w:rPr>
                <w:rFonts w:ascii="Arial" w:cs="Arial" w:eastAsia="Arial" w:hAnsi="Arial"/>
                <w:b/>
                <w:bCs/>
                <w:color w:val="E4002B"/>
                <w:sz w:val="16"/>
                <w:szCs w:val="16"/>
              </w:rPr>
              <w:t xml:space="preserve">CAREERS  ·  ENGINEERING  ·  FOR INTERNAL POSTING</w:t>
            </w:r>
          </w:p>
        </w:tc>
      </w:tr>
    </w:tbl>
    <w:p>
      <w:pPr>
        <w:spacing w:after="40" w:before="240"/>
      </w:pPr>
      <w:r>
        <w:rPr>
          <w:rFonts w:ascii="Arial" w:cs="Arial" w:eastAsia="Arial" w:hAnsi="Arial"/>
          <w:b/>
          <w:bCs/>
          <w:color w:val="1A1A1A"/>
          <w:sz w:val="36"/>
          <w:szCs w:val="36"/>
        </w:rPr>
        <w:t xml:space="preserve">AI Assurance Engineer IV</w:t>
      </w:r>
    </w:p>
    <w:p>
      <w:pPr>
        <w:spacing w:after="30"/>
      </w:pPr>
      <w:r>
        <w:rPr>
          <w:rFonts w:ascii="Arial" w:cs="Arial" w:eastAsia="Arial" w:hAnsi="Arial"/>
          <w:b/>
          <w:bCs/>
          <w:caps/>
          <w:color w:val="E4002B"/>
          <w:sz w:val="20"/>
          <w:szCs w:val="20"/>
        </w:rPr>
        <w:t xml:space="preserve">AI Assurance Engineering  ·  Evaluation, Verification and Release Gating</w:t>
      </w:r>
    </w:p>
    <w:p>
      <w:pPr>
        <w:pBdr>
          <w:bottom w:val="single" w:color="D9D9D9" w:sz="6" w:space="6"/>
        </w:pBdr>
        <w:spacing w:after="180"/>
      </w:pPr>
      <w:r>
        <w:rPr>
          <w:rFonts w:ascii="Arial" w:cs="Arial" w:eastAsia="Arial" w:hAnsi="Arial"/>
          <w:color w:val="595959"/>
          <w:sz w:val="16"/>
          <w:szCs w:val="16"/>
        </w:rPr>
        <w:t xml:space="preserve">Individual Contributor  ·  RackAI Product and Engineering  ·  Remote / Hybrid  ·  Reports to Director, AI Harness, Orchestration and Governance</w:t>
      </w:r>
    </w:p>
    <w:p>
      <w:pPr>
        <w:pStyle w:val="Heading1"/>
        <w:pBdr>
          <w:bottom w:val="single" w:color="E4002B" w:sz="8" w:space="4"/>
        </w:pBdr>
        <w:spacing w:after="70" w:before="170"/>
      </w:pPr>
      <w:r>
        <w:rPr>
          <w:rFonts w:ascii="Arial" w:cs="Arial" w:eastAsia="Arial" w:hAnsi="Arial"/>
          <w:b/>
          <w:bCs/>
          <w:color w:val="1A1A1A"/>
          <w:sz w:val="23"/>
          <w:szCs w:val="23"/>
        </w:rPr>
        <w:t xml:space="preserve">About the opportunity</w:t>
      </w:r>
    </w:p>
    <w:p>
      <w:pPr>
        <w:spacing w:after="80" w:line="242"/>
      </w:pPr>
      <w:r>
        <w:rPr>
          <w:rFonts w:ascii="Arial" w:cs="Arial" w:eastAsia="Arial" w:hAnsi="Arial"/>
          <w:color w:val="1A1A1A"/>
          <w:sz w:val="19"/>
          <w:szCs w:val="19"/>
        </w:rPr>
        <w:t xml:space="preserve">RackAI is Rackspace's managed AI inference platform, built for the private and sovereign environments where regulated enterprises can actually run AI. Selling that to a regulated buyer means proving, on demand, that the system does what we say it does — and proving anything about a non-deterministic system is a hard engineering problem in its own right. AI Assurance Engineers build that proof.</w:t>
      </w:r>
    </w:p>
    <w:p>
      <w:pPr>
        <w:spacing w:after="80" w:line="242"/>
      </w:pPr>
      <w:r>
        <w:rPr>
          <w:rFonts w:ascii="Arial" w:cs="Arial" w:eastAsia="Arial" w:hAnsi="Arial"/>
          <w:color w:val="1A1A1A"/>
          <w:sz w:val="19"/>
          <w:szCs w:val="19"/>
        </w:rPr>
        <w:t xml:space="preserve">As an AI Assurance Engineer IV you will own a major area of the platform's assurance capability, lead others to solve complex measurement problems, and provide technical leadership to projects spanning the platform.</w:t>
      </w:r>
    </w:p>
    <w:p>
      <w:pPr>
        <w:spacing w:after="80" w:line="242"/>
      </w:pPr>
      <w:r>
        <w:rPr>
          <w:rFonts w:ascii="Arial" w:cs="Arial" w:eastAsia="Arial" w:hAnsi="Arial"/>
          <w:color w:val="1A1A1A"/>
          <w:sz w:val="19"/>
          <w:szCs w:val="19"/>
        </w:rPr>
        <w:t xml:space="preserve">You will work alongside a Principal Engineer who builds the evaluation framework, an AI Assurance Engineer V who holds the discipline overall, and AI Governance Engineers who build the controls. Your area of the measurement is yours to lead.</w:t>
      </w:r>
    </w:p>
    <w:p>
      <w:pPr>
        <w:pStyle w:val="Heading1"/>
        <w:pBdr>
          <w:bottom w:val="single" w:color="E4002B" w:sz="8" w:space="4"/>
        </w:pBdr>
        <w:spacing w:after="70" w:before="170"/>
      </w:pPr>
      <w:r>
        <w:rPr>
          <w:rFonts w:ascii="Arial" w:cs="Arial" w:eastAsia="Arial" w:hAnsi="Arial"/>
          <w:b/>
          <w:bCs/>
          <w:color w:val="1A1A1A"/>
          <w:sz w:val="23"/>
          <w:szCs w:val="23"/>
        </w:rPr>
        <w:t xml:space="preserve">Why RackAI</w:t>
      </w:r>
    </w:p>
    <w:p>
      <w:pPr>
        <w:spacing w:after="80" w:line="242"/>
      </w:pPr>
      <w:r>
        <w:rPr>
          <w:rFonts w:ascii="Arial" w:cs="Arial" w:eastAsia="Arial" w:hAnsi="Arial"/>
          <w:color w:val="1A1A1A"/>
          <w:sz w:val="19"/>
          <w:szCs w:val="19"/>
        </w:rPr>
        <w:t xml:space="preserve">Evaluation has become the bottleneck on enterprise AI, and engineers who can do it rigorously are scarce.</w:t>
      </w:r>
    </w:p>
    <w:p>
      <w:pPr>
        <w:spacing w:after="80" w:line="242"/>
      </w:pPr>
      <w:r>
        <w:rPr>
          <w:rFonts w:ascii="Arial" w:cs="Arial" w:eastAsia="Arial" w:hAnsi="Arial"/>
          <w:color w:val="1A1A1A"/>
          <w:sz w:val="19"/>
          <w:szCs w:val="19"/>
        </w:rPr>
        <w:t xml:space="preserve">Anyone can demo a model. Very few organisations can say, with evidence a regulator or a sceptical customer would accept, that a change to a model or a prompt did not break anything — and under frameworks like ISO/IEC 42001 and the EU AI Act, that evidence is becoming a requirement rather than good practice. The measurement built here decides what ships, and records where each model is reliable and what it costs from real operating data rather than public benchmarks.</w:t>
      </w:r>
    </w:p>
    <w:p>
      <w:pPr>
        <w:spacing w:after="80" w:line="242"/>
      </w:pPr>
      <w:r>
        <w:rPr>
          <w:rFonts w:ascii="Arial" w:cs="Arial" w:eastAsia="Arial" w:hAnsi="Arial"/>
          <w:b w:val="false"/>
          <w:bCs w:val="false"/>
          <w:color w:val="1A1A1A"/>
          <w:sz w:val="19"/>
          <w:szCs w:val="19"/>
        </w:rPr>
        <w:t xml:space="preserve">And we work the way we build: </w:t>
      </w:r>
      <w:r>
        <w:rPr>
          <w:rFonts w:ascii="Arial" w:cs="Arial" w:eastAsia="Arial" w:hAnsi="Arial"/>
          <w:b/>
          <w:bCs/>
          <w:color w:val="1A1A1A"/>
          <w:sz w:val="19"/>
          <w:szCs w:val="19"/>
        </w:rPr>
        <w:t xml:space="preserve">we build AI, and we build with AI.</w:t>
      </w:r>
      <w:r>
        <w:rPr>
          <w:rFonts w:ascii="Arial" w:cs="Arial" w:eastAsia="Arial" w:hAnsi="Arial"/>
          <w:b w:val="false"/>
          <w:bCs w:val="false"/>
          <w:color w:val="1A1A1A"/>
          <w:sz w:val="19"/>
          <w:szCs w:val="19"/>
        </w:rPr>
        <w:t xml:space="preserve"> If you want to lead the measurement of systems a regulator will examine, this is an unusually good version of it.</w:t>
      </w:r>
    </w:p>
    <w:p>
      <w:pPr>
        <w:pStyle w:val="Heading1"/>
        <w:pBdr>
          <w:bottom w:val="single" w:color="E4002B" w:sz="8" w:space="4"/>
        </w:pBdr>
        <w:spacing w:after="70" w:before="170"/>
      </w:pPr>
      <w:r>
        <w:rPr>
          <w:rFonts w:ascii="Arial" w:cs="Arial" w:eastAsia="Arial" w:hAnsi="Arial"/>
          <w:b/>
          <w:bCs/>
          <w:color w:val="1A1A1A"/>
          <w:sz w:val="23"/>
          <w:szCs w:val="23"/>
        </w:rPr>
        <w:t xml:space="preserve">What you'll do</w:t>
      </w:r>
    </w:p>
    <w:p>
      <w:pPr>
        <w:pStyle w:val="Heading2"/>
        <w:spacing w:after="44" w:before="112"/>
      </w:pPr>
      <w:r>
        <w:rPr>
          <w:rFonts w:ascii="Arial" w:cs="Arial" w:eastAsia="Arial" w:hAnsi="Arial"/>
          <w:b/>
          <w:bCs/>
          <w:color w:val="E4002B"/>
          <w:sz w:val="19"/>
          <w:szCs w:val="19"/>
        </w:rPr>
        <w:t xml:space="preserve">Lead a major area of assurance</w:t>
      </w:r>
    </w:p>
    <w:p>
      <w:pPr>
        <w:pStyle w:val="ListParagraph"/>
        <w:numPr>
          <w:ilvl w:val="0"/>
          <w:numId w:val="2"/>
        </w:numPr>
        <w:spacing w:after="30" w:line="238"/>
      </w:pPr>
      <w:r>
        <w:rPr>
          <w:rFonts w:ascii="Arial" w:cs="Arial" w:eastAsia="Arial" w:hAnsi="Arial"/>
          <w:color w:val="1A1A1A"/>
          <w:sz w:val="19"/>
          <w:szCs w:val="19"/>
        </w:rPr>
        <w:t xml:space="preserve">Lead the evaluation methodology for a major area: what gets measured, on which workloads, with what checks, and what counts as enough.</w:t>
      </w:r>
    </w:p>
    <w:p>
      <w:pPr>
        <w:pStyle w:val="ListParagraph"/>
        <w:numPr>
          <w:ilvl w:val="0"/>
          <w:numId w:val="2"/>
        </w:numPr>
        <w:spacing w:after="30" w:line="238"/>
      </w:pPr>
      <w:r>
        <w:rPr>
          <w:rFonts w:ascii="Arial" w:cs="Arial" w:eastAsia="Arial" w:hAnsi="Arial"/>
          <w:color w:val="1A1A1A"/>
          <w:sz w:val="19"/>
          <w:szCs w:val="19"/>
        </w:rPr>
        <w:t xml:space="preserve">Lead the build of step-level verification, including where deterministic checks can replace model-graded ones and where confidence must be calibrated.</w:t>
      </w:r>
    </w:p>
    <w:p>
      <w:pPr>
        <w:pStyle w:val="ListParagraph"/>
        <w:numPr>
          <w:ilvl w:val="0"/>
          <w:numId w:val="2"/>
        </w:numPr>
        <w:spacing w:after="30" w:line="238"/>
      </w:pPr>
      <w:r>
        <w:rPr>
          <w:rFonts w:ascii="Arial" w:cs="Arial" w:eastAsia="Arial" w:hAnsi="Arial"/>
          <w:color w:val="1A1A1A"/>
          <w:sz w:val="19"/>
          <w:szCs w:val="19"/>
        </w:rPr>
        <w:t xml:space="preserve">Lead the regression corpus and ground-truth operation as a platform capability other teams depend on.</w:t>
      </w:r>
    </w:p>
    <w:p>
      <w:pPr>
        <w:pStyle w:val="ListParagraph"/>
        <w:numPr>
          <w:ilvl w:val="0"/>
          <w:numId w:val="2"/>
        </w:numPr>
        <w:spacing w:after="30" w:line="238"/>
      </w:pPr>
      <w:r>
        <w:rPr>
          <w:rFonts w:ascii="Arial" w:cs="Arial" w:eastAsia="Arial" w:hAnsi="Arial"/>
          <w:color w:val="1A1A1A"/>
          <w:sz w:val="19"/>
          <w:szCs w:val="19"/>
        </w:rPr>
        <w:t xml:space="preserve">Lead drift and degradation monitoring across the platform, and the response when it fires.</w:t>
      </w:r>
    </w:p>
    <w:p>
      <w:pPr>
        <w:pStyle w:val="Heading2"/>
        <w:spacing w:after="44" w:before="112"/>
      </w:pPr>
      <w:r>
        <w:rPr>
          <w:rFonts w:ascii="Arial" w:cs="Arial" w:eastAsia="Arial" w:hAnsi="Arial"/>
          <w:b/>
          <w:bCs/>
          <w:color w:val="E4002B"/>
          <w:sz w:val="19"/>
          <w:szCs w:val="19"/>
        </w:rPr>
        <w:t xml:space="preserve">Make quality a release gate</w:t>
      </w:r>
    </w:p>
    <w:p>
      <w:pPr>
        <w:pStyle w:val="ListParagraph"/>
        <w:numPr>
          <w:ilvl w:val="0"/>
          <w:numId w:val="2"/>
        </w:numPr>
        <w:spacing w:after="30" w:line="238"/>
      </w:pPr>
      <w:r>
        <w:rPr>
          <w:rFonts w:ascii="Arial" w:cs="Arial" w:eastAsia="Arial" w:hAnsi="Arial"/>
          <w:color w:val="1A1A1A"/>
          <w:sz w:val="19"/>
          <w:szCs w:val="19"/>
        </w:rPr>
        <w:t xml:space="preserve">Lead evaluation as CI across the platform, so model, prompt and policy changes ship on evidence rather than judgement.</w:t>
      </w:r>
    </w:p>
    <w:p>
      <w:pPr>
        <w:pStyle w:val="ListParagraph"/>
        <w:numPr>
          <w:ilvl w:val="0"/>
          <w:numId w:val="2"/>
        </w:numPr>
        <w:spacing w:after="30" w:line="238"/>
      </w:pPr>
      <w:r>
        <w:rPr>
          <w:rFonts w:ascii="Arial" w:cs="Arial" w:eastAsia="Arial" w:hAnsi="Arial"/>
          <w:color w:val="1A1A1A"/>
          <w:sz w:val="19"/>
          <w:szCs w:val="19"/>
        </w:rPr>
        <w:t xml:space="preserve">Lead integration testing across layer seams, where most real failures live.</w:t>
      </w:r>
    </w:p>
    <w:p>
      <w:pPr>
        <w:pStyle w:val="ListParagraph"/>
        <w:numPr>
          <w:ilvl w:val="0"/>
          <w:numId w:val="2"/>
        </w:numPr>
        <w:spacing w:after="30" w:line="238"/>
      </w:pPr>
      <w:r>
        <w:rPr>
          <w:rFonts w:ascii="Arial" w:cs="Arial" w:eastAsia="Arial" w:hAnsi="Arial"/>
          <w:color w:val="1A1A1A"/>
          <w:sz w:val="19"/>
          <w:szCs w:val="19"/>
        </w:rPr>
        <w:t xml:space="preserve">Lead the test and evaluation evidence compliance and certification depend on, and defend its methodology to auditors and customer risk teams.</w:t>
      </w:r>
    </w:p>
    <w:p>
      <w:pPr>
        <w:pStyle w:val="ListParagraph"/>
        <w:numPr>
          <w:ilvl w:val="0"/>
          <w:numId w:val="2"/>
        </w:numPr>
        <w:spacing w:after="30" w:line="238"/>
      </w:pPr>
      <w:r>
        <w:rPr>
          <w:rFonts w:ascii="Arial" w:cs="Arial" w:eastAsia="Arial" w:hAnsi="Arial"/>
          <w:color w:val="1A1A1A"/>
          <w:sz w:val="19"/>
          <w:szCs w:val="19"/>
        </w:rPr>
        <w:t xml:space="preserve">Lead adversarial testing of the platform, and drive remediation of what it finds.</w:t>
      </w:r>
    </w:p>
    <w:p>
      <w:pPr>
        <w:pStyle w:val="Heading2"/>
        <w:spacing w:after="44" w:before="112"/>
      </w:pPr>
      <w:r>
        <w:rPr>
          <w:rFonts w:ascii="Arial" w:cs="Arial" w:eastAsia="Arial" w:hAnsi="Arial"/>
          <w:b/>
          <w:bCs/>
          <w:color w:val="E4002B"/>
          <w:sz w:val="19"/>
          <w:szCs w:val="19"/>
        </w:rPr>
        <w:t xml:space="preserve">Lead others</w:t>
      </w:r>
    </w:p>
    <w:p>
      <w:pPr>
        <w:pStyle w:val="ListParagraph"/>
        <w:numPr>
          <w:ilvl w:val="0"/>
          <w:numId w:val="2"/>
        </w:numPr>
        <w:spacing w:after="30" w:line="238"/>
      </w:pPr>
      <w:r>
        <w:rPr>
          <w:rFonts w:ascii="Arial" w:cs="Arial" w:eastAsia="Arial" w:hAnsi="Arial"/>
          <w:color w:val="1A1A1A"/>
          <w:sz w:val="19"/>
          <w:szCs w:val="19"/>
        </w:rPr>
        <w:t xml:space="preserve">Lead other engineers to solve complex measurement problems, and set the evaluation standard for your area.</w:t>
      </w:r>
    </w:p>
    <w:p>
      <w:pPr>
        <w:pStyle w:val="ListParagraph"/>
        <w:numPr>
          <w:ilvl w:val="0"/>
          <w:numId w:val="2"/>
        </w:numPr>
        <w:spacing w:after="30" w:line="238"/>
      </w:pPr>
      <w:r>
        <w:rPr>
          <w:rFonts w:ascii="Arial" w:cs="Arial" w:eastAsia="Arial" w:hAnsi="Arial"/>
          <w:color w:val="1A1A1A"/>
          <w:sz w:val="19"/>
          <w:szCs w:val="19"/>
        </w:rPr>
        <w:t xml:space="preserve">Mentor and coach engineers across the function on evaluating non-deterministic systems.</w:t>
      </w:r>
    </w:p>
    <w:p>
      <w:pPr>
        <w:pStyle w:val="ListParagraph"/>
        <w:numPr>
          <w:ilvl w:val="0"/>
          <w:numId w:val="2"/>
        </w:numPr>
        <w:spacing w:after="30" w:line="238"/>
      </w:pPr>
      <w:r>
        <w:rPr>
          <w:rFonts w:ascii="Arial" w:cs="Arial" w:eastAsia="Arial" w:hAnsi="Arial"/>
          <w:color w:val="1A1A1A"/>
          <w:sz w:val="19"/>
          <w:szCs w:val="19"/>
        </w:rPr>
        <w:t xml:space="preserve">Provide technical leadership to projects spanning the platform, and be an escalation point for "how would we know".</w:t>
      </w:r>
    </w:p>
    <w:p>
      <w:pPr>
        <w:pStyle w:val="ListParagraph"/>
        <w:numPr>
          <w:ilvl w:val="0"/>
          <w:numId w:val="2"/>
        </w:numPr>
        <w:spacing w:after="30" w:line="238"/>
      </w:pPr>
      <w:r>
        <w:rPr>
          <w:rFonts w:ascii="Arial" w:cs="Arial" w:eastAsia="Arial" w:hAnsi="Arial"/>
          <w:color w:val="1A1A1A"/>
          <w:sz w:val="19"/>
          <w:szCs w:val="19"/>
        </w:rPr>
        <w:t xml:space="preserve">Make AI-assisted engineering the default across design, coding, testing, review and documentation, with clear standards for quality, security, licensing and human review.</w:t>
      </w:r>
    </w:p>
    <w:p>
      <w:pPr>
        <w:pStyle w:val="Heading1"/>
        <w:pBdr>
          <w:bottom w:val="single" w:color="E4002B" w:sz="8" w:space="4"/>
        </w:pBdr>
        <w:spacing w:after="70" w:before="170"/>
      </w:pPr>
      <w:r>
        <w:rPr>
          <w:rFonts w:ascii="Arial" w:cs="Arial" w:eastAsia="Arial" w:hAnsi="Arial"/>
          <w:b/>
          <w:bCs/>
          <w:color w:val="1A1A1A"/>
          <w:sz w:val="23"/>
          <w:szCs w:val="23"/>
        </w:rPr>
        <w:t xml:space="preserve">What you'll bring</w:t>
      </w:r>
    </w:p>
    <w:p>
      <w:pPr>
        <w:pStyle w:val="Heading2"/>
        <w:spacing w:after="44" w:before="112"/>
      </w:pPr>
      <w:r>
        <w:rPr>
          <w:rFonts w:ascii="Arial" w:cs="Arial" w:eastAsia="Arial" w:hAnsi="Arial"/>
          <w:b/>
          <w:bCs/>
          <w:color w:val="E4002B"/>
          <w:sz w:val="19"/>
          <w:szCs w:val="19"/>
        </w:rPr>
        <w:t xml:space="preserve">Engineering depth</w:t>
      </w:r>
    </w:p>
    <w:p>
      <w:pPr>
        <w:pStyle w:val="ListParagraph"/>
        <w:numPr>
          <w:ilvl w:val="0"/>
          <w:numId w:val="2"/>
        </w:numPr>
        <w:spacing w:after="30" w:line="238"/>
      </w:pPr>
      <w:r>
        <w:rPr>
          <w:rFonts w:ascii="Arial" w:cs="Arial" w:eastAsia="Arial" w:hAnsi="Arial"/>
          <w:color w:val="1A1A1A"/>
          <w:sz w:val="19"/>
          <w:szCs w:val="19"/>
        </w:rPr>
        <w:t xml:space="preserve">Specialised depth and breadth of expertise, built in test and evaluation engineering, quality engineering, model validation or a related discipline.</w:t>
      </w:r>
    </w:p>
    <w:p>
      <w:pPr>
        <w:pStyle w:val="ListParagraph"/>
        <w:numPr>
          <w:ilvl w:val="0"/>
          <w:numId w:val="2"/>
        </w:numPr>
        <w:spacing w:after="30" w:line="238"/>
      </w:pPr>
      <w:r>
        <w:rPr>
          <w:rFonts w:ascii="Arial" w:cs="Arial" w:eastAsia="Arial" w:hAnsi="Arial"/>
          <w:color w:val="1A1A1A"/>
          <w:sz w:val="19"/>
          <w:szCs w:val="19"/>
        </w:rPr>
        <w:t xml:space="preserve">Strong Python, and the judgement to set direction in the tooling the team standardises on.</w:t>
      </w:r>
    </w:p>
    <w:p>
      <w:pPr>
        <w:pStyle w:val="ListParagraph"/>
        <w:numPr>
          <w:ilvl w:val="0"/>
          <w:numId w:val="2"/>
        </w:numPr>
        <w:spacing w:after="30" w:line="238"/>
      </w:pPr>
      <w:r>
        <w:rPr>
          <w:rFonts w:ascii="Arial" w:cs="Arial" w:eastAsia="Arial" w:hAnsi="Arial"/>
          <w:color w:val="1A1A1A"/>
          <w:sz w:val="19"/>
          <w:szCs w:val="19"/>
        </w:rPr>
        <w:t xml:space="preserve">Test and evaluation engineering at depth, including designing a suite others rely on.</w:t>
      </w:r>
    </w:p>
    <w:p>
      <w:pPr>
        <w:pStyle w:val="ListParagraph"/>
        <w:numPr>
          <w:ilvl w:val="0"/>
          <w:numId w:val="2"/>
        </w:numPr>
        <w:spacing w:after="30" w:line="238"/>
      </w:pPr>
      <w:r>
        <w:rPr>
          <w:rFonts w:ascii="Arial" w:cs="Arial" w:eastAsia="Arial" w:hAnsi="Arial"/>
          <w:color w:val="1A1A1A"/>
          <w:sz w:val="19"/>
          <w:szCs w:val="19"/>
        </w:rPr>
        <w:t xml:space="preserve">Kubernetes and CI/CD to the depth needed to operate evaluation infrastructure at scale.</w:t>
      </w:r>
    </w:p>
    <w:p>
      <w:pPr>
        <w:pStyle w:val="Heading2"/>
        <w:spacing w:after="44" w:before="112"/>
      </w:pPr>
      <w:r>
        <w:rPr>
          <w:rFonts w:ascii="Arial" w:cs="Arial" w:eastAsia="Arial" w:hAnsi="Arial"/>
          <w:b/>
          <w:bCs/>
          <w:color w:val="E4002B"/>
          <w:sz w:val="19"/>
          <w:szCs w:val="19"/>
        </w:rPr>
        <w:t xml:space="preserve">Evaluation of AI systems</w:t>
      </w:r>
    </w:p>
    <w:p>
      <w:pPr>
        <w:pStyle w:val="ListParagraph"/>
        <w:numPr>
          <w:ilvl w:val="0"/>
          <w:numId w:val="2"/>
        </w:numPr>
        <w:spacing w:after="30" w:line="238"/>
      </w:pPr>
      <w:r>
        <w:rPr>
          <w:rFonts w:ascii="Arial" w:cs="Arial" w:eastAsia="Arial" w:hAnsi="Arial"/>
          <w:color w:val="1A1A1A"/>
          <w:sz w:val="19"/>
          <w:szCs w:val="19"/>
        </w:rPr>
        <w:t xml:space="preserve">LLM evaluation you have designed rather than executed: workload design, scoring, bias in scoring, and defending a methodology under challenge.</w:t>
      </w:r>
    </w:p>
    <w:p>
      <w:pPr>
        <w:pStyle w:val="ListParagraph"/>
        <w:numPr>
          <w:ilvl w:val="0"/>
          <w:numId w:val="2"/>
        </w:numPr>
        <w:spacing w:after="30" w:line="238"/>
      </w:pPr>
      <w:r>
        <w:rPr>
          <w:rFonts w:ascii="Arial" w:cs="Arial" w:eastAsia="Arial" w:hAnsi="Arial"/>
          <w:color w:val="1A1A1A"/>
          <w:sz w:val="19"/>
          <w:szCs w:val="19"/>
        </w:rPr>
        <w:t xml:space="preserve">Statistical rigour applied to non-deterministic systems, including calibration and the limits of what a sample supports.</w:t>
      </w:r>
    </w:p>
    <w:p>
      <w:pPr>
        <w:pStyle w:val="ListParagraph"/>
        <w:numPr>
          <w:ilvl w:val="0"/>
          <w:numId w:val="2"/>
        </w:numPr>
        <w:spacing w:after="30" w:line="238"/>
      </w:pPr>
      <w:r>
        <w:rPr>
          <w:rFonts w:ascii="Arial" w:cs="Arial" w:eastAsia="Arial" w:hAnsi="Arial"/>
          <w:color w:val="1A1A1A"/>
          <w:sz w:val="19"/>
          <w:szCs w:val="19"/>
        </w:rPr>
        <w:t xml:space="preserve">Evaluating agentic systems at depth: multi-step attribution, partial credit, failure prediction.</w:t>
      </w:r>
    </w:p>
    <w:p>
      <w:pPr>
        <w:pStyle w:val="ListParagraph"/>
        <w:numPr>
          <w:ilvl w:val="0"/>
          <w:numId w:val="2"/>
        </w:numPr>
        <w:spacing w:after="30" w:line="238"/>
      </w:pPr>
      <w:r>
        <w:rPr>
          <w:rFonts w:ascii="Arial" w:cs="Arial" w:eastAsia="Arial" w:hAnsi="Arial"/>
          <w:color w:val="1A1A1A"/>
          <w:sz w:val="19"/>
          <w:szCs w:val="19"/>
        </w:rPr>
        <w:t xml:space="preserve">Red-teaming and adversarial testing as a programme, not an exercise.</w:t>
      </w:r>
    </w:p>
    <w:p>
      <w:pPr>
        <w:pStyle w:val="ListParagraph"/>
        <w:numPr>
          <w:ilvl w:val="0"/>
          <w:numId w:val="2"/>
        </w:numPr>
        <w:spacing w:after="30" w:line="238"/>
      </w:pPr>
      <w:r>
        <w:rPr>
          <w:rFonts w:ascii="Arial" w:cs="Arial" w:eastAsia="Arial" w:hAnsi="Arial"/>
          <w:color w:val="1A1A1A"/>
          <w:sz w:val="19"/>
          <w:szCs w:val="19"/>
        </w:rPr>
        <w:t xml:space="preserve">Ground-truth operations at scale: labelling quality, inter-rater reliability, corpus drift.</w:t>
      </w:r>
    </w:p>
    <w:p>
      <w:pPr>
        <w:pStyle w:val="Heading2"/>
        <w:spacing w:after="44" w:before="112"/>
      </w:pPr>
      <w:r>
        <w:rPr>
          <w:rFonts w:ascii="Arial" w:cs="Arial" w:eastAsia="Arial" w:hAnsi="Arial"/>
          <w:b/>
          <w:bCs/>
          <w:color w:val="E4002B"/>
          <w:sz w:val="19"/>
          <w:szCs w:val="19"/>
        </w:rPr>
        <w:t xml:space="preserve">Regulated-environment judgement</w:t>
      </w:r>
    </w:p>
    <w:p>
      <w:pPr>
        <w:pStyle w:val="ListParagraph"/>
        <w:numPr>
          <w:ilvl w:val="0"/>
          <w:numId w:val="2"/>
        </w:numPr>
        <w:spacing w:after="30" w:line="238"/>
      </w:pPr>
      <w:r>
        <w:rPr>
          <w:rFonts w:ascii="Arial" w:cs="Arial" w:eastAsia="Arial" w:hAnsi="Arial"/>
          <w:color w:val="1A1A1A"/>
          <w:sz w:val="19"/>
          <w:szCs w:val="19"/>
        </w:rPr>
        <w:t xml:space="preserve">Substantial delivery inside regulated, audited or sovereign environments, and fluency in what auditors accept as evidence.</w:t>
      </w:r>
    </w:p>
    <w:p>
      <w:pPr>
        <w:pStyle w:val="ListParagraph"/>
        <w:numPr>
          <w:ilvl w:val="0"/>
          <w:numId w:val="2"/>
        </w:numPr>
        <w:spacing w:after="30" w:line="238"/>
      </w:pPr>
      <w:r>
        <w:rPr>
          <w:rFonts w:ascii="Arial" w:cs="Arial" w:eastAsia="Arial" w:hAnsi="Arial"/>
          <w:color w:val="1A1A1A"/>
          <w:sz w:val="19"/>
          <w:szCs w:val="19"/>
        </w:rPr>
        <w:t xml:space="preserve">Working knowledge of several assurance and control frameworks as things you have implemented against.</w:t>
      </w:r>
    </w:p>
    <w:p>
      <w:pPr>
        <w:pStyle w:val="ListParagraph"/>
        <w:numPr>
          <w:ilvl w:val="0"/>
          <w:numId w:val="2"/>
        </w:numPr>
        <w:spacing w:after="30" w:line="238"/>
      </w:pPr>
      <w:r>
        <w:rPr>
          <w:rFonts w:ascii="Arial" w:cs="Arial" w:eastAsia="Arial" w:hAnsi="Arial"/>
          <w:color w:val="1A1A1A"/>
          <w:sz w:val="19"/>
          <w:szCs w:val="19"/>
        </w:rPr>
        <w:t xml:space="preserve">The willingness to hold a release, and the standing to make it stick.</w:t>
      </w:r>
    </w:p>
    <w:p>
      <w:pPr>
        <w:pStyle w:val="ListParagraph"/>
        <w:numPr>
          <w:ilvl w:val="0"/>
          <w:numId w:val="2"/>
        </w:numPr>
        <w:spacing w:after="30" w:line="238"/>
      </w:pPr>
      <w:r>
        <w:rPr>
          <w:rFonts w:ascii="Arial" w:cs="Arial" w:eastAsia="Arial" w:hAnsi="Arial"/>
          <w:color w:val="1A1A1A"/>
          <w:sz w:val="19"/>
          <w:szCs w:val="19"/>
        </w:rPr>
        <w:t xml:space="preserve">Hands-on use of AI coding assistants in real engineering work.</w:t>
      </w:r>
    </w:p>
    <w:p>
      <w:pPr>
        <w:pStyle w:val="Heading1"/>
        <w:pBdr>
          <w:bottom w:val="single" w:color="E4002B" w:sz="8" w:space="4"/>
        </w:pBdr>
        <w:spacing w:after="70" w:before="170"/>
      </w:pPr>
      <w:r>
        <w:rPr>
          <w:rFonts w:ascii="Arial" w:cs="Arial" w:eastAsia="Arial" w:hAnsi="Arial"/>
          <w:b/>
          <w:bCs/>
          <w:color w:val="1A1A1A"/>
          <w:sz w:val="23"/>
          <w:szCs w:val="23"/>
        </w:rPr>
        <w:t xml:space="preserve">Nice to have</w:t>
      </w:r>
    </w:p>
    <w:p>
      <w:pPr>
        <w:pStyle w:val="ListParagraph"/>
        <w:numPr>
          <w:ilvl w:val="0"/>
          <w:numId w:val="2"/>
        </w:numPr>
        <w:spacing w:after="30" w:line="238"/>
      </w:pPr>
      <w:r>
        <w:rPr>
          <w:rFonts w:ascii="Arial" w:cs="Arial" w:eastAsia="Arial" w:hAnsi="Arial"/>
          <w:color w:val="1A1A1A"/>
          <w:sz w:val="19"/>
          <w:szCs w:val="19"/>
        </w:rPr>
        <w:t xml:space="preserve">Having led the evaluation workstream for an ISO/IEC 42001 or EU AI Act readiness effort.</w:t>
      </w:r>
    </w:p>
    <w:p>
      <w:pPr>
        <w:pStyle w:val="ListParagraph"/>
        <w:numPr>
          <w:ilvl w:val="0"/>
          <w:numId w:val="2"/>
        </w:numPr>
        <w:spacing w:after="30" w:line="238"/>
      </w:pPr>
      <w:r>
        <w:rPr>
          <w:rFonts w:ascii="Arial" w:cs="Arial" w:eastAsia="Arial" w:hAnsi="Arial"/>
          <w:color w:val="1A1A1A"/>
          <w:sz w:val="19"/>
          <w:szCs w:val="19"/>
        </w:rPr>
        <w:t xml:space="preserve">Formal methods, property-based testing, or safety-critical verification from aerospace, automotive or medical devices.</w:t>
      </w:r>
    </w:p>
    <w:p>
      <w:pPr>
        <w:pStyle w:val="ListParagraph"/>
        <w:numPr>
          <w:ilvl w:val="0"/>
          <w:numId w:val="2"/>
        </w:numPr>
        <w:spacing w:after="30" w:line="238"/>
      </w:pPr>
      <w:r>
        <w:rPr>
          <w:rFonts w:ascii="Arial" w:cs="Arial" w:eastAsia="Arial" w:hAnsi="Arial"/>
          <w:color w:val="1A1A1A"/>
          <w:sz w:val="19"/>
          <w:szCs w:val="19"/>
        </w:rPr>
        <w:t xml:space="preserve">Model risk management or model validation leadership in a regulated sector.</w:t>
      </w:r>
    </w:p>
    <w:p>
      <w:pPr>
        <w:pStyle w:val="ListParagraph"/>
        <w:numPr>
          <w:ilvl w:val="0"/>
          <w:numId w:val="2"/>
        </w:numPr>
        <w:spacing w:after="30" w:line="238"/>
      </w:pPr>
      <w:r>
        <w:rPr>
          <w:rFonts w:ascii="Arial" w:cs="Arial" w:eastAsia="Arial" w:hAnsi="Arial"/>
          <w:color w:val="1A1A1A"/>
          <w:sz w:val="19"/>
          <w:szCs w:val="19"/>
        </w:rPr>
        <w:t xml:space="preserve">Published evaluation work, or contributions to open-source evaluation frameworks.</w:t>
      </w:r>
    </w:p>
    <w:p>
      <w:pPr>
        <w:pStyle w:val="Heading1"/>
        <w:pBdr>
          <w:bottom w:val="single" w:color="E4002B" w:sz="8" w:space="4"/>
        </w:pBdr>
        <w:spacing w:after="70" w:before="170"/>
      </w:pPr>
      <w:r>
        <w:rPr>
          <w:rFonts w:ascii="Arial" w:cs="Arial" w:eastAsia="Arial" w:hAnsi="Arial"/>
          <w:b/>
          <w:bCs/>
          <w:color w:val="1A1A1A"/>
          <w:sz w:val="23"/>
          <w:szCs w:val="23"/>
        </w:rPr>
        <w:t xml:space="preserve">How we'll measure success</w:t>
      </w:r>
    </w:p>
    <w:p>
      <w:pPr>
        <w:pStyle w:val="ListParagraph"/>
        <w:numPr>
          <w:ilvl w:val="0"/>
          <w:numId w:val="2"/>
        </w:numPr>
        <w:spacing w:after="30" w:line="238"/>
      </w:pPr>
      <w:r>
        <w:rPr>
          <w:rFonts w:ascii="Arial" w:cs="Arial" w:eastAsia="Arial" w:hAnsi="Arial"/>
          <w:color w:val="1A1A1A"/>
          <w:sz w:val="19"/>
          <w:szCs w:val="19"/>
        </w:rPr>
        <w:t xml:space="preserve">Your area's evaluations are depended on across the platform and are not re-litigated.</w:t>
      </w:r>
    </w:p>
    <w:p>
      <w:pPr>
        <w:pStyle w:val="ListParagraph"/>
        <w:numPr>
          <w:ilvl w:val="0"/>
          <w:numId w:val="2"/>
        </w:numPr>
        <w:spacing w:after="30" w:line="238"/>
      </w:pPr>
      <w:r>
        <w:rPr>
          <w:rFonts w:ascii="Arial" w:cs="Arial" w:eastAsia="Arial" w:hAnsi="Arial"/>
          <w:color w:val="1A1A1A"/>
          <w:sz w:val="19"/>
          <w:szCs w:val="19"/>
        </w:rPr>
        <w:t xml:space="preserve">Step-level verification is in place and trusted enough to route and price against.</w:t>
      </w:r>
    </w:p>
    <w:p>
      <w:pPr>
        <w:pStyle w:val="ListParagraph"/>
        <w:numPr>
          <w:ilvl w:val="0"/>
          <w:numId w:val="2"/>
        </w:numPr>
        <w:spacing w:after="30" w:line="238"/>
      </w:pPr>
      <w:r>
        <w:rPr>
          <w:rFonts w:ascii="Arial" w:cs="Arial" w:eastAsia="Arial" w:hAnsi="Arial"/>
          <w:color w:val="1A1A1A"/>
          <w:sz w:val="19"/>
          <w:szCs w:val="19"/>
        </w:rPr>
        <w:t xml:space="preserve">Gates in your area block bad changes and rarely block good ones.</w:t>
      </w:r>
    </w:p>
    <w:p>
      <w:pPr>
        <w:pStyle w:val="ListParagraph"/>
        <w:numPr>
          <w:ilvl w:val="0"/>
          <w:numId w:val="2"/>
        </w:numPr>
        <w:spacing w:after="30" w:line="238"/>
      </w:pPr>
      <w:r>
        <w:rPr>
          <w:rFonts w:ascii="Arial" w:cs="Arial" w:eastAsia="Arial" w:hAnsi="Arial"/>
          <w:color w:val="1A1A1A"/>
          <w:sz w:val="19"/>
          <w:szCs w:val="19"/>
        </w:rPr>
        <w:t xml:space="preserve">Auditors and customers accept your methodology.</w:t>
      </w:r>
    </w:p>
    <w:p>
      <w:pPr>
        <w:pStyle w:val="ListParagraph"/>
        <w:numPr>
          <w:ilvl w:val="0"/>
          <w:numId w:val="2"/>
        </w:numPr>
        <w:spacing w:after="30" w:line="238"/>
      </w:pPr>
      <w:r>
        <w:rPr>
          <w:rFonts w:ascii="Arial" w:cs="Arial" w:eastAsia="Arial" w:hAnsi="Arial"/>
          <w:color w:val="1A1A1A"/>
          <w:sz w:val="19"/>
          <w:szCs w:val="19"/>
        </w:rPr>
        <w:t xml:space="preserve">Complex measurement problems are solved by the engineers you lead rather than by you alone.</w:t>
      </w:r>
    </w:p>
    <w:p>
      <w:pPr>
        <w:pStyle w:val="Heading1"/>
        <w:pBdr>
          <w:bottom w:val="single" w:color="E4002B" w:sz="8" w:space="4"/>
        </w:pBdr>
        <w:spacing w:after="70" w:before="170"/>
      </w:pPr>
      <w:r>
        <w:rPr>
          <w:rFonts w:ascii="Arial" w:cs="Arial" w:eastAsia="Arial" w:hAnsi="Arial"/>
          <w:b/>
          <w:bCs/>
          <w:color w:val="1A1A1A"/>
          <w:sz w:val="23"/>
          <w:szCs w:val="23"/>
        </w:rPr>
        <w:t xml:space="preserve">Technology you'll work with</w:t>
      </w:r>
    </w:p>
    <w:p>
      <w:pPr>
        <w:spacing w:after="80" w:line="242"/>
      </w:pPr>
      <w:r>
        <w:rPr>
          <w:rFonts w:ascii="Arial" w:cs="Arial" w:eastAsia="Arial" w:hAnsi="Arial"/>
          <w:color w:val="1A1A1A"/>
          <w:sz w:val="19"/>
          <w:szCs w:val="19"/>
        </w:rPr>
        <w:t xml:space="preserve">Python and Go  ·  Evaluation frameworks and harnesses  ·  CI/CD and release gating  ·  Kubernetes  ·  Statistical analysis tooling  ·  Red-teaming and adversarial testing tooling  ·  Ground-truth and annotation pipelines  ·  OpenTelemetry / Prometheus / Grafana  ·  Provenance and audit tooling  ·  AWS  ·  Private and sovereign cloud  ·  AI-assisted development tooling (Claude Code, Kiro, Codex, GitHub Copilot)</w:t>
      </w:r>
    </w:p>
    <w:p>
      <w:pPr>
        <w:pStyle w:val="Heading1"/>
        <w:pBdr>
          <w:bottom w:val="single" w:color="E4002B" w:sz="8" w:space="4"/>
        </w:pBdr>
        <w:spacing w:after="70" w:before="170"/>
      </w:pPr>
      <w:r>
        <w:rPr>
          <w:rFonts w:ascii="Arial" w:cs="Arial" w:eastAsia="Arial" w:hAnsi="Arial"/>
          <w:b/>
          <w:bCs/>
          <w:color w:val="1A1A1A"/>
          <w:sz w:val="23"/>
          <w:szCs w:val="23"/>
        </w:rPr>
        <w:t xml:space="preserve">Career level and requirements</w:t>
      </w:r>
    </w:p>
    <w:p>
      <w:pPr>
        <w:spacing w:after="40" w:line="238"/>
      </w:pPr>
      <w:r>
        <w:rPr>
          <w:rFonts w:ascii="Arial" w:cs="Arial" w:eastAsia="Arial" w:hAnsi="Arial"/>
          <w:b/>
          <w:bCs/>
          <w:color w:val="1A1A1A"/>
          <w:sz w:val="19"/>
          <w:szCs w:val="19"/>
        </w:rPr>
        <w:t xml:space="preserve">Level: </w:t>
      </w:r>
      <w:r>
        <w:rPr>
          <w:rFonts w:ascii="Arial" w:cs="Arial" w:eastAsia="Arial" w:hAnsi="Arial"/>
          <w:color w:val="1A1A1A"/>
          <w:sz w:val="19"/>
          <w:szCs w:val="19"/>
        </w:rPr>
        <w:t xml:space="preserve">Level IV — Leading — mentors others and completes highly complex work with an eye to creating efficiencies for the team</w:t>
      </w:r>
    </w:p>
    <w:p>
      <w:pPr>
        <w:spacing w:after="40" w:line="238"/>
      </w:pPr>
      <w:r>
        <w:rPr>
          <w:rFonts w:ascii="Arial" w:cs="Arial" w:eastAsia="Arial" w:hAnsi="Arial"/>
          <w:b/>
          <w:bCs/>
          <w:color w:val="1A1A1A"/>
          <w:sz w:val="19"/>
          <w:szCs w:val="19"/>
        </w:rPr>
        <w:t xml:space="preserve">Career level: </w:t>
      </w:r>
      <w:r>
        <w:rPr>
          <w:rFonts w:ascii="Arial" w:cs="Arial" w:eastAsia="Arial" w:hAnsi="Arial"/>
          <w:color w:val="1A1A1A"/>
          <w:sz w:val="19"/>
          <w:szCs w:val="19"/>
        </w:rPr>
        <w:t xml:space="preserve">Specialised depth and breadth of expertise in own discipline. Leads others to solve complex problems, works independently with guidance only in the most complex situations, and may provide functional leadership to teams or projects.</w:t>
      </w:r>
    </w:p>
    <w:p>
      <w:pPr>
        <w:spacing w:after="40" w:line="238"/>
      </w:pPr>
      <w:r>
        <w:rPr>
          <w:rFonts w:ascii="Arial" w:cs="Arial" w:eastAsia="Arial" w:hAnsi="Arial"/>
          <w:b/>
          <w:bCs/>
          <w:color w:val="1A1A1A"/>
          <w:sz w:val="19"/>
          <w:szCs w:val="19"/>
        </w:rPr>
        <w:t xml:space="preserve">Experience: </w:t>
      </w:r>
      <w:r>
        <w:rPr>
          <w:rFonts w:ascii="Arial" w:cs="Arial" w:eastAsia="Arial" w:hAnsi="Arial"/>
          <w:color w:val="1A1A1A"/>
          <w:sz w:val="19"/>
          <w:szCs w:val="19"/>
        </w:rPr>
        <w:t xml:space="preserve">8 – 11 years in the underlying engineering discipline, including at least 2 years applied to AI systems.</w:t>
      </w:r>
    </w:p>
    <w:p>
      <w:pPr>
        <w:spacing w:after="40" w:line="238"/>
      </w:pPr>
      <w:r>
        <w:rPr>
          <w:rFonts w:ascii="Arial" w:cs="Arial" w:eastAsia="Arial" w:hAnsi="Arial"/>
          <w:b/>
          <w:bCs/>
          <w:color w:val="1A1A1A"/>
          <w:sz w:val="19"/>
          <w:szCs w:val="19"/>
        </w:rPr>
        <w:t xml:space="preserve">Education: </w:t>
      </w:r>
      <w:r>
        <w:rPr>
          <w:rFonts w:ascii="Arial" w:cs="Arial" w:eastAsia="Arial" w:hAnsi="Arial"/>
          <w:color w:val="1A1A1A"/>
          <w:sz w:val="19"/>
          <w:szCs w:val="19"/>
        </w:rPr>
        <w:t xml:space="preserve">Bachelor's Degree preferred in a field related to the role; additional relevant experience may substitute at the manager's discretion.</w:t>
      </w:r>
    </w:p>
    <w:p>
      <w:pPr>
        <w:spacing w:after="40" w:line="238"/>
      </w:pPr>
      <w:r>
        <w:rPr>
          <w:rFonts w:ascii="Arial" w:cs="Arial" w:eastAsia="Arial" w:hAnsi="Arial"/>
          <w:b/>
          <w:bCs/>
          <w:color w:val="1A1A1A"/>
          <w:sz w:val="19"/>
          <w:szCs w:val="19"/>
        </w:rPr>
        <w:t xml:space="preserve">Working pattern: </w:t>
      </w:r>
      <w:r>
        <w:rPr>
          <w:rFonts w:ascii="Arial" w:cs="Arial" w:eastAsia="Arial" w:hAnsi="Arial"/>
          <w:color w:val="1A1A1A"/>
          <w:sz w:val="19"/>
          <w:szCs w:val="19"/>
        </w:rPr>
        <w:t xml:space="preserve">Shift, on-call or alternative schedule may apply. No travel required.</w:t>
      </w:r>
    </w:p>
    <w:sectPr>
      <w:footerReference w:type="default" r:id="rId7"/>
      <w:pgSz w:w="11906" w:h="16838" w:orient="portrait"/>
      <w:pgMar w:top="760" w:right="960" w:bottom="7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rFonts w:ascii="Arial" w:cs="Arial" w:eastAsia="Arial" w:hAnsi="Arial"/>
        <w:color w:val="595959"/>
        <w:sz w:val="14"/>
        <w:szCs w:val="14"/>
      </w:rPr>
      <w:t xml:space="preserve">Rackspace Technology  ·  Confidential — Internal use only</w:t>
    </w:r>
    <w:r>
      <w:rPr>
        <w:rFonts w:ascii="Arial" w:cs="Arial" w:eastAsia="Arial" w:hAnsi="Arial"/>
        <w:sz w:val="14"/>
        <w:szCs w:val="14"/>
      </w:rPr>
      <w:t xml:space="preserve">	</w:t>
    </w:r>
    <w:r>
      <w:rPr>
        <w:rFonts w:ascii="Arial" w:cs="Arial" w:eastAsia="Arial" w:hAnsi="Arial"/>
        <w:color w:val="595959"/>
        <w:sz w:val="14"/>
        <w:szCs w:val="14"/>
      </w:rPr>
      <w:t xml:space="preserve">Page </w:t>
    </w:r>
    <w:r>
      <w:rPr>
        <w:rFonts w:ascii="Arial" w:cs="Arial" w:eastAsia="Arial" w:hAnsi="Arial"/>
        <w:color w:val="59595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rPr>
        <w:rFonts w:ascii="Arial" w:cs="Arial" w:eastAsia="Arial" w:hAnsi="Arial"/>
        <w:color w:val="E400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2C14B45DD4C644BC96213ACB087480" ma:contentTypeVersion="3" ma:contentTypeDescription="Create a new document." ma:contentTypeScope="" ma:versionID="a73f04db5aba893f1d779be7421a2bb8">
  <xsd:schema xmlns:xsd="http://www.w3.org/2001/XMLSchema" xmlns:xs="http://www.w3.org/2001/XMLSchema" xmlns:p="http://schemas.microsoft.com/office/2006/metadata/properties" xmlns:ns2="39c84f24-a008-4cce-bb9c-5ad717601f75" targetNamespace="http://schemas.microsoft.com/office/2006/metadata/properties" ma:root="true" ma:fieldsID="7a3862965fe48b1ad119faff3af803b7" ns2:_="">
    <xsd:import namespace="39c84f24-a008-4cce-bb9c-5ad717601f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c84f24-a008-4cce-bb9c-5ad717601f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B4FCA9-3033-4EFE-B444-BD4B0BDCB467}"/>
</file>

<file path=customXml/itemProps2.xml><?xml version="1.0" encoding="utf-8"?>
<ds:datastoreItem xmlns:ds="http://schemas.openxmlformats.org/officeDocument/2006/customXml" ds:itemID="{51C94F8D-18C1-4E2F-B457-6C806C7C9FAE}"/>
</file>

<file path=customXml/itemProps3.xml><?xml version="1.0" encoding="utf-8"?>
<ds:datastoreItem xmlns:ds="http://schemas.openxmlformats.org/officeDocument/2006/customXml" ds:itemID="{6524611E-1470-4070-B18A-F7C555D5076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Assurance Engineer IV — RackAI</dc:title>
  <dc:creator>Rackspace Technology</dc:creator>
  <cp:lastModifiedBy>Un-named</cp:lastModifiedBy>
  <cp:revision>1</cp:revision>
  <dcterms:created xsi:type="dcterms:W3CDTF">2026-09-15T00:25:46Z</dcterms:created>
  <dcterms:modified xsi:type="dcterms:W3CDTF">2026-09-15T00:25:46Z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0x010100432C14B45DD4C644BC96213ACB087480</vt:lpwstr>
  </property>
</Properties>
</file>