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80"/>
        <w:tblBorders>
          <w:top w:val="none" w:color="FFFFFF" w:sz="0"/>
          <w:left w:val="none" w:color="FFFFFF" w:sz="0"/>
          <w:bottom w:val="single" w:color="E4002B" w:sz="18"/>
          <w:right w:val="none" w:color="FFFFFF" w:sz="0"/>
          <w:insideH w:val="none" w:color="FFFFFF" w:sz="0"/>
          <w:insideV w:val="none" w:color="FFFFFF" w:sz="0"/>
        </w:tblBorders>
      </w:tblPr>
      <w:tblGrid>
        <w:gridCol w:w="4840"/>
        <w:gridCol w:w="4840"/>
      </w:tblGrid>
      <w:tr>
        <w:tc>
          <w:tcPr>
            <w:tcW w:type="dxa" w:w="4840"/>
            <w:tcMar>
              <w:top w:type="dxa" w:w="40"/>
              <w:left w:type="dxa" w:w="0"/>
              <w:bottom w:type="dxa" w:w="100"/>
              <w:right w:type="dxa" w:w="0"/>
            </w:tcMar>
          </w:tcPr>
          <w:p>
            <w:r>
              <w:rPr>
                <w:rFonts w:ascii="Arial" w:cs="Arial" w:eastAsia="Arial" w:hAnsi="Arial"/>
                <w:b/>
                <w:bCs/>
                <w:color w:val="1A1A1A"/>
                <w:sz w:val="26"/>
                <w:szCs w:val="26"/>
              </w:rPr>
              <w:t xml:space="preserve">rackspace</w:t>
            </w:r>
            <w:r>
              <w:rPr>
                <w:rFonts w:ascii="Arial" w:cs="Arial" w:eastAsia="Arial" w:hAnsi="Arial"/>
                <w:color w:val="595959"/>
                <w:sz w:val="26"/>
                <w:szCs w:val="26"/>
              </w:rPr>
              <w:t xml:space="preserve"> technology</w:t>
            </w:r>
          </w:p>
        </w:tc>
        <w:tc>
          <w:tcPr>
            <w:tcW w:type="dxa" w:w="4840"/>
            <w:tcMar>
              <w:top w:type="dxa" w:w="40"/>
              <w:left w:type="dxa" w:w="0"/>
              <w:bottom w:type="dxa" w:w="100"/>
              <w:right w:type="dxa" w:w="0"/>
            </w:tcMar>
          </w:tcPr>
          <w:p>
            <w:pPr>
              <w:jc w:val="right"/>
            </w:pPr>
            <w:r>
              <w:rPr>
                <w:rFonts w:ascii="Arial" w:cs="Arial" w:eastAsia="Arial" w:hAnsi="Arial"/>
                <w:b/>
                <w:bCs/>
                <w:color w:val="E4002B"/>
                <w:sz w:val="16"/>
                <w:szCs w:val="16"/>
              </w:rPr>
              <w:t xml:space="preserve">CAREERS  ·  ENGINEERING  ·  FOR INTERNAL POSTING</w:t>
            </w:r>
          </w:p>
        </w:tc>
      </w:tr>
    </w:tbl>
    <w:p>
      <w:pPr>
        <w:spacing w:after="40" w:before="240"/>
      </w:pPr>
      <w:r>
        <w:rPr>
          <w:rFonts w:ascii="Arial" w:cs="Arial" w:eastAsia="Arial" w:hAnsi="Arial"/>
          <w:b/>
          <w:bCs/>
          <w:color w:val="1A1A1A"/>
          <w:sz w:val="36"/>
          <w:szCs w:val="36"/>
        </w:rPr>
        <w:t xml:space="preserve">AI Assurance Engineer I</w:t>
      </w:r>
    </w:p>
    <w:p>
      <w:pPr>
        <w:spacing w:after="30"/>
      </w:pPr>
      <w:r>
        <w:rPr>
          <w:rFonts w:ascii="Arial" w:cs="Arial" w:eastAsia="Arial" w:hAnsi="Arial"/>
          <w:b/>
          <w:bCs/>
          <w:caps/>
          <w:color w:val="E4002B"/>
          <w:sz w:val="20"/>
          <w:szCs w:val="20"/>
        </w:rPr>
        <w:t xml:space="preserve">AI Assurance Engineering  ·  Evaluation, Verification and Release Gating</w:t>
      </w:r>
    </w:p>
    <w:p>
      <w:pPr>
        <w:pBdr>
          <w:bottom w:val="single" w:color="D9D9D9" w:sz="6" w:space="6"/>
        </w:pBdr>
        <w:spacing w:after="180"/>
      </w:pPr>
      <w:r>
        <w:rPr>
          <w:rFonts w:ascii="Arial" w:cs="Arial" w:eastAsia="Arial" w:hAnsi="Arial"/>
          <w:color w:val="595959"/>
          <w:sz w:val="16"/>
          <w:szCs w:val="16"/>
        </w:rPr>
        <w:t xml:space="preserve">Individual Contributor  ·  RackAI Product and Engineering  ·  Remote / Hybrid  ·  Reports to Director, AI Harness, Orchestration and Governance</w:t>
      </w:r>
    </w:p>
    <w:p>
      <w:pPr>
        <w:pStyle w:val="Heading1"/>
        <w:pBdr>
          <w:bottom w:val="single" w:color="E4002B" w:sz="8" w:space="4"/>
        </w:pBdr>
        <w:spacing w:after="70" w:before="170"/>
      </w:pPr>
      <w:r>
        <w:rPr>
          <w:rFonts w:ascii="Arial" w:cs="Arial" w:eastAsia="Arial" w:hAnsi="Arial"/>
          <w:b/>
          <w:bCs/>
          <w:color w:val="1A1A1A"/>
          <w:sz w:val="23"/>
          <w:szCs w:val="23"/>
        </w:rPr>
        <w:t xml:space="preserve">About the opportunity</w:t>
      </w:r>
    </w:p>
    <w:p>
      <w:pPr>
        <w:spacing w:after="80" w:line="242"/>
      </w:pPr>
      <w:r>
        <w:rPr>
          <w:rFonts w:ascii="Arial" w:cs="Arial" w:eastAsia="Arial" w:hAnsi="Arial"/>
          <w:color w:val="1A1A1A"/>
          <w:sz w:val="19"/>
          <w:szCs w:val="19"/>
        </w:rPr>
        <w:t xml:space="preserve">RackAI is Rackspace's managed AI inference platform, built for the private and sovereign environments where regulated enterprises can actually run AI. Selling that to a regulated buyer means proving, on demand, that the system does what we say it does — and proving anything about a non-deterministic system is a hard engineering problem in its own right. AI Assurance Engineers build that proof.</w:t>
      </w:r>
    </w:p>
    <w:p>
      <w:pPr>
        <w:spacing w:after="80" w:line="242"/>
      </w:pPr>
      <w:r>
        <w:rPr>
          <w:rFonts w:ascii="Arial" w:cs="Arial" w:eastAsia="Arial" w:hAnsi="Arial"/>
          <w:color w:val="1A1A1A"/>
          <w:sz w:val="19"/>
          <w:szCs w:val="19"/>
        </w:rPr>
        <w:t xml:space="preserve">As an AI Assurance Engineer I you will learn the discipline by building parts of it. You will work on well-defined pieces of the evaluation and testing suite, following existing procedures and taking direction from more senior engineers on the team.</w:t>
      </w:r>
    </w:p>
    <w:p>
      <w:pPr>
        <w:spacing w:after="80" w:line="242"/>
      </w:pPr>
      <w:r>
        <w:rPr>
          <w:rFonts w:ascii="Arial" w:cs="Arial" w:eastAsia="Arial" w:hAnsi="Arial"/>
          <w:color w:val="1A1A1A"/>
          <w:sz w:val="19"/>
          <w:szCs w:val="19"/>
        </w:rPr>
        <w:t xml:space="preserve">You will sit in a team that includes a Principal Engineer who builds the evaluation framework as a platform capability and AI Governance Engineers who build the controls. Your work is the measurement. Expect close review, and expect to learn quickly.</w:t>
      </w:r>
    </w:p>
    <w:p>
      <w:pPr>
        <w:pStyle w:val="Heading1"/>
        <w:pBdr>
          <w:bottom w:val="single" w:color="E4002B" w:sz="8" w:space="4"/>
        </w:pBdr>
        <w:spacing w:after="70" w:before="170"/>
      </w:pPr>
      <w:r>
        <w:rPr>
          <w:rFonts w:ascii="Arial" w:cs="Arial" w:eastAsia="Arial" w:hAnsi="Arial"/>
          <w:b/>
          <w:bCs/>
          <w:color w:val="1A1A1A"/>
          <w:sz w:val="23"/>
          <w:szCs w:val="23"/>
        </w:rPr>
        <w:t xml:space="preserve">Why RackAI</w:t>
      </w:r>
    </w:p>
    <w:p>
      <w:pPr>
        <w:spacing w:after="80" w:line="242"/>
      </w:pPr>
      <w:r>
        <w:rPr>
          <w:rFonts w:ascii="Arial" w:cs="Arial" w:eastAsia="Arial" w:hAnsi="Arial"/>
          <w:color w:val="1A1A1A"/>
          <w:sz w:val="19"/>
          <w:szCs w:val="19"/>
        </w:rPr>
        <w:t xml:space="preserve">Evaluation has become the bottleneck on enterprise AI, and engineers who can do it rigorously are scarce.</w:t>
      </w:r>
    </w:p>
    <w:p>
      <w:pPr>
        <w:spacing w:after="80" w:line="242"/>
      </w:pPr>
      <w:r>
        <w:rPr>
          <w:rFonts w:ascii="Arial" w:cs="Arial" w:eastAsia="Arial" w:hAnsi="Arial"/>
          <w:color w:val="1A1A1A"/>
          <w:sz w:val="19"/>
          <w:szCs w:val="19"/>
        </w:rPr>
        <w:t xml:space="preserve">Anyone can demo a model. Very few organisations can say, with evidence a regulator or a sceptical customer would accept, that a change to a model or a prompt did not break anything — and under frameworks like ISO/IEC 42001 and the EU AI Act, that evidence is becoming a requirement rather than good practice. The measurement built here decides what ships, and records where each model is reliable and what it costs from real operating data rather than public benchmarks.</w:t>
      </w:r>
    </w:p>
    <w:p>
      <w:pPr>
        <w:spacing w:after="80" w:line="242"/>
      </w:pPr>
      <w:r>
        <w:rPr>
          <w:rFonts w:ascii="Arial" w:cs="Arial" w:eastAsia="Arial" w:hAnsi="Arial"/>
          <w:b w:val="false"/>
          <w:bCs w:val="false"/>
          <w:color w:val="1A1A1A"/>
          <w:sz w:val="19"/>
          <w:szCs w:val="19"/>
        </w:rPr>
        <w:t xml:space="preserve">And we work the way we build: </w:t>
      </w:r>
      <w:r>
        <w:rPr>
          <w:rFonts w:ascii="Arial" w:cs="Arial" w:eastAsia="Arial" w:hAnsi="Arial"/>
          <w:b/>
          <w:bCs/>
          <w:color w:val="1A1A1A"/>
          <w:sz w:val="19"/>
          <w:szCs w:val="19"/>
        </w:rPr>
        <w:t xml:space="preserve">we build AI, and we build with AI.</w:t>
      </w:r>
      <w:r>
        <w:rPr>
          <w:rFonts w:ascii="Arial" w:cs="Arial" w:eastAsia="Arial" w:hAnsi="Arial"/>
          <w:b w:val="false"/>
          <w:bCs w:val="false"/>
          <w:color w:val="1A1A1A"/>
          <w:sz w:val="19"/>
          <w:szCs w:val="19"/>
        </w:rPr>
        <w:t xml:space="preserve"> If you want to learn AI evaluation somewhere it genuinely matters, this is an unusually good place to start.</w:t>
      </w:r>
    </w:p>
    <w:p>
      <w:pPr>
        <w:pStyle w:val="Heading1"/>
        <w:pBdr>
          <w:bottom w:val="single" w:color="E4002B" w:sz="8" w:space="4"/>
        </w:pBdr>
        <w:spacing w:after="70" w:before="170"/>
      </w:pPr>
      <w:r>
        <w:rPr>
          <w:rFonts w:ascii="Arial" w:cs="Arial" w:eastAsia="Arial" w:hAnsi="Arial"/>
          <w:b/>
          <w:bCs/>
          <w:color w:val="1A1A1A"/>
          <w:sz w:val="23"/>
          <w:szCs w:val="23"/>
        </w:rPr>
        <w:t xml:space="preserve">What you'll do</w:t>
      </w:r>
    </w:p>
    <w:p>
      <w:pPr>
        <w:pStyle w:val="Heading2"/>
        <w:spacing w:after="44" w:before="112"/>
      </w:pPr>
      <w:r>
        <w:rPr>
          <w:rFonts w:ascii="Arial" w:cs="Arial" w:eastAsia="Arial" w:hAnsi="Arial"/>
          <w:b/>
          <w:bCs/>
          <w:color w:val="E4002B"/>
          <w:sz w:val="19"/>
          <w:szCs w:val="19"/>
        </w:rPr>
        <w:t xml:space="preserve">Build and maintain evaluations</w:t>
      </w:r>
    </w:p>
    <w:p>
      <w:pPr>
        <w:pStyle w:val="ListParagraph"/>
        <w:numPr>
          <w:ilvl w:val="0"/>
          <w:numId w:val="2"/>
        </w:numPr>
        <w:spacing w:after="30" w:line="238"/>
      </w:pPr>
      <w:r>
        <w:rPr>
          <w:rFonts w:ascii="Arial" w:cs="Arial" w:eastAsia="Arial" w:hAnsi="Arial"/>
          <w:color w:val="1A1A1A"/>
          <w:sz w:val="19"/>
          <w:szCs w:val="19"/>
        </w:rPr>
        <w:t xml:space="preserve">Implement and maintain evaluation cases and checks against established patterns, with review from senior engineers.</w:t>
      </w:r>
    </w:p>
    <w:p>
      <w:pPr>
        <w:pStyle w:val="ListParagraph"/>
        <w:numPr>
          <w:ilvl w:val="0"/>
          <w:numId w:val="2"/>
        </w:numPr>
        <w:spacing w:after="30" w:line="238"/>
      </w:pPr>
      <w:r>
        <w:rPr>
          <w:rFonts w:ascii="Arial" w:cs="Arial" w:eastAsia="Arial" w:hAnsi="Arial"/>
          <w:color w:val="1A1A1A"/>
          <w:sz w:val="19"/>
          <w:szCs w:val="19"/>
        </w:rPr>
        <w:t xml:space="preserve">Contribute to the regression suite: adding cases, keeping them passing, and investigating failures.</w:t>
      </w:r>
    </w:p>
    <w:p>
      <w:pPr>
        <w:pStyle w:val="ListParagraph"/>
        <w:numPr>
          <w:ilvl w:val="0"/>
          <w:numId w:val="2"/>
        </w:numPr>
        <w:spacing w:after="30" w:line="238"/>
      </w:pPr>
      <w:r>
        <w:rPr>
          <w:rFonts w:ascii="Arial" w:cs="Arial" w:eastAsia="Arial" w:hAnsi="Arial"/>
          <w:color w:val="1A1A1A"/>
          <w:sz w:val="19"/>
          <w:szCs w:val="19"/>
        </w:rPr>
        <w:t xml:space="preserve">Help curate the ground-truth data evaluations score against, including labelling and spot-checking.</w:t>
      </w:r>
    </w:p>
    <w:p>
      <w:pPr>
        <w:pStyle w:val="ListParagraph"/>
        <w:numPr>
          <w:ilvl w:val="0"/>
          <w:numId w:val="2"/>
        </w:numPr>
        <w:spacing w:after="30" w:line="238"/>
      </w:pPr>
      <w:r>
        <w:rPr>
          <w:rFonts w:ascii="Arial" w:cs="Arial" w:eastAsia="Arial" w:hAnsi="Arial"/>
          <w:color w:val="1A1A1A"/>
          <w:sz w:val="19"/>
          <w:szCs w:val="19"/>
        </w:rPr>
        <w:t xml:space="preserve">Write and maintain the test automation that runs it all in CI.</w:t>
      </w:r>
    </w:p>
    <w:p>
      <w:pPr>
        <w:pStyle w:val="ListParagraph"/>
        <w:numPr>
          <w:ilvl w:val="0"/>
          <w:numId w:val="2"/>
        </w:numPr>
        <w:spacing w:after="30" w:line="238"/>
      </w:pPr>
      <w:r>
        <w:rPr>
          <w:rFonts w:ascii="Arial" w:cs="Arial" w:eastAsia="Arial" w:hAnsi="Arial"/>
          <w:color w:val="1A1A1A"/>
          <w:sz w:val="19"/>
          <w:szCs w:val="19"/>
        </w:rPr>
        <w:t xml:space="preserve">Reproduce reported defects and turn them into permanent regression cases.</w:t>
      </w:r>
    </w:p>
    <w:p>
      <w:pPr>
        <w:pStyle w:val="Heading2"/>
        <w:spacing w:after="44" w:before="112"/>
      </w:pPr>
      <w:r>
        <w:rPr>
          <w:rFonts w:ascii="Arial" w:cs="Arial" w:eastAsia="Arial" w:hAnsi="Arial"/>
          <w:b/>
          <w:bCs/>
          <w:color w:val="E4002B"/>
          <w:sz w:val="19"/>
          <w:szCs w:val="19"/>
        </w:rPr>
        <w:t xml:space="preserve">Support release and compliance work</w:t>
      </w:r>
    </w:p>
    <w:p>
      <w:pPr>
        <w:pStyle w:val="ListParagraph"/>
        <w:numPr>
          <w:ilvl w:val="0"/>
          <w:numId w:val="2"/>
        </w:numPr>
        <w:spacing w:after="30" w:line="238"/>
      </w:pPr>
      <w:r>
        <w:rPr>
          <w:rFonts w:ascii="Arial" w:cs="Arial" w:eastAsia="Arial" w:hAnsi="Arial"/>
          <w:color w:val="1A1A1A"/>
          <w:sz w:val="19"/>
          <w:szCs w:val="19"/>
        </w:rPr>
        <w:t xml:space="preserve">Produce the evaluation reports and evidence artefacts asked of you, accurately and on time.</w:t>
      </w:r>
    </w:p>
    <w:p>
      <w:pPr>
        <w:pStyle w:val="ListParagraph"/>
        <w:numPr>
          <w:ilvl w:val="0"/>
          <w:numId w:val="2"/>
        </w:numPr>
        <w:spacing w:after="30" w:line="238"/>
      </w:pPr>
      <w:r>
        <w:rPr>
          <w:rFonts w:ascii="Arial" w:cs="Arial" w:eastAsia="Arial" w:hAnsi="Arial"/>
          <w:color w:val="1A1A1A"/>
          <w:sz w:val="19"/>
          <w:szCs w:val="19"/>
        </w:rPr>
        <w:t xml:space="preserve">Help maintain the record of what was tested, on which version, with what result.</w:t>
      </w:r>
    </w:p>
    <w:p>
      <w:pPr>
        <w:pStyle w:val="ListParagraph"/>
        <w:numPr>
          <w:ilvl w:val="0"/>
          <w:numId w:val="2"/>
        </w:numPr>
        <w:spacing w:after="30" w:line="238"/>
      </w:pPr>
      <w:r>
        <w:rPr>
          <w:rFonts w:ascii="Arial" w:cs="Arial" w:eastAsia="Arial" w:hAnsi="Arial"/>
          <w:color w:val="1A1A1A"/>
          <w:sz w:val="19"/>
          <w:szCs w:val="19"/>
        </w:rPr>
        <w:t xml:space="preserve">Learn the control frameworks the platform is certified against, and what evidence each requires.</w:t>
      </w:r>
    </w:p>
    <w:p>
      <w:pPr>
        <w:pStyle w:val="Heading2"/>
        <w:spacing w:after="44" w:before="112"/>
      </w:pPr>
      <w:r>
        <w:rPr>
          <w:rFonts w:ascii="Arial" w:cs="Arial" w:eastAsia="Arial" w:hAnsi="Arial"/>
          <w:b/>
          <w:bCs/>
          <w:color w:val="E4002B"/>
          <w:sz w:val="19"/>
          <w:szCs w:val="19"/>
        </w:rPr>
        <w:t xml:space="preserve">Learn the platform and the craft</w:t>
      </w:r>
    </w:p>
    <w:p>
      <w:pPr>
        <w:pStyle w:val="ListParagraph"/>
        <w:numPr>
          <w:ilvl w:val="0"/>
          <w:numId w:val="2"/>
        </w:numPr>
        <w:spacing w:after="30" w:line="238"/>
      </w:pPr>
      <w:r>
        <w:rPr>
          <w:rFonts w:ascii="Arial" w:cs="Arial" w:eastAsia="Arial" w:hAnsi="Arial"/>
          <w:color w:val="1A1A1A"/>
          <w:sz w:val="19"/>
          <w:szCs w:val="19"/>
        </w:rPr>
        <w:t xml:space="preserve">Learn how serving, harness, orchestration and governance fit together, and where each tends to fail.</w:t>
      </w:r>
    </w:p>
    <w:p>
      <w:pPr>
        <w:pStyle w:val="ListParagraph"/>
        <w:numPr>
          <w:ilvl w:val="0"/>
          <w:numId w:val="2"/>
        </w:numPr>
        <w:spacing w:after="30" w:line="238"/>
      </w:pPr>
      <w:r>
        <w:rPr>
          <w:rFonts w:ascii="Arial" w:cs="Arial" w:eastAsia="Arial" w:hAnsi="Arial"/>
          <w:color w:val="1A1A1A"/>
          <w:sz w:val="19"/>
          <w:szCs w:val="19"/>
        </w:rPr>
        <w:t xml:space="preserve">Learn why a passing evaluation can still be a bad evaluation — sample size, leakage, and scoring that flatters.</w:t>
      </w:r>
    </w:p>
    <w:p>
      <w:pPr>
        <w:pStyle w:val="ListParagraph"/>
        <w:numPr>
          <w:ilvl w:val="0"/>
          <w:numId w:val="2"/>
        </w:numPr>
        <w:spacing w:after="30" w:line="238"/>
      </w:pPr>
      <w:r>
        <w:rPr>
          <w:rFonts w:ascii="Arial" w:cs="Arial" w:eastAsia="Arial" w:hAnsi="Arial"/>
          <w:color w:val="1A1A1A"/>
          <w:sz w:val="19"/>
          <w:szCs w:val="19"/>
        </w:rPr>
        <w:t xml:space="preserve">Ask for review early and often, and treat feedback on design and code as the fastest route to getting better.</w:t>
      </w:r>
    </w:p>
    <w:p>
      <w:pPr>
        <w:pStyle w:val="ListParagraph"/>
        <w:numPr>
          <w:ilvl w:val="0"/>
          <w:numId w:val="2"/>
        </w:numPr>
        <w:spacing w:after="30" w:line="238"/>
      </w:pPr>
      <w:r>
        <w:rPr>
          <w:rFonts w:ascii="Arial" w:cs="Arial" w:eastAsia="Arial" w:hAnsi="Arial"/>
          <w:color w:val="1A1A1A"/>
          <w:sz w:val="19"/>
          <w:szCs w:val="19"/>
        </w:rPr>
        <w:t xml:space="preserve">Use AI-assisted engineering tooling as a normal part of your work, within the standards the team sets for quality, security, licensing and human review.</w:t>
      </w:r>
    </w:p>
    <w:p>
      <w:pPr>
        <w:pStyle w:val="Heading1"/>
        <w:pBdr>
          <w:bottom w:val="single" w:color="E4002B" w:sz="8" w:space="4"/>
        </w:pBdr>
        <w:spacing w:after="70" w:before="170"/>
      </w:pPr>
      <w:r>
        <w:rPr>
          <w:rFonts w:ascii="Arial" w:cs="Arial" w:eastAsia="Arial" w:hAnsi="Arial"/>
          <w:b/>
          <w:bCs/>
          <w:color w:val="1A1A1A"/>
          <w:sz w:val="23"/>
          <w:szCs w:val="23"/>
        </w:rPr>
        <w:t xml:space="preserve">What you'll bring</w:t>
      </w:r>
    </w:p>
    <w:p>
      <w:pPr>
        <w:pStyle w:val="Heading2"/>
        <w:spacing w:after="44" w:before="112"/>
      </w:pPr>
      <w:r>
        <w:rPr>
          <w:rFonts w:ascii="Arial" w:cs="Arial" w:eastAsia="Arial" w:hAnsi="Arial"/>
          <w:b/>
          <w:bCs/>
          <w:color w:val="E4002B"/>
          <w:sz w:val="19"/>
          <w:szCs w:val="19"/>
        </w:rPr>
        <w:t xml:space="preserve">Engineering foundations</w:t>
      </w:r>
    </w:p>
    <w:p>
      <w:pPr>
        <w:pStyle w:val="ListParagraph"/>
        <w:numPr>
          <w:ilvl w:val="0"/>
          <w:numId w:val="2"/>
        </w:numPr>
        <w:spacing w:after="30" w:line="238"/>
      </w:pPr>
      <w:r>
        <w:rPr>
          <w:rFonts w:ascii="Arial" w:cs="Arial" w:eastAsia="Arial" w:hAnsi="Arial"/>
          <w:color w:val="1A1A1A"/>
          <w:sz w:val="19"/>
          <w:szCs w:val="19"/>
        </w:rPr>
        <w:t xml:space="preserve">Conceptual knowledge of software engineering practice, and some exposure to building and shipping real software.</w:t>
      </w:r>
    </w:p>
    <w:p>
      <w:pPr>
        <w:pStyle w:val="ListParagraph"/>
        <w:numPr>
          <w:ilvl w:val="0"/>
          <w:numId w:val="2"/>
        </w:numPr>
        <w:spacing w:after="30" w:line="238"/>
      </w:pPr>
      <w:r>
        <w:rPr>
          <w:rFonts w:ascii="Arial" w:cs="Arial" w:eastAsia="Arial" w:hAnsi="Arial"/>
          <w:color w:val="1A1A1A"/>
          <w:sz w:val="19"/>
          <w:szCs w:val="19"/>
        </w:rPr>
        <w:t xml:space="preserve">Working Python, and the appetite to be taught the rest properly.</w:t>
      </w:r>
    </w:p>
    <w:p>
      <w:pPr>
        <w:pStyle w:val="ListParagraph"/>
        <w:numPr>
          <w:ilvl w:val="0"/>
          <w:numId w:val="2"/>
        </w:numPr>
        <w:spacing w:after="30" w:line="238"/>
      </w:pPr>
      <w:r>
        <w:rPr>
          <w:rFonts w:ascii="Arial" w:cs="Arial" w:eastAsia="Arial" w:hAnsi="Arial"/>
          <w:color w:val="1A1A1A"/>
          <w:sz w:val="19"/>
          <w:szCs w:val="19"/>
        </w:rPr>
        <w:t xml:space="preserve">Familiarity with automated testing and CI, and a grasp of why a flaky test is worse than no test.</w:t>
      </w:r>
    </w:p>
    <w:p>
      <w:pPr>
        <w:pStyle w:val="ListParagraph"/>
        <w:numPr>
          <w:ilvl w:val="0"/>
          <w:numId w:val="2"/>
        </w:numPr>
        <w:spacing w:after="30" w:line="238"/>
      </w:pPr>
      <w:r>
        <w:rPr>
          <w:rFonts w:ascii="Arial" w:cs="Arial" w:eastAsia="Arial" w:hAnsi="Arial"/>
          <w:color w:val="1A1A1A"/>
          <w:sz w:val="19"/>
          <w:szCs w:val="19"/>
        </w:rPr>
        <w:t xml:space="preserve">Version control and code review as habits rather than novelties.</w:t>
      </w:r>
    </w:p>
    <w:p>
      <w:pPr>
        <w:pStyle w:val="Heading2"/>
        <w:spacing w:after="44" w:before="112"/>
      </w:pPr>
      <w:r>
        <w:rPr>
          <w:rFonts w:ascii="Arial" w:cs="Arial" w:eastAsia="Arial" w:hAnsi="Arial"/>
          <w:b/>
          <w:bCs/>
          <w:color w:val="E4002B"/>
          <w:sz w:val="19"/>
          <w:szCs w:val="19"/>
        </w:rPr>
        <w:t xml:space="preserve">Evaluation fundamentals</w:t>
      </w:r>
    </w:p>
    <w:p>
      <w:pPr>
        <w:pStyle w:val="ListParagraph"/>
        <w:numPr>
          <w:ilvl w:val="0"/>
          <w:numId w:val="2"/>
        </w:numPr>
        <w:spacing w:after="30" w:line="238"/>
      </w:pPr>
      <w:r>
        <w:rPr>
          <w:rFonts w:ascii="Arial" w:cs="Arial" w:eastAsia="Arial" w:hAnsi="Arial"/>
          <w:color w:val="1A1A1A"/>
          <w:sz w:val="19"/>
          <w:szCs w:val="19"/>
        </w:rPr>
        <w:t xml:space="preserve">Basic statistical literacy: averages, variance, sample size, and why a single run proves very little.</w:t>
      </w:r>
    </w:p>
    <w:p>
      <w:pPr>
        <w:pStyle w:val="ListParagraph"/>
        <w:numPr>
          <w:ilvl w:val="0"/>
          <w:numId w:val="2"/>
        </w:numPr>
        <w:spacing w:after="30" w:line="238"/>
      </w:pPr>
      <w:r>
        <w:rPr>
          <w:rFonts w:ascii="Arial" w:cs="Arial" w:eastAsia="Arial" w:hAnsi="Arial"/>
          <w:color w:val="1A1A1A"/>
          <w:sz w:val="19"/>
          <w:szCs w:val="19"/>
        </w:rPr>
        <w:t xml:space="preserve">A grasp of what makes a test meaningful rather than merely green.</w:t>
      </w:r>
    </w:p>
    <w:p>
      <w:pPr>
        <w:pStyle w:val="ListParagraph"/>
        <w:numPr>
          <w:ilvl w:val="0"/>
          <w:numId w:val="2"/>
        </w:numPr>
        <w:spacing w:after="30" w:line="238"/>
      </w:pPr>
      <w:r>
        <w:rPr>
          <w:rFonts w:ascii="Arial" w:cs="Arial" w:eastAsia="Arial" w:hAnsi="Arial"/>
          <w:color w:val="1A1A1A"/>
          <w:sz w:val="19"/>
          <w:szCs w:val="19"/>
        </w:rPr>
        <w:t xml:space="preserve">Curiosity about how AI systems fail — wrong answers, prompt injection, silent degradation — and a willingness to learn it rigorously.</w:t>
      </w:r>
    </w:p>
    <w:p>
      <w:pPr>
        <w:pStyle w:val="Heading2"/>
        <w:spacing w:after="44" w:before="112"/>
      </w:pPr>
      <w:r>
        <w:rPr>
          <w:rFonts w:ascii="Arial" w:cs="Arial" w:eastAsia="Arial" w:hAnsi="Arial"/>
          <w:b/>
          <w:bCs/>
          <w:color w:val="E4002B"/>
          <w:sz w:val="19"/>
          <w:szCs w:val="19"/>
        </w:rPr>
        <w:t xml:space="preserve">Ways of working</w:t>
      </w:r>
    </w:p>
    <w:p>
      <w:pPr>
        <w:pStyle w:val="ListParagraph"/>
        <w:numPr>
          <w:ilvl w:val="0"/>
          <w:numId w:val="2"/>
        </w:numPr>
        <w:spacing w:after="30" w:line="238"/>
      </w:pPr>
      <w:r>
        <w:rPr>
          <w:rFonts w:ascii="Arial" w:cs="Arial" w:eastAsia="Arial" w:hAnsi="Arial"/>
          <w:color w:val="1A1A1A"/>
          <w:sz w:val="19"/>
          <w:szCs w:val="19"/>
        </w:rPr>
        <w:t xml:space="preserve">Comfortable taking instruction, guidance and direction from more senior engineers, and acting on it.</w:t>
      </w:r>
    </w:p>
    <w:p>
      <w:pPr>
        <w:pStyle w:val="ListParagraph"/>
        <w:numPr>
          <w:ilvl w:val="0"/>
          <w:numId w:val="2"/>
        </w:numPr>
        <w:spacing w:after="30" w:line="238"/>
      </w:pPr>
      <w:r>
        <w:rPr>
          <w:rFonts w:ascii="Arial" w:cs="Arial" w:eastAsia="Arial" w:hAnsi="Arial"/>
          <w:color w:val="1A1A1A"/>
          <w:sz w:val="19"/>
          <w:szCs w:val="19"/>
        </w:rPr>
        <w:t xml:space="preserve">Precise written communication — an evaluation result is only useful if it is reported exactly.</w:t>
      </w:r>
    </w:p>
    <w:p>
      <w:pPr>
        <w:pStyle w:val="ListParagraph"/>
        <w:numPr>
          <w:ilvl w:val="0"/>
          <w:numId w:val="2"/>
        </w:numPr>
        <w:spacing w:after="30" w:line="238"/>
      </w:pPr>
      <w:r>
        <w:rPr>
          <w:rFonts w:ascii="Arial" w:cs="Arial" w:eastAsia="Arial" w:hAnsi="Arial"/>
          <w:color w:val="1A1A1A"/>
          <w:sz w:val="19"/>
          <w:szCs w:val="19"/>
        </w:rPr>
        <w:t xml:space="preserve">Hands-on use of AI coding assistants within the team's standards.</w:t>
      </w:r>
    </w:p>
    <w:p>
      <w:pPr>
        <w:pStyle w:val="Heading1"/>
        <w:pBdr>
          <w:bottom w:val="single" w:color="E4002B" w:sz="8" w:space="4"/>
        </w:pBdr>
        <w:spacing w:after="70" w:before="170"/>
      </w:pPr>
      <w:r>
        <w:rPr>
          <w:rFonts w:ascii="Arial" w:cs="Arial" w:eastAsia="Arial" w:hAnsi="Arial"/>
          <w:b/>
          <w:bCs/>
          <w:color w:val="1A1A1A"/>
          <w:sz w:val="23"/>
          <w:szCs w:val="23"/>
        </w:rPr>
        <w:t xml:space="preserve">Nice to have</w:t>
      </w:r>
    </w:p>
    <w:p>
      <w:pPr>
        <w:pStyle w:val="ListParagraph"/>
        <w:numPr>
          <w:ilvl w:val="0"/>
          <w:numId w:val="2"/>
        </w:numPr>
        <w:spacing w:after="30" w:line="238"/>
      </w:pPr>
      <w:r>
        <w:rPr>
          <w:rFonts w:ascii="Arial" w:cs="Arial" w:eastAsia="Arial" w:hAnsi="Arial"/>
          <w:color w:val="1A1A1A"/>
          <w:sz w:val="19"/>
          <w:szCs w:val="19"/>
        </w:rPr>
        <w:t xml:space="preserve">A degree, project or internship involving testing, statistics, data science or quality engineering.</w:t>
      </w:r>
    </w:p>
    <w:p>
      <w:pPr>
        <w:pStyle w:val="ListParagraph"/>
        <w:numPr>
          <w:ilvl w:val="0"/>
          <w:numId w:val="2"/>
        </w:numPr>
        <w:spacing w:after="30" w:line="238"/>
      </w:pPr>
      <w:r>
        <w:rPr>
          <w:rFonts w:ascii="Arial" w:cs="Arial" w:eastAsia="Arial" w:hAnsi="Arial"/>
          <w:color w:val="1A1A1A"/>
          <w:sz w:val="19"/>
          <w:szCs w:val="19"/>
        </w:rPr>
        <w:t xml:space="preserve">Exposure to LLM evaluation, prompt testing or benchmark work.</w:t>
      </w:r>
    </w:p>
    <w:p>
      <w:pPr>
        <w:pStyle w:val="ListParagraph"/>
        <w:numPr>
          <w:ilvl w:val="0"/>
          <w:numId w:val="2"/>
        </w:numPr>
        <w:spacing w:after="30" w:line="238"/>
      </w:pPr>
      <w:r>
        <w:rPr>
          <w:rFonts w:ascii="Arial" w:cs="Arial" w:eastAsia="Arial" w:hAnsi="Arial"/>
          <w:color w:val="1A1A1A"/>
          <w:sz w:val="19"/>
          <w:szCs w:val="19"/>
        </w:rPr>
        <w:t xml:space="preserve">Any experience of a regulated or audited environment, in any industry.</w:t>
      </w:r>
    </w:p>
    <w:p>
      <w:pPr>
        <w:pStyle w:val="ListParagraph"/>
        <w:numPr>
          <w:ilvl w:val="0"/>
          <w:numId w:val="2"/>
        </w:numPr>
        <w:spacing w:after="30" w:line="238"/>
      </w:pPr>
      <w:r>
        <w:rPr>
          <w:rFonts w:ascii="Arial" w:cs="Arial" w:eastAsia="Arial" w:hAnsi="Arial"/>
          <w:color w:val="1A1A1A"/>
          <w:sz w:val="19"/>
          <w:szCs w:val="19"/>
        </w:rPr>
        <w:t xml:space="preserve">Contributions to an open-source project, however small.</w:t>
      </w:r>
    </w:p>
    <w:p>
      <w:pPr>
        <w:pStyle w:val="Heading1"/>
        <w:pBdr>
          <w:bottom w:val="single" w:color="E4002B" w:sz="8" w:space="4"/>
        </w:pBdr>
        <w:spacing w:after="70" w:before="170"/>
      </w:pPr>
      <w:r>
        <w:rPr>
          <w:rFonts w:ascii="Arial" w:cs="Arial" w:eastAsia="Arial" w:hAnsi="Arial"/>
          <w:b/>
          <w:bCs/>
          <w:color w:val="1A1A1A"/>
          <w:sz w:val="23"/>
          <w:szCs w:val="23"/>
        </w:rPr>
        <w:t xml:space="preserve">How we'll measure success</w:t>
      </w:r>
    </w:p>
    <w:p>
      <w:pPr>
        <w:pStyle w:val="ListParagraph"/>
        <w:numPr>
          <w:ilvl w:val="0"/>
          <w:numId w:val="2"/>
        </w:numPr>
        <w:spacing w:after="30" w:line="238"/>
      </w:pPr>
      <w:r>
        <w:rPr>
          <w:rFonts w:ascii="Arial" w:cs="Arial" w:eastAsia="Arial" w:hAnsi="Arial"/>
          <w:color w:val="1A1A1A"/>
          <w:sz w:val="19"/>
          <w:szCs w:val="19"/>
        </w:rPr>
        <w:t xml:space="preserve">The evaluation cases you write catch real defects without producing false alarms.</w:t>
      </w:r>
    </w:p>
    <w:p>
      <w:pPr>
        <w:pStyle w:val="ListParagraph"/>
        <w:numPr>
          <w:ilvl w:val="0"/>
          <w:numId w:val="2"/>
        </w:numPr>
        <w:spacing w:after="30" w:line="238"/>
      </w:pPr>
      <w:r>
        <w:rPr>
          <w:rFonts w:ascii="Arial" w:cs="Arial" w:eastAsia="Arial" w:hAnsi="Arial"/>
          <w:color w:val="1A1A1A"/>
          <w:sz w:val="19"/>
          <w:szCs w:val="19"/>
        </w:rPr>
        <w:t xml:space="preserve">Your regression cases stay green for the right reasons, and you can explain why one failed.</w:t>
      </w:r>
    </w:p>
    <w:p>
      <w:pPr>
        <w:pStyle w:val="ListParagraph"/>
        <w:numPr>
          <w:ilvl w:val="0"/>
          <w:numId w:val="2"/>
        </w:numPr>
        <w:spacing w:after="30" w:line="238"/>
      </w:pPr>
      <w:r>
        <w:rPr>
          <w:rFonts w:ascii="Arial" w:cs="Arial" w:eastAsia="Arial" w:hAnsi="Arial"/>
          <w:color w:val="1A1A1A"/>
          <w:sz w:val="19"/>
          <w:szCs w:val="19"/>
        </w:rPr>
        <w:t xml:space="preserve">Ground-truth data you touch is accurate and traceable.</w:t>
      </w:r>
    </w:p>
    <w:p>
      <w:pPr>
        <w:pStyle w:val="ListParagraph"/>
        <w:numPr>
          <w:ilvl w:val="0"/>
          <w:numId w:val="2"/>
        </w:numPr>
        <w:spacing w:after="30" w:line="238"/>
      </w:pPr>
      <w:r>
        <w:rPr>
          <w:rFonts w:ascii="Arial" w:cs="Arial" w:eastAsia="Arial" w:hAnsi="Arial"/>
          <w:color w:val="1A1A1A"/>
          <w:sz w:val="19"/>
          <w:szCs w:val="19"/>
        </w:rPr>
        <w:t xml:space="preserve">Evidence you produce is right the first time.</w:t>
      </w:r>
    </w:p>
    <w:p>
      <w:pPr>
        <w:pStyle w:val="ListParagraph"/>
        <w:numPr>
          <w:ilvl w:val="0"/>
          <w:numId w:val="2"/>
        </w:numPr>
        <w:spacing w:after="30" w:line="238"/>
      </w:pPr>
      <w:r>
        <w:rPr>
          <w:rFonts w:ascii="Arial" w:cs="Arial" w:eastAsia="Arial" w:hAnsi="Arial"/>
          <w:color w:val="1A1A1A"/>
          <w:sz w:val="19"/>
          <w:szCs w:val="19"/>
        </w:rPr>
        <w:t xml:space="preserve">You are trusted with progressively less well-defined work.</w:t>
      </w:r>
    </w:p>
    <w:p>
      <w:pPr>
        <w:pStyle w:val="Heading1"/>
        <w:pBdr>
          <w:bottom w:val="single" w:color="E4002B" w:sz="8" w:space="4"/>
        </w:pBdr>
        <w:spacing w:after="70" w:before="170"/>
      </w:pPr>
      <w:r>
        <w:rPr>
          <w:rFonts w:ascii="Arial" w:cs="Arial" w:eastAsia="Arial" w:hAnsi="Arial"/>
          <w:b/>
          <w:bCs/>
          <w:color w:val="1A1A1A"/>
          <w:sz w:val="23"/>
          <w:szCs w:val="23"/>
        </w:rPr>
        <w:t xml:space="preserve">Technology you'll work with</w:t>
      </w:r>
    </w:p>
    <w:p>
      <w:pPr>
        <w:spacing w:after="80" w:line="242"/>
      </w:pPr>
      <w:r>
        <w:rPr>
          <w:rFonts w:ascii="Arial" w:cs="Arial" w:eastAsia="Arial" w:hAnsi="Arial"/>
          <w:color w:val="1A1A1A"/>
          <w:sz w:val="19"/>
          <w:szCs w:val="19"/>
        </w:rPr>
        <w:t xml:space="preserve">Python and Go  ·  Evaluation frameworks and harnesses  ·  CI/CD and release gating  ·  Kubernetes  ·  Statistical analysis tooling  ·  Red-teaming and adversarial testing tooling  ·  Ground-truth and annotation pipelines  ·  OpenTelemetry / Prometheus / Grafana  ·  Provenance and audit tooling  ·  AWS  ·  Private and sovereign cloud  ·  AI-assisted development tooling (Claude Code, Kiro, Codex, GitHub Copilot)</w:t>
      </w:r>
    </w:p>
    <w:p>
      <w:pPr>
        <w:pStyle w:val="Heading1"/>
        <w:pBdr>
          <w:bottom w:val="single" w:color="E4002B" w:sz="8" w:space="4"/>
        </w:pBdr>
        <w:spacing w:after="70" w:before="170"/>
      </w:pPr>
      <w:r>
        <w:rPr>
          <w:rFonts w:ascii="Arial" w:cs="Arial" w:eastAsia="Arial" w:hAnsi="Arial"/>
          <w:b/>
          <w:bCs/>
          <w:color w:val="1A1A1A"/>
          <w:sz w:val="23"/>
          <w:szCs w:val="23"/>
        </w:rPr>
        <w:t xml:space="preserve">Career level and requirements</w:t>
      </w:r>
    </w:p>
    <w:p>
      <w:pPr>
        <w:spacing w:after="40" w:line="238"/>
      </w:pPr>
      <w:r>
        <w:rPr>
          <w:rFonts w:ascii="Arial" w:cs="Arial" w:eastAsia="Arial" w:hAnsi="Arial"/>
          <w:b/>
          <w:bCs/>
          <w:color w:val="1A1A1A"/>
          <w:sz w:val="19"/>
          <w:szCs w:val="19"/>
        </w:rPr>
        <w:t xml:space="preserve">Level: </w:t>
      </w:r>
      <w:r>
        <w:rPr>
          <w:rFonts w:ascii="Arial" w:cs="Arial" w:eastAsia="Arial" w:hAnsi="Arial"/>
          <w:color w:val="1A1A1A"/>
          <w:sz w:val="19"/>
          <w:szCs w:val="19"/>
        </w:rPr>
        <w:t xml:space="preserve">Level I — Learning — building competence under direction</w:t>
      </w:r>
    </w:p>
    <w:p>
      <w:pPr>
        <w:spacing w:after="40" w:line="238"/>
      </w:pPr>
      <w:r>
        <w:rPr>
          <w:rFonts w:ascii="Arial" w:cs="Arial" w:eastAsia="Arial" w:hAnsi="Arial"/>
          <w:b/>
          <w:bCs/>
          <w:color w:val="1A1A1A"/>
          <w:sz w:val="19"/>
          <w:szCs w:val="19"/>
        </w:rPr>
        <w:t xml:space="preserve">Career level: </w:t>
      </w:r>
      <w:r>
        <w:rPr>
          <w:rFonts w:ascii="Arial" w:cs="Arial" w:eastAsia="Arial" w:hAnsi="Arial"/>
          <w:color w:val="1A1A1A"/>
          <w:sz w:val="19"/>
          <w:szCs w:val="19"/>
        </w:rPr>
        <w:t xml:space="preserve">Conceptual knowledge of theories, practices and procedures within the discipline. Performs routine assignments using existing procedures, under instruction and direction from more senior roles. Entry level to a professional career progression.</w:t>
      </w:r>
    </w:p>
    <w:p>
      <w:pPr>
        <w:spacing w:after="40" w:line="238"/>
      </w:pPr>
      <w:r>
        <w:rPr>
          <w:rFonts w:ascii="Arial" w:cs="Arial" w:eastAsia="Arial" w:hAnsi="Arial"/>
          <w:b/>
          <w:bCs/>
          <w:color w:val="1A1A1A"/>
          <w:sz w:val="19"/>
          <w:szCs w:val="19"/>
        </w:rPr>
        <w:t xml:space="preserve">Experience: </w:t>
      </w:r>
      <w:r>
        <w:rPr>
          <w:rFonts w:ascii="Arial" w:cs="Arial" w:eastAsia="Arial" w:hAnsi="Arial"/>
          <w:color w:val="1A1A1A"/>
          <w:sz w:val="19"/>
          <w:szCs w:val="19"/>
        </w:rPr>
        <w:t xml:space="preserve">0 – 2 years of engineering experience. No prior AI experience required; aptitude and interest matter more at this level.</w:t>
      </w:r>
    </w:p>
    <w:p>
      <w:pPr>
        <w:spacing w:after="40" w:line="238"/>
      </w:pPr>
      <w:r>
        <w:rPr>
          <w:rFonts w:ascii="Arial" w:cs="Arial" w:eastAsia="Arial" w:hAnsi="Arial"/>
          <w:b/>
          <w:bCs/>
          <w:color w:val="1A1A1A"/>
          <w:sz w:val="19"/>
          <w:szCs w:val="19"/>
        </w:rPr>
        <w:t xml:space="preserve">Education: </w:t>
      </w:r>
      <w:r>
        <w:rPr>
          <w:rFonts w:ascii="Arial" w:cs="Arial" w:eastAsia="Arial" w:hAnsi="Arial"/>
          <w:color w:val="1A1A1A"/>
          <w:sz w:val="19"/>
          <w:szCs w:val="19"/>
        </w:rPr>
        <w:t xml:space="preserve">Bachelor's Degree preferred in a field related to the role; additional relevant experience may substitute at the manager's discretion.</w:t>
      </w:r>
    </w:p>
    <w:p>
      <w:pPr>
        <w:spacing w:after="40" w:line="238"/>
      </w:pPr>
      <w:r>
        <w:rPr>
          <w:rFonts w:ascii="Arial" w:cs="Arial" w:eastAsia="Arial" w:hAnsi="Arial"/>
          <w:b/>
          <w:bCs/>
          <w:color w:val="1A1A1A"/>
          <w:sz w:val="19"/>
          <w:szCs w:val="19"/>
        </w:rPr>
        <w:t xml:space="preserve">Working pattern: </w:t>
      </w:r>
      <w:r>
        <w:rPr>
          <w:rFonts w:ascii="Arial" w:cs="Arial" w:eastAsia="Arial" w:hAnsi="Arial"/>
          <w:color w:val="1A1A1A"/>
          <w:sz w:val="19"/>
          <w:szCs w:val="19"/>
        </w:rPr>
        <w:t xml:space="preserve">Shift, on-call or alternative schedule may apply. No travel required.</w:t>
      </w:r>
    </w:p>
    <w:sectPr>
      <w:footerReference w:type="default" r:id="rId7"/>
      <w:pgSz w:w="11906" w:h="16838" w:orient="portrait"/>
      <w:pgMar w:top="760" w:right="960" w:bottom="7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rFonts w:ascii="Arial" w:cs="Arial" w:eastAsia="Arial" w:hAnsi="Arial"/>
        <w:color w:val="595959"/>
        <w:sz w:val="14"/>
        <w:szCs w:val="14"/>
      </w:rPr>
      <w:t xml:space="preserve">Rackspace Technology  ·  Confidential — Internal use only</w:t>
    </w:r>
    <w:r>
      <w:rPr>
        <w:rFonts w:ascii="Arial" w:cs="Arial" w:eastAsia="Arial" w:hAnsi="Arial"/>
        <w:sz w:val="14"/>
        <w:szCs w:val="14"/>
      </w:rPr>
      <w:t xml:space="preserve">	</w:t>
    </w: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rPr>
        <w:rFonts w:ascii="Arial" w:cs="Arial" w:eastAsia="Arial" w:hAnsi="Arial"/>
        <w:color w:val="E400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2C14B45DD4C644BC96213ACB087480" ma:contentTypeVersion="3" ma:contentTypeDescription="Create a new document." ma:contentTypeScope="" ma:versionID="a73f04db5aba893f1d779be7421a2bb8">
  <xsd:schema xmlns:xsd="http://www.w3.org/2001/XMLSchema" xmlns:xs="http://www.w3.org/2001/XMLSchema" xmlns:p="http://schemas.microsoft.com/office/2006/metadata/properties" xmlns:ns2="39c84f24-a008-4cce-bb9c-5ad717601f75" targetNamespace="http://schemas.microsoft.com/office/2006/metadata/properties" ma:root="true" ma:fieldsID="7a3862965fe48b1ad119faff3af803b7" ns2:_="">
    <xsd:import namespace="39c84f24-a008-4cce-bb9c-5ad717601f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c84f24-a008-4cce-bb9c-5ad717601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98416E-D076-4ECE-B79A-0F5C13019DDB}"/>
</file>

<file path=customXml/itemProps2.xml><?xml version="1.0" encoding="utf-8"?>
<ds:datastoreItem xmlns:ds="http://schemas.openxmlformats.org/officeDocument/2006/customXml" ds:itemID="{2BA86527-1313-4898-929E-AFEC2AF631EB}"/>
</file>

<file path=customXml/itemProps3.xml><?xml version="1.0" encoding="utf-8"?>
<ds:datastoreItem xmlns:ds="http://schemas.openxmlformats.org/officeDocument/2006/customXml" ds:itemID="{54CF0535-6D7F-4705-90DD-DED09A8793B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Assurance Engineer I — RackAI</dc:title>
  <dc:creator>Rackspace Technology</dc:creator>
  <cp:lastModifiedBy>Un-named</cp:lastModifiedBy>
  <cp:revision>1</cp:revision>
  <dcterms:created xsi:type="dcterms:W3CDTF">2026-09-15T00:25:46Z</dcterms:created>
  <dcterms:modified xsi:type="dcterms:W3CDTF">2026-09-15T00:25:46Z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0x010100432C14B45DD4C644BC96213ACB087480</vt:lpwstr>
  </property>
</Properties>
</file>