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AI Governance Engineer I</w:t>
      </w:r>
    </w:p>
    <w:p>
      <w:pPr>
        <w:spacing w:after="30"/>
      </w:pPr>
      <w:r>
        <w:rPr>
          <w:rFonts w:ascii="Arial" w:cs="Arial" w:eastAsia="Arial" w:hAnsi="Arial"/>
          <w:b/>
          <w:bCs/>
          <w:caps/>
          <w:color w:val="E4002B"/>
          <w:sz w:val="20"/>
          <w:szCs w:val="20"/>
        </w:rPr>
        <w:t xml:space="preserve">AI Governance Engineering  ·  Policy, Provenance and Agent Identity</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What makes that claim defensible is not the serving layer but the controls around it: policy enforced as the system runs, and a record afterwards of what happened and on whose authority. AI Governance Engineers build those controls.</w:t>
      </w:r>
    </w:p>
    <w:p>
      <w:pPr>
        <w:spacing w:after="80" w:line="242"/>
      </w:pPr>
      <w:r>
        <w:rPr>
          <w:rFonts w:ascii="Arial" w:cs="Arial" w:eastAsia="Arial" w:hAnsi="Arial"/>
          <w:color w:val="1A1A1A"/>
          <w:sz w:val="19"/>
          <w:szCs w:val="19"/>
        </w:rPr>
        <w:t xml:space="preserve">As an AI Governance Engineer I you will learn the discipline by building parts of it. You will work on well-defined pieces of the policy, provenance and identity controls, following existing procedures and taking direction from more senior engineers on the team.</w:t>
      </w:r>
    </w:p>
    <w:p>
      <w:pPr>
        <w:spacing w:after="80" w:line="242"/>
      </w:pPr>
      <w:r>
        <w:rPr>
          <w:rFonts w:ascii="Arial" w:cs="Arial" w:eastAsia="Arial" w:hAnsi="Arial"/>
          <w:color w:val="1A1A1A"/>
          <w:sz w:val="19"/>
          <w:szCs w:val="19"/>
        </w:rPr>
        <w:t xml:space="preserve">You will sit in a team that shares the governance and identity architecture with the Chief Architect, AI Partner Integrations, alongside AI Assurance Engineers who build the measurement proving the platform behaves. Expect close review, and expect to learn quickly.</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Enterprises have stopped asking whether AI can work and started asking who is accountable when it gets something wrong.</w:t>
      </w:r>
    </w:p>
    <w:p>
      <w:pPr>
        <w:spacing w:after="80" w:line="242"/>
      </w:pPr>
      <w:r>
        <w:rPr>
          <w:rFonts w:ascii="Arial" w:cs="Arial" w:eastAsia="Arial" w:hAnsi="Arial"/>
          <w:color w:val="1A1A1A"/>
          <w:sz w:val="19"/>
          <w:szCs w:val="19"/>
        </w:rPr>
        <w:t xml:space="preserve">Answering that in code rather than a policy document is one of the most sought-after engineering capabilities in the market, and the regulatory timetable has made it urgent. The controls built here decide what an agent may do with which data, record it so the record survives an audit, and hold when an agent acts for someone several hops away. Rackspace brings the regulated customers, the real workloads and a platform being built now, so these controls get exercised rather than documented.</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learn governance engineering somewhere it genuinely matters, this is an unusually good place to start.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Build and maintain governance controls</w:t>
      </w:r>
    </w:p>
    <w:p>
      <w:pPr>
        <w:pStyle w:val="ListParagraph"/>
        <w:numPr>
          <w:ilvl w:val="0"/>
          <w:numId w:val="2"/>
        </w:numPr>
        <w:spacing w:after="30" w:line="238"/>
      </w:pPr>
      <w:r>
        <w:rPr>
          <w:rFonts w:ascii="Arial" w:cs="Arial" w:eastAsia="Arial" w:hAnsi="Arial"/>
          <w:color w:val="1A1A1A"/>
          <w:sz w:val="19"/>
          <w:szCs w:val="19"/>
        </w:rPr>
        <w:t xml:space="preserve">Implement and maintain policy rules and enforcement checks against established patterns, with review from senior engineers.</w:t>
      </w:r>
    </w:p>
    <w:p>
      <w:pPr>
        <w:pStyle w:val="ListParagraph"/>
        <w:numPr>
          <w:ilvl w:val="0"/>
          <w:numId w:val="2"/>
        </w:numPr>
        <w:spacing w:after="30" w:line="238"/>
      </w:pPr>
      <w:r>
        <w:rPr>
          <w:rFonts w:ascii="Arial" w:cs="Arial" w:eastAsia="Arial" w:hAnsi="Arial"/>
          <w:color w:val="1A1A1A"/>
          <w:sz w:val="19"/>
          <w:szCs w:val="19"/>
        </w:rPr>
        <w:t xml:space="preserve">Contribute to the provenance and audit logging path — emitting records, storing them, and making them queryable.</w:t>
      </w:r>
    </w:p>
    <w:p>
      <w:pPr>
        <w:pStyle w:val="ListParagraph"/>
        <w:numPr>
          <w:ilvl w:val="0"/>
          <w:numId w:val="2"/>
        </w:numPr>
        <w:spacing w:after="30" w:line="238"/>
      </w:pPr>
      <w:r>
        <w:rPr>
          <w:rFonts w:ascii="Arial" w:cs="Arial" w:eastAsia="Arial" w:hAnsi="Arial"/>
          <w:color w:val="1A1A1A"/>
          <w:sz w:val="19"/>
          <w:szCs w:val="19"/>
        </w:rPr>
        <w:t xml:space="preserve">Implement identity and access changes for platform services under guidance: service accounts, token handling, credential rotation.</w:t>
      </w:r>
    </w:p>
    <w:p>
      <w:pPr>
        <w:pStyle w:val="ListParagraph"/>
        <w:numPr>
          <w:ilvl w:val="0"/>
          <w:numId w:val="2"/>
        </w:numPr>
        <w:spacing w:after="30" w:line="238"/>
      </w:pPr>
      <w:r>
        <w:rPr>
          <w:rFonts w:ascii="Arial" w:cs="Arial" w:eastAsia="Arial" w:hAnsi="Arial"/>
          <w:color w:val="1A1A1A"/>
          <w:sz w:val="19"/>
          <w:szCs w:val="19"/>
        </w:rPr>
        <w:t xml:space="preserve">Write and maintain the tests that prove a control does what it claims to do.</w:t>
      </w:r>
    </w:p>
    <w:p>
      <w:pPr>
        <w:pStyle w:val="ListParagraph"/>
        <w:numPr>
          <w:ilvl w:val="0"/>
          <w:numId w:val="2"/>
        </w:numPr>
        <w:spacing w:after="30" w:line="238"/>
      </w:pPr>
      <w:r>
        <w:rPr>
          <w:rFonts w:ascii="Arial" w:cs="Arial" w:eastAsia="Arial" w:hAnsi="Arial"/>
          <w:color w:val="1A1A1A"/>
          <w:sz w:val="19"/>
          <w:szCs w:val="19"/>
        </w:rPr>
        <w:t xml:space="preserve">Fix defects in existing controls, and keep documentation current as you go.</w:t>
      </w:r>
    </w:p>
    <w:p>
      <w:pPr>
        <w:pStyle w:val="Heading2"/>
        <w:spacing w:after="44" w:before="112"/>
      </w:pPr>
      <w:r>
        <w:rPr>
          <w:rFonts w:ascii="Arial" w:cs="Arial" w:eastAsia="Arial" w:hAnsi="Arial"/>
          <w:b/>
          <w:bCs/>
          <w:color w:val="E4002B"/>
          <w:sz w:val="19"/>
          <w:szCs w:val="19"/>
        </w:rPr>
        <w:t xml:space="preserve">Support compliance work</w:t>
      </w:r>
    </w:p>
    <w:p>
      <w:pPr>
        <w:pStyle w:val="ListParagraph"/>
        <w:numPr>
          <w:ilvl w:val="0"/>
          <w:numId w:val="2"/>
        </w:numPr>
        <w:spacing w:after="30" w:line="238"/>
      </w:pPr>
      <w:r>
        <w:rPr>
          <w:rFonts w:ascii="Arial" w:cs="Arial" w:eastAsia="Arial" w:hAnsi="Arial"/>
          <w:color w:val="1A1A1A"/>
          <w:sz w:val="19"/>
          <w:szCs w:val="19"/>
        </w:rPr>
        <w:t xml:space="preserve">Produce the evidence artefacts asked of you — logs, reports, exports — accurately and on time.</w:t>
      </w:r>
    </w:p>
    <w:p>
      <w:pPr>
        <w:pStyle w:val="ListParagraph"/>
        <w:numPr>
          <w:ilvl w:val="0"/>
          <w:numId w:val="2"/>
        </w:numPr>
        <w:spacing w:after="30" w:line="238"/>
      </w:pPr>
      <w:r>
        <w:rPr>
          <w:rFonts w:ascii="Arial" w:cs="Arial" w:eastAsia="Arial" w:hAnsi="Arial"/>
          <w:color w:val="1A1A1A"/>
          <w:sz w:val="19"/>
          <w:szCs w:val="19"/>
        </w:rPr>
        <w:t xml:space="preserve">Help maintain the inventory of what is running: models, prompts, tools, components and versions.</w:t>
      </w:r>
    </w:p>
    <w:p>
      <w:pPr>
        <w:pStyle w:val="ListParagraph"/>
        <w:numPr>
          <w:ilvl w:val="0"/>
          <w:numId w:val="2"/>
        </w:numPr>
        <w:spacing w:after="30" w:line="238"/>
      </w:pPr>
      <w:r>
        <w:rPr>
          <w:rFonts w:ascii="Arial" w:cs="Arial" w:eastAsia="Arial" w:hAnsi="Arial"/>
          <w:color w:val="1A1A1A"/>
          <w:sz w:val="19"/>
          <w:szCs w:val="19"/>
        </w:rPr>
        <w:t xml:space="preserve">Learn the control frameworks the platform is certified against, and what each control requires in practice.</w:t>
      </w:r>
    </w:p>
    <w:p>
      <w:pPr>
        <w:pStyle w:val="Heading2"/>
        <w:spacing w:after="44" w:before="112"/>
      </w:pPr>
      <w:r>
        <w:rPr>
          <w:rFonts w:ascii="Arial" w:cs="Arial" w:eastAsia="Arial" w:hAnsi="Arial"/>
          <w:b/>
          <w:bCs/>
          <w:color w:val="E4002B"/>
          <w:sz w:val="19"/>
          <w:szCs w:val="19"/>
        </w:rPr>
        <w:t xml:space="preserve">Learn the platform and the craft</w:t>
      </w:r>
    </w:p>
    <w:p>
      <w:pPr>
        <w:pStyle w:val="ListParagraph"/>
        <w:numPr>
          <w:ilvl w:val="0"/>
          <w:numId w:val="2"/>
        </w:numPr>
        <w:spacing w:after="30" w:line="238"/>
      </w:pPr>
      <w:r>
        <w:rPr>
          <w:rFonts w:ascii="Arial" w:cs="Arial" w:eastAsia="Arial" w:hAnsi="Arial"/>
          <w:color w:val="1A1A1A"/>
          <w:sz w:val="19"/>
          <w:szCs w:val="19"/>
        </w:rPr>
        <w:t xml:space="preserve">Learn how serving, harness, orchestration and governance fit together, the governance and identity architecture, and why the controls sit where they do.</w:t>
      </w:r>
    </w:p>
    <w:p>
      <w:pPr>
        <w:pStyle w:val="ListParagraph"/>
        <w:numPr>
          <w:ilvl w:val="0"/>
          <w:numId w:val="2"/>
        </w:numPr>
        <w:spacing w:after="30" w:line="238"/>
      </w:pPr>
      <w:r>
        <w:rPr>
          <w:rFonts w:ascii="Arial" w:cs="Arial" w:eastAsia="Arial" w:hAnsi="Arial"/>
          <w:color w:val="1A1A1A"/>
          <w:sz w:val="19"/>
          <w:szCs w:val="19"/>
        </w:rPr>
        <w:t xml:space="preserve">Ask for review early and often, and treat feedback on design and code as the fastest route to getting better.</w:t>
      </w:r>
    </w:p>
    <w:p>
      <w:pPr>
        <w:pStyle w:val="ListParagraph"/>
        <w:numPr>
          <w:ilvl w:val="0"/>
          <w:numId w:val="2"/>
        </w:numPr>
        <w:spacing w:after="30" w:line="238"/>
      </w:pPr>
      <w:r>
        <w:rPr>
          <w:rFonts w:ascii="Arial" w:cs="Arial" w:eastAsia="Arial" w:hAnsi="Arial"/>
          <w:color w:val="1A1A1A"/>
          <w:sz w:val="19"/>
          <w:szCs w:val="19"/>
        </w:rPr>
        <w:t xml:space="preserve">Support the team's operational duties for the components you work on.</w:t>
      </w:r>
    </w:p>
    <w:p>
      <w:pPr>
        <w:pStyle w:val="ListParagraph"/>
        <w:numPr>
          <w:ilvl w:val="0"/>
          <w:numId w:val="2"/>
        </w:numPr>
        <w:spacing w:after="30" w:line="238"/>
      </w:pPr>
      <w:r>
        <w:rPr>
          <w:rFonts w:ascii="Arial" w:cs="Arial" w:eastAsia="Arial" w:hAnsi="Arial"/>
          <w:color w:val="1A1A1A"/>
          <w:sz w:val="19"/>
          <w:szCs w:val="19"/>
        </w:rPr>
        <w:t xml:space="preserve">Use AI-assisted engineering tooling as a normal part of your work, within the standards the team sets for quality, security, licensing and human review.</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foundations</w:t>
      </w:r>
    </w:p>
    <w:p>
      <w:pPr>
        <w:pStyle w:val="ListParagraph"/>
        <w:numPr>
          <w:ilvl w:val="0"/>
          <w:numId w:val="2"/>
        </w:numPr>
        <w:spacing w:after="30" w:line="238"/>
      </w:pPr>
      <w:r>
        <w:rPr>
          <w:rFonts w:ascii="Arial" w:cs="Arial" w:eastAsia="Arial" w:hAnsi="Arial"/>
          <w:color w:val="1A1A1A"/>
          <w:sz w:val="19"/>
          <w:szCs w:val="19"/>
        </w:rPr>
        <w:t xml:space="preserve">Conceptual knowledge of software engineering practice, and some exposure to building and shipping real software.</w:t>
      </w:r>
    </w:p>
    <w:p>
      <w:pPr>
        <w:pStyle w:val="ListParagraph"/>
        <w:numPr>
          <w:ilvl w:val="0"/>
          <w:numId w:val="2"/>
        </w:numPr>
        <w:spacing w:after="30" w:line="238"/>
      </w:pPr>
      <w:r>
        <w:rPr>
          <w:rFonts w:ascii="Arial" w:cs="Arial" w:eastAsia="Arial" w:hAnsi="Arial"/>
          <w:color w:val="1A1A1A"/>
          <w:sz w:val="19"/>
          <w:szCs w:val="19"/>
        </w:rPr>
        <w:t xml:space="preserve">Working Python or Go, and the appetite to be taught the rest properly.</w:t>
      </w:r>
    </w:p>
    <w:p>
      <w:pPr>
        <w:pStyle w:val="ListParagraph"/>
        <w:numPr>
          <w:ilvl w:val="0"/>
          <w:numId w:val="2"/>
        </w:numPr>
        <w:spacing w:after="30" w:line="238"/>
      </w:pPr>
      <w:r>
        <w:rPr>
          <w:rFonts w:ascii="Arial" w:cs="Arial" w:eastAsia="Arial" w:hAnsi="Arial"/>
          <w:color w:val="1A1A1A"/>
          <w:sz w:val="19"/>
          <w:szCs w:val="19"/>
        </w:rPr>
        <w:t xml:space="preserve">Familiarity with containers and Kubernetes, and a basic grasp of how a service gets deployed and run.</w:t>
      </w:r>
    </w:p>
    <w:p>
      <w:pPr>
        <w:pStyle w:val="ListParagraph"/>
        <w:numPr>
          <w:ilvl w:val="0"/>
          <w:numId w:val="2"/>
        </w:numPr>
        <w:spacing w:after="30" w:line="238"/>
      </w:pPr>
      <w:r>
        <w:rPr>
          <w:rFonts w:ascii="Arial" w:cs="Arial" w:eastAsia="Arial" w:hAnsi="Arial"/>
          <w:color w:val="1A1A1A"/>
          <w:sz w:val="19"/>
          <w:szCs w:val="19"/>
        </w:rPr>
        <w:t xml:space="preserve">Version control, automated testing and code review as habits rather than novelties.</w:t>
      </w:r>
    </w:p>
    <w:p>
      <w:pPr>
        <w:pStyle w:val="Heading2"/>
        <w:spacing w:after="44" w:before="112"/>
      </w:pPr>
      <w:r>
        <w:rPr>
          <w:rFonts w:ascii="Arial" w:cs="Arial" w:eastAsia="Arial" w:hAnsi="Arial"/>
          <w:b/>
          <w:bCs/>
          <w:color w:val="E4002B"/>
          <w:sz w:val="19"/>
          <w:szCs w:val="19"/>
        </w:rPr>
        <w:t xml:space="preserve">Governance and security fundamentals</w:t>
      </w:r>
    </w:p>
    <w:p>
      <w:pPr>
        <w:pStyle w:val="ListParagraph"/>
        <w:numPr>
          <w:ilvl w:val="0"/>
          <w:numId w:val="2"/>
        </w:numPr>
        <w:spacing w:after="30" w:line="238"/>
      </w:pPr>
      <w:r>
        <w:rPr>
          <w:rFonts w:ascii="Arial" w:cs="Arial" w:eastAsia="Arial" w:hAnsi="Arial"/>
          <w:color w:val="1A1A1A"/>
          <w:sz w:val="19"/>
          <w:szCs w:val="19"/>
        </w:rPr>
        <w:t xml:space="preserve">Understanding of authentication and authorisation basics: what a token is, what a role is, and why least privilege matters.</w:t>
      </w:r>
    </w:p>
    <w:p>
      <w:pPr>
        <w:pStyle w:val="ListParagraph"/>
        <w:numPr>
          <w:ilvl w:val="0"/>
          <w:numId w:val="2"/>
        </w:numPr>
        <w:spacing w:after="30" w:line="238"/>
      </w:pPr>
      <w:r>
        <w:rPr>
          <w:rFonts w:ascii="Arial" w:cs="Arial" w:eastAsia="Arial" w:hAnsi="Arial"/>
          <w:color w:val="1A1A1A"/>
          <w:sz w:val="19"/>
          <w:szCs w:val="19"/>
        </w:rPr>
        <w:t xml:space="preserve">A grasp of what an audit log is for, and why a record that can be quietly altered is worth very little.</w:t>
      </w:r>
    </w:p>
    <w:p>
      <w:pPr>
        <w:pStyle w:val="ListParagraph"/>
        <w:numPr>
          <w:ilvl w:val="0"/>
          <w:numId w:val="2"/>
        </w:numPr>
        <w:spacing w:after="30" w:line="238"/>
      </w:pPr>
      <w:r>
        <w:rPr>
          <w:rFonts w:ascii="Arial" w:cs="Arial" w:eastAsia="Arial" w:hAnsi="Arial"/>
          <w:color w:val="1A1A1A"/>
          <w:sz w:val="19"/>
          <w:szCs w:val="19"/>
        </w:rPr>
        <w:t xml:space="preserve">Curiosity about how AI systems fail — prompt injection, data leakage, over-broad permissions — and a willingness to learn it rigorously.</w:t>
      </w:r>
    </w:p>
    <w:p>
      <w:pPr>
        <w:pStyle w:val="Heading2"/>
        <w:spacing w:after="44" w:before="112"/>
      </w:pPr>
      <w:r>
        <w:rPr>
          <w:rFonts w:ascii="Arial" w:cs="Arial" w:eastAsia="Arial" w:hAnsi="Arial"/>
          <w:b/>
          <w:bCs/>
          <w:color w:val="E4002B"/>
          <w:sz w:val="19"/>
          <w:szCs w:val="19"/>
        </w:rPr>
        <w:t xml:space="preserve">Ways of working</w:t>
      </w:r>
    </w:p>
    <w:p>
      <w:pPr>
        <w:pStyle w:val="ListParagraph"/>
        <w:numPr>
          <w:ilvl w:val="0"/>
          <w:numId w:val="2"/>
        </w:numPr>
        <w:spacing w:after="30" w:line="238"/>
      </w:pPr>
      <w:r>
        <w:rPr>
          <w:rFonts w:ascii="Arial" w:cs="Arial" w:eastAsia="Arial" w:hAnsi="Arial"/>
          <w:color w:val="1A1A1A"/>
          <w:sz w:val="19"/>
          <w:szCs w:val="19"/>
        </w:rPr>
        <w:t xml:space="preserve">Comfortable taking instruction, guidance and direction from more senior engineers, and acting on it.</w:t>
      </w:r>
    </w:p>
    <w:p>
      <w:pPr>
        <w:pStyle w:val="ListParagraph"/>
        <w:numPr>
          <w:ilvl w:val="0"/>
          <w:numId w:val="2"/>
        </w:numPr>
        <w:spacing w:after="30" w:line="238"/>
      </w:pPr>
      <w:r>
        <w:rPr>
          <w:rFonts w:ascii="Arial" w:cs="Arial" w:eastAsia="Arial" w:hAnsi="Arial"/>
          <w:color w:val="1A1A1A"/>
          <w:sz w:val="19"/>
          <w:szCs w:val="19"/>
        </w:rPr>
        <w:t xml:space="preserve">Clear written communication, including the ability to ask a precise question.</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within the team's standards.</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A degree, project or internship involving security, identity, privacy or compliance engineering.</w:t>
      </w:r>
    </w:p>
    <w:p>
      <w:pPr>
        <w:pStyle w:val="ListParagraph"/>
        <w:numPr>
          <w:ilvl w:val="0"/>
          <w:numId w:val="2"/>
        </w:numPr>
        <w:spacing w:after="30" w:line="238"/>
      </w:pPr>
      <w:r>
        <w:rPr>
          <w:rFonts w:ascii="Arial" w:cs="Arial" w:eastAsia="Arial" w:hAnsi="Arial"/>
          <w:color w:val="1A1A1A"/>
          <w:sz w:val="19"/>
          <w:szCs w:val="19"/>
        </w:rPr>
        <w:t xml:space="preserve">Exposure to policy-as-code, OPA or similar.</w:t>
      </w:r>
    </w:p>
    <w:p>
      <w:pPr>
        <w:pStyle w:val="ListParagraph"/>
        <w:numPr>
          <w:ilvl w:val="0"/>
          <w:numId w:val="2"/>
        </w:numPr>
        <w:spacing w:after="30" w:line="238"/>
      </w:pPr>
      <w:r>
        <w:rPr>
          <w:rFonts w:ascii="Arial" w:cs="Arial" w:eastAsia="Arial" w:hAnsi="Arial"/>
          <w:color w:val="1A1A1A"/>
          <w:sz w:val="19"/>
          <w:szCs w:val="19"/>
        </w:rPr>
        <w:t xml:space="preserve">Any experience of a regulated or audited environment, in any industry.</w:t>
      </w:r>
    </w:p>
    <w:p>
      <w:pPr>
        <w:pStyle w:val="ListParagraph"/>
        <w:numPr>
          <w:ilvl w:val="0"/>
          <w:numId w:val="2"/>
        </w:numPr>
        <w:spacing w:after="30" w:line="238"/>
      </w:pPr>
      <w:r>
        <w:rPr>
          <w:rFonts w:ascii="Arial" w:cs="Arial" w:eastAsia="Arial" w:hAnsi="Arial"/>
          <w:color w:val="1A1A1A"/>
          <w:sz w:val="19"/>
          <w:szCs w:val="19"/>
        </w:rPr>
        <w:t xml:space="preserve">Contributions to an open-source project, however small.</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The controls you are given are delivered correctly, tested, and documented without needing to be revisited.</w:t>
      </w:r>
    </w:p>
    <w:p>
      <w:pPr>
        <w:pStyle w:val="ListParagraph"/>
        <w:numPr>
          <w:ilvl w:val="0"/>
          <w:numId w:val="2"/>
        </w:numPr>
        <w:spacing w:after="30" w:line="238"/>
      </w:pPr>
      <w:r>
        <w:rPr>
          <w:rFonts w:ascii="Arial" w:cs="Arial" w:eastAsia="Arial" w:hAnsi="Arial"/>
          <w:color w:val="1A1A1A"/>
          <w:sz w:val="19"/>
          <w:szCs w:val="19"/>
        </w:rPr>
        <w:t xml:space="preserve">Your code review feedback loop shortens over your first year as the same corrections stop recurring.</w:t>
      </w:r>
    </w:p>
    <w:p>
      <w:pPr>
        <w:pStyle w:val="ListParagraph"/>
        <w:numPr>
          <w:ilvl w:val="0"/>
          <w:numId w:val="2"/>
        </w:numPr>
        <w:spacing w:after="30" w:line="238"/>
      </w:pPr>
      <w:r>
        <w:rPr>
          <w:rFonts w:ascii="Arial" w:cs="Arial" w:eastAsia="Arial" w:hAnsi="Arial"/>
          <w:color w:val="1A1A1A"/>
          <w:sz w:val="19"/>
          <w:szCs w:val="19"/>
        </w:rPr>
        <w:t xml:space="preserve">You can explain what a control does and why it exists to someone outside the team.</w:t>
      </w:r>
    </w:p>
    <w:p>
      <w:pPr>
        <w:pStyle w:val="ListParagraph"/>
        <w:numPr>
          <w:ilvl w:val="0"/>
          <w:numId w:val="2"/>
        </w:numPr>
        <w:spacing w:after="30" w:line="238"/>
      </w:pPr>
      <w:r>
        <w:rPr>
          <w:rFonts w:ascii="Arial" w:cs="Arial" w:eastAsia="Arial" w:hAnsi="Arial"/>
          <w:color w:val="1A1A1A"/>
          <w:sz w:val="19"/>
          <w:szCs w:val="19"/>
        </w:rPr>
        <w:t xml:space="preserve">Evidence you produce is accurate the first time.</w:t>
      </w:r>
    </w:p>
    <w:p>
      <w:pPr>
        <w:pStyle w:val="ListParagraph"/>
        <w:numPr>
          <w:ilvl w:val="0"/>
          <w:numId w:val="2"/>
        </w:numPr>
        <w:spacing w:after="30" w:line="238"/>
      </w:pPr>
      <w:r>
        <w:rPr>
          <w:rFonts w:ascii="Arial" w:cs="Arial" w:eastAsia="Arial" w:hAnsi="Arial"/>
          <w:color w:val="1A1A1A"/>
          <w:sz w:val="19"/>
          <w:szCs w:val="19"/>
        </w:rPr>
        <w:t xml:space="preserve">You are trusted with progressively less well-defined work.</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Go and Python  ·  Kubernetes (operators, controllers, CRDs)  ·  Policy engines (OPA / Rego)  ·  Identity standards (OAuth / OIDC, workload identity, SPIFFE)  ·  Secrets management  ·  Audit, provenance and lineage tooling  ·  Event-driven architecture  ·  OpenTelemetry / Prometheus / Grafana  ·  CI/CD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 — Learning — building competence under direction</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Conceptual knowledge of theories, practices and procedures within the discipline. Performs routine assignments using existing procedures, under instruction and direction from more senior roles. Entry level to a professional career progression.</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0 – 2 years of engineering experience. No prior AI experience required; aptitude and interest matter more at this level.</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9D6A38-D5C2-4B94-8847-5BD0018DDA82}"/>
</file>

<file path=customXml/itemProps2.xml><?xml version="1.0" encoding="utf-8"?>
<ds:datastoreItem xmlns:ds="http://schemas.openxmlformats.org/officeDocument/2006/customXml" ds:itemID="{3C761851-0048-4718-9CC9-79ED795353AE}"/>
</file>

<file path=customXml/itemProps3.xml><?xml version="1.0" encoding="utf-8"?>
<ds:datastoreItem xmlns:ds="http://schemas.openxmlformats.org/officeDocument/2006/customXml" ds:itemID="{E1DD9465-D0E5-4E41-939C-B59FC38B740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Engineer I — RackAI</dc:title>
  <dc:creator>Rackspace Technology</dc:creator>
  <cp:lastModifiedBy>Un-named</cp:lastModifiedBy>
  <cp:revision>1</cp:revision>
  <dcterms:created xsi:type="dcterms:W3CDTF">2026-09-14T22:59:18Z</dcterms:created>
  <dcterms:modified xsi:type="dcterms:W3CDTF">2026-09-14T22:59:18Z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