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80"/>
        <w:tblBorders>
          <w:top w:val="none" w:color="FFFFFF" w:sz="0"/>
          <w:left w:val="none" w:color="FFFFFF" w:sz="0"/>
          <w:bottom w:val="single" w:color="E4002B" w:sz="18"/>
          <w:right w:val="none" w:color="FFFFFF" w:sz="0"/>
          <w:insideH w:val="none" w:color="FFFFFF" w:sz="0"/>
          <w:insideV w:val="none" w:color="FFFFFF" w:sz="0"/>
        </w:tblBorders>
      </w:tblPr>
      <w:tblGrid>
        <w:gridCol w:w="4840"/>
        <w:gridCol w:w="4840"/>
      </w:tblGrid>
      <w:tr>
        <w:tc>
          <w:tcPr>
            <w:tcW w:type="dxa" w:w="4840"/>
            <w:tcMar>
              <w:top w:type="dxa" w:w="40"/>
              <w:left w:type="dxa" w:w="0"/>
              <w:bottom w:type="dxa" w:w="100"/>
              <w:right w:type="dxa" w:w="0"/>
            </w:tcMar>
          </w:tcPr>
          <w:p>
            <w:r>
              <w:rPr>
                <w:rFonts w:ascii="Arial" w:cs="Arial" w:eastAsia="Arial" w:hAnsi="Arial"/>
                <w:b/>
                <w:bCs/>
                <w:color w:val="1A1A1A"/>
                <w:sz w:val="26"/>
                <w:szCs w:val="26"/>
              </w:rPr>
              <w:t xml:space="preserve">rackspace</w:t>
            </w:r>
            <w:r>
              <w:rPr>
                <w:rFonts w:ascii="Arial" w:cs="Arial" w:eastAsia="Arial" w:hAnsi="Arial"/>
                <w:color w:val="595959"/>
                <w:sz w:val="26"/>
                <w:szCs w:val="26"/>
              </w:rPr>
              <w:t xml:space="preserve"> technology</w:t>
            </w:r>
          </w:p>
        </w:tc>
        <w:tc>
          <w:tcPr>
            <w:tcW w:type="dxa" w:w="4840"/>
            <w:tcMar>
              <w:top w:type="dxa" w:w="40"/>
              <w:left w:type="dxa" w:w="0"/>
              <w:bottom w:type="dxa" w:w="100"/>
              <w:right w:type="dxa" w:w="0"/>
            </w:tcMar>
          </w:tcPr>
          <w:p>
            <w:pPr>
              <w:jc w:val="right"/>
            </w:pPr>
            <w:r>
              <w:rPr>
                <w:rFonts w:ascii="Arial" w:cs="Arial" w:eastAsia="Arial" w:hAnsi="Arial"/>
                <w:b/>
                <w:bCs/>
                <w:color w:val="E4002B"/>
                <w:sz w:val="16"/>
                <w:szCs w:val="16"/>
              </w:rPr>
              <w:t xml:space="preserve">CAREERS  ·  ENGINEERING  ·  FOR INTERNAL POSTING</w:t>
            </w:r>
          </w:p>
        </w:tc>
      </w:tr>
    </w:tbl>
    <w:p>
      <w:pPr>
        <w:spacing w:after="40" w:before="240"/>
      </w:pPr>
      <w:r>
        <w:rPr>
          <w:rFonts w:ascii="Arial" w:cs="Arial" w:eastAsia="Arial" w:hAnsi="Arial"/>
          <w:b/>
          <w:bCs/>
          <w:color w:val="1A1A1A"/>
          <w:sz w:val="36"/>
          <w:szCs w:val="36"/>
        </w:rPr>
        <w:t xml:space="preserve">Chief Architect, AI Orchestration</w:t>
      </w:r>
    </w:p>
    <w:p>
      <w:pPr>
        <w:spacing w:after="30"/>
      </w:pPr>
      <w:r>
        <w:rPr>
          <w:rFonts w:ascii="Arial" w:cs="Arial" w:eastAsia="Arial" w:hAnsi="Arial"/>
          <w:b/>
          <w:bCs/>
          <w:caps/>
          <w:color w:val="E4002B"/>
          <w:sz w:val="20"/>
          <w:szCs w:val="20"/>
        </w:rPr>
        <w:t xml:space="preserve">Principal Architecture  ·  Orchestration, Routing and Loop Design</w:t>
      </w:r>
    </w:p>
    <w:p>
      <w:pPr>
        <w:pBdr>
          <w:bottom w:val="single" w:color="D9D9D9" w:sz="6" w:space="6"/>
        </w:pBdr>
        <w:spacing w:after="180"/>
      </w:pPr>
      <w:r>
        <w:rPr>
          <w:rFonts w:ascii="Arial" w:cs="Arial" w:eastAsia="Arial" w:hAnsi="Arial"/>
          <w:color w:val="595959"/>
          <w:sz w:val="16"/>
          <w:szCs w:val="16"/>
        </w:rPr>
        <w:t xml:space="preserve">Chief Architect Level  ·  RackAI Product and Engineering  ·  Remote / Hybrid  ·  Reports to Director, AI Harness, Orchestration and Governance</w:t>
      </w:r>
    </w:p>
    <w:p>
      <w:pPr>
        <w:pStyle w:val="Heading1"/>
        <w:pBdr>
          <w:bottom w:val="single" w:color="E4002B" w:sz="8" w:space="4"/>
        </w:pBdr>
        <w:spacing w:after="70" w:before="170"/>
      </w:pPr>
      <w:r>
        <w:rPr>
          <w:rFonts w:ascii="Arial" w:cs="Arial" w:eastAsia="Arial" w:hAnsi="Arial"/>
          <w:b/>
          <w:bCs/>
          <w:color w:val="1A1A1A"/>
          <w:sz w:val="23"/>
          <w:szCs w:val="23"/>
        </w:rPr>
        <w:t xml:space="preserve">About the opportunity</w:t>
      </w:r>
    </w:p>
    <w:p>
      <w:pPr>
        <w:spacing w:after="80" w:line="242"/>
      </w:pPr>
      <w:r>
        <w:rPr>
          <w:rFonts w:ascii="Arial" w:cs="Arial" w:eastAsia="Arial" w:hAnsi="Arial"/>
          <w:color w:val="1A1A1A"/>
          <w:sz w:val="19"/>
          <w:szCs w:val="19"/>
        </w:rPr>
        <w:t xml:space="preserve">RackAI is Rackspace's managed AI inference platform. An enterprise does not run one agentic system; it runs many — one for coding, one per domain, each with its own tools, context and policy. Something has to decide which of them handles a given task, on which model, at what cost, and when to involve a person instead. That is orchestration.</w:t>
      </w:r>
    </w:p>
    <w:p>
      <w:pPr>
        <w:spacing w:after="80" w:line="242"/>
      </w:pPr>
      <w:r>
        <w:rPr>
          <w:rFonts w:ascii="Arial" w:cs="Arial" w:eastAsia="Arial" w:hAnsi="Arial"/>
          <w:color w:val="1A1A1A"/>
          <w:sz w:val="19"/>
          <w:szCs w:val="19"/>
        </w:rPr>
        <w:t xml:space="preserve">As Chief Architect, AI Orchestration you own it, the design and the delivery. You will define and build the orchestration layer that runs work across many harnesses, the routing that picks the cheapest executor clearing a required reliability bar, and the planning that decides how a task is broken up and when it should stop.</w:t>
      </w:r>
    </w:p>
    <w:p>
      <w:pPr>
        <w:spacing w:after="80" w:line="242"/>
      </w:pPr>
      <w:r>
        <w:rPr>
          <w:rFonts w:ascii="Arial" w:cs="Arial" w:eastAsia="Arial" w:hAnsi="Arial"/>
          <w:color w:val="1A1A1A"/>
          <w:sz w:val="19"/>
          <w:szCs w:val="19"/>
        </w:rPr>
        <w:t xml:space="preserve">You will work alongside a Principal Engineer who owns the harness and runtime your orchestration runs on, and a Director who owns the function. Architecture here is accountable rather than advisory: you own the decisions, you build against them, and you live with the consequences in production.</w:t>
      </w:r>
    </w:p>
    <w:p>
      <w:pPr>
        <w:pStyle w:val="Heading1"/>
        <w:pBdr>
          <w:bottom w:val="single" w:color="E4002B" w:sz="8" w:space="4"/>
        </w:pBdr>
        <w:spacing w:after="70" w:before="170"/>
      </w:pPr>
      <w:r>
        <w:rPr>
          <w:rFonts w:ascii="Arial" w:cs="Arial" w:eastAsia="Arial" w:hAnsi="Arial"/>
          <w:b/>
          <w:bCs/>
          <w:color w:val="1A1A1A"/>
          <w:sz w:val="23"/>
          <w:szCs w:val="23"/>
        </w:rPr>
        <w:t xml:space="preserve">Why RackAI</w:t>
      </w:r>
    </w:p>
    <w:p>
      <w:pPr>
        <w:spacing w:after="80" w:line="242"/>
      </w:pPr>
      <w:r>
        <w:rPr>
          <w:rFonts w:ascii="Arial" w:cs="Arial" w:eastAsia="Arial" w:hAnsi="Arial"/>
          <w:color w:val="1A1A1A"/>
          <w:sz w:val="19"/>
          <w:szCs w:val="19"/>
        </w:rPr>
        <w:t xml:space="preserve">Deciding what runs where is where enterprise AI economics are won, and very few organisations are doing it on evidence.</w:t>
      </w:r>
    </w:p>
    <w:p>
      <w:pPr>
        <w:spacing w:after="80" w:line="242"/>
      </w:pPr>
      <w:r>
        <w:rPr>
          <w:rFonts w:ascii="Arial" w:cs="Arial" w:eastAsia="Arial" w:hAnsi="Arial"/>
          <w:color w:val="1A1A1A"/>
          <w:sz w:val="19"/>
          <w:szCs w:val="19"/>
        </w:rPr>
        <w:t xml:space="preserve">Always reaching for the strongest model is wasteful; always reaching for the cheapest is risky. Getting that choice right — across a whole workload rather than one step, against measured cost and reliability rather than reputation — is the difference between an AI platform that pays for itself and one that does not. You will design and build that decision layer, including the point at which a tuned small model beats renting a frontier one, and keep it current as models and prices move. Rackspace brings the regulated customers, the real workloads and the operating data to do it against.</w:t>
      </w:r>
    </w:p>
    <w:p>
      <w:pPr>
        <w:spacing w:after="80" w:line="242"/>
      </w:pPr>
      <w:r>
        <w:rPr>
          <w:rFonts w:ascii="Arial" w:cs="Arial" w:eastAsia="Arial" w:hAnsi="Arial"/>
          <w:b w:val="false"/>
          <w:bCs w:val="false"/>
          <w:color w:val="1A1A1A"/>
          <w:sz w:val="19"/>
          <w:szCs w:val="19"/>
        </w:rPr>
        <w:t xml:space="preserve">And we work the way we build: </w:t>
      </w:r>
      <w:r>
        <w:rPr>
          <w:rFonts w:ascii="Arial" w:cs="Arial" w:eastAsia="Arial" w:hAnsi="Arial"/>
          <w:b/>
          <w:bCs/>
          <w:color w:val="1A1A1A"/>
          <w:sz w:val="19"/>
          <w:szCs w:val="19"/>
        </w:rPr>
        <w:t xml:space="preserve">we build AI, and we build with AI.</w:t>
      </w:r>
      <w:r>
        <w:rPr>
          <w:rFonts w:ascii="Arial" w:cs="Arial" w:eastAsia="Arial" w:hAnsi="Arial"/>
          <w:b w:val="false"/>
          <w:bCs w:val="false"/>
          <w:color w:val="1A1A1A"/>
          <w:sz w:val="19"/>
          <w:szCs w:val="19"/>
        </w:rPr>
        <w:t xml:space="preserve"> If you want architectural authority over something new, and to build it rather than hand it over, this is the seat.</w:t>
      </w:r>
    </w:p>
    <w:p>
      <w:pPr>
        <w:pStyle w:val="Heading1"/>
        <w:pBdr>
          <w:bottom w:val="single" w:color="E4002B" w:sz="8" w:space="4"/>
        </w:pBdr>
        <w:spacing w:after="70" w:before="170"/>
      </w:pPr>
      <w:r>
        <w:rPr>
          <w:rFonts w:ascii="Arial" w:cs="Arial" w:eastAsia="Arial" w:hAnsi="Arial"/>
          <w:b/>
          <w:bCs/>
          <w:color w:val="1A1A1A"/>
          <w:sz w:val="23"/>
          <w:szCs w:val="23"/>
        </w:rPr>
        <w:t xml:space="preserve">What you'll do</w:t>
      </w:r>
    </w:p>
    <w:p>
      <w:pPr>
        <w:pStyle w:val="Heading2"/>
        <w:spacing w:after="44" w:before="112"/>
      </w:pPr>
      <w:r>
        <w:rPr>
          <w:rFonts w:ascii="Arial" w:cs="Arial" w:eastAsia="Arial" w:hAnsi="Arial"/>
          <w:b/>
          <w:bCs/>
          <w:color w:val="E4002B"/>
          <w:sz w:val="19"/>
          <w:szCs w:val="19"/>
        </w:rPr>
        <w:t xml:space="preserve">Own the orchestration architecture</w:t>
      </w:r>
    </w:p>
    <w:p>
      <w:pPr>
        <w:pStyle w:val="ListParagraph"/>
        <w:numPr>
          <w:ilvl w:val="0"/>
          <w:numId w:val="2"/>
        </w:numPr>
        <w:spacing w:after="30" w:line="238"/>
      </w:pPr>
      <w:r>
        <w:rPr>
          <w:rFonts w:ascii="Arial" w:cs="Arial" w:eastAsia="Arial" w:hAnsi="Arial"/>
          <w:color w:val="1A1A1A"/>
          <w:sz w:val="19"/>
          <w:szCs w:val="19"/>
        </w:rPr>
        <w:t xml:space="preserve">Own the design of the orchestration layer that runs work across many harnesses, models and people.</w:t>
      </w:r>
    </w:p>
    <w:p>
      <w:pPr>
        <w:pStyle w:val="ListParagraph"/>
        <w:numPr>
          <w:ilvl w:val="0"/>
          <w:numId w:val="2"/>
        </w:numPr>
        <w:spacing w:after="30" w:line="238"/>
      </w:pPr>
      <w:r>
        <w:rPr>
          <w:rFonts w:ascii="Arial" w:cs="Arial" w:eastAsia="Arial" w:hAnsi="Arial"/>
          <w:color w:val="1A1A1A"/>
          <w:sz w:val="19"/>
          <w:szCs w:val="19"/>
        </w:rPr>
        <w:t xml:space="preserve">Own the routing model: pick the cheapest executor that clears a required reliability bar, with measured cost and reliability as inputs rather than static rules.</w:t>
      </w:r>
    </w:p>
    <w:p>
      <w:pPr>
        <w:pStyle w:val="ListParagraph"/>
        <w:numPr>
          <w:ilvl w:val="0"/>
          <w:numId w:val="2"/>
        </w:numPr>
        <w:spacing w:after="30" w:line="238"/>
      </w:pPr>
      <w:r>
        <w:rPr>
          <w:rFonts w:ascii="Arial" w:cs="Arial" w:eastAsia="Arial" w:hAnsi="Arial"/>
          <w:color w:val="1A1A1A"/>
          <w:sz w:val="19"/>
          <w:szCs w:val="19"/>
        </w:rPr>
        <w:t xml:space="preserve">Own task planning and decomposition — how work is broken up, one agent or several, when to verify and when to stop — for the lowest cost per outcome.</w:t>
      </w:r>
    </w:p>
    <w:p>
      <w:pPr>
        <w:pStyle w:val="ListParagraph"/>
        <w:numPr>
          <w:ilvl w:val="0"/>
          <w:numId w:val="2"/>
        </w:numPr>
        <w:spacing w:after="30" w:line="238"/>
      </w:pPr>
      <w:r>
        <w:rPr>
          <w:rFonts w:ascii="Arial" w:cs="Arial" w:eastAsia="Arial" w:hAnsi="Arial"/>
          <w:color w:val="1A1A1A"/>
          <w:sz w:val="19"/>
          <w:szCs w:val="19"/>
        </w:rPr>
        <w:t xml:space="preserve">Own placement between edge and core under latency and data-residency constraints, and design where a person enters the loop as a routing decision rather than an exception.</w:t>
      </w:r>
    </w:p>
    <w:p>
      <w:pPr>
        <w:pStyle w:val="Heading2"/>
        <w:spacing w:after="44" w:before="112"/>
      </w:pPr>
      <w:r>
        <w:rPr>
          <w:rFonts w:ascii="Arial" w:cs="Arial" w:eastAsia="Arial" w:hAnsi="Arial"/>
          <w:b/>
          <w:bCs/>
          <w:color w:val="E4002B"/>
          <w:sz w:val="19"/>
          <w:szCs w:val="19"/>
        </w:rPr>
        <w:t xml:space="preserve">Deliver it</w:t>
      </w:r>
    </w:p>
    <w:p>
      <w:pPr>
        <w:pStyle w:val="ListParagraph"/>
        <w:numPr>
          <w:ilvl w:val="0"/>
          <w:numId w:val="2"/>
        </w:numPr>
        <w:spacing w:after="30" w:line="238"/>
      </w:pPr>
      <w:r>
        <w:rPr>
          <w:rFonts w:ascii="Arial" w:cs="Arial" w:eastAsia="Arial" w:hAnsi="Arial"/>
          <w:color w:val="1A1A1A"/>
          <w:sz w:val="19"/>
          <w:szCs w:val="19"/>
        </w:rPr>
        <w:t xml:space="preserve">Build the orchestration layer, not only its design: you are accountable for it running in production.</w:t>
      </w:r>
    </w:p>
    <w:p>
      <w:pPr>
        <w:pStyle w:val="ListParagraph"/>
        <w:numPr>
          <w:ilvl w:val="0"/>
          <w:numId w:val="2"/>
        </w:numPr>
        <w:spacing w:after="30" w:line="238"/>
      </w:pPr>
      <w:r>
        <w:rPr>
          <w:rFonts w:ascii="Arial" w:cs="Arial" w:eastAsia="Arial" w:hAnsi="Arial"/>
          <w:color w:val="1A1A1A"/>
          <w:sz w:val="19"/>
          <w:szCs w:val="19"/>
        </w:rPr>
        <w:t xml:space="preserve">Make routing read the empirical record of where each model is reliable and what it costs, rather than assumptions.</w:t>
      </w:r>
    </w:p>
    <w:p>
      <w:pPr>
        <w:pStyle w:val="ListParagraph"/>
        <w:numPr>
          <w:ilvl w:val="0"/>
          <w:numId w:val="2"/>
        </w:numPr>
        <w:spacing w:after="30" w:line="238"/>
      </w:pPr>
      <w:r>
        <w:rPr>
          <w:rFonts w:ascii="Arial" w:cs="Arial" w:eastAsia="Arial" w:hAnsi="Arial"/>
          <w:color w:val="1A1A1A"/>
          <w:sz w:val="19"/>
          <w:szCs w:val="19"/>
        </w:rPr>
        <w:t xml:space="preserve">Own the build-versus-buy line across a whole workload — when a tuned small model beats a rented frontier one — and keep it current as models and prices change.</w:t>
      </w:r>
    </w:p>
    <w:p>
      <w:pPr>
        <w:pStyle w:val="ListParagraph"/>
        <w:numPr>
          <w:ilvl w:val="0"/>
          <w:numId w:val="2"/>
        </w:numPr>
        <w:spacing w:after="30" w:line="238"/>
      </w:pPr>
      <w:r>
        <w:rPr>
          <w:rFonts w:ascii="Arial" w:cs="Arial" w:eastAsia="Arial" w:hAnsi="Arial"/>
          <w:color w:val="1A1A1A"/>
          <w:sz w:val="19"/>
          <w:szCs w:val="19"/>
        </w:rPr>
        <w:t xml:space="preserve">Define the contracts between orchestration, the harness beneath it and the serving platform below that, so the composed system can still be governed and metered as one.</w:t>
      </w:r>
    </w:p>
    <w:p>
      <w:pPr>
        <w:pStyle w:val="Heading2"/>
        <w:spacing w:after="44" w:before="112"/>
      </w:pPr>
      <w:r>
        <w:rPr>
          <w:rFonts w:ascii="Arial" w:cs="Arial" w:eastAsia="Arial" w:hAnsi="Arial"/>
          <w:b/>
          <w:bCs/>
          <w:color w:val="E4002B"/>
          <w:sz w:val="19"/>
          <w:szCs w:val="19"/>
        </w:rPr>
        <w:t xml:space="preserve">Hold the research seam</w:t>
      </w:r>
    </w:p>
    <w:p>
      <w:pPr>
        <w:pStyle w:val="ListParagraph"/>
        <w:numPr>
          <w:ilvl w:val="0"/>
          <w:numId w:val="2"/>
        </w:numPr>
        <w:spacing w:after="30" w:line="238"/>
      </w:pPr>
      <w:r>
        <w:rPr>
          <w:rFonts w:ascii="Arial" w:cs="Arial" w:eastAsia="Arial" w:hAnsi="Arial"/>
          <w:color w:val="1A1A1A"/>
          <w:sz w:val="19"/>
          <w:szCs w:val="19"/>
        </w:rPr>
        <w:t xml:space="preserve">Work with the research track on loop planning and credit assignment — scoring multi-step work, predicting failure early, crediting the step that earned the result — so research output has somewhere to land.</w:t>
      </w:r>
    </w:p>
    <w:p>
      <w:pPr>
        <w:pStyle w:val="ListParagraph"/>
        <w:numPr>
          <w:ilvl w:val="0"/>
          <w:numId w:val="2"/>
        </w:numPr>
        <w:spacing w:after="30" w:line="238"/>
      </w:pPr>
      <w:r>
        <w:rPr>
          <w:rFonts w:ascii="Arial" w:cs="Arial" w:eastAsia="Arial" w:hAnsi="Arial"/>
          <w:color w:val="1A1A1A"/>
          <w:sz w:val="19"/>
          <w:szCs w:val="19"/>
        </w:rPr>
        <w:t xml:space="preserve">Take learned-optimisation work from experiment into production when it is ready, and say so plainly when it is not.</w:t>
      </w:r>
    </w:p>
    <w:p>
      <w:pPr>
        <w:pStyle w:val="Heading2"/>
        <w:spacing w:after="44" w:before="112"/>
      </w:pPr>
      <w:r>
        <w:rPr>
          <w:rFonts w:ascii="Arial" w:cs="Arial" w:eastAsia="Arial" w:hAnsi="Arial"/>
          <w:b/>
          <w:bCs/>
          <w:color w:val="E4002B"/>
          <w:sz w:val="19"/>
          <w:szCs w:val="19"/>
        </w:rPr>
        <w:t xml:space="preserve">Lead through others</w:t>
      </w:r>
    </w:p>
    <w:p>
      <w:pPr>
        <w:pStyle w:val="ListParagraph"/>
        <w:numPr>
          <w:ilvl w:val="0"/>
          <w:numId w:val="2"/>
        </w:numPr>
        <w:spacing w:after="30" w:line="238"/>
      </w:pPr>
      <w:r>
        <w:rPr>
          <w:rFonts w:ascii="Arial" w:cs="Arial" w:eastAsia="Arial" w:hAnsi="Arial"/>
          <w:color w:val="1A1A1A"/>
          <w:sz w:val="19"/>
          <w:szCs w:val="19"/>
        </w:rPr>
        <w:t xml:space="preserve">Set architectural direction across the pod, and lead through the Principal Engineer rather than around them.</w:t>
      </w:r>
    </w:p>
    <w:p>
      <w:pPr>
        <w:pStyle w:val="ListParagraph"/>
        <w:numPr>
          <w:ilvl w:val="0"/>
          <w:numId w:val="2"/>
        </w:numPr>
        <w:spacing w:after="30" w:line="238"/>
      </w:pPr>
      <w:r>
        <w:rPr>
          <w:rFonts w:ascii="Arial" w:cs="Arial" w:eastAsia="Arial" w:hAnsi="Arial"/>
          <w:color w:val="1A1A1A"/>
          <w:sz w:val="19"/>
          <w:szCs w:val="19"/>
        </w:rPr>
        <w:t xml:space="preserve">Make design decisions legible: written, reviewable, and defensible to an engineer, an executive and a customer.</w:t>
      </w:r>
    </w:p>
    <w:p>
      <w:pPr>
        <w:pStyle w:val="ListParagraph"/>
        <w:numPr>
          <w:ilvl w:val="0"/>
          <w:numId w:val="2"/>
        </w:numPr>
        <w:spacing w:after="30" w:line="238"/>
      </w:pPr>
      <w:r>
        <w:rPr>
          <w:rFonts w:ascii="Arial" w:cs="Arial" w:eastAsia="Arial" w:hAnsi="Arial"/>
          <w:color w:val="1A1A1A"/>
          <w:sz w:val="19"/>
          <w:szCs w:val="19"/>
        </w:rPr>
        <w:t xml:space="preserve">Mentor engineers and raise the design standard across the function.</w:t>
      </w:r>
    </w:p>
    <w:p>
      <w:pPr>
        <w:pStyle w:val="ListParagraph"/>
        <w:numPr>
          <w:ilvl w:val="0"/>
          <w:numId w:val="2"/>
        </w:numPr>
        <w:spacing w:after="30" w:line="238"/>
      </w:pPr>
      <w:r>
        <w:rPr>
          <w:rFonts w:ascii="Arial" w:cs="Arial" w:eastAsia="Arial" w:hAnsi="Arial"/>
          <w:color w:val="1A1A1A"/>
          <w:sz w:val="19"/>
          <w:szCs w:val="19"/>
        </w:rPr>
        <w:t xml:space="preserve">Make AI-assisted engineering the default across design, coding, testing, review and documentation, with clear standards for code quality, security, licensing and human review.</w:t>
      </w:r>
    </w:p>
    <w:p>
      <w:pPr>
        <w:pStyle w:val="Heading1"/>
        <w:pBdr>
          <w:bottom w:val="single" w:color="E4002B" w:sz="8" w:space="4"/>
        </w:pBdr>
        <w:spacing w:after="70" w:before="170"/>
      </w:pPr>
      <w:r>
        <w:rPr>
          <w:rFonts w:ascii="Arial" w:cs="Arial" w:eastAsia="Arial" w:hAnsi="Arial"/>
          <w:b/>
          <w:bCs/>
          <w:color w:val="1A1A1A"/>
          <w:sz w:val="23"/>
          <w:szCs w:val="23"/>
        </w:rPr>
        <w:t xml:space="preserve">What you'll bring</w:t>
      </w:r>
    </w:p>
    <w:p>
      <w:pPr>
        <w:pStyle w:val="Heading2"/>
        <w:spacing w:after="44" w:before="112"/>
      </w:pPr>
      <w:r>
        <w:rPr>
          <w:rFonts w:ascii="Arial" w:cs="Arial" w:eastAsia="Arial" w:hAnsi="Arial"/>
          <w:b/>
          <w:bCs/>
          <w:color w:val="E4002B"/>
          <w:sz w:val="19"/>
          <w:szCs w:val="19"/>
        </w:rPr>
        <w:t xml:space="preserve">Architecture and engineering</w:t>
      </w:r>
    </w:p>
    <w:p>
      <w:pPr>
        <w:pStyle w:val="ListParagraph"/>
        <w:numPr>
          <w:ilvl w:val="0"/>
          <w:numId w:val="2"/>
        </w:numPr>
        <w:spacing w:after="30" w:line="238"/>
      </w:pPr>
      <w:r>
        <w:rPr>
          <w:rFonts w:ascii="Arial" w:cs="Arial" w:eastAsia="Arial" w:hAnsi="Arial"/>
          <w:color w:val="1A1A1A"/>
          <w:sz w:val="19"/>
          <w:szCs w:val="19"/>
        </w:rPr>
        <w:t xml:space="preserve">Fifteen or more years in software engineering, with significant time as a principal architect owning production systems at enterprise scale, and three or more years architecting LLM-based systems with recent hands-on agentic work.</w:t>
      </w:r>
    </w:p>
    <w:p>
      <w:pPr>
        <w:pStyle w:val="ListParagraph"/>
        <w:numPr>
          <w:ilvl w:val="0"/>
          <w:numId w:val="2"/>
        </w:numPr>
        <w:spacing w:after="30" w:line="238"/>
      </w:pPr>
      <w:r>
        <w:rPr>
          <w:rFonts w:ascii="Arial" w:cs="Arial" w:eastAsia="Arial" w:hAnsi="Arial"/>
          <w:color w:val="1A1A1A"/>
          <w:sz w:val="19"/>
          <w:szCs w:val="19"/>
        </w:rPr>
        <w:t xml:space="preserve">A track record designing platforms others build on where your decisions outlived your involvement — and the willingness to build as well as design.</w:t>
      </w:r>
    </w:p>
    <w:p>
      <w:pPr>
        <w:pStyle w:val="ListParagraph"/>
        <w:numPr>
          <w:ilvl w:val="0"/>
          <w:numId w:val="2"/>
        </w:numPr>
        <w:spacing w:after="30" w:line="238"/>
      </w:pPr>
      <w:r>
        <w:rPr>
          <w:rFonts w:ascii="Arial" w:cs="Arial" w:eastAsia="Arial" w:hAnsi="Arial"/>
          <w:color w:val="1A1A1A"/>
          <w:sz w:val="19"/>
          <w:szCs w:val="19"/>
        </w:rPr>
        <w:t xml:space="preserve">Distributed systems, multi-tenant platform and API design depth, with strong Go or Python; you still read and write the code.</w:t>
      </w:r>
    </w:p>
    <w:p>
      <w:pPr>
        <w:pStyle w:val="ListParagraph"/>
        <w:numPr>
          <w:ilvl w:val="0"/>
          <w:numId w:val="2"/>
        </w:numPr>
        <w:spacing w:after="30" w:line="238"/>
      </w:pPr>
      <w:r>
        <w:rPr>
          <w:rFonts w:ascii="Arial" w:cs="Arial" w:eastAsia="Arial" w:hAnsi="Arial"/>
          <w:color w:val="1A1A1A"/>
          <w:sz w:val="19"/>
          <w:szCs w:val="19"/>
        </w:rPr>
        <w:t xml:space="preserve">Kubernetes to the depth needed to build and operate platform services on it.</w:t>
      </w:r>
    </w:p>
    <w:p>
      <w:pPr>
        <w:pStyle w:val="Heading2"/>
        <w:spacing w:after="44" w:before="112"/>
      </w:pPr>
      <w:r>
        <w:rPr>
          <w:rFonts w:ascii="Arial" w:cs="Arial" w:eastAsia="Arial" w:hAnsi="Arial"/>
          <w:b/>
          <w:bCs/>
          <w:color w:val="E4002B"/>
          <w:sz w:val="19"/>
          <w:szCs w:val="19"/>
        </w:rPr>
        <w:t xml:space="preserve">Orchestration and AI systems</w:t>
      </w:r>
    </w:p>
    <w:p>
      <w:pPr>
        <w:pStyle w:val="ListParagraph"/>
        <w:numPr>
          <w:ilvl w:val="0"/>
          <w:numId w:val="2"/>
        </w:numPr>
        <w:spacing w:after="30" w:line="238"/>
      </w:pPr>
      <w:r>
        <w:rPr>
          <w:rFonts w:ascii="Arial" w:cs="Arial" w:eastAsia="Arial" w:hAnsi="Arial"/>
          <w:color w:val="1A1A1A"/>
          <w:sz w:val="19"/>
          <w:szCs w:val="19"/>
        </w:rPr>
        <w:t xml:space="preserve">Hands-on understanding of agentic systems: multi-step loops, tool use, context assembly, memory, and why scaffolding often matters more than model choice.</w:t>
      </w:r>
    </w:p>
    <w:p>
      <w:pPr>
        <w:pStyle w:val="ListParagraph"/>
        <w:numPr>
          <w:ilvl w:val="0"/>
          <w:numId w:val="2"/>
        </w:numPr>
        <w:spacing w:after="30" w:line="238"/>
      </w:pPr>
      <w:r>
        <w:rPr>
          <w:rFonts w:ascii="Arial" w:cs="Arial" w:eastAsia="Arial" w:hAnsi="Arial"/>
          <w:color w:val="1A1A1A"/>
          <w:sz w:val="19"/>
          <w:szCs w:val="19"/>
        </w:rPr>
        <w:t xml:space="preserve">Routing, scheduling or workload-placement design, where cost and reliability trade-offs are made from measurement rather than heuristics.</w:t>
      </w:r>
    </w:p>
    <w:p>
      <w:pPr>
        <w:pStyle w:val="ListParagraph"/>
        <w:numPr>
          <w:ilvl w:val="0"/>
          <w:numId w:val="2"/>
        </w:numPr>
        <w:spacing w:after="30" w:line="238"/>
      </w:pPr>
      <w:r>
        <w:rPr>
          <w:rFonts w:ascii="Arial" w:cs="Arial" w:eastAsia="Arial" w:hAnsi="Arial"/>
          <w:color w:val="1A1A1A"/>
          <w:sz w:val="19"/>
          <w:szCs w:val="19"/>
        </w:rPr>
        <w:t xml:space="preserve">Practical grasp of LLM evaluation, and what it takes to trust a measurement of a non-deterministic system enough to route on it.</w:t>
      </w:r>
    </w:p>
    <w:p>
      <w:pPr>
        <w:pStyle w:val="ListParagraph"/>
        <w:numPr>
          <w:ilvl w:val="0"/>
          <w:numId w:val="2"/>
        </w:numPr>
        <w:spacing w:after="30" w:line="238"/>
      </w:pPr>
      <w:r>
        <w:rPr>
          <w:rFonts w:ascii="Arial" w:cs="Arial" w:eastAsia="Arial" w:hAnsi="Arial"/>
          <w:color w:val="1A1A1A"/>
          <w:sz w:val="19"/>
          <w:szCs w:val="19"/>
        </w:rPr>
        <w:t xml:space="preserve">Familiarity with capability and cost trade-offs across frontier APIs, open-weight models and fine-tuned small models.</w:t>
      </w:r>
    </w:p>
    <w:p>
      <w:pPr>
        <w:pStyle w:val="ListParagraph"/>
        <w:numPr>
          <w:ilvl w:val="0"/>
          <w:numId w:val="2"/>
        </w:numPr>
        <w:spacing w:after="30" w:line="238"/>
      </w:pPr>
      <w:r>
        <w:rPr>
          <w:rFonts w:ascii="Arial" w:cs="Arial" w:eastAsia="Arial" w:hAnsi="Arial"/>
          <w:color w:val="1A1A1A"/>
          <w:sz w:val="19"/>
          <w:szCs w:val="19"/>
        </w:rPr>
        <w:t xml:space="preserve">Planning, search or optimisation techniques applied to real production systems.</w:t>
      </w:r>
    </w:p>
    <w:p>
      <w:pPr>
        <w:pStyle w:val="Heading2"/>
        <w:spacing w:after="44" w:before="112"/>
      </w:pPr>
      <w:r>
        <w:rPr>
          <w:rFonts w:ascii="Arial" w:cs="Arial" w:eastAsia="Arial" w:hAnsi="Arial"/>
          <w:b/>
          <w:bCs/>
          <w:color w:val="E4002B"/>
          <w:sz w:val="19"/>
          <w:szCs w:val="19"/>
        </w:rPr>
        <w:t xml:space="preserve">Commercial and operational judgement</w:t>
      </w:r>
    </w:p>
    <w:p>
      <w:pPr>
        <w:pStyle w:val="ListParagraph"/>
        <w:numPr>
          <w:ilvl w:val="0"/>
          <w:numId w:val="2"/>
        </w:numPr>
        <w:spacing w:after="30" w:line="238"/>
      </w:pPr>
      <w:r>
        <w:rPr>
          <w:rFonts w:ascii="Arial" w:cs="Arial" w:eastAsia="Arial" w:hAnsi="Arial"/>
          <w:color w:val="1A1A1A"/>
          <w:sz w:val="19"/>
          <w:szCs w:val="19"/>
        </w:rPr>
        <w:t xml:space="preserve">Fluency in unit economics — cost per token, cost per outcome — as an architectural constraint rather than an afterthought.</w:t>
      </w:r>
    </w:p>
    <w:p>
      <w:pPr>
        <w:pStyle w:val="ListParagraph"/>
        <w:numPr>
          <w:ilvl w:val="0"/>
          <w:numId w:val="2"/>
        </w:numPr>
        <w:spacing w:after="30" w:line="238"/>
      </w:pPr>
      <w:r>
        <w:rPr>
          <w:rFonts w:ascii="Arial" w:cs="Arial" w:eastAsia="Arial" w:hAnsi="Arial"/>
          <w:color w:val="1A1A1A"/>
          <w:sz w:val="19"/>
          <w:szCs w:val="19"/>
        </w:rPr>
        <w:t xml:space="preserve">Delivery inside regulated, audited or sovereign environments, including residency constraints on placement.</w:t>
      </w:r>
    </w:p>
    <w:p>
      <w:pPr>
        <w:pStyle w:val="ListParagraph"/>
        <w:numPr>
          <w:ilvl w:val="0"/>
          <w:numId w:val="2"/>
        </w:numPr>
        <w:spacing w:after="30" w:line="238"/>
      </w:pPr>
      <w:r>
        <w:rPr>
          <w:rFonts w:ascii="Arial" w:cs="Arial" w:eastAsia="Arial" w:hAnsi="Arial"/>
          <w:color w:val="1A1A1A"/>
          <w:sz w:val="19"/>
          <w:szCs w:val="19"/>
        </w:rPr>
        <w:t xml:space="preserve">The range to hold an architecture conversation with a customer's chief architect and a design review with an engineer in the same day.</w:t>
      </w:r>
    </w:p>
    <w:p>
      <w:pPr>
        <w:pStyle w:val="ListParagraph"/>
        <w:numPr>
          <w:ilvl w:val="0"/>
          <w:numId w:val="2"/>
        </w:numPr>
        <w:spacing w:after="30" w:line="238"/>
      </w:pPr>
      <w:r>
        <w:rPr>
          <w:rFonts w:ascii="Arial" w:cs="Arial" w:eastAsia="Arial" w:hAnsi="Arial"/>
          <w:color w:val="1A1A1A"/>
          <w:sz w:val="19"/>
          <w:szCs w:val="19"/>
        </w:rPr>
        <w:t xml:space="preserve">Hands-on use of AI coding assistants in real engineering work.</w:t>
      </w:r>
    </w:p>
    <w:p>
      <w:pPr>
        <w:pStyle w:val="Heading1"/>
        <w:pBdr>
          <w:bottom w:val="single" w:color="E4002B" w:sz="8" w:space="4"/>
        </w:pBdr>
        <w:spacing w:after="70" w:before="170"/>
      </w:pPr>
      <w:r>
        <w:rPr>
          <w:rFonts w:ascii="Arial" w:cs="Arial" w:eastAsia="Arial" w:hAnsi="Arial"/>
          <w:b/>
          <w:bCs/>
          <w:color w:val="1A1A1A"/>
          <w:sz w:val="23"/>
          <w:szCs w:val="23"/>
        </w:rPr>
        <w:t xml:space="preserve">Nice to have</w:t>
      </w:r>
    </w:p>
    <w:p>
      <w:pPr>
        <w:pStyle w:val="ListParagraph"/>
        <w:numPr>
          <w:ilvl w:val="0"/>
          <w:numId w:val="2"/>
        </w:numPr>
        <w:spacing w:after="30" w:line="238"/>
      </w:pPr>
      <w:r>
        <w:rPr>
          <w:rFonts w:ascii="Arial" w:cs="Arial" w:eastAsia="Arial" w:hAnsi="Arial"/>
          <w:color w:val="1A1A1A"/>
          <w:sz w:val="19"/>
          <w:szCs w:val="19"/>
        </w:rPr>
        <w:t xml:space="preserve">Scheduling, placement or capacity-optimisation systems at scale.</w:t>
      </w:r>
    </w:p>
    <w:p>
      <w:pPr>
        <w:pStyle w:val="ListParagraph"/>
        <w:numPr>
          <w:ilvl w:val="0"/>
          <w:numId w:val="2"/>
        </w:numPr>
        <w:spacing w:after="30" w:line="238"/>
      </w:pPr>
      <w:r>
        <w:rPr>
          <w:rFonts w:ascii="Arial" w:cs="Arial" w:eastAsia="Arial" w:hAnsi="Arial"/>
          <w:color w:val="1A1A1A"/>
          <w:sz w:val="19"/>
          <w:szCs w:val="19"/>
        </w:rPr>
        <w:t xml:space="preserve">Learned or adaptive optimisation in production rather than in research.</w:t>
      </w:r>
    </w:p>
    <w:p>
      <w:pPr>
        <w:pStyle w:val="ListParagraph"/>
        <w:numPr>
          <w:ilvl w:val="0"/>
          <w:numId w:val="2"/>
        </w:numPr>
        <w:spacing w:after="30" w:line="238"/>
      </w:pPr>
      <w:r>
        <w:rPr>
          <w:rFonts w:ascii="Arial" w:cs="Arial" w:eastAsia="Arial" w:hAnsi="Arial"/>
          <w:color w:val="1A1A1A"/>
          <w:sz w:val="19"/>
          <w:szCs w:val="19"/>
        </w:rPr>
        <w:t xml:space="preserve">Multi-region or edge deployment under latency and residency constraints.</w:t>
      </w:r>
    </w:p>
    <w:p>
      <w:pPr>
        <w:pStyle w:val="ListParagraph"/>
        <w:numPr>
          <w:ilvl w:val="0"/>
          <w:numId w:val="2"/>
        </w:numPr>
        <w:spacing w:after="30" w:line="238"/>
      </w:pPr>
      <w:r>
        <w:rPr>
          <w:rFonts w:ascii="Arial" w:cs="Arial" w:eastAsia="Arial" w:hAnsi="Arial"/>
          <w:color w:val="1A1A1A"/>
          <w:sz w:val="19"/>
          <w:szCs w:val="19"/>
        </w:rPr>
        <w:t xml:space="preserve">Published or spoken work on agentic or AI platform architecture.</w:t>
      </w:r>
    </w:p>
    <w:p>
      <w:pPr>
        <w:pStyle w:val="Heading1"/>
        <w:pBdr>
          <w:bottom w:val="single" w:color="E4002B" w:sz="8" w:space="4"/>
        </w:pBdr>
        <w:spacing w:after="70" w:before="170"/>
      </w:pPr>
      <w:r>
        <w:rPr>
          <w:rFonts w:ascii="Arial" w:cs="Arial" w:eastAsia="Arial" w:hAnsi="Arial"/>
          <w:b/>
          <w:bCs/>
          <w:color w:val="1A1A1A"/>
          <w:sz w:val="23"/>
          <w:szCs w:val="23"/>
        </w:rPr>
        <w:t xml:space="preserve">How we'll measure success</w:t>
      </w:r>
    </w:p>
    <w:p>
      <w:pPr>
        <w:pStyle w:val="ListParagraph"/>
        <w:numPr>
          <w:ilvl w:val="0"/>
          <w:numId w:val="2"/>
        </w:numPr>
        <w:spacing w:after="30" w:line="238"/>
      </w:pPr>
      <w:r>
        <w:rPr>
          <w:rFonts w:ascii="Arial" w:cs="Arial" w:eastAsia="Arial" w:hAnsi="Arial"/>
          <w:color w:val="1A1A1A"/>
          <w:sz w:val="19"/>
          <w:szCs w:val="19"/>
        </w:rPr>
        <w:t xml:space="preserve">Orchestration runs in production across more than one harness and more than one domain.</w:t>
      </w:r>
    </w:p>
    <w:p>
      <w:pPr>
        <w:pStyle w:val="ListParagraph"/>
        <w:numPr>
          <w:ilvl w:val="0"/>
          <w:numId w:val="2"/>
        </w:numPr>
        <w:spacing w:after="30" w:line="238"/>
      </w:pPr>
      <w:r>
        <w:rPr>
          <w:rFonts w:ascii="Arial" w:cs="Arial" w:eastAsia="Arial" w:hAnsi="Arial"/>
          <w:color w:val="1A1A1A"/>
          <w:sz w:val="19"/>
          <w:szCs w:val="19"/>
        </w:rPr>
        <w:t xml:space="preserve">Routing decisions are made from measured cost and reliability, and hold as the workload mix changes.</w:t>
      </w:r>
    </w:p>
    <w:p>
      <w:pPr>
        <w:pStyle w:val="ListParagraph"/>
        <w:numPr>
          <w:ilvl w:val="0"/>
          <w:numId w:val="2"/>
        </w:numPr>
        <w:spacing w:after="30" w:line="238"/>
      </w:pPr>
      <w:r>
        <w:rPr>
          <w:rFonts w:ascii="Arial" w:cs="Arial" w:eastAsia="Arial" w:hAnsi="Arial"/>
          <w:color w:val="1A1A1A"/>
          <w:sz w:val="19"/>
          <w:szCs w:val="19"/>
        </w:rPr>
        <w:t xml:space="preserve">The build-versus-buy line is evidenced, current, and trusted outside engineering.</w:t>
      </w:r>
    </w:p>
    <w:p>
      <w:pPr>
        <w:pStyle w:val="ListParagraph"/>
        <w:numPr>
          <w:ilvl w:val="0"/>
          <w:numId w:val="2"/>
        </w:numPr>
        <w:spacing w:after="30" w:line="238"/>
      </w:pPr>
      <w:r>
        <w:rPr>
          <w:rFonts w:ascii="Arial" w:cs="Arial" w:eastAsia="Arial" w:hAnsi="Arial"/>
          <w:color w:val="1A1A1A"/>
          <w:sz w:val="19"/>
          <w:szCs w:val="19"/>
        </w:rPr>
        <w:t xml:space="preserve">Loop planning improves cost per outcome measurably rather than theoretically.</w:t>
      </w:r>
    </w:p>
    <w:p>
      <w:pPr>
        <w:pStyle w:val="ListParagraph"/>
        <w:numPr>
          <w:ilvl w:val="0"/>
          <w:numId w:val="2"/>
        </w:numPr>
        <w:spacing w:after="30" w:line="238"/>
      </w:pPr>
      <w:r>
        <w:rPr>
          <w:rFonts w:ascii="Arial" w:cs="Arial" w:eastAsia="Arial" w:hAnsi="Arial"/>
          <w:color w:val="1A1A1A"/>
          <w:sz w:val="19"/>
          <w:szCs w:val="19"/>
        </w:rPr>
        <w:t xml:space="preserve">Engineers and customers both understand the architecture well enough to argue with it.</w:t>
      </w:r>
    </w:p>
    <w:p>
      <w:pPr>
        <w:pStyle w:val="Heading1"/>
        <w:pBdr>
          <w:bottom w:val="single" w:color="E4002B" w:sz="8" w:space="4"/>
        </w:pBdr>
        <w:spacing w:after="70" w:before="170"/>
      </w:pPr>
      <w:r>
        <w:rPr>
          <w:rFonts w:ascii="Arial" w:cs="Arial" w:eastAsia="Arial" w:hAnsi="Arial"/>
          <w:b/>
          <w:bCs/>
          <w:color w:val="1A1A1A"/>
          <w:sz w:val="23"/>
          <w:szCs w:val="23"/>
        </w:rPr>
        <w:t xml:space="preserve">Technology you'll work with</w:t>
      </w:r>
    </w:p>
    <w:p>
      <w:pPr>
        <w:spacing w:after="0" w:line="242"/>
      </w:pPr>
      <w:r>
        <w:rPr>
          <w:rFonts w:ascii="Arial" w:cs="Arial" w:eastAsia="Arial" w:hAnsi="Arial"/>
          <w:color w:val="1A1A1A"/>
          <w:sz w:val="19"/>
          <w:szCs w:val="19"/>
        </w:rPr>
        <w:t xml:space="preserve">Go and Python  ·  Kubernetes (operators, controllers, CRDs)  ·  Agent frameworks and SDKs  ·  Orchestration and workflow engines  ·  Routing and policy engines  ·  Eval frameworks and measurement pipelines  ·  Event-driven and API architecture  ·  OpenTelemetry / Prometheus / Grafana  ·  CI/CD  ·  AWS  ·  Private and sovereign cloud  ·  AI-assisted development tooling (Claude Code, Kiro, Codex, GitHub Copilot)</w:t>
      </w:r>
    </w:p>
    <w:sectPr>
      <w:footerReference w:type="default" r:id="rId7"/>
      <w:pgSz w:w="11906" w:h="16838" w:orient="portrait"/>
      <w:pgMar w:top="760" w:right="960" w:bottom="70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space="4"/>
      </w:pBdr>
      <w:tabs>
        <w:tab w:val="right" w:pos="9026"/>
      </w:tabs>
    </w:pPr>
    <w:r>
      <w:rPr>
        <w:rFonts w:ascii="Arial" w:cs="Arial" w:eastAsia="Arial" w:hAnsi="Arial"/>
        <w:color w:val="595959"/>
        <w:sz w:val="14"/>
        <w:szCs w:val="14"/>
      </w:rPr>
      <w:t xml:space="preserve">Rackspace Technology  ·  Confidential — Internal use only</w:t>
    </w:r>
    <w:r>
      <w:rPr>
        <w:rFonts w:ascii="Arial" w:cs="Arial" w:eastAsia="Arial" w:hAnsi="Arial"/>
        <w:sz w:val="14"/>
        <w:szCs w:val="14"/>
      </w:rPr>
      <w:t xml:space="preserve">	</w:t>
    </w:r>
    <w:r>
      <w:rPr>
        <w:rFonts w:ascii="Arial" w:cs="Arial" w:eastAsia="Arial" w:hAnsi="Arial"/>
        <w:color w:val="595959"/>
        <w:sz w:val="14"/>
        <w:szCs w:val="14"/>
      </w:rPr>
      <w:t xml:space="preserve">Page </w:t>
    </w:r>
    <w:r>
      <w:rPr>
        <w:rFonts w:ascii="Arial" w:cs="Arial" w:eastAsia="Arial" w:hAnsi="Arial"/>
        <w:color w:val="59595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15"/>
      </w:pPr>
      <w:rPr>
        <w:rFonts w:ascii="Arial" w:cs="Arial" w:eastAsia="Arial" w:hAnsi="Arial"/>
        <w:color w:val="E4002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2C14B45DD4C644BC96213ACB087480" ma:contentTypeVersion="3" ma:contentTypeDescription="Create a new document." ma:contentTypeScope="" ma:versionID="a73f04db5aba893f1d779be7421a2bb8">
  <xsd:schema xmlns:xsd="http://www.w3.org/2001/XMLSchema" xmlns:xs="http://www.w3.org/2001/XMLSchema" xmlns:p="http://schemas.microsoft.com/office/2006/metadata/properties" xmlns:ns2="39c84f24-a008-4cce-bb9c-5ad717601f75" targetNamespace="http://schemas.microsoft.com/office/2006/metadata/properties" ma:root="true" ma:fieldsID="7a3862965fe48b1ad119faff3af803b7" ns2:_="">
    <xsd:import namespace="39c84f24-a008-4cce-bb9c-5ad717601f7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c84f24-a008-4cce-bb9c-5ad717601f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E056240-B0C2-44AC-865C-43EEF2820FD3}"/>
</file>

<file path=customXml/itemProps2.xml><?xml version="1.0" encoding="utf-8"?>
<ds:datastoreItem xmlns:ds="http://schemas.openxmlformats.org/officeDocument/2006/customXml" ds:itemID="{C6CF3CF6-9BF6-4785-AC1D-F4E3E4FE9CA5}"/>
</file>

<file path=customXml/itemProps3.xml><?xml version="1.0" encoding="utf-8"?>
<ds:datastoreItem xmlns:ds="http://schemas.openxmlformats.org/officeDocument/2006/customXml" ds:itemID="{14E5C317-426E-4F1A-BE6E-664D071C366C}"/>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Chief Architect, AI Orchestration — RackAI</dc:title>
  <dc:creator>Rackspace Technology</dc:creator>
  <cp:lastModifiedBy>Un-named</cp:lastModifiedBy>
  <cp:revision>1</cp:revision>
  <dcterms:created xsi:type="dcterms:W3CDTF">2026-09-15T00:25:45Z</dcterms:created>
  <dcterms:modified xsi:type="dcterms:W3CDTF">2026-09-15T00:25:45Z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0x010100432C14B45DD4C644BC96213ACB087480</vt:lpwstr>
  </property>
</Properties>
</file>