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Quality Engineer IV</w:t>
      </w:r>
    </w:p>
    <w:p>
      <w:pPr>
        <w:spacing w:after="30"/>
      </w:pPr>
      <w:r>
        <w:rPr>
          <w:rFonts w:ascii="Arial" w:cs="Arial" w:eastAsia="Arial" w:hAnsi="Arial"/>
          <w:b/>
          <w:bCs/>
          <w:caps/>
          <w:color w:val="E4002B"/>
          <w:sz w:val="20"/>
          <w:szCs w:val="20"/>
        </w:rPr>
        <w:t xml:space="preserve">Quality Engineering  ·  Product Surface, Integration and Release Readiness</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sold to regulated enterprises who expect it to work exactly as specified. Alongside the evaluation that judges whether the AI behaves well enough to ship, someone has to prove the product itself is correct — the API, the SDK, the console, the upgrade path, the tenant boundaries, and the controls that are supposed to block things. Quality Engineers do that.</w:t>
      </w:r>
    </w:p>
    <w:p>
      <w:pPr>
        <w:spacing w:after="80" w:line="242"/>
      </w:pPr>
      <w:r>
        <w:rPr>
          <w:rFonts w:ascii="Arial" w:cs="Arial" w:eastAsia="Arial" w:hAnsi="Arial"/>
          <w:color w:val="1A1A1A"/>
          <w:sz w:val="19"/>
          <w:szCs w:val="19"/>
        </w:rPr>
        <w:t xml:space="preserve">As a Quality Engineer IV you will own quality for a major area of the platform, lead others to solve complex testing problems, and provide technical leadership to projects spanning the product.</w:t>
      </w:r>
    </w:p>
    <w:p>
      <w:pPr>
        <w:spacing w:after="80" w:line="242"/>
      </w:pPr>
      <w:r>
        <w:rPr>
          <w:rFonts w:ascii="Arial" w:cs="Arial" w:eastAsia="Arial" w:hAnsi="Arial"/>
          <w:color w:val="1A1A1A"/>
          <w:sz w:val="19"/>
          <w:szCs w:val="19"/>
        </w:rPr>
        <w:t xml:space="preserve">You will work in the Governance and Assurance pod with a Quality Engineer V who holds the discipline overall, alongside AI Assurance Engineers gating on model behaviour and AI Governance Engineers building the controls you verify.</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Regulated buyers do not take software quality on trust, and proving it is a discipline in its own right.</w:t>
      </w:r>
    </w:p>
    <w:p>
      <w:pPr>
        <w:spacing w:after="80" w:line="242"/>
      </w:pPr>
      <w:r>
        <w:rPr>
          <w:rFonts w:ascii="Arial" w:cs="Arial" w:eastAsia="Arial" w:hAnsi="Arial"/>
          <w:color w:val="1A1A1A"/>
          <w:sz w:val="19"/>
          <w:szCs w:val="19"/>
        </w:rPr>
        <w:t xml:space="preserve">On this platform a defect is not an inconvenience: a tenant boundary that leaks, a quota that fails to enforce, or an upgrade that loses a customer's configuration is a commercial and compliance event. You will build the testing that catches those before a customer does, across a product surface spanning API, SDK and console, on a platform running two accelerator stacks inside private and sovereign environments. The evidence your tests produce also feeds the certifications the whole offering rests on.</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lead the discipline that decides whether a regulated customer can trust this platform, this is that seat.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Lead quality for a major area</w:t>
      </w:r>
    </w:p>
    <w:p>
      <w:pPr>
        <w:pStyle w:val="ListParagraph"/>
        <w:numPr>
          <w:ilvl w:val="0"/>
          <w:numId w:val="2"/>
        </w:numPr>
        <w:spacing w:after="30" w:line="238"/>
      </w:pPr>
      <w:r>
        <w:rPr>
          <w:rFonts w:ascii="Arial" w:cs="Arial" w:eastAsia="Arial" w:hAnsi="Arial"/>
          <w:color w:val="1A1A1A"/>
          <w:sz w:val="19"/>
          <w:szCs w:val="19"/>
        </w:rPr>
        <w:t xml:space="preserve">Lead the test strategy across a major area, including the risk position and what is deliberately not tested.</w:t>
      </w:r>
    </w:p>
    <w:p>
      <w:pPr>
        <w:pStyle w:val="ListParagraph"/>
        <w:numPr>
          <w:ilvl w:val="0"/>
          <w:numId w:val="2"/>
        </w:numPr>
        <w:spacing w:after="30" w:line="238"/>
      </w:pPr>
      <w:r>
        <w:rPr>
          <w:rFonts w:ascii="Arial" w:cs="Arial" w:eastAsia="Arial" w:hAnsi="Arial"/>
          <w:color w:val="1A1A1A"/>
          <w:sz w:val="19"/>
          <w:szCs w:val="19"/>
        </w:rPr>
        <w:t xml:space="preserve">Lead the automated suite and test infrastructure as a capability other teams depend on.</w:t>
      </w:r>
    </w:p>
    <w:p>
      <w:pPr>
        <w:pStyle w:val="ListParagraph"/>
        <w:numPr>
          <w:ilvl w:val="0"/>
          <w:numId w:val="2"/>
        </w:numPr>
        <w:spacing w:after="30" w:line="238"/>
      </w:pPr>
      <w:r>
        <w:rPr>
          <w:rFonts w:ascii="Arial" w:cs="Arial" w:eastAsia="Arial" w:hAnsi="Arial"/>
          <w:color w:val="1A1A1A"/>
          <w:sz w:val="19"/>
          <w:szCs w:val="19"/>
        </w:rPr>
        <w:t xml:space="preserve">Lead non-functional testing across the area — load, soak, resilience, upgrade and rollback.</w:t>
      </w:r>
    </w:p>
    <w:p>
      <w:pPr>
        <w:pStyle w:val="ListParagraph"/>
        <w:numPr>
          <w:ilvl w:val="0"/>
          <w:numId w:val="2"/>
        </w:numPr>
        <w:spacing w:after="30" w:line="238"/>
      </w:pPr>
      <w:r>
        <w:rPr>
          <w:rFonts w:ascii="Arial" w:cs="Arial" w:eastAsia="Arial" w:hAnsi="Arial"/>
          <w:color w:val="1A1A1A"/>
          <w:sz w:val="19"/>
          <w:szCs w:val="19"/>
        </w:rPr>
        <w:t xml:space="preserve">Lead verification of governance and multi-tenant controls, in partnership with the AI Governance Engineers who build them.</w:t>
      </w:r>
    </w:p>
    <w:p>
      <w:pPr>
        <w:pStyle w:val="Heading2"/>
        <w:spacing w:after="44" w:before="112"/>
      </w:pPr>
      <w:r>
        <w:rPr>
          <w:rFonts w:ascii="Arial" w:cs="Arial" w:eastAsia="Arial" w:hAnsi="Arial"/>
          <w:b/>
          <w:bCs/>
          <w:color w:val="E4002B"/>
          <w:sz w:val="19"/>
          <w:szCs w:val="19"/>
        </w:rPr>
        <w:t xml:space="preserve">Own release quality</w:t>
      </w:r>
    </w:p>
    <w:p>
      <w:pPr>
        <w:pStyle w:val="ListParagraph"/>
        <w:numPr>
          <w:ilvl w:val="0"/>
          <w:numId w:val="2"/>
        </w:numPr>
        <w:spacing w:after="30" w:line="238"/>
      </w:pPr>
      <w:r>
        <w:rPr>
          <w:rFonts w:ascii="Arial" w:cs="Arial" w:eastAsia="Arial" w:hAnsi="Arial"/>
          <w:color w:val="1A1A1A"/>
          <w:sz w:val="19"/>
          <w:szCs w:val="19"/>
        </w:rPr>
        <w:t xml:space="preserve">Lead release readiness across the area, and defend the call to engineering and product leadership.</w:t>
      </w:r>
    </w:p>
    <w:p>
      <w:pPr>
        <w:pStyle w:val="ListParagraph"/>
        <w:numPr>
          <w:ilvl w:val="0"/>
          <w:numId w:val="2"/>
        </w:numPr>
        <w:spacing w:after="30" w:line="238"/>
      </w:pPr>
      <w:r>
        <w:rPr>
          <w:rFonts w:ascii="Arial" w:cs="Arial" w:eastAsia="Arial" w:hAnsi="Arial"/>
          <w:color w:val="1A1A1A"/>
          <w:sz w:val="19"/>
          <w:szCs w:val="19"/>
        </w:rPr>
        <w:t xml:space="preserve">Lead defect and escape analysis, and drive the process changes it implies.</w:t>
      </w:r>
    </w:p>
    <w:p>
      <w:pPr>
        <w:pStyle w:val="ListParagraph"/>
        <w:numPr>
          <w:ilvl w:val="0"/>
          <w:numId w:val="2"/>
        </w:numPr>
        <w:spacing w:after="30" w:line="238"/>
      </w:pPr>
      <w:r>
        <w:rPr>
          <w:rFonts w:ascii="Arial" w:cs="Arial" w:eastAsia="Arial" w:hAnsi="Arial"/>
          <w:color w:val="1A1A1A"/>
          <w:sz w:val="19"/>
          <w:szCs w:val="19"/>
        </w:rPr>
        <w:t xml:space="preserve">Lead the test evidence compliance and certification depend on, and present it to auditors.</w:t>
      </w:r>
    </w:p>
    <w:p>
      <w:pPr>
        <w:pStyle w:val="Heading2"/>
        <w:spacing w:after="44" w:before="112"/>
      </w:pPr>
      <w:r>
        <w:rPr>
          <w:rFonts w:ascii="Arial" w:cs="Arial" w:eastAsia="Arial" w:hAnsi="Arial"/>
          <w:b/>
          <w:bCs/>
          <w:color w:val="E4002B"/>
          <w:sz w:val="19"/>
          <w:szCs w:val="19"/>
        </w:rPr>
        <w:t xml:space="preserve">Lead others</w:t>
      </w:r>
    </w:p>
    <w:p>
      <w:pPr>
        <w:pStyle w:val="ListParagraph"/>
        <w:numPr>
          <w:ilvl w:val="0"/>
          <w:numId w:val="2"/>
        </w:numPr>
        <w:spacing w:after="30" w:line="238"/>
      </w:pPr>
      <w:r>
        <w:rPr>
          <w:rFonts w:ascii="Arial" w:cs="Arial" w:eastAsia="Arial" w:hAnsi="Arial"/>
          <w:color w:val="1A1A1A"/>
          <w:sz w:val="19"/>
          <w:szCs w:val="19"/>
        </w:rPr>
        <w:t xml:space="preserve">Lead other engineers to solve complex quality problems, and set the testing standard for your area.</w:t>
      </w:r>
    </w:p>
    <w:p>
      <w:pPr>
        <w:pStyle w:val="ListParagraph"/>
        <w:numPr>
          <w:ilvl w:val="0"/>
          <w:numId w:val="2"/>
        </w:numPr>
        <w:spacing w:after="30" w:line="238"/>
      </w:pPr>
      <w:r>
        <w:rPr>
          <w:rFonts w:ascii="Arial" w:cs="Arial" w:eastAsia="Arial" w:hAnsi="Arial"/>
          <w:color w:val="1A1A1A"/>
          <w:sz w:val="19"/>
          <w:szCs w:val="19"/>
        </w:rPr>
        <w:t xml:space="preserve">Mentor and coach engineers across the pod on test design, automation and risk.</w:t>
      </w:r>
    </w:p>
    <w:p>
      <w:pPr>
        <w:pStyle w:val="ListParagraph"/>
        <w:numPr>
          <w:ilvl w:val="0"/>
          <w:numId w:val="2"/>
        </w:numPr>
        <w:spacing w:after="30" w:line="238"/>
      </w:pPr>
      <w:r>
        <w:rPr>
          <w:rFonts w:ascii="Arial" w:cs="Arial" w:eastAsia="Arial" w:hAnsi="Arial"/>
          <w:color w:val="1A1A1A"/>
          <w:sz w:val="19"/>
          <w:szCs w:val="19"/>
        </w:rPr>
        <w:t xml:space="preserve">Provide technical leadership to projects spanning the product, and be an escalation point for quality questions.</w:t>
      </w:r>
    </w:p>
    <w:p>
      <w:pPr>
        <w:pStyle w:val="ListParagraph"/>
        <w:numPr>
          <w:ilvl w:val="0"/>
          <w:numId w:val="2"/>
        </w:numPr>
        <w:spacing w:after="30" w:line="238"/>
      </w:pPr>
      <w:r>
        <w:rPr>
          <w:rFonts w:ascii="Arial" w:cs="Arial" w:eastAsia="Arial" w:hAnsi="Arial"/>
          <w:color w:val="1A1A1A"/>
          <w:sz w:val="19"/>
          <w:szCs w:val="19"/>
        </w:rPr>
        <w:t xml:space="preserve">Make AI-assisted engineering the default across design, coding, testing, review and documentation, with clear standards for code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Specialised depth and breadth of expertise, built in test automation, SDET or platform quality engineering.</w:t>
      </w:r>
    </w:p>
    <w:p>
      <w:pPr>
        <w:pStyle w:val="ListParagraph"/>
        <w:numPr>
          <w:ilvl w:val="0"/>
          <w:numId w:val="2"/>
        </w:numPr>
        <w:spacing w:after="30" w:line="238"/>
      </w:pPr>
      <w:r>
        <w:rPr>
          <w:rFonts w:ascii="Arial" w:cs="Arial" w:eastAsia="Arial" w:hAnsi="Arial"/>
          <w:color w:val="1A1A1A"/>
          <w:sz w:val="19"/>
          <w:szCs w:val="19"/>
        </w:rPr>
        <w:t xml:space="preserve">Strong Python or TypeScript, and the judgement to set direction in the tooling the pod standardises on.</w:t>
      </w:r>
    </w:p>
    <w:p>
      <w:pPr>
        <w:pStyle w:val="ListParagraph"/>
        <w:numPr>
          <w:ilvl w:val="0"/>
          <w:numId w:val="2"/>
        </w:numPr>
        <w:spacing w:after="30" w:line="238"/>
      </w:pPr>
      <w:r>
        <w:rPr>
          <w:rFonts w:ascii="Arial" w:cs="Arial" w:eastAsia="Arial" w:hAnsi="Arial"/>
          <w:color w:val="1A1A1A"/>
          <w:sz w:val="19"/>
          <w:szCs w:val="19"/>
        </w:rPr>
        <w:t xml:space="preserve">Test architecture at scale: suite design, execution time, parallelism, and the economics of automation.</w:t>
      </w:r>
    </w:p>
    <w:p>
      <w:pPr>
        <w:pStyle w:val="ListParagraph"/>
        <w:numPr>
          <w:ilvl w:val="0"/>
          <w:numId w:val="2"/>
        </w:numPr>
        <w:spacing w:after="30" w:line="238"/>
      </w:pPr>
      <w:r>
        <w:rPr>
          <w:rFonts w:ascii="Arial" w:cs="Arial" w:eastAsia="Arial" w:hAnsi="Arial"/>
          <w:color w:val="1A1A1A"/>
          <w:sz w:val="19"/>
          <w:szCs w:val="19"/>
        </w:rPr>
        <w:t xml:space="preserve">Kubernetes and CI/CD to the depth needed to operate test infrastructure at scale.</w:t>
      </w:r>
    </w:p>
    <w:p>
      <w:pPr>
        <w:pStyle w:val="Heading2"/>
        <w:spacing w:after="44" w:before="112"/>
      </w:pPr>
      <w:r>
        <w:rPr>
          <w:rFonts w:ascii="Arial" w:cs="Arial" w:eastAsia="Arial" w:hAnsi="Arial"/>
          <w:b/>
          <w:bCs/>
          <w:color w:val="E4002B"/>
          <w:sz w:val="19"/>
          <w:szCs w:val="19"/>
        </w:rPr>
        <w:t xml:space="preserve">Testing depth</w:t>
      </w:r>
    </w:p>
    <w:p>
      <w:pPr>
        <w:pStyle w:val="ListParagraph"/>
        <w:numPr>
          <w:ilvl w:val="0"/>
          <w:numId w:val="2"/>
        </w:numPr>
        <w:spacing w:after="30" w:line="238"/>
      </w:pPr>
      <w:r>
        <w:rPr>
          <w:rFonts w:ascii="Arial" w:cs="Arial" w:eastAsia="Arial" w:hAnsi="Arial"/>
          <w:color w:val="1A1A1A"/>
          <w:sz w:val="19"/>
          <w:szCs w:val="19"/>
        </w:rPr>
        <w:t xml:space="preserve">Test strategy you have owned for a whole product area and defended to leadership.</w:t>
      </w:r>
    </w:p>
    <w:p>
      <w:pPr>
        <w:pStyle w:val="ListParagraph"/>
        <w:numPr>
          <w:ilvl w:val="0"/>
          <w:numId w:val="2"/>
        </w:numPr>
        <w:spacing w:after="30" w:line="238"/>
      </w:pPr>
      <w:r>
        <w:rPr>
          <w:rFonts w:ascii="Arial" w:cs="Arial" w:eastAsia="Arial" w:hAnsi="Arial"/>
          <w:color w:val="1A1A1A"/>
          <w:sz w:val="19"/>
          <w:szCs w:val="19"/>
        </w:rPr>
        <w:t xml:space="preserve">API, contract and integration testing across distributed services, including third-party components.</w:t>
      </w:r>
    </w:p>
    <w:p>
      <w:pPr>
        <w:pStyle w:val="ListParagraph"/>
        <w:numPr>
          <w:ilvl w:val="0"/>
          <w:numId w:val="2"/>
        </w:numPr>
        <w:spacing w:after="30" w:line="238"/>
      </w:pPr>
      <w:r>
        <w:rPr>
          <w:rFonts w:ascii="Arial" w:cs="Arial" w:eastAsia="Arial" w:hAnsi="Arial"/>
          <w:color w:val="1A1A1A"/>
          <w:sz w:val="19"/>
          <w:szCs w:val="19"/>
        </w:rPr>
        <w:t xml:space="preserve">Non-functional testing as a programme: load, soak, resilience, failover, upgrade and rollback.</w:t>
      </w:r>
    </w:p>
    <w:p>
      <w:pPr>
        <w:pStyle w:val="ListParagraph"/>
        <w:numPr>
          <w:ilvl w:val="0"/>
          <w:numId w:val="2"/>
        </w:numPr>
        <w:spacing w:after="30" w:line="238"/>
      </w:pPr>
      <w:r>
        <w:rPr>
          <w:rFonts w:ascii="Arial" w:cs="Arial" w:eastAsia="Arial" w:hAnsi="Arial"/>
          <w:color w:val="1A1A1A"/>
          <w:sz w:val="19"/>
          <w:szCs w:val="19"/>
        </w:rPr>
        <w:t xml:space="preserve">Multi-tenant and entitlement testing, including having found a real isolation or quota failure.</w:t>
      </w:r>
    </w:p>
    <w:p>
      <w:pPr>
        <w:pStyle w:val="ListParagraph"/>
        <w:numPr>
          <w:ilvl w:val="0"/>
          <w:numId w:val="2"/>
        </w:numPr>
        <w:spacing w:after="30" w:line="238"/>
      </w:pPr>
      <w:r>
        <w:rPr>
          <w:rFonts w:ascii="Arial" w:cs="Arial" w:eastAsia="Arial" w:hAnsi="Arial"/>
          <w:color w:val="1A1A1A"/>
          <w:sz w:val="19"/>
          <w:szCs w:val="19"/>
        </w:rPr>
        <w:t xml:space="preserve">Testing around non-deterministic components, and a clear view of where evaluation takes over.</w:t>
      </w:r>
    </w:p>
    <w:p>
      <w:pPr>
        <w:pStyle w:val="Heading2"/>
        <w:spacing w:after="44" w:before="112"/>
      </w:pPr>
      <w:r>
        <w:rPr>
          <w:rFonts w:ascii="Arial" w:cs="Arial" w:eastAsia="Arial" w:hAnsi="Arial"/>
          <w:b/>
          <w:bCs/>
          <w:color w:val="E4002B"/>
          <w:sz w:val="19"/>
          <w:szCs w:val="19"/>
        </w:rPr>
        <w:t xml:space="preserve">Regulated-environment judgement</w:t>
      </w:r>
    </w:p>
    <w:p>
      <w:pPr>
        <w:pStyle w:val="ListParagraph"/>
        <w:numPr>
          <w:ilvl w:val="0"/>
          <w:numId w:val="2"/>
        </w:numPr>
        <w:spacing w:after="30" w:line="238"/>
      </w:pPr>
      <w:r>
        <w:rPr>
          <w:rFonts w:ascii="Arial" w:cs="Arial" w:eastAsia="Arial" w:hAnsi="Arial"/>
          <w:color w:val="1A1A1A"/>
          <w:sz w:val="19"/>
          <w:szCs w:val="19"/>
        </w:rPr>
        <w:t xml:space="preserve">Substantial delivery inside regulated, audited or sovereign environments, and fluency in what auditors accept as test evidence.</w:t>
      </w:r>
    </w:p>
    <w:p>
      <w:pPr>
        <w:pStyle w:val="ListParagraph"/>
        <w:numPr>
          <w:ilvl w:val="0"/>
          <w:numId w:val="2"/>
        </w:numPr>
        <w:spacing w:after="30" w:line="238"/>
      </w:pPr>
      <w:r>
        <w:rPr>
          <w:rFonts w:ascii="Arial" w:cs="Arial" w:eastAsia="Arial" w:hAnsi="Arial"/>
          <w:color w:val="1A1A1A"/>
          <w:sz w:val="19"/>
          <w:szCs w:val="19"/>
        </w:rPr>
        <w:t xml:space="preserve">Working knowledge of several control frameworks as things you have produced evidence against.</w:t>
      </w:r>
    </w:p>
    <w:p>
      <w:pPr>
        <w:pStyle w:val="ListParagraph"/>
        <w:numPr>
          <w:ilvl w:val="0"/>
          <w:numId w:val="2"/>
        </w:numPr>
        <w:spacing w:after="30" w:line="238"/>
      </w:pPr>
      <w:r>
        <w:rPr>
          <w:rFonts w:ascii="Arial" w:cs="Arial" w:eastAsia="Arial" w:hAnsi="Arial"/>
          <w:color w:val="1A1A1A"/>
          <w:sz w:val="19"/>
          <w:szCs w:val="19"/>
        </w:rPr>
        <w:t xml:space="preserve">The willingness to hold a release, and the standing to make it stick.</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Having led the test evidence workstream for a SOC 2 or ISO/IEC 42001 audit.</w:t>
      </w:r>
    </w:p>
    <w:p>
      <w:pPr>
        <w:pStyle w:val="ListParagraph"/>
        <w:numPr>
          <w:ilvl w:val="0"/>
          <w:numId w:val="2"/>
        </w:numPr>
        <w:spacing w:after="30" w:line="238"/>
      </w:pPr>
      <w:r>
        <w:rPr>
          <w:rFonts w:ascii="Arial" w:cs="Arial" w:eastAsia="Arial" w:hAnsi="Arial"/>
          <w:color w:val="1A1A1A"/>
          <w:sz w:val="19"/>
          <w:szCs w:val="19"/>
        </w:rPr>
        <w:t xml:space="preserve">Chaos or resilience engineering at scale.</w:t>
      </w:r>
    </w:p>
    <w:p>
      <w:pPr>
        <w:pStyle w:val="ListParagraph"/>
        <w:numPr>
          <w:ilvl w:val="0"/>
          <w:numId w:val="2"/>
        </w:numPr>
        <w:spacing w:after="30" w:line="238"/>
      </w:pPr>
      <w:r>
        <w:rPr>
          <w:rFonts w:ascii="Arial" w:cs="Arial" w:eastAsia="Arial" w:hAnsi="Arial"/>
          <w:color w:val="1A1A1A"/>
          <w:sz w:val="19"/>
          <w:szCs w:val="19"/>
        </w:rPr>
        <w:t xml:space="preserve">Security testing, or ownership of a penetration-testing programme.</w:t>
      </w:r>
    </w:p>
    <w:p>
      <w:pPr>
        <w:pStyle w:val="ListParagraph"/>
        <w:numPr>
          <w:ilvl w:val="0"/>
          <w:numId w:val="2"/>
        </w:numPr>
        <w:spacing w:after="30" w:line="238"/>
      </w:pPr>
      <w:r>
        <w:rPr>
          <w:rFonts w:ascii="Arial" w:cs="Arial" w:eastAsia="Arial" w:hAnsi="Arial"/>
          <w:color w:val="1A1A1A"/>
          <w:sz w:val="19"/>
          <w:szCs w:val="19"/>
        </w:rPr>
        <w:t xml:space="preserve">Safety-critical or highly regulated QA background — aerospace, automotive, medical devices.</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Escaped defects in your area trend down, and escape analysis changes how the team works.</w:t>
      </w:r>
    </w:p>
    <w:p>
      <w:pPr>
        <w:pStyle w:val="ListParagraph"/>
        <w:numPr>
          <w:ilvl w:val="0"/>
          <w:numId w:val="2"/>
        </w:numPr>
        <w:spacing w:after="30" w:line="238"/>
      </w:pPr>
      <w:r>
        <w:rPr>
          <w:rFonts w:ascii="Arial" w:cs="Arial" w:eastAsia="Arial" w:hAnsi="Arial"/>
          <w:color w:val="1A1A1A"/>
          <w:sz w:val="19"/>
          <w:szCs w:val="19"/>
        </w:rPr>
        <w:t xml:space="preserve">Your suites and infrastructure are depended on across the product and are not routinely overridden.</w:t>
      </w:r>
    </w:p>
    <w:p>
      <w:pPr>
        <w:pStyle w:val="ListParagraph"/>
        <w:numPr>
          <w:ilvl w:val="0"/>
          <w:numId w:val="2"/>
        </w:numPr>
        <w:spacing w:after="30" w:line="238"/>
      </w:pPr>
      <w:r>
        <w:rPr>
          <w:rFonts w:ascii="Arial" w:cs="Arial" w:eastAsia="Arial" w:hAnsi="Arial"/>
          <w:color w:val="1A1A1A"/>
          <w:sz w:val="19"/>
          <w:szCs w:val="19"/>
        </w:rPr>
        <w:t xml:space="preserve">Release readiness calls in your area are trusted by engineering and product leadership.</w:t>
      </w:r>
    </w:p>
    <w:p>
      <w:pPr>
        <w:pStyle w:val="ListParagraph"/>
        <w:numPr>
          <w:ilvl w:val="0"/>
          <w:numId w:val="2"/>
        </w:numPr>
        <w:spacing w:after="30" w:line="238"/>
      </w:pPr>
      <w:r>
        <w:rPr>
          <w:rFonts w:ascii="Arial" w:cs="Arial" w:eastAsia="Arial" w:hAnsi="Arial"/>
          <w:color w:val="1A1A1A"/>
          <w:sz w:val="19"/>
          <w:szCs w:val="19"/>
        </w:rPr>
        <w:t xml:space="preserve">Auditors accept your test evidence without rework.</w:t>
      </w:r>
    </w:p>
    <w:p>
      <w:pPr>
        <w:pStyle w:val="ListParagraph"/>
        <w:numPr>
          <w:ilvl w:val="0"/>
          <w:numId w:val="2"/>
        </w:numPr>
        <w:spacing w:after="30" w:line="238"/>
      </w:pPr>
      <w:r>
        <w:rPr>
          <w:rFonts w:ascii="Arial" w:cs="Arial" w:eastAsia="Arial" w:hAnsi="Arial"/>
          <w:color w:val="1A1A1A"/>
          <w:sz w:val="19"/>
          <w:szCs w:val="19"/>
        </w:rPr>
        <w:t xml:space="preserve">Complex quality problems are solved by the engineers you lead rather than by you alone.</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TypeScript  ·  Test automation frameworks (pytest, Playwright or similar)  ·  API and contract testing  ·  Load, soak and resilience testing tooling  ·  Kubernetes  ·  CI/CD and release gating  ·  Test data and environment management  ·  Defect tracking and reporting  ·  Prometheus / Grafana / OpenTelemetry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IV — Leading — mentors others and completes highly complex work with an eye to creating efficiencies for the team</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Specialised depth and breadth of expertise in own discipline. Leads others to solve complex problems, works independently with guidance only in the most complex situations, and may provide functional leadership to teams or projects.</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8 – 11 years in quality or software engineering, including at least 1 year testing AI-backed features.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7B3D60-0CAB-4B8C-8655-4DF4C29A68BF}"/>
</file>

<file path=customXml/itemProps2.xml><?xml version="1.0" encoding="utf-8"?>
<ds:datastoreItem xmlns:ds="http://schemas.openxmlformats.org/officeDocument/2006/customXml" ds:itemID="{ED491FC4-C704-4DB3-87D5-B9488EF5A9C8}"/>
</file>

<file path=customXml/itemProps3.xml><?xml version="1.0" encoding="utf-8"?>
<ds:datastoreItem xmlns:ds="http://schemas.openxmlformats.org/officeDocument/2006/customXml" ds:itemID="{589F1B46-A823-480D-ABA8-91CEDFE053C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Engineer IV — RackAI</dc:title>
  <dc:creator>Rackspace Technology</dc:creator>
  <cp:lastModifiedBy>Un-named</cp:lastModifiedBy>
  <cp:revision>1</cp:revision>
  <dcterms:created xsi:type="dcterms:W3CDTF">2026-09-15T00:25:45Z</dcterms:created>
  <dcterms:modified xsi:type="dcterms:W3CDTF">2026-09-15T00:25:45Z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