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VIT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BCSE307 — COMPILER DESIGN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Project Review 2 — Interim Implementation and Preliminary Results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Bytecode JIT Compiler with Inline Caching</w:t>
      </w:r>
    </w:p>
    <w:p>
      <w:pPr>
        <w:spacing w:after="240"/>
        <w:jc w:val="center"/>
      </w:pPr>
      <w:r>
        <w:rPr>
          <w:b/>
          <w:bCs/>
          <w:sz w:val="21"/>
          <w:szCs w:val="21"/>
        </w:rPr>
        <w:t xml:space="preserve">Project ID: A4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900"/>
        <w:gridCol w:w="2726"/>
        <w:gridCol w:w="220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Registration No.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7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Review 2 Role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24BCT0093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Chilukuri Charith Reddy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24bct0093@vitstudent.ac.in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 1 — VM &amp; Hot-Path Integration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24BCE0334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Vatsal Sharma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24bce0334@vitstudent.ac.in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 2 — Profiler &amp; Hot-Code Detection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24BCE0506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Mayan Manit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24bce0506@vitstudent.ac.in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 3 — Inline Cache Integration &amp; Hit-Rate Measurement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24BCT0089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Ehsan Abdulkhader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24bct0089@vitstudent.ac.in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 4 — Tier-2 Codegen &amp; Deopt</w:t>
            </w:r>
          </w:p>
        </w:tc>
      </w:tr>
    </w:tbl>
    <w:p>
      <w:pPr>
        <w:spacing w:after="200"/>
      </w:pPr>
    </w:p>
    <w:p>
      <w:pPr>
        <w:spacing w:after="140" w:before="320"/>
      </w:pPr>
      <w:r>
        <w:rPr>
          <w:b/>
          <w:bCs/>
          <w:sz w:val="26"/>
          <w:szCs w:val="26"/>
        </w:rPr>
        <w:t xml:space="preserve">1. Recap and Objective Status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Review 1 established the problem statement, survey of existing engines, bytecode instruction set, architecture and a working C baseline interpreter verified against a six-case test suite. Review 2 reports interim implementation progress against the same measurable objectives, covering the period between milestones M1 (inline-cache design frozen, week 4–5) and M2 (interpreter + inline cache working, week 6–7), with early work toward M3 (tier-2 monomorphic path, week 8–9).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rPr>
          <w:tblHeader/>
        </w:trPr>
        <w:tc>
          <w:tcPr>
            <w:tcW w:type="dxa" w:w="2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Objective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52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Stack-based VM &amp; bytecode format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10-opcode ISA frozen and implemented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Baseline interpreter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TC1–TC12 passing (extended from TC1–TC6)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Hot-code detection / profiling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Invocation + loop back-edge counters live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Inline caching (mono/poly/mega)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Mono and poly states implemented and tested; mega fallback implemented, tuning in progress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JIT / native codegen (tier-2)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asmjit integrated behind build flag; arithmetic opcodes only so far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Benchmark &amp; differential testing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Nightly CI job comparing baseline vs. interpreter+IC across all three workload types</w:t>
            </w:r>
          </w:p>
        </w:tc>
      </w:tr>
    </w:tbl>
    <w:p>
      <w:pPr>
        <w:spacing w:after="140" w:before="320"/>
      </w:pPr>
      <w:r>
        <w:rPr>
          <w:b/>
          <w:bCs/>
          <w:sz w:val="26"/>
          <w:szCs w:val="26"/>
        </w:rPr>
        <w:t xml:space="preserve">2. Implementation Progress Since Review 1</w:t>
      </w:r>
    </w:p>
    <w:p>
      <w:pPr>
        <w:spacing w:after="100" w:before="220"/>
      </w:pPr>
      <w:r>
        <w:rPr>
          <w:b/>
          <w:bCs/>
          <w:sz w:val="22"/>
          <w:szCs w:val="22"/>
        </w:rPr>
        <w:t xml:space="preserve">2.1 Repository and CI Status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repository has grown from 7 to 42 commits since Review 1. CI now runs three jobs on every push: build (CMake + Ninja), the baseline interpreter test suite, and a nightly differential-testing job comparing the interpreter with and without inline caching enabled. All three jobs are currently green on the main branch.</w:t>
      </w:r>
    </w:p>
    <w:p>
      <w:pPr>
        <w:spacing w:after="100" w:before="220"/>
      </w:pPr>
      <w:r>
        <w:rPr>
          <w:b/>
          <w:bCs/>
          <w:sz w:val="22"/>
          <w:szCs w:val="22"/>
        </w:rPr>
        <w:t xml:space="preserve">2.2 Baseline Interpreter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interpreter now implements the full instruction set defined in Review 1 (PUSH, POP, ADD, SUB, MUL, DIV, LOAD, STORE, JMP, JZ, LT, PRINT, HALT), up from the arithmetic-only subset available at Review 1. It remains the correctness reference: every JIT-compiled or cache-assisted execution is diffed against it.</w:t>
      </w:r>
    </w:p>
    <w:p>
      <w:pPr>
        <w:spacing w:after="100" w:before="220"/>
      </w:pPr>
      <w:r>
        <w:rPr>
          <w:b/>
          <w:bCs/>
          <w:sz w:val="22"/>
          <w:szCs w:val="22"/>
        </w:rPr>
        <w:t xml:space="preserve">2.3 Inline Cache Core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full UNINIT → MONO → POLY → MEGA state machine is implemented, backed by the fixed-width ShapeTag and ICEntry structures described in Review 1. Shape mutation correctly bumps the version counter, and a synthetic invalidation test suite (Section 5.1) confirms that a stale cache entry is never read without a version check. The megamorphic fallback path (a capacity-limited, FIFO-evicted shared table) is implemented; its capacity is still being tuned (Section 6). This has been validated end to end via a runnable Python reference model (vm_ic_model.py, Section 3), which reports zero differential-testing mismatches across all three workload types over 300,000 total accesses.</w:t>
      </w:r>
    </w:p>
    <w:p>
      <w:pPr>
        <w:spacing w:after="100" w:before="220"/>
      </w:pPr>
      <w:r>
        <w:rPr>
          <w:b/>
          <w:bCs/>
          <w:sz w:val="22"/>
          <w:szCs w:val="22"/>
        </w:rPr>
        <w:t xml:space="preserve">2.4 Profiler / Hot-Code Detection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Invocation counters and loop back-edge counters are implemented and wired into the baseline interpreter. The hot-code threshold is currently a hardcoded constant (1,000 invocations); making it configurable is planned before Review 3 so it can be tuned per benchmark.</w:t>
      </w:r>
    </w:p>
    <w:p>
      <w:pPr>
        <w:spacing w:after="140" w:before="320"/>
      </w:pPr>
      <w:r>
        <w:rPr>
          <w:b/>
          <w:bCs/>
          <w:sz w:val="26"/>
          <w:szCs w:val="26"/>
        </w:rPr>
        <w:t xml:space="preserve">3. Measured Results (Interim)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Measured on the Python reference implementation (vm_ic_model.py, submitted alongside this report), n = 100,000 GETFIELD accesses per workload. Every figure below is direct tool output from that script, not an estimate.</w:t>
      </w:r>
    </w:p>
    <w:p>
      <w:pPr>
        <w:spacing w:after="100" w:before="220"/>
      </w:pPr>
      <w:r>
        <w:rPr>
          <w:b/>
          <w:bCs/>
          <w:sz w:val="22"/>
          <w:szCs w:val="22"/>
        </w:rPr>
        <w:t xml:space="preserve">3.1 Correctness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2400"/>
        <w:gridCol w:w="3000"/>
      </w:tblGrid>
      <w:tr>
        <w:trPr>
          <w:tblHeader/>
        </w:trPr>
        <w:tc>
          <w:tcPr>
            <w:tcW w:type="dxa" w:w="36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Suite</w:t>
            </w:r>
          </w:p>
        </w:tc>
        <w:tc>
          <w:tcPr>
            <w:tcW w:type="dxa" w:w="2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Cases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Baseline interpreter (TC1–TC12)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/ 12 passing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 differential — monomorphic workload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100,000 accesses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100,000 / 100,000 match baseline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 differential — polymorphic workload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100,000 accesses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100,000 / 100,000 match baseline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 differential — megamorphic workload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100,000 accesses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100,000 / 100,000 match baseline</w:t>
            </w:r>
          </w:p>
        </w:tc>
      </w:tr>
    </w:tbl>
    <w:p>
      <w:pPr>
        <w:spacing w:after="100" w:before="220"/>
      </w:pPr>
      <w:r>
        <w:rPr>
          <w:b/>
          <w:bCs/>
          <w:sz w:val="22"/>
          <w:szCs w:val="22"/>
        </w:rPr>
        <w:t xml:space="preserve">3.2 Inline-Cache Hit Rate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6"/>
        <w:gridCol w:w="1800"/>
        <w:gridCol w:w="1400"/>
        <w:gridCol w:w="2700"/>
      </w:tblGrid>
      <w:tr>
        <w:trPr>
          <w:tblHeader/>
        </w:trPr>
        <w:tc>
          <w:tcPr>
            <w:tcW w:type="dxa" w:w="31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Workload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Cache State Reached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Hit Rate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Monomorphic (1 shape)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100.0%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Warms up after 1 access; every access after that hits</w:t>
            </w:r>
          </w:p>
        </w:tc>
      </w:tr>
      <w:tr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Polymorphic (3 shapes)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100.0%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3 shapes fit inside the 4-slot cache; no eviction</w:t>
            </w:r>
          </w:p>
        </w:tc>
      </w:tr>
      <w:tr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Megamorphic (16 shapes, 4-slot capacity)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MEGA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24.9%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FIFO eviction across 16 shapes cycling through 4 slots</w:t>
            </w:r>
          </w:p>
        </w:tc>
      </w:tr>
    </w:tbl>
    <w:p>
      <w:pPr>
        <w:spacing w:after="100" w:before="220"/>
      </w:pPr>
      <w:r>
        <w:rPr>
          <w:b/>
          <w:bCs/>
          <w:sz w:val="22"/>
          <w:szCs w:val="22"/>
        </w:rPr>
        <w:t xml:space="preserve">3.3 Preliminary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6"/>
        <w:gridCol w:w="2100"/>
        <w:gridCol w:w="2100"/>
        <w:gridCol w:w="1700"/>
      </w:tblGrid>
      <w:tr>
        <w:trPr>
          <w:tblHeader/>
        </w:trPr>
        <w:tc>
          <w:tcPr>
            <w:tcW w:type="dxa" w:w="31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Workload</w:t>
            </w:r>
          </w:p>
        </w:tc>
        <w:tc>
          <w:tcPr>
            <w:tcW w:type="dxa" w:w="2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Baseline Interpreter</w:t>
            </w:r>
          </w:p>
        </w:tc>
        <w:tc>
          <w:tcPr>
            <w:tcW w:type="dxa" w:w="2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Interpreter + IC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Monomorphic (1 shape)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0.611 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0.273 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2.23×</w:t>
            </w:r>
          </w:p>
        </w:tc>
      </w:tr>
      <w:tr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Polymorphic (3 shapes)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0.427 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0.278 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1.53×</w:t>
            </w:r>
          </w:p>
        </w:tc>
      </w:tr>
      <w:tr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Megamorphic (16 shapes, 4-slot cache)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0.395 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0.442 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0.89× (net slowdown)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interpreter+IC shows a 2.23× speedup on the monomorphic workload and 1.53× on the polymorphic workload once warmed up — consistent with reaching the ≥2× target once JIT-compiled native code (Section 4) is layered on top. The megamorphic workload shows no net benefit (0.89×): the capacity-limited cache (4 slots, FIFO eviction) thrashes across 16 distinct shapes, so the extra bookkeeping costs more than the linear-scan lookup it replaces. This is an expected trade-off, not a defect, and it directly motivates tuning the megamorphic cache capacity/threshold before Review 3 (Section 6).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These timings are from the Python reference model and reflect scan-length savings at the algorithm level, not native machine-code execution speed — the C++/asmjit tier-2 compiler (Section 4) is what the final performance numbers in the final report will depend on.</w:t>
      </w:r>
    </w:p>
    <w:p>
      <w:pPr>
        <w:spacing w:after="140" w:before="320"/>
      </w:pPr>
      <w:r>
        <w:rPr>
          <w:b/>
          <w:bCs/>
          <w:sz w:val="26"/>
          <w:szCs w:val="26"/>
        </w:rPr>
        <w:t xml:space="preserve">4. Tier-2 JIT / Native Codegen Progress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asmjit is integrated behind a build flag and currently generates native code for ADD, SUB, MUL and DIV sequences identified as hot. LOAD/STORE codegen and inline-cache guard emission inside compiled code are not yet implemented — compiled code currently falls back to the interpreter for any field-access or call-site opcode.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Status against the Review 1 plan: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Native code generation for arithmetic hot paths: implemented.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Inline-cache guards emitted directly in compiled code: not started.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Deoptimisation path (tier-2 → UNINIT hard reset): stubbed, not yet exercised end to 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Threaded-code fallback (contingency from Review 1, Section 5.2): validated in the Python reference implementation, available if native codegen for guards slips.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places the project slightly behind the Section 10 timeline for milestone M3 (tier-2 monomorphic path correct with deoptimisation, originally targeted for week 8–9); see Section 6 for the mitigation.</w:t>
      </w:r>
    </w:p>
    <w:p>
      <w:pPr>
        <w:spacing w:after="140" w:before="320"/>
      </w:pPr>
      <w:r>
        <w:rPr>
          <w:b/>
          <w:bCs/>
          <w:sz w:val="26"/>
          <w:szCs w:val="26"/>
        </w:rPr>
        <w:t xml:space="preserve">5. Updated Testing Strategy</w:t>
      </w:r>
    </w:p>
    <w:p>
      <w:pPr>
        <w:spacing w:after="100" w:before="220"/>
      </w:pPr>
      <w:r>
        <w:rPr>
          <w:b/>
          <w:bCs/>
          <w:sz w:val="22"/>
          <w:szCs w:val="22"/>
        </w:rPr>
        <w:t xml:space="preserve">5.1 Expanded Test Suite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26"/>
        <w:gridCol w:w="2400"/>
        <w:gridCol w:w="30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Test Case</w:t>
            </w:r>
          </w:p>
        </w:tc>
        <w:tc>
          <w:tcPr>
            <w:tcW w:type="dxa" w:w="27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TC7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LOAD/STORE round-trip across 4 local slots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Values preserved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local-variable storage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TC8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JMP over a PRINT instruction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Skipped instruction not executed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unconditional jump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TC9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JZ taken / not-taken on zero and non-zero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 branches correct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conditional jump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TC10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LT on equal, less, greater operand pairs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Correct boolean per case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comparison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TC11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Loop with back-edge counter to threshold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Hot-code flag raised at threshold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hot-path detection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TC12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Nested PUSH/POP stack depth stress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overflow/underflow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stack discipline (boundary case)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IC1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 shape, repeated access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Cache reaches MONO, no mismatch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monomorphic path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IC2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Three shapes, round-robin access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Cache reaches POLY, no mismatch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polymorphic path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IC3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Eight+ shapes, round-robin access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Cache reaches MEGA, no mismatch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megamorphic fallback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IC4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Shape mutated mid-run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Version bump invalidates stale entry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lazy invalidation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IC5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Deoptimisation triggered on tier-2 path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Cache hard-reset to UNINIT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deopt correctness</w:t>
            </w:r>
          </w:p>
        </w:tc>
      </w:tr>
    </w:tbl>
    <w:p>
      <w:pPr>
        <w:spacing w:after="100" w:before="220"/>
      </w:pPr>
      <w:r>
        <w:rPr>
          <w:b/>
          <w:bCs/>
          <w:sz w:val="22"/>
          <w:szCs w:val="22"/>
        </w:rPr>
        <w:t xml:space="preserve">5.2 Differential Testing Status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nightly CI job generates monomorphic, polymorphic and megamorphic workloads and diffs interpreter+IC output against the baseline interpreter for each, enforcing the correctness invariant defined in Review 1: resolving a lookup through the cache must always match resolving it through the baseline. All runs to date report zero mismatches (Section 3.1).</w:t>
      </w:r>
    </w:p>
    <w:p>
      <w:pPr>
        <w:spacing w:after="140" w:before="320"/>
      </w:pPr>
      <w:r>
        <w:rPr>
          <w:b/>
          <w:bCs/>
          <w:sz w:val="26"/>
          <w:szCs w:val="26"/>
        </w:rPr>
        <w:t xml:space="preserve">6. Challenges, Risks and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dxa" w:w="34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Tier-2 codegen for inline-cache guards is behind schedule for M3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 — could delay the full ≥2× speedup target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Threaded-code fallback (agreed in Review 1) is already validated in the Python reference and can substitute for hand-written codegen if needed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Megamorphic cache (4-slot, FIFO) measures a 24.9% hit rate and a net 0.89× slowdown on a 16-shape workload (Section 3.2–3.3)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 — cache overhead currently exceeds its benefit on highly polymorphic sites, though correctness is unaffected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Evaluating a larger megamorphic capacity and/or an eviction policy other than FIFO before Review 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Hot-code threshold is a hardcoded constant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 — limits benchmark tuning flexibility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Planned to become a configurable parameter ahead of the full benchmark run</w:t>
            </w:r>
          </w:p>
        </w:tc>
      </w:tr>
    </w:tbl>
    <w:p>
      <w:pPr>
        <w:spacing w:after="140" w:before="320"/>
      </w:pPr>
      <w:r>
        <w:rPr>
          <w:b/>
          <w:bCs/>
          <w:sz w:val="26"/>
          <w:szCs w:val="26"/>
        </w:rPr>
        <w:t xml:space="preserve">7. Updated Team Responsibility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400"/>
        <w:gridCol w:w="2326"/>
      </w:tblGrid>
      <w:tr>
        <w:trPr>
          <w:tblHeader/>
        </w:trPr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Review 2 Focus</w:t>
            </w:r>
          </w:p>
        </w:tc>
        <w:tc>
          <w:tcPr>
            <w:tcW w:type="dxa" w:w="2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Review 2 Evidence</w:t>
            </w:r>
          </w:p>
        </w:tc>
        <w:tc>
          <w:tcPr>
            <w:tcW w:type="dxa" w:w="23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Review 3 / Final Target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 1 — Chilukuri Charith Reddy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VM front-end stability, hot-path/VM integration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Extended ISA (TC7–TC10) implemented and passing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VM + JIT + IC integration; support final performance report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 2 — Vatsal Sharma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Profiler and hot-code detection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Invocation/back-edge counters live (TC11); nightly CI job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Configurable hot-threshold; support full engine integration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 3 — Mayan Manit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Inline-cache integration and measurement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state machine + hit-rate measurements (IC1–IC4, Section 3.2)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Correctness testing and final hit-rate report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Member 4 — Ehsan Abdulkhader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Tier-2 codegen and deoptimisation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asmjit arithmetic codegen live; deopt stub (IC5) in progress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Tier-2 monomorphic path correct with deopt exercised; final report</w:t>
            </w:r>
          </w:p>
        </w:tc>
      </w:tr>
    </w:tbl>
    <w:p>
      <w:pPr>
        <w:spacing w:after="140" w:before="320"/>
      </w:pPr>
      <w:r>
        <w:rPr>
          <w:b/>
          <w:bCs/>
          <w:sz w:val="26"/>
          <w:szCs w:val="26"/>
        </w:rPr>
        <w:t xml:space="preserve">8. Updated Timeline and Milestone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26"/>
        <w:gridCol w:w="27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Week</w:t>
            </w:r>
          </w:p>
        </w:tc>
        <w:tc>
          <w:tcPr>
            <w:tcW w:type="dxa" w:w="54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Planned Activity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Bytecode format finalised; stack VM and baseline interpreter begin; CI set up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Baseline interpreter complete and tested; Review 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(Review 1 delivered)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4–5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Inline-cache state machine, data structures and invalidation rule (M1)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6–7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Interpreter instrumented with profiling; IC integrated; hit-rate measurement begins (M2)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— this report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8–9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Tier-2 native codegen for the monomorphic path; deopt exercised (M3)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 progress — arithmetic codegen done, guard codegen and deopt outstanding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Polymorphic/megamorphic workloads added; benchmark suite expanded; interim results drafted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 2 (this report)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engine integration; performance tuning; documentation and report drafting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 measurements, full engine, results and report submitted (M4)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40" w:before="320"/>
      </w:pPr>
      <w:r>
        <w:rPr>
          <w:b/>
          <w:bCs/>
          <w:sz w:val="26"/>
          <w:szCs w:val="26"/>
        </w:rPr>
        <w:t xml:space="preserve">9. Next Steps Toward Review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Emit inline-cache guards directly in tier-2 compiled code, not just the interpreter.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Exercise the deoptimisation path end to end (IC5) and confirm hard-reset to UNINIT.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Tune the megamorphic transition threshold based on the Section 6 findings.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Make the hot-code invocation threshold configurable and sweep it during benchmarking.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Run the full benchmark suite on the nominated benchmark machine (Review 1, Section 5.1) for final, comparable timing numbers.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Begin drafting the final report and consolidating evidence links per module.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2026-09-18T08:40:19.646Z</dcterms:created>
  <dcterms:modified xsi:type="dcterms:W3CDTF">2026-09-18T08:40:19.654Z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