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данной лабораторной работе будет осуществлена установка Damn Vulnerable Web Application (DVWA) на гостевую систему Kali Linux. DVWA представляет собой учебное веб-приложение, созданное для практики в области безопасности веб-приложений. Оно содержит множество преднамеренно внедренных уязвимостей, что делает его идеальным инструментом для изучения и тестирования методов атаки и защиты.</w:t>
      </w:r>
    </w:p>
    <w:p>
      <w:pPr>
        <w:pStyle w:val="BodyText"/>
      </w:pPr>
      <w:r>
        <w:t xml:space="preserve">Ключевыми уязвимостями, которые содержатся в DVWA, являются: брутфорс – метод подбора паролей с целью демонстрации слабости пользователей; выполнение команд (инъекции) – доступ к командной строке операционной системы через веб-приложение; межсайтовая подделка запроса (CSRF) – уязвимость, позволяющая изменить настройки пользователей без их ведома; внедрение файлов – возможность загрузки несанкционированных файлов на сервер; SQL-инъекция – позволяющая внедрять SQL-запросы в поля ввода; небезопасная выгрузка файлов – открытие возможности для загрузки вредоносных файлов; межсайтовый скриптинг (XSS) – внедрение пользовательских скриптов в приложение; а также другие уязвимости, такие как раскрытие полных путей и обход аутентификации.</w:t>
      </w:r>
    </w:p>
    <w:p>
      <w:pPr>
        <w:pStyle w:val="BodyText"/>
      </w:pPr>
      <w:r>
        <w:t xml:space="preserve">DVWA предлагает три уровня безопасности, которые позволяют пользователю на практике увидеть, как уязвимости могут быть использованы в реальных сценариях. На уровне</w:t>
      </w:r>
      <w:r>
        <w:t xml:space="preserve"> </w:t>
      </w:r>
      <w:r>
        <w:t xml:space="preserve">“</w:t>
      </w:r>
      <w:r>
        <w:t xml:space="preserve">Невозможный</w:t>
      </w:r>
      <w:r>
        <w:t xml:space="preserve">”</w:t>
      </w:r>
      <w:r>
        <w:t xml:space="preserve"> </w:t>
      </w:r>
      <w:r>
        <w:t xml:space="preserve">происходит демонстрация безопасного кода и позволяет сравнить его с уязвимым. Уровень</w:t>
      </w:r>
      <w:r>
        <w:t xml:space="preserve"> </w:t>
      </w:r>
      <w:r>
        <w:t xml:space="preserve">“</w:t>
      </w:r>
      <w:r>
        <w:t xml:space="preserve">Высокий</w:t>
      </w:r>
      <w:r>
        <w:t xml:space="preserve">”</w:t>
      </w:r>
      <w:r>
        <w:t xml:space="preserve"> </w:t>
      </w:r>
      <w:r>
        <w:t xml:space="preserve">представляет собой комбинацию более сложных безопасных и небезопасных практик, где уязвимости ограничены. Уровень</w:t>
      </w:r>
      <w:r>
        <w:t xml:space="preserve"> </w:t>
      </w:r>
      <w:r>
        <w:t xml:space="preserve">“</w:t>
      </w:r>
      <w:r>
        <w:t xml:space="preserve">Средний</w:t>
      </w:r>
      <w:r>
        <w:t xml:space="preserve">”</w:t>
      </w:r>
      <w:r>
        <w:t xml:space="preserve"> </w:t>
      </w:r>
      <w:r>
        <w:t xml:space="preserve">показывает примеры плохих практик безопасности и неудачных попыток разработчиков создать безопасное приложение. Наконец, уровень</w:t>
      </w:r>
      <w:r>
        <w:t xml:space="preserve"> </w:t>
      </w:r>
      <w:r>
        <w:t xml:space="preserve">“</w:t>
      </w:r>
      <w:r>
        <w:t xml:space="preserve">Низкий</w:t>
      </w:r>
      <w:r>
        <w:t xml:space="preserve">”</w:t>
      </w:r>
      <w:r>
        <w:t xml:space="preserve"> </w:t>
      </w:r>
      <w:r>
        <w:t xml:space="preserve">полностью уязвим и предназначен для обучения основам эксплуатации.</w:t>
      </w:r>
    </w:p>
    <w:bookmarkEnd w:id="22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416968" cy="1001027"/>
            <wp:effectExtent b="0" l="0" r="0" t="0"/>
            <wp:docPr descr="Директория /var/www/html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68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Директория /var/www/html</w:t>
      </w:r>
    </w:p>
    <w:p>
      <w:pPr>
        <w:pStyle w:val="BodyText"/>
      </w:pPr>
      <w:r>
        <w:t xml:space="preserve">Клонирую нужный репозиторий GitHub (рис. 2).</w:t>
      </w:r>
    </w:p>
    <w:p>
      <w:pPr>
        <w:pStyle w:val="CaptionedFigure"/>
      </w:pPr>
      <w:r>
        <w:drawing>
          <wp:inline>
            <wp:extent cx="5334000" cy="1438535"/>
            <wp:effectExtent b="0" l="0" r="0" t="0"/>
            <wp:docPr descr="Клонирование репозитор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3).</w:t>
      </w:r>
    </w:p>
    <w:p>
      <w:pPr>
        <w:pStyle w:val="CaptionedFigure"/>
      </w:pPr>
      <w:r>
        <w:drawing>
          <wp:inline>
            <wp:extent cx="5334000" cy="1742385"/>
            <wp:effectExtent b="0" l="0" r="0" t="0"/>
            <wp:docPr descr="Изменение прав доступ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4).</w:t>
      </w:r>
    </w:p>
    <w:p>
      <w:pPr>
        <w:pStyle w:val="CaptionedFigure"/>
      </w:pPr>
      <w:r>
        <w:drawing>
          <wp:inline>
            <wp:extent cx="5334000" cy="1551440"/>
            <wp:effectExtent b="0" l="0" r="0" t="0"/>
            <wp:docPr descr="Перемещение по директориям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чтобы у нас был запасной вариант, если что-то пойдет не так (рис. 5).</w:t>
      </w:r>
    </w:p>
    <w:p>
      <w:pPr>
        <w:pStyle w:val="CaptionedFigure"/>
      </w:pPr>
      <w:r>
        <w:drawing>
          <wp:inline>
            <wp:extent cx="5334000" cy="1450790"/>
            <wp:effectExtent b="0" l="0" r="0" t="0"/>
            <wp:docPr descr="Создание копии файл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копии файла</w:t>
      </w:r>
    </w:p>
    <w:p>
      <w:pPr>
        <w:pStyle w:val="BodyText"/>
      </w:pPr>
      <w:r>
        <w:t xml:space="preserve">Далее открываю файл в текстовом редакторе (рис. 6).</w:t>
      </w:r>
    </w:p>
    <w:p>
      <w:pPr>
        <w:pStyle w:val="CaptionedFigure"/>
      </w:pPr>
      <w:r>
        <w:drawing>
          <wp:inline>
            <wp:extent cx="5334000" cy="659794"/>
            <wp:effectExtent b="0" l="0" r="0" t="0"/>
            <wp:docPr descr="Открытие файла в редакторе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7).</w:t>
      </w:r>
    </w:p>
    <w:p>
      <w:pPr>
        <w:pStyle w:val="CaptionedFigure"/>
      </w:pPr>
      <w:r>
        <w:drawing>
          <wp:inline>
            <wp:extent cx="5334000" cy="3878035"/>
            <wp:effectExtent b="0" l="0" r="0" t="0"/>
            <wp:docPr descr="Редактирование файл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8).</w:t>
      </w:r>
    </w:p>
    <w:p>
      <w:pPr>
        <w:pStyle w:val="CaptionedFigure"/>
      </w:pPr>
      <w:r>
        <w:drawing>
          <wp:inline>
            <wp:extent cx="5334000" cy="3308083"/>
            <wp:effectExtent b="0" l="0" r="0" t="0"/>
            <wp:docPr descr="Запуск mysql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config.inc.php. Затем предаставляем привилегии для работы с этой базой данных (рис. 9).</w:t>
      </w:r>
    </w:p>
    <w:p>
      <w:pPr>
        <w:pStyle w:val="CaptionedFigure"/>
      </w:pPr>
      <w:r>
        <w:drawing>
          <wp:inline>
            <wp:extent cx="5334000" cy="1491519"/>
            <wp:effectExtent b="0" l="0" r="0" t="0"/>
            <wp:docPr descr="Авторизация в базе данных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Авторизация в базе данных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директорию. 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10).</w:t>
      </w:r>
    </w:p>
    <w:p>
      <w:pPr>
        <w:pStyle w:val="CaptionedFigure"/>
      </w:pPr>
      <w:r>
        <w:drawing>
          <wp:inline>
            <wp:extent cx="5334000" cy="1454727"/>
            <wp:effectExtent b="0" l="0" r="0" t="0"/>
            <wp:docPr descr="Открытие файла в текстовом редакторе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11).</w:t>
      </w:r>
    </w:p>
    <w:p>
      <w:pPr>
        <w:pStyle w:val="CaptionedFigure"/>
      </w:pPr>
      <w:r>
        <w:drawing>
          <wp:inline>
            <wp:extent cx="5334000" cy="4279604"/>
            <wp:effectExtent b="0" l="0" r="0" t="0"/>
            <wp:docPr descr="Редактирование файл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12).</w:t>
      </w:r>
    </w:p>
    <w:p>
      <w:pPr>
        <w:pStyle w:val="CaptionedFigure"/>
      </w:pPr>
      <w:r>
        <w:drawing>
          <wp:inline>
            <wp:extent cx="5334000" cy="3494534"/>
            <wp:effectExtent b="0" l="0" r="0" t="0"/>
            <wp:docPr descr="Запуск apche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13).</w:t>
      </w:r>
    </w:p>
    <w:p>
      <w:pPr>
        <w:pStyle w:val="CaptionedFigure"/>
      </w:pPr>
      <w:r>
        <w:drawing>
          <wp:inline>
            <wp:extent cx="5334000" cy="3871397"/>
            <wp:effectExtent b="0" l="0" r="0" t="0"/>
            <wp:docPr descr="Запуск веб-приложения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. Авторизуюсь с помощью предложенных по умолчанию данных. Оказываюсь на домшней странице веб-приложения, на этом установка окончена (рис. 14).</w:t>
      </w:r>
    </w:p>
    <w:p>
      <w:pPr>
        <w:pStyle w:val="CaptionedFigure"/>
      </w:pPr>
      <w:r>
        <w:drawing>
          <wp:inline>
            <wp:extent cx="5334000" cy="3745861"/>
            <wp:effectExtent b="0" l="0" r="0" t="0"/>
            <wp:docPr descr="Создание базы данных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базы данных</w:t>
      </w:r>
    </w:p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приобрела практические навыки по установке уязвимого веб-приложения DVWA.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Карпова Есения Алексеевна</dc:creator>
  <dc:language>ru-RU</dc:language>
  <cp:keywords/>
  <dcterms:created xsi:type="dcterms:W3CDTF">2025-03-15T10:37:17Z</dcterms:created>
  <dcterms:modified xsi:type="dcterms:W3CDTF">2025-03-15T10:37:17Z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Этап 2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