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DF86" w14:textId="77777777" w:rsidR="00236EE1" w:rsidRPr="00236EE1" w:rsidRDefault="00236EE1" w:rsidP="00236EE1">
      <w:pPr>
        <w:rPr>
          <w:b/>
          <w:bCs/>
        </w:rPr>
      </w:pPr>
      <w:r w:rsidRPr="00236EE1">
        <w:rPr>
          <w:b/>
          <w:bCs/>
        </w:rPr>
        <w:t>52.212-3 Offeror Representations and Certifications—Commercial Products and Commercial Services.</w:t>
      </w:r>
    </w:p>
    <w:p w14:paraId="387CE887" w14:textId="77777777" w:rsidR="00236EE1" w:rsidRPr="00236EE1" w:rsidRDefault="00236EE1" w:rsidP="00236EE1">
      <w:r w:rsidRPr="00236EE1">
        <w:t>As prescribed in </w:t>
      </w:r>
      <w:hyperlink r:id="rId4" w:anchor="FAR_12_301" w:tooltip="12.301" w:history="1">
        <w:r w:rsidRPr="00236EE1">
          <w:rPr>
            <w:rStyle w:val="Hyperlink"/>
          </w:rPr>
          <w:t>12.301</w:t>
        </w:r>
      </w:hyperlink>
      <w:r w:rsidRPr="00236EE1">
        <w:t>(b)(2), insert the following provision:</w:t>
      </w:r>
    </w:p>
    <w:p w14:paraId="2AF15C82" w14:textId="77777777" w:rsidR="00236EE1" w:rsidRPr="00236EE1" w:rsidRDefault="00236EE1" w:rsidP="00236EE1">
      <w:r w:rsidRPr="00236EE1">
        <w:t>Offeror Representations and Certifications—Commercial Products and Commercial Services (May 2024)</w:t>
      </w:r>
    </w:p>
    <w:p w14:paraId="0876BC6C" w14:textId="77777777" w:rsidR="00236EE1" w:rsidRPr="00236EE1" w:rsidRDefault="00236EE1" w:rsidP="00236EE1">
      <w:r w:rsidRPr="00236EE1">
        <w:t>The Offeror shall complete only paragraph (b) of this provision if the Offeror has completed the annual representations and certification electronically in the System for Award Management (SAM) accessed through </w:t>
      </w:r>
      <w:hyperlink r:id="rId5" w:tgtFrame="_blank" w:tooltip="https://www.sam.gov" w:history="1">
        <w:r w:rsidRPr="00236EE1">
          <w:rPr>
            <w:rStyle w:val="Hyperlink"/>
          </w:rPr>
          <w:t>https://www.sam.gov</w:t>
        </w:r>
      </w:hyperlink>
      <w:r w:rsidRPr="00236EE1">
        <w:t>. If the Offeror has not completed the annual representations and certifications electronically, the Offeror shall complete only paragraphs (c) through (v) of this provision.</w:t>
      </w:r>
    </w:p>
    <w:p w14:paraId="4E2742DE" w14:textId="77777777" w:rsidR="00236EE1" w:rsidRPr="00236EE1" w:rsidRDefault="00236EE1" w:rsidP="00236EE1">
      <w:r w:rsidRPr="00236EE1">
        <w:t>(a) </w:t>
      </w:r>
      <w:r w:rsidRPr="00236EE1">
        <w:rPr>
          <w:i/>
          <w:iCs/>
        </w:rPr>
        <w:t>Definitions</w:t>
      </w:r>
      <w:r w:rsidRPr="00236EE1">
        <w:t>. As used in this provision—</w:t>
      </w:r>
    </w:p>
    <w:p w14:paraId="533D0B00" w14:textId="77777777" w:rsidR="00236EE1" w:rsidRPr="00236EE1" w:rsidRDefault="00236EE1" w:rsidP="00236EE1">
      <w:r w:rsidRPr="00236EE1">
        <w:rPr>
          <w:i/>
          <w:iCs/>
        </w:rPr>
        <w:t>Covered telecommunications equipment or services</w:t>
      </w:r>
      <w:r w:rsidRPr="00236EE1">
        <w:t> has the meaning provided in the clause </w:t>
      </w:r>
      <w:hyperlink r:id="rId6" w:anchor="FAR_52_204_25" w:tooltip="52.204-25" w:history="1">
        <w:r w:rsidRPr="00236EE1">
          <w:rPr>
            <w:rStyle w:val="Hyperlink"/>
          </w:rPr>
          <w:t>52.204-25</w:t>
        </w:r>
      </w:hyperlink>
      <w:r w:rsidRPr="00236EE1">
        <w:t>, Prohibition on Contracting for Certain Telecommunications and Video Surveillance Services or Equipment.</w:t>
      </w:r>
    </w:p>
    <w:p w14:paraId="67DBDC5C" w14:textId="77777777" w:rsidR="00236EE1" w:rsidRPr="00236EE1" w:rsidRDefault="00236EE1" w:rsidP="00236EE1">
      <w:r w:rsidRPr="00236EE1">
        <w:rPr>
          <w:i/>
          <w:iCs/>
        </w:rPr>
        <w:t>Economically disadvantaged women-owned small business (EDWOSB) concern</w:t>
      </w:r>
      <w:r w:rsidRPr="00236EE1">
        <w:t> means a small business concern that is at least 51 percent directly and unconditionally owned by, and the management and daily business operations of which are controlled by, one or more women who are citizens of the United States and who are economically disadvantaged in accordance with </w:t>
      </w:r>
      <w:hyperlink r:id="rId7" w:tgtFrame="_blank" w:tooltip="13 CFR part 127" w:history="1">
        <w:r w:rsidRPr="00236EE1">
          <w:rPr>
            <w:rStyle w:val="Hyperlink"/>
          </w:rPr>
          <w:t>13 CFR part 127</w:t>
        </w:r>
      </w:hyperlink>
      <w:r w:rsidRPr="00236EE1">
        <w:t>, and the concern is certified by SBA or an approved third-party certifier in accordance with </w:t>
      </w:r>
      <w:hyperlink r:id="rId8" w:tgtFrame="_blank" w:tooltip="13 CFR 127.300" w:history="1">
        <w:r w:rsidRPr="00236EE1">
          <w:rPr>
            <w:rStyle w:val="Hyperlink"/>
          </w:rPr>
          <w:t>13 CFR 127.300</w:t>
        </w:r>
      </w:hyperlink>
      <w:r w:rsidRPr="00236EE1">
        <w:t>. It automatically qualifies as a women-owned small business eligible under the WOSB Program.</w:t>
      </w:r>
    </w:p>
    <w:p w14:paraId="78A19BB2" w14:textId="77777777" w:rsidR="00236EE1" w:rsidRPr="00236EE1" w:rsidRDefault="00236EE1" w:rsidP="00236EE1">
      <w:r w:rsidRPr="00236EE1">
        <w:rPr>
          <w:i/>
          <w:iCs/>
        </w:rPr>
        <w:t>Forced or indentured child labor</w:t>
      </w:r>
      <w:r w:rsidRPr="00236EE1">
        <w:t> means all work or service—</w:t>
      </w:r>
    </w:p>
    <w:p w14:paraId="6ADEF98B" w14:textId="77777777" w:rsidR="00236EE1" w:rsidRPr="00236EE1" w:rsidRDefault="00236EE1" w:rsidP="00236EE1">
      <w:r w:rsidRPr="00236EE1">
        <w:t>(1) Exacted from any person under the age of 18 under the menace of any penalty for its nonperformance and for which the worker does not offer himself voluntarily; or</w:t>
      </w:r>
    </w:p>
    <w:p w14:paraId="07182955" w14:textId="77777777" w:rsidR="00236EE1" w:rsidRPr="00236EE1" w:rsidRDefault="00236EE1" w:rsidP="00236EE1">
      <w:r w:rsidRPr="00236EE1">
        <w:t>(2) Performed by any person under the age of 18 pursuant to a contract the enforcement of which can be accomplished by process or penalties.</w:t>
      </w:r>
    </w:p>
    <w:p w14:paraId="44F661A5" w14:textId="77777777" w:rsidR="00236EE1" w:rsidRPr="00236EE1" w:rsidRDefault="00236EE1" w:rsidP="00236EE1">
      <w:r w:rsidRPr="00236EE1">
        <w:rPr>
          <w:i/>
          <w:iCs/>
        </w:rPr>
        <w:t>Highest-level owner</w:t>
      </w:r>
      <w:r w:rsidRPr="00236EE1">
        <w:t xml:space="preserve"> means the entity that owns or controls an immediate owner of the offeror, or that owns or controls one or more entities that control an immediate owner of the offeror. No entity owns or exercises control of the </w:t>
      </w:r>
      <w:proofErr w:type="gramStart"/>
      <w:r w:rsidRPr="00236EE1">
        <w:t>highest level</w:t>
      </w:r>
      <w:proofErr w:type="gramEnd"/>
      <w:r w:rsidRPr="00236EE1">
        <w:t xml:space="preserve"> owner.</w:t>
      </w:r>
    </w:p>
    <w:p w14:paraId="3B0CC086" w14:textId="77777777" w:rsidR="00236EE1" w:rsidRPr="00236EE1" w:rsidRDefault="00236EE1" w:rsidP="00236EE1">
      <w:r w:rsidRPr="00236EE1">
        <w:rPr>
          <w:i/>
          <w:iCs/>
        </w:rPr>
        <w:t>Immediate owner</w:t>
      </w:r>
      <w:r w:rsidRPr="00236EE1">
        <w:t> means an entity, other than the offeror, that has direct control of the offeror. Indicators of control include, but are not limited to, one or more of the following: ownership or interlocking management, identity of interests among family members, shared facilities and equipment, and the common use of employees.</w:t>
      </w:r>
    </w:p>
    <w:p w14:paraId="73429664" w14:textId="77777777" w:rsidR="00236EE1" w:rsidRPr="00236EE1" w:rsidRDefault="00236EE1" w:rsidP="00236EE1">
      <w:r w:rsidRPr="00236EE1">
        <w:rPr>
          <w:i/>
          <w:iCs/>
        </w:rPr>
        <w:lastRenderedPageBreak/>
        <w:t>Inverted domestic corporation</w:t>
      </w:r>
      <w:r w:rsidRPr="00236EE1">
        <w:t>, means a foreign incorporated entity that meets the definition of an inverted domestic corporation under </w:t>
      </w:r>
      <w:hyperlink r:id="rId9" w:tgtFrame="_blank" w:tooltip="6 U.S.C. 395" w:history="1">
        <w:r w:rsidRPr="00236EE1">
          <w:rPr>
            <w:rStyle w:val="Hyperlink"/>
          </w:rPr>
          <w:t>6 U.S.C. 395</w:t>
        </w:r>
      </w:hyperlink>
      <w:r w:rsidRPr="00236EE1">
        <w:t>(b), applied in accordance with the rules and definitions of </w:t>
      </w:r>
      <w:hyperlink r:id="rId10" w:tgtFrame="_blank" w:tooltip="6 U.S.C. 395" w:history="1">
        <w:r w:rsidRPr="00236EE1">
          <w:rPr>
            <w:rStyle w:val="Hyperlink"/>
          </w:rPr>
          <w:t>6 U.S.C. 395</w:t>
        </w:r>
      </w:hyperlink>
      <w:r w:rsidRPr="00236EE1">
        <w:t>(c).</w:t>
      </w:r>
    </w:p>
    <w:p w14:paraId="5C905FA1" w14:textId="77777777" w:rsidR="00236EE1" w:rsidRPr="00236EE1" w:rsidRDefault="00236EE1" w:rsidP="00236EE1">
      <w:r w:rsidRPr="00236EE1">
        <w:rPr>
          <w:i/>
          <w:iCs/>
        </w:rPr>
        <w:t xml:space="preserve">Manufactured </w:t>
      </w:r>
      <w:proofErr w:type="gramStart"/>
      <w:r w:rsidRPr="00236EE1">
        <w:rPr>
          <w:i/>
          <w:iCs/>
        </w:rPr>
        <w:t>end product</w:t>
      </w:r>
      <w:proofErr w:type="gramEnd"/>
      <w:r w:rsidRPr="00236EE1">
        <w:t> means any end product in product and service codes (PSCs) 1000-9999, except—</w:t>
      </w:r>
    </w:p>
    <w:p w14:paraId="29B19382" w14:textId="77777777" w:rsidR="00236EE1" w:rsidRPr="00236EE1" w:rsidRDefault="00236EE1" w:rsidP="00236EE1">
      <w:r w:rsidRPr="00236EE1">
        <w:t xml:space="preserve">(1) PSC 5510, Lumber and Related Basic Wood </w:t>
      </w:r>
      <w:proofErr w:type="gramStart"/>
      <w:r w:rsidRPr="00236EE1">
        <w:t>Materials;</w:t>
      </w:r>
      <w:proofErr w:type="gramEnd"/>
    </w:p>
    <w:p w14:paraId="1C74AAE9" w14:textId="77777777" w:rsidR="00236EE1" w:rsidRPr="00236EE1" w:rsidRDefault="00236EE1" w:rsidP="00236EE1">
      <w:r w:rsidRPr="00236EE1">
        <w:t>(2) Product or Service Group (PSG) 87, Agricultural </w:t>
      </w:r>
      <w:proofErr w:type="gramStart"/>
      <w:r w:rsidRPr="00236EE1">
        <w:t>Supplies;</w:t>
      </w:r>
      <w:proofErr w:type="gramEnd"/>
    </w:p>
    <w:p w14:paraId="42CD6777" w14:textId="77777777" w:rsidR="00236EE1" w:rsidRPr="00236EE1" w:rsidRDefault="00236EE1" w:rsidP="00236EE1">
      <w:r w:rsidRPr="00236EE1">
        <w:t xml:space="preserve">(3) PSG 88, Live </w:t>
      </w:r>
      <w:proofErr w:type="gramStart"/>
      <w:r w:rsidRPr="00236EE1">
        <w:t>Animals;</w:t>
      </w:r>
      <w:proofErr w:type="gramEnd"/>
    </w:p>
    <w:p w14:paraId="5D070A42" w14:textId="77777777" w:rsidR="00236EE1" w:rsidRPr="00236EE1" w:rsidRDefault="00236EE1" w:rsidP="00236EE1">
      <w:r w:rsidRPr="00236EE1">
        <w:t xml:space="preserve">(4) PSG 89, </w:t>
      </w:r>
      <w:proofErr w:type="gramStart"/>
      <w:r w:rsidRPr="00236EE1">
        <w:t>Subsistence;</w:t>
      </w:r>
      <w:proofErr w:type="gramEnd"/>
    </w:p>
    <w:p w14:paraId="7221717F" w14:textId="77777777" w:rsidR="00236EE1" w:rsidRPr="00236EE1" w:rsidRDefault="00236EE1" w:rsidP="00236EE1">
      <w:r w:rsidRPr="00236EE1">
        <w:t xml:space="preserve">(5) PSC 9410, Crude Grades of Plant </w:t>
      </w:r>
      <w:proofErr w:type="gramStart"/>
      <w:r w:rsidRPr="00236EE1">
        <w:t>Materials;</w:t>
      </w:r>
      <w:proofErr w:type="gramEnd"/>
    </w:p>
    <w:p w14:paraId="080C0815" w14:textId="77777777" w:rsidR="00236EE1" w:rsidRPr="00236EE1" w:rsidRDefault="00236EE1" w:rsidP="00236EE1">
      <w:r w:rsidRPr="00236EE1">
        <w:t xml:space="preserve">(6) PSC 9430, Miscellaneous Crude Animal Products, </w:t>
      </w:r>
      <w:proofErr w:type="gramStart"/>
      <w:r w:rsidRPr="00236EE1">
        <w:t>Inedible;</w:t>
      </w:r>
      <w:proofErr w:type="gramEnd"/>
    </w:p>
    <w:p w14:paraId="509EB351" w14:textId="77777777" w:rsidR="00236EE1" w:rsidRPr="00236EE1" w:rsidRDefault="00236EE1" w:rsidP="00236EE1">
      <w:r w:rsidRPr="00236EE1">
        <w:t>(7) PSC 9440, Miscellaneous Crude Agricultural and Forestry </w:t>
      </w:r>
      <w:proofErr w:type="gramStart"/>
      <w:r w:rsidRPr="00236EE1">
        <w:t>Products;</w:t>
      </w:r>
      <w:proofErr w:type="gramEnd"/>
    </w:p>
    <w:p w14:paraId="73521246" w14:textId="77777777" w:rsidR="00236EE1" w:rsidRPr="00236EE1" w:rsidRDefault="00236EE1" w:rsidP="00236EE1">
      <w:r w:rsidRPr="00236EE1">
        <w:t xml:space="preserve">(8) PSC 9610, </w:t>
      </w:r>
      <w:proofErr w:type="gramStart"/>
      <w:r w:rsidRPr="00236EE1">
        <w:t>Ores;</w:t>
      </w:r>
      <w:proofErr w:type="gramEnd"/>
    </w:p>
    <w:p w14:paraId="2E93FE31" w14:textId="77777777" w:rsidR="00236EE1" w:rsidRPr="00236EE1" w:rsidRDefault="00236EE1" w:rsidP="00236EE1">
      <w:r w:rsidRPr="00236EE1">
        <w:t>(9) PSC 9620, Minerals, Natural and Synthetic; and</w:t>
      </w:r>
    </w:p>
    <w:p w14:paraId="7E8B73E4" w14:textId="77777777" w:rsidR="00236EE1" w:rsidRPr="00236EE1" w:rsidRDefault="00236EE1" w:rsidP="00236EE1">
      <w:r w:rsidRPr="00236EE1">
        <w:t>(10) PSC 9630, Additive Metal Materials.</w:t>
      </w:r>
    </w:p>
    <w:p w14:paraId="46E9E6B7" w14:textId="77777777" w:rsidR="00236EE1" w:rsidRPr="00236EE1" w:rsidRDefault="00236EE1" w:rsidP="00236EE1">
      <w:r w:rsidRPr="00236EE1">
        <w:rPr>
          <w:i/>
          <w:iCs/>
        </w:rPr>
        <w:t>Place of manufacture</w:t>
      </w:r>
      <w:r w:rsidRPr="00236EE1">
        <w:t xml:space="preserve"> means the place where </w:t>
      </w:r>
      <w:proofErr w:type="gramStart"/>
      <w:r w:rsidRPr="00236EE1">
        <w:t>an end product</w:t>
      </w:r>
      <w:proofErr w:type="gramEnd"/>
      <w:r w:rsidRPr="00236EE1">
        <w:t> is assembled out of components, or otherwise made or processed from raw materials into the finished product that is to be provided to the Government. If a product is disassembled and reassembled, the place of reassembly is not the place of manufacture.</w:t>
      </w:r>
    </w:p>
    <w:p w14:paraId="1644E21C" w14:textId="77777777" w:rsidR="00236EE1" w:rsidRPr="00236EE1" w:rsidRDefault="00236EE1" w:rsidP="00236EE1">
      <w:r w:rsidRPr="00236EE1">
        <w:rPr>
          <w:i/>
          <w:iCs/>
        </w:rPr>
        <w:t>Predecessor</w:t>
      </w:r>
      <w:r w:rsidRPr="00236EE1">
        <w:t> means an entity that is replaced by a successor and includes any predecessors of the predecessor.</w:t>
      </w:r>
    </w:p>
    <w:p w14:paraId="6BA307AA" w14:textId="77777777" w:rsidR="00236EE1" w:rsidRPr="00236EE1" w:rsidRDefault="00236EE1" w:rsidP="00236EE1">
      <w:r w:rsidRPr="00236EE1">
        <w:rPr>
          <w:i/>
          <w:iCs/>
        </w:rPr>
        <w:t>Reasonable inquiry</w:t>
      </w:r>
      <w:r w:rsidRPr="00236EE1">
        <w:t> has the meaning provided in the clause </w:t>
      </w:r>
      <w:hyperlink r:id="rId11" w:anchor="FAR_52_204_25" w:tooltip="52.204-25" w:history="1">
        <w:r w:rsidRPr="00236EE1">
          <w:rPr>
            <w:rStyle w:val="Hyperlink"/>
          </w:rPr>
          <w:t>52.204-25</w:t>
        </w:r>
      </w:hyperlink>
      <w:r w:rsidRPr="00236EE1">
        <w:t>, Prohibition on Contracting for Certain Telecommunications and Video Surveillance Services or Equipment.</w:t>
      </w:r>
    </w:p>
    <w:p w14:paraId="6869E723" w14:textId="77777777" w:rsidR="00236EE1" w:rsidRPr="00236EE1" w:rsidRDefault="00236EE1" w:rsidP="00236EE1">
      <w:r w:rsidRPr="00236EE1">
        <w:rPr>
          <w:i/>
          <w:iCs/>
        </w:rPr>
        <w:t>Restricted business operations</w:t>
      </w:r>
      <w:r w:rsidRPr="00236EE1">
        <w:t> </w:t>
      </w:r>
      <w:proofErr w:type="gramStart"/>
      <w:r w:rsidRPr="00236EE1">
        <w:t>means</w:t>
      </w:r>
      <w:proofErr w:type="gramEnd"/>
      <w:r w:rsidRPr="00236EE1">
        <w:t xml:space="preserve"> business operations in Sudan that include power production activities, mineral extraction activities, oil-related activities, or the production of military equipment, as those terms are defined in the Sudan Accountability and Divestment Act of 2007 (Pub. L. 110-174). Restricted business operations do not include business operations that the person (as that term is defined in Section 2 of the Sudan Accountability and Divestment Act of 2007) conducting the business can demonstrate—</w:t>
      </w:r>
    </w:p>
    <w:p w14:paraId="41D51696" w14:textId="77777777" w:rsidR="00236EE1" w:rsidRPr="00236EE1" w:rsidRDefault="00236EE1" w:rsidP="00236EE1">
      <w:r w:rsidRPr="00236EE1">
        <w:lastRenderedPageBreak/>
        <w:t xml:space="preserve">(1) Are conducted under contract directly and exclusively with the regional government of southern </w:t>
      </w:r>
      <w:proofErr w:type="gramStart"/>
      <w:r w:rsidRPr="00236EE1">
        <w:t>Sudan;</w:t>
      </w:r>
      <w:proofErr w:type="gramEnd"/>
    </w:p>
    <w:p w14:paraId="26D04F69" w14:textId="77777777" w:rsidR="00236EE1" w:rsidRPr="00236EE1" w:rsidRDefault="00236EE1" w:rsidP="00236EE1">
      <w:r w:rsidRPr="00236EE1">
        <w:t xml:space="preserve">(2) Are conducted pursuant to specific authorization from the Office of Foreign Assets Control in the Department of the Treasury, or are expressly exempted under Federal law from the requirement to be conducted under such </w:t>
      </w:r>
      <w:proofErr w:type="gramStart"/>
      <w:r w:rsidRPr="00236EE1">
        <w:t>authorization;</w:t>
      </w:r>
      <w:proofErr w:type="gramEnd"/>
    </w:p>
    <w:p w14:paraId="20833D99" w14:textId="77777777" w:rsidR="00236EE1" w:rsidRPr="00236EE1" w:rsidRDefault="00236EE1" w:rsidP="00236EE1">
      <w:r w:rsidRPr="00236EE1">
        <w:t xml:space="preserve">(3) Consist of providing goods or services to marginalized populations of </w:t>
      </w:r>
      <w:proofErr w:type="gramStart"/>
      <w:r w:rsidRPr="00236EE1">
        <w:t>Sudan;</w:t>
      </w:r>
      <w:proofErr w:type="gramEnd"/>
    </w:p>
    <w:p w14:paraId="65DED0E0" w14:textId="77777777" w:rsidR="00236EE1" w:rsidRPr="00236EE1" w:rsidRDefault="00236EE1" w:rsidP="00236EE1">
      <w:r w:rsidRPr="00236EE1">
        <w:t xml:space="preserve">(4) Consist of providing goods or services to an internationally recognized peacekeeping force or humanitarian </w:t>
      </w:r>
      <w:proofErr w:type="gramStart"/>
      <w:r w:rsidRPr="00236EE1">
        <w:t>organization;</w:t>
      </w:r>
      <w:proofErr w:type="gramEnd"/>
    </w:p>
    <w:p w14:paraId="3000075B" w14:textId="77777777" w:rsidR="00236EE1" w:rsidRPr="00236EE1" w:rsidRDefault="00236EE1" w:rsidP="00236EE1">
      <w:r w:rsidRPr="00236EE1">
        <w:t>(5) Consist of providing goods or services that are used only to promote health or education; or</w:t>
      </w:r>
    </w:p>
    <w:p w14:paraId="0C26E9B4" w14:textId="77777777" w:rsidR="00236EE1" w:rsidRPr="00236EE1" w:rsidRDefault="00236EE1" w:rsidP="00236EE1">
      <w:r w:rsidRPr="00236EE1">
        <w:t xml:space="preserve">(6) Have been voluntarily </w:t>
      </w:r>
      <w:proofErr w:type="spellStart"/>
      <w:r w:rsidRPr="00236EE1">
        <w:t>suspended."Sensitive</w:t>
      </w:r>
      <w:proofErr w:type="spellEnd"/>
      <w:r w:rsidRPr="00236EE1">
        <w:t xml:space="preserve"> technology"—</w:t>
      </w:r>
    </w:p>
    <w:p w14:paraId="4BE06858" w14:textId="77777777" w:rsidR="00236EE1" w:rsidRPr="00236EE1" w:rsidRDefault="00236EE1" w:rsidP="00236EE1">
      <w:r w:rsidRPr="00236EE1">
        <w:rPr>
          <w:i/>
          <w:iCs/>
        </w:rPr>
        <w:t>Sensitive technology</w:t>
      </w:r>
      <w:r w:rsidRPr="00236EE1">
        <w:t>—</w:t>
      </w:r>
    </w:p>
    <w:p w14:paraId="7B0FDC85" w14:textId="77777777" w:rsidR="00236EE1" w:rsidRPr="00236EE1" w:rsidRDefault="00236EE1" w:rsidP="00236EE1">
      <w:r w:rsidRPr="00236EE1">
        <w:t>(1) Means hardware, software, telecommunications equipment, or any other technology that is to be used specifically—</w:t>
      </w:r>
    </w:p>
    <w:p w14:paraId="2A8BD161" w14:textId="77777777" w:rsidR="00236EE1" w:rsidRPr="00236EE1" w:rsidRDefault="00236EE1" w:rsidP="00236EE1">
      <w:r w:rsidRPr="00236EE1">
        <w:t>(i) To restrict the free flow of unbiased information in Iran; or</w:t>
      </w:r>
    </w:p>
    <w:p w14:paraId="50EC41D7" w14:textId="77777777" w:rsidR="00236EE1" w:rsidRPr="00236EE1" w:rsidRDefault="00236EE1" w:rsidP="00236EE1">
      <w:r w:rsidRPr="00236EE1">
        <w:t>(ii) To disrupt, monitor, or otherwise restrict speech of the people of Iran; and</w:t>
      </w:r>
    </w:p>
    <w:p w14:paraId="12A6B983" w14:textId="77777777" w:rsidR="00236EE1" w:rsidRPr="00236EE1" w:rsidRDefault="00236EE1" w:rsidP="00236EE1">
      <w:r w:rsidRPr="00236EE1">
        <w:t>(2) Does not include information or informational materials the export of which the President does not have the authority to regulate or prohibit pursuant to section 203(b)(</w:t>
      </w:r>
      <w:proofErr w:type="gramStart"/>
      <w:r w:rsidRPr="00236EE1">
        <w:t>3)of</w:t>
      </w:r>
      <w:proofErr w:type="gramEnd"/>
      <w:r w:rsidRPr="00236EE1">
        <w:t xml:space="preserve"> the International Emergency Economic Powers Act (50 U.S.C. 1702(b)(3)).</w:t>
      </w:r>
    </w:p>
    <w:p w14:paraId="2127995A" w14:textId="77777777" w:rsidR="00236EE1" w:rsidRPr="00236EE1" w:rsidRDefault="00236EE1" w:rsidP="00236EE1">
      <w:r w:rsidRPr="00236EE1">
        <w:rPr>
          <w:i/>
          <w:iCs/>
        </w:rPr>
        <w:t>Service-disabled veteran-owned small business (SDVOSB) concern</w:t>
      </w:r>
      <w:r w:rsidRPr="00236EE1">
        <w:t> means a small business concern—</w:t>
      </w:r>
    </w:p>
    <w:p w14:paraId="0732E578" w14:textId="77777777" w:rsidR="00236EE1" w:rsidRPr="00236EE1" w:rsidRDefault="00236EE1" w:rsidP="00236EE1">
      <w:r w:rsidRPr="00236EE1">
        <w:t>(1) </w:t>
      </w:r>
    </w:p>
    <w:p w14:paraId="4699E2EB" w14:textId="77777777" w:rsidR="00236EE1" w:rsidRPr="00236EE1" w:rsidRDefault="00236EE1" w:rsidP="00236EE1">
      <w:r w:rsidRPr="00236EE1">
        <w:t>(i) Not less than 51 percent of which is owned and controlled by one or more service-disabled veterans or, in the case of any publicly owned business, not less than 51 percent of the stock of which is owned by one or more service-disabled veterans; and</w:t>
      </w:r>
    </w:p>
    <w:p w14:paraId="18A31F4D" w14:textId="77777777" w:rsidR="00236EE1" w:rsidRPr="00236EE1" w:rsidRDefault="00236EE1" w:rsidP="00236EE1">
      <w:r w:rsidRPr="00236EE1">
        <w:t>(ii) The management and daily business operations of which are controlled by one or more service-disabled veterans or, in the case of a service-disabled veteran with permanent and severe disability, the spouse or permanent caregiver of such veteran; or</w:t>
      </w:r>
    </w:p>
    <w:p w14:paraId="44F47CDA" w14:textId="77777777" w:rsidR="00236EE1" w:rsidRPr="00236EE1" w:rsidRDefault="00236EE1" w:rsidP="00236EE1">
      <w:r w:rsidRPr="00236EE1">
        <w:t>(2) A small business concern eligible under the SDVOSB Program in accordance with 13 CFR part 128 (see subpart </w:t>
      </w:r>
      <w:hyperlink r:id="rId12" w:anchor="FAR_Subpart_19_14" w:tooltip="19.14" w:history="1">
        <w:r w:rsidRPr="00236EE1">
          <w:rPr>
            <w:rStyle w:val="Hyperlink"/>
          </w:rPr>
          <w:t>19.14</w:t>
        </w:r>
      </w:hyperlink>
      <w:r w:rsidRPr="00236EE1">
        <w:t>).</w:t>
      </w:r>
    </w:p>
    <w:p w14:paraId="726693A7" w14:textId="77777777" w:rsidR="00236EE1" w:rsidRPr="00236EE1" w:rsidRDefault="00236EE1" w:rsidP="00236EE1">
      <w:r w:rsidRPr="00236EE1">
        <w:lastRenderedPageBreak/>
        <w:t>(3) </w:t>
      </w:r>
      <w:r w:rsidRPr="00236EE1">
        <w:rPr>
          <w:i/>
          <w:iCs/>
        </w:rPr>
        <w:t>Service-disabled veteran</w:t>
      </w:r>
      <w:r w:rsidRPr="00236EE1">
        <w:t>, as used in this definition, means a veteran as defined in </w:t>
      </w:r>
      <w:hyperlink r:id="rId13" w:tgtFrame="_blank" w:tooltip="38 U.S.C. 101" w:history="1">
        <w:r w:rsidRPr="00236EE1">
          <w:rPr>
            <w:rStyle w:val="Hyperlink"/>
          </w:rPr>
          <w:t>38 U.S.C. 101</w:t>
        </w:r>
      </w:hyperlink>
      <w:r w:rsidRPr="00236EE1">
        <w:t>(2), with a disability that is service connected, as defined in </w:t>
      </w:r>
      <w:hyperlink r:id="rId14" w:tgtFrame="_blank" w:tooltip="38 U.S.C. 101" w:history="1">
        <w:r w:rsidRPr="00236EE1">
          <w:rPr>
            <w:rStyle w:val="Hyperlink"/>
          </w:rPr>
          <w:t>38 U.S.C. 101</w:t>
        </w:r>
      </w:hyperlink>
      <w:r w:rsidRPr="00236EE1">
        <w:t>(16), and who is registered in the Beneficiary Identification and Records Locator Subsystem, or successor system that is maintained by the Department of Veterans Affairs’ Veterans Benefits Administration, as a service-disabled veteran.</w:t>
      </w:r>
    </w:p>
    <w:p w14:paraId="643B736A" w14:textId="77777777" w:rsidR="00236EE1" w:rsidRPr="00236EE1" w:rsidRDefault="00236EE1" w:rsidP="00236EE1">
      <w:r w:rsidRPr="00236EE1">
        <w:rPr>
          <w:i/>
          <w:iCs/>
        </w:rPr>
        <w:t>Service-disabled veteran-owned small business (SDVOSB) concern eligible under the SDVOSB Program</w:t>
      </w:r>
      <w:r w:rsidRPr="00236EE1">
        <w:t> means an SDVOSB concern that—</w:t>
      </w:r>
    </w:p>
    <w:p w14:paraId="57C78C30" w14:textId="77777777" w:rsidR="00236EE1" w:rsidRPr="00236EE1" w:rsidRDefault="00236EE1" w:rsidP="00236EE1">
      <w:r w:rsidRPr="00236EE1">
        <w:t>(1) Effective January 1, 2024, is designated in the System for Award Management (SAM) as certified by the Small Business Administration (SBA) in accordance with 13 CFR 128.300; or</w:t>
      </w:r>
    </w:p>
    <w:p w14:paraId="1D59EFBF" w14:textId="77777777" w:rsidR="00236EE1" w:rsidRPr="00236EE1" w:rsidRDefault="00236EE1" w:rsidP="00236EE1">
      <w:r w:rsidRPr="00236EE1">
        <w:t>(2) Has represented that it is an SDVOSB concern in SAM and submitted a complete application for certification to SBA on or before December 31, 2023.</w:t>
      </w:r>
    </w:p>
    <w:p w14:paraId="1E4F31DA" w14:textId="77777777" w:rsidR="00236EE1" w:rsidRPr="00236EE1" w:rsidRDefault="00236EE1" w:rsidP="00236EE1">
      <w:r w:rsidRPr="00236EE1">
        <w:rPr>
          <w:i/>
          <w:iCs/>
        </w:rPr>
        <w:t>Service-disabled veteran-owned small business (SDVOSB) Program</w:t>
      </w:r>
      <w:r w:rsidRPr="00236EE1">
        <w:t> means a program that authorizes contracting officers to limit competition, including award on a sole-source basis, to SDVOSB concerns eligible under the SDVOSB Program.</w:t>
      </w:r>
    </w:p>
    <w:p w14:paraId="5F384C43" w14:textId="77777777" w:rsidR="00236EE1" w:rsidRPr="00236EE1" w:rsidRDefault="00236EE1" w:rsidP="00236EE1">
      <w:r w:rsidRPr="00236EE1">
        <w:rPr>
          <w:i/>
          <w:iCs/>
        </w:rPr>
        <w:t>Small business concern</w:t>
      </w:r>
      <w:r w:rsidRPr="00236EE1">
        <w:t>—</w:t>
      </w:r>
    </w:p>
    <w:p w14:paraId="0DD29EE7" w14:textId="77777777" w:rsidR="00236EE1" w:rsidRPr="00236EE1" w:rsidRDefault="00236EE1" w:rsidP="00236EE1">
      <w:r w:rsidRPr="00236EE1">
        <w:t>(1) Means a concern, including its affiliates, that is independently owned and operated, not dominant in its field of operation, and qualified as a small business under the criteria in </w:t>
      </w:r>
      <w:hyperlink r:id="rId15" w:tgtFrame="_blank" w:tooltip="13 CFR part 121" w:history="1">
        <w:r w:rsidRPr="00236EE1">
          <w:rPr>
            <w:rStyle w:val="Hyperlink"/>
          </w:rPr>
          <w:t>13 CFR part 121</w:t>
        </w:r>
      </w:hyperlink>
      <w:r w:rsidRPr="00236EE1">
        <w:t> and size standards in this solicitation.</w:t>
      </w:r>
    </w:p>
    <w:p w14:paraId="6426C15B" w14:textId="77777777" w:rsidR="00236EE1" w:rsidRPr="00236EE1" w:rsidRDefault="00236EE1" w:rsidP="00236EE1">
      <w:r w:rsidRPr="00236EE1">
        <w:t>(2) </w:t>
      </w:r>
      <w:r w:rsidRPr="00236EE1">
        <w:rPr>
          <w:i/>
          <w:iCs/>
        </w:rPr>
        <w:t>Affiliates</w:t>
      </w:r>
      <w:r w:rsidRPr="00236EE1">
        <w:t xml:space="preserve">, as used in this definition, means business concerns, one of whom directly or indirectly controls or has the power to control the others, or a third party or </w:t>
      </w:r>
      <w:proofErr w:type="gramStart"/>
      <w:r w:rsidRPr="00236EE1">
        <w:t>parties</w:t>
      </w:r>
      <w:proofErr w:type="gramEnd"/>
      <w:r w:rsidRPr="00236EE1">
        <w:t xml:space="preserve"> control or have the power to control the others. In determining whether affiliation exists, consideration is given to all appropriate factors including common ownership, common management, and contractual relationships. SBA determines affiliation based on the factors set forth at 13 CFR 121.103.</w:t>
      </w:r>
    </w:p>
    <w:p w14:paraId="3DD4BE2A" w14:textId="77777777" w:rsidR="00236EE1" w:rsidRPr="00236EE1" w:rsidRDefault="00236EE1" w:rsidP="00236EE1">
      <w:proofErr w:type="gramStart"/>
      <w:r w:rsidRPr="00236EE1">
        <w:rPr>
          <w:i/>
          <w:iCs/>
        </w:rPr>
        <w:t>Small disadvantaged</w:t>
      </w:r>
      <w:proofErr w:type="gramEnd"/>
      <w:r w:rsidRPr="00236EE1">
        <w:rPr>
          <w:i/>
          <w:iCs/>
        </w:rPr>
        <w:t xml:space="preserve"> business concern</w:t>
      </w:r>
      <w:r w:rsidRPr="00236EE1">
        <w:t>, consistent with 13 CFR 124.1001, means a small business concern under the size standard applicable to the acquisition, that—</w:t>
      </w:r>
    </w:p>
    <w:p w14:paraId="25901FA2" w14:textId="77777777" w:rsidR="00236EE1" w:rsidRPr="00236EE1" w:rsidRDefault="00236EE1" w:rsidP="00236EE1">
      <w:r w:rsidRPr="00236EE1">
        <w:t>(1) Is at least 51 percent unconditionally and directly owned (as defined at 13 CFR 124.105) by—</w:t>
      </w:r>
    </w:p>
    <w:p w14:paraId="251A638B" w14:textId="77777777" w:rsidR="00236EE1" w:rsidRPr="00236EE1" w:rsidRDefault="00236EE1" w:rsidP="00236EE1">
      <w:r w:rsidRPr="00236EE1">
        <w:t>(i) One or more socially disadvantaged (as defined at13 CFR 124.103) and economically disadvantaged (as defined at 13 CFR 124.104) individuals who are citizens of the United States; and</w:t>
      </w:r>
    </w:p>
    <w:p w14:paraId="00698F3C" w14:textId="77777777" w:rsidR="00236EE1" w:rsidRPr="00236EE1" w:rsidRDefault="00236EE1" w:rsidP="00236EE1">
      <w:r w:rsidRPr="00236EE1">
        <w:lastRenderedPageBreak/>
        <w:t xml:space="preserve">(ii) Each individual claiming economic disadvantage has a net worth not exceeding the threshold at 13 CFR 124.104(c)(2) after </w:t>
      </w:r>
      <w:proofErr w:type="gramStart"/>
      <w:r w:rsidRPr="00236EE1">
        <w:t>taking into account</w:t>
      </w:r>
      <w:proofErr w:type="gramEnd"/>
      <w:r w:rsidRPr="00236EE1">
        <w:t xml:space="preserve"> the applicable exclusions set forth at 13 CFR124.104(c)(2); and</w:t>
      </w:r>
    </w:p>
    <w:p w14:paraId="6CA8AC10" w14:textId="77777777" w:rsidR="00236EE1" w:rsidRPr="00236EE1" w:rsidRDefault="00236EE1" w:rsidP="00236EE1">
      <w:r w:rsidRPr="00236EE1">
        <w:t>(2) The management and daily business operations of which are controlled (as defined at 13.CFR 124.106) by individuals, who meet the criteria in paragraphs (1)(i) and (ii) of this definition.</w:t>
      </w:r>
    </w:p>
    <w:p w14:paraId="1DDDD5A8" w14:textId="77777777" w:rsidR="00236EE1" w:rsidRPr="00236EE1" w:rsidRDefault="00236EE1" w:rsidP="00236EE1">
      <w:r w:rsidRPr="00236EE1">
        <w:rPr>
          <w:i/>
          <w:iCs/>
        </w:rPr>
        <w:t>Subsidiary</w:t>
      </w:r>
      <w:r w:rsidRPr="00236EE1">
        <w:t> means an entity in which more than 50 percent of the entity is owned—</w:t>
      </w:r>
    </w:p>
    <w:p w14:paraId="625A48D9" w14:textId="77777777" w:rsidR="00236EE1" w:rsidRPr="00236EE1" w:rsidRDefault="00236EE1" w:rsidP="00236EE1">
      <w:r w:rsidRPr="00236EE1">
        <w:t>(1) Directly by a parent corporation; or</w:t>
      </w:r>
    </w:p>
    <w:p w14:paraId="3CA99D3A" w14:textId="77777777" w:rsidR="00236EE1" w:rsidRPr="00236EE1" w:rsidRDefault="00236EE1" w:rsidP="00236EE1">
      <w:r w:rsidRPr="00236EE1">
        <w:t>(2) Through another subsidiary of a parent corporation</w:t>
      </w:r>
    </w:p>
    <w:p w14:paraId="52017F3A" w14:textId="77777777" w:rsidR="00236EE1" w:rsidRPr="00236EE1" w:rsidRDefault="00236EE1" w:rsidP="00236EE1">
      <w:r w:rsidRPr="00236EE1">
        <w:rPr>
          <w:i/>
          <w:iCs/>
        </w:rPr>
        <w:t>Successor</w:t>
      </w:r>
      <w:r w:rsidRPr="00236EE1">
        <w:t>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14:paraId="1E7AC703" w14:textId="77777777" w:rsidR="00236EE1" w:rsidRPr="00236EE1" w:rsidRDefault="00236EE1" w:rsidP="00236EE1">
      <w:r w:rsidRPr="00236EE1">
        <w:rPr>
          <w:i/>
          <w:iCs/>
        </w:rPr>
        <w:t>Veteran-owned small business concern</w:t>
      </w:r>
      <w:r w:rsidRPr="00236EE1">
        <w:t> means a small business concern—</w:t>
      </w:r>
    </w:p>
    <w:p w14:paraId="673189FD" w14:textId="77777777" w:rsidR="00236EE1" w:rsidRPr="00236EE1" w:rsidRDefault="00236EE1" w:rsidP="00236EE1">
      <w:r w:rsidRPr="00236EE1">
        <w:t>(1) Not less than 51 percent of which is owned and controlled by one or more veterans (as defined at 38 U.S.C. 101(2)) or, in the case of any publicly owned business, not less than 51 percent of the stock of which is owned by one or more veterans; and</w:t>
      </w:r>
    </w:p>
    <w:p w14:paraId="7287AF2F" w14:textId="77777777" w:rsidR="00236EE1" w:rsidRPr="00236EE1" w:rsidRDefault="00236EE1" w:rsidP="00236EE1">
      <w:r w:rsidRPr="00236EE1">
        <w:t>(2) The management and daily business operations of which are controlled by one or more veterans.</w:t>
      </w:r>
    </w:p>
    <w:p w14:paraId="5A589D14" w14:textId="77777777" w:rsidR="00236EE1" w:rsidRPr="00236EE1" w:rsidRDefault="00236EE1" w:rsidP="00236EE1">
      <w:r w:rsidRPr="00236EE1">
        <w:rPr>
          <w:i/>
          <w:iCs/>
        </w:rPr>
        <w:t>Women-owned business concern</w:t>
      </w:r>
      <w:r w:rsidRPr="00236EE1">
        <w:t> means a concern which is at least 51 percent owned by one or more women; or in the case of any publicly owned business, at least 51 percent of its stock is owned by one or more women; and whose management and daily business operations are controlled by one or more women</w:t>
      </w:r>
    </w:p>
    <w:p w14:paraId="148EDD9D" w14:textId="77777777" w:rsidR="00236EE1" w:rsidRPr="00236EE1" w:rsidRDefault="00236EE1" w:rsidP="00236EE1">
      <w:r w:rsidRPr="00236EE1">
        <w:rPr>
          <w:i/>
          <w:iCs/>
        </w:rPr>
        <w:t>Women-owned small business concern</w:t>
      </w:r>
      <w:r w:rsidRPr="00236EE1">
        <w:t> means a small business concern—</w:t>
      </w:r>
    </w:p>
    <w:p w14:paraId="47D87F3D" w14:textId="77777777" w:rsidR="00236EE1" w:rsidRPr="00236EE1" w:rsidRDefault="00236EE1" w:rsidP="00236EE1">
      <w:r w:rsidRPr="00236EE1">
        <w:t>(1) That is at least 51 percent owned by one or more women; or, in the case of any publicly owned business, at least51 percent of the stock of which is owned by one or more women; and</w:t>
      </w:r>
    </w:p>
    <w:p w14:paraId="579631A2" w14:textId="77777777" w:rsidR="00236EE1" w:rsidRPr="00236EE1" w:rsidRDefault="00236EE1" w:rsidP="00236EE1">
      <w:r w:rsidRPr="00236EE1">
        <w:t>(2) Whose management and daily business operations are controlled by one or more women.</w:t>
      </w:r>
    </w:p>
    <w:p w14:paraId="37FAF1F6" w14:textId="77777777" w:rsidR="00236EE1" w:rsidRPr="00236EE1" w:rsidRDefault="00236EE1" w:rsidP="00236EE1">
      <w:r w:rsidRPr="00236EE1">
        <w:rPr>
          <w:i/>
          <w:iCs/>
        </w:rPr>
        <w:lastRenderedPageBreak/>
        <w:t>Women-owned small business (WOSB) concern eligible under the WOSB Program</w:t>
      </w:r>
      <w:r w:rsidRPr="00236EE1">
        <w:t> (in accordance with </w:t>
      </w:r>
      <w:hyperlink r:id="rId16" w:tgtFrame="_blank" w:tooltip="13 CFR part 127" w:history="1">
        <w:r w:rsidRPr="00236EE1">
          <w:rPr>
            <w:rStyle w:val="Hyperlink"/>
          </w:rPr>
          <w:t>13 CFR part 127</w:t>
        </w:r>
      </w:hyperlink>
      <w:r w:rsidRPr="00236EE1">
        <w:t>), means a small business concern that is at least 51 percent directly and unconditionally owned by, and the management and daily business operations of which are controlled by, one or more women who are citizens of the United States, and the concern is certified by SBA or an approved third-party certifier in accordance with </w:t>
      </w:r>
      <w:hyperlink r:id="rId17" w:tgtFrame="_blank" w:tooltip="13 CFR 127.300" w:history="1">
        <w:r w:rsidRPr="00236EE1">
          <w:rPr>
            <w:rStyle w:val="Hyperlink"/>
          </w:rPr>
          <w:t>13 CFR 127.300</w:t>
        </w:r>
      </w:hyperlink>
      <w:r w:rsidRPr="00236EE1">
        <w:t>.</w:t>
      </w:r>
    </w:p>
    <w:p w14:paraId="3121499A" w14:textId="77777777" w:rsidR="00236EE1" w:rsidRPr="00236EE1" w:rsidRDefault="00236EE1" w:rsidP="00236EE1">
      <w:r w:rsidRPr="00236EE1">
        <w:t>(b) </w:t>
      </w:r>
    </w:p>
    <w:p w14:paraId="65116D9D" w14:textId="77777777" w:rsidR="00236EE1" w:rsidRPr="00236EE1" w:rsidRDefault="00236EE1" w:rsidP="00236EE1">
      <w:r w:rsidRPr="00236EE1">
        <w:t>(1) </w:t>
      </w:r>
      <w:r w:rsidRPr="00236EE1">
        <w:rPr>
          <w:i/>
          <w:iCs/>
        </w:rPr>
        <w:t>Annual Representations and Certifications</w:t>
      </w:r>
      <w:r w:rsidRPr="00236EE1">
        <w:t>. Any changes provided by the Offeror in paragraph (b)(2) of this provision do not automatically change the representations and certifications in SAM.</w:t>
      </w:r>
    </w:p>
    <w:p w14:paraId="68A7039D" w14:textId="77777777" w:rsidR="00236EE1" w:rsidRPr="00236EE1" w:rsidRDefault="00236EE1" w:rsidP="00236EE1">
      <w:r w:rsidRPr="00236EE1">
        <w:t>(2) The offeror has completed the annual representations and certifications electronically in SAM accessed through </w:t>
      </w:r>
      <w:hyperlink r:id="rId18" w:tgtFrame="_blank" w:tooltip="http://www.sam.gov" w:history="1">
        <w:r w:rsidRPr="00236EE1">
          <w:rPr>
            <w:rStyle w:val="Hyperlink"/>
          </w:rPr>
          <w:t>http://www.sam.gov</w:t>
        </w:r>
      </w:hyperlink>
      <w:r w:rsidRPr="00236EE1">
        <w:t>. After reviewing SAM information, the Offeror verifies by submission of this offer that the representations and certifications currently posted electronically at FAR </w:t>
      </w:r>
      <w:hyperlink r:id="rId19" w:anchor="FAR_52_212_3" w:tooltip="52.212-3" w:history="1">
        <w:r w:rsidRPr="00236EE1">
          <w:rPr>
            <w:rStyle w:val="Hyperlink"/>
          </w:rPr>
          <w:t>52.212-3</w:t>
        </w:r>
      </w:hyperlink>
      <w:r w:rsidRPr="00236EE1">
        <w:t>, Offeror Representations and Certifications-Commercial Products and Commercial Services, have been entered or updated in the last 12 months, are current, accurate, complete, and applicable to this solicitation (including the business size standard(s) applicable to the NAICS code(s) referenced for this solicitation), at the time this offer is submitted and are incorporated in this offer by reference (see FAR </w:t>
      </w:r>
      <w:hyperlink r:id="rId20" w:anchor="FAR_4_1201" w:tooltip="4.1201" w:history="1">
        <w:r w:rsidRPr="00236EE1">
          <w:rPr>
            <w:rStyle w:val="Hyperlink"/>
          </w:rPr>
          <w:t>4.1201</w:t>
        </w:r>
      </w:hyperlink>
      <w:r w:rsidRPr="00236EE1">
        <w:t>), except for paragraphs __.</w:t>
      </w:r>
    </w:p>
    <w:p w14:paraId="6A42873B" w14:textId="77777777" w:rsidR="00236EE1" w:rsidRPr="00236EE1" w:rsidRDefault="00236EE1" w:rsidP="00236EE1">
      <w:r w:rsidRPr="00236EE1">
        <w:t>[</w:t>
      </w:r>
      <w:r w:rsidRPr="00236EE1">
        <w:rPr>
          <w:i/>
          <w:iCs/>
        </w:rPr>
        <w:t>Offeror to identify the applicable paragraphs at (c) through (v) of this provision that the offeror has completed for the purposes of this solicitation only, if any.</w:t>
      </w:r>
    </w:p>
    <w:p w14:paraId="154AE38A" w14:textId="77777777" w:rsidR="00236EE1" w:rsidRPr="00236EE1" w:rsidRDefault="00236EE1" w:rsidP="00236EE1">
      <w:r w:rsidRPr="00236EE1">
        <w:rPr>
          <w:i/>
          <w:iCs/>
        </w:rPr>
        <w:t>These amended representation(s) and/or certification(s) are also incorporated in this offer and are current, accurate, and complete as of the date of this offer.</w:t>
      </w:r>
    </w:p>
    <w:p w14:paraId="7507D755" w14:textId="77777777" w:rsidR="00236EE1" w:rsidRPr="00236EE1" w:rsidRDefault="00236EE1" w:rsidP="00236EE1">
      <w:r w:rsidRPr="00236EE1">
        <w:rPr>
          <w:i/>
          <w:iCs/>
        </w:rPr>
        <w:t>Any changes provided by the offeror are applicable to this solicitation only, and do not result in an update to the representations and certifications posted electronically on SAM.</w:t>
      </w:r>
      <w:r w:rsidRPr="00236EE1">
        <w:t>]</w:t>
      </w:r>
    </w:p>
    <w:p w14:paraId="48DCCC8B" w14:textId="77777777" w:rsidR="00236EE1" w:rsidRPr="00236EE1" w:rsidRDefault="00236EE1" w:rsidP="00236EE1">
      <w:r w:rsidRPr="00236EE1">
        <w:t>(c) Offerors must complete the following representations when the resulting contract is for supplies to be delivered or services to be performed in the United States or its outlying areas, or when the contracting officer has applied </w:t>
      </w:r>
      <w:hyperlink r:id="rId21" w:anchor="FAR_Part_19" w:tooltip="part  19" w:history="1">
        <w:r w:rsidRPr="00236EE1">
          <w:rPr>
            <w:rStyle w:val="Hyperlink"/>
          </w:rPr>
          <w:t>part  19</w:t>
        </w:r>
      </w:hyperlink>
      <w:r w:rsidRPr="00236EE1">
        <w:t> in accordance with </w:t>
      </w:r>
      <w:hyperlink r:id="rId22" w:anchor="FAR_19_000" w:tooltip="19.000" w:history="1">
        <w:r w:rsidRPr="00236EE1">
          <w:rPr>
            <w:rStyle w:val="Hyperlink"/>
          </w:rPr>
          <w:t>19.000</w:t>
        </w:r>
      </w:hyperlink>
      <w:r w:rsidRPr="00236EE1">
        <w:t>(b)(1)(ii). Check all that apply.</w:t>
      </w:r>
    </w:p>
    <w:p w14:paraId="599FC34A" w14:textId="77777777" w:rsidR="00236EE1" w:rsidRPr="00236EE1" w:rsidRDefault="00236EE1" w:rsidP="00236EE1">
      <w:r w:rsidRPr="00236EE1">
        <w:t>(1) </w:t>
      </w:r>
      <w:r w:rsidRPr="00236EE1">
        <w:rPr>
          <w:i/>
          <w:iCs/>
        </w:rPr>
        <w:t>Small business concern</w:t>
      </w:r>
      <w:r w:rsidRPr="00236EE1">
        <w:t>. The offeror represents as part of its offer that—</w:t>
      </w:r>
    </w:p>
    <w:p w14:paraId="6113E312" w14:textId="77777777" w:rsidR="00236EE1" w:rsidRPr="00236EE1" w:rsidRDefault="00236EE1" w:rsidP="00236EE1">
      <w:r w:rsidRPr="00236EE1">
        <w:t>(i) It </w:t>
      </w:r>
      <w:r w:rsidRPr="00236EE1">
        <w:rPr>
          <w:i/>
          <w:iCs/>
        </w:rPr>
        <w:t>□</w:t>
      </w:r>
      <w:r w:rsidRPr="00236EE1">
        <w:t> is, </w:t>
      </w:r>
      <w:r w:rsidRPr="00236EE1">
        <w:rPr>
          <w:i/>
          <w:iCs/>
        </w:rPr>
        <w:t>□</w:t>
      </w:r>
      <w:r w:rsidRPr="00236EE1">
        <w:t> is not a small business concern; or</w:t>
      </w:r>
    </w:p>
    <w:p w14:paraId="52FB06AD" w14:textId="77777777" w:rsidR="00236EE1" w:rsidRPr="00236EE1" w:rsidRDefault="00236EE1" w:rsidP="00236EE1">
      <w:r w:rsidRPr="00236EE1">
        <w:lastRenderedPageBreak/>
        <w:t>(ii) It </w:t>
      </w:r>
      <w:r w:rsidRPr="00236EE1">
        <w:rPr>
          <w:i/>
          <w:iCs/>
        </w:rPr>
        <w:t>□</w:t>
      </w:r>
      <w:r w:rsidRPr="00236EE1">
        <w:t> is, </w:t>
      </w:r>
      <w:r w:rsidRPr="00236EE1">
        <w:rPr>
          <w:i/>
          <w:iCs/>
        </w:rPr>
        <w:t>□</w:t>
      </w:r>
      <w:r w:rsidRPr="00236EE1">
        <w:t> is not a small business joint venture that complies with the requirements of </w:t>
      </w:r>
      <w:hyperlink r:id="rId23" w:anchor="p-121.103(h)" w:tgtFrame="_blank" w:tooltip="13 CFR 121.103(h)" w:history="1">
        <w:r w:rsidRPr="00236EE1">
          <w:rPr>
            <w:rStyle w:val="Hyperlink"/>
          </w:rPr>
          <w:t>13 CFR 121.103(h)</w:t>
        </w:r>
      </w:hyperlink>
      <w:r w:rsidRPr="00236EE1">
        <w:t> and </w:t>
      </w:r>
      <w:hyperlink r:id="rId24" w:anchor="p-125.8(a)" w:tgtFrame="_blank" w:tooltip="13 CFR 125.8(a)" w:history="1">
        <w:r w:rsidRPr="00236EE1">
          <w:rPr>
            <w:rStyle w:val="Hyperlink"/>
          </w:rPr>
          <w:t>13 CFR 125.8(a)</w:t>
        </w:r>
      </w:hyperlink>
      <w:r w:rsidRPr="00236EE1">
        <w:t> and </w:t>
      </w:r>
      <w:hyperlink r:id="rId25" w:anchor="p-125.8(b)" w:tgtFrame="_blank" w:tooltip="(b)" w:history="1">
        <w:r w:rsidRPr="00236EE1">
          <w:rPr>
            <w:rStyle w:val="Hyperlink"/>
          </w:rPr>
          <w:t>(b)</w:t>
        </w:r>
      </w:hyperlink>
      <w:r w:rsidRPr="00236EE1">
        <w:t>. [ </w:t>
      </w:r>
      <w:r w:rsidRPr="00236EE1">
        <w:rPr>
          <w:i/>
          <w:iCs/>
        </w:rPr>
        <w:t>The offeror shall enter the name and unique entity identifier of each party to the joint venture:</w:t>
      </w:r>
      <w:r w:rsidRPr="00236EE1">
        <w:t> </w:t>
      </w:r>
      <w:r w:rsidRPr="00236EE1">
        <w:rPr>
          <w:i/>
          <w:iCs/>
        </w:rPr>
        <w:t>____________</w:t>
      </w:r>
      <w:r w:rsidRPr="00236EE1">
        <w:t>.]</w:t>
      </w:r>
    </w:p>
    <w:p w14:paraId="033BEC39" w14:textId="77777777" w:rsidR="00236EE1" w:rsidRPr="00236EE1" w:rsidRDefault="00236EE1" w:rsidP="00236EE1">
      <w:r w:rsidRPr="00236EE1">
        <w:t>(2) </w:t>
      </w:r>
      <w:r w:rsidRPr="00236EE1">
        <w:rPr>
          <w:i/>
          <w:iCs/>
        </w:rPr>
        <w:t>Veteran-owned small business concern</w:t>
      </w:r>
      <w:r w:rsidRPr="00236EE1">
        <w:t>. [</w:t>
      </w:r>
      <w:r w:rsidRPr="00236EE1">
        <w:rPr>
          <w:i/>
          <w:iCs/>
        </w:rPr>
        <w:t>Complete only if the offeror represented itself as a small business concern in paragraph (c)(1) of this provision</w:t>
      </w:r>
      <w:r w:rsidRPr="00236EE1">
        <w:t>.] The offeror represents as part of its offer that it </w:t>
      </w:r>
      <w:r w:rsidRPr="00236EE1">
        <w:rPr>
          <w:i/>
          <w:iCs/>
        </w:rPr>
        <w:t>□</w:t>
      </w:r>
      <w:r w:rsidRPr="00236EE1">
        <w:t> is, </w:t>
      </w:r>
      <w:r w:rsidRPr="00236EE1">
        <w:rPr>
          <w:i/>
          <w:iCs/>
        </w:rPr>
        <w:t>□</w:t>
      </w:r>
      <w:r w:rsidRPr="00236EE1">
        <w:t> is not a veteran-owned small business concern.</w:t>
      </w:r>
    </w:p>
    <w:p w14:paraId="2CE2043A" w14:textId="77777777" w:rsidR="00236EE1" w:rsidRPr="00236EE1" w:rsidRDefault="00236EE1" w:rsidP="00236EE1">
      <w:r w:rsidRPr="00236EE1">
        <w:t>(3) </w:t>
      </w:r>
      <w:r w:rsidRPr="00236EE1">
        <w:rPr>
          <w:i/>
          <w:iCs/>
        </w:rPr>
        <w:t>SDVOSB concern.</w:t>
      </w:r>
      <w:r w:rsidRPr="00236EE1">
        <w:t> [</w:t>
      </w:r>
      <w:r w:rsidRPr="00236EE1">
        <w:rPr>
          <w:i/>
          <w:iCs/>
        </w:rPr>
        <w:t>Complete only if the offeror represented itself as a veteran-owned small business concern in paragraph (c)(2) of this provision.</w:t>
      </w:r>
      <w:r w:rsidRPr="00236EE1">
        <w:t>] The offeror represents that it </w:t>
      </w:r>
      <w:r w:rsidRPr="00236EE1">
        <w:rPr>
          <w:i/>
          <w:iCs/>
        </w:rPr>
        <w:t>□</w:t>
      </w:r>
      <w:r w:rsidRPr="00236EE1">
        <w:t> is, </w:t>
      </w:r>
      <w:r w:rsidRPr="00236EE1">
        <w:rPr>
          <w:i/>
          <w:iCs/>
        </w:rPr>
        <w:t>□</w:t>
      </w:r>
      <w:r w:rsidRPr="00236EE1">
        <w:t> is not an SDVOSB concern.</w:t>
      </w:r>
    </w:p>
    <w:p w14:paraId="75C8DD6A" w14:textId="77777777" w:rsidR="00236EE1" w:rsidRPr="00236EE1" w:rsidRDefault="00236EE1" w:rsidP="00236EE1">
      <w:r w:rsidRPr="00236EE1">
        <w:t>(4) </w:t>
      </w:r>
      <w:r w:rsidRPr="00236EE1">
        <w:rPr>
          <w:i/>
          <w:iCs/>
        </w:rPr>
        <w:t>SDVOSB concern joint venture eligible under the SDVOSB Program</w:t>
      </w:r>
      <w:r w:rsidRPr="00236EE1">
        <w:t>. The offeror represents that it </w:t>
      </w:r>
      <w:r w:rsidRPr="00236EE1">
        <w:rPr>
          <w:i/>
          <w:iCs/>
        </w:rPr>
        <w:t>□</w:t>
      </w:r>
      <w:r w:rsidRPr="00236EE1">
        <w:t> is, </w:t>
      </w:r>
      <w:r w:rsidRPr="00236EE1">
        <w:rPr>
          <w:i/>
          <w:iCs/>
        </w:rPr>
        <w:t>□</w:t>
      </w:r>
      <w:r w:rsidRPr="00236EE1">
        <w:t> is not an SDVOSB joint venture eligible under the SDVOSB Program that complies with the requirements of 13 CFR 128.402. [</w:t>
      </w:r>
      <w:r w:rsidRPr="00236EE1">
        <w:rPr>
          <w:i/>
          <w:iCs/>
        </w:rPr>
        <w:t>Complete only if the offeror represented itself as an SDVOSB concern in paragraph (c)(3) of this provision.</w:t>
      </w:r>
      <w:r w:rsidRPr="00236EE1">
        <w:t>] [</w:t>
      </w:r>
      <w:r w:rsidRPr="00236EE1">
        <w:rPr>
          <w:i/>
          <w:iCs/>
        </w:rPr>
        <w:t>The offeror shall enter the name and unique entity identifier of each party to the joint venture:</w:t>
      </w:r>
      <w:r w:rsidRPr="00236EE1">
        <w:t> </w:t>
      </w:r>
      <w:r w:rsidRPr="00236EE1">
        <w:rPr>
          <w:i/>
          <w:iCs/>
        </w:rPr>
        <w:t>____________</w:t>
      </w:r>
      <w:r w:rsidRPr="00236EE1">
        <w:t>.]</w:t>
      </w:r>
    </w:p>
    <w:p w14:paraId="35E33321" w14:textId="77777777" w:rsidR="00236EE1" w:rsidRPr="00236EE1" w:rsidRDefault="00236EE1" w:rsidP="00236EE1">
      <w:r w:rsidRPr="00236EE1">
        <w:t>(5) </w:t>
      </w:r>
      <w:r w:rsidRPr="00236EE1">
        <w:rPr>
          <w:i/>
          <w:iCs/>
        </w:rPr>
        <w:t>Small disadvantaged business concern. [Complete only if the offeror represented itself as a small business concern in paragraph (c)(1) of this provision.]</w:t>
      </w:r>
      <w:r w:rsidRPr="00236EE1">
        <w:t> The offeror represents that it </w:t>
      </w:r>
      <w:r w:rsidRPr="00236EE1">
        <w:rPr>
          <w:i/>
          <w:iCs/>
        </w:rPr>
        <w:t>□</w:t>
      </w:r>
      <w:r w:rsidRPr="00236EE1">
        <w:t> is, </w:t>
      </w:r>
      <w:r w:rsidRPr="00236EE1">
        <w:rPr>
          <w:i/>
          <w:iCs/>
        </w:rPr>
        <w:t>□</w:t>
      </w:r>
      <w:r w:rsidRPr="00236EE1">
        <w:t> is not a small disadvantaged business concern as defined in </w:t>
      </w:r>
      <w:hyperlink r:id="rId26" w:tgtFrame="_blank" w:tooltip="13 CFR 124.1001" w:history="1">
        <w:r w:rsidRPr="00236EE1">
          <w:rPr>
            <w:rStyle w:val="Hyperlink"/>
          </w:rPr>
          <w:t>13 CFR 124.1001</w:t>
        </w:r>
      </w:hyperlink>
      <w:r w:rsidRPr="00236EE1">
        <w:t>.</w:t>
      </w:r>
    </w:p>
    <w:p w14:paraId="682D4A22" w14:textId="77777777" w:rsidR="00236EE1" w:rsidRPr="00236EE1" w:rsidRDefault="00236EE1" w:rsidP="00236EE1">
      <w:r w:rsidRPr="00236EE1">
        <w:t>(6) </w:t>
      </w:r>
      <w:r w:rsidRPr="00236EE1">
        <w:rPr>
          <w:i/>
          <w:iCs/>
        </w:rPr>
        <w:t>Women-owned small business concern</w:t>
      </w:r>
      <w:r w:rsidRPr="00236EE1">
        <w:t>. [</w:t>
      </w:r>
      <w:r w:rsidRPr="00236EE1">
        <w:rPr>
          <w:i/>
          <w:iCs/>
        </w:rPr>
        <w:t>Complete only if the offeror represented itself as a small business concern in paragraph (c)(1) of this provision</w:t>
      </w:r>
      <w:r w:rsidRPr="00236EE1">
        <w:t>.] The offeror represents that it </w:t>
      </w:r>
      <w:r w:rsidRPr="00236EE1">
        <w:rPr>
          <w:i/>
          <w:iCs/>
        </w:rPr>
        <w:t>□</w:t>
      </w:r>
      <w:r w:rsidRPr="00236EE1">
        <w:t> is, </w:t>
      </w:r>
      <w:r w:rsidRPr="00236EE1">
        <w:rPr>
          <w:i/>
          <w:iCs/>
        </w:rPr>
        <w:t>□</w:t>
      </w:r>
      <w:r w:rsidRPr="00236EE1">
        <w:t> is not a women-owned small business concern.</w:t>
      </w:r>
    </w:p>
    <w:p w14:paraId="2C81EFB1" w14:textId="77777777" w:rsidR="00236EE1" w:rsidRPr="00236EE1" w:rsidRDefault="00236EE1" w:rsidP="00236EE1">
      <w:r w:rsidRPr="00236EE1">
        <w:t>(7) </w:t>
      </w:r>
      <w:r w:rsidRPr="00236EE1">
        <w:rPr>
          <w:i/>
          <w:iCs/>
        </w:rPr>
        <w:t>WOSB joint venture eligible under the WOSB Program.</w:t>
      </w:r>
      <w:r w:rsidRPr="00236EE1">
        <w:t> The offeror represents that it </w:t>
      </w:r>
      <w:r w:rsidRPr="00236EE1">
        <w:rPr>
          <w:i/>
          <w:iCs/>
        </w:rPr>
        <w:t>□</w:t>
      </w:r>
      <w:r w:rsidRPr="00236EE1">
        <w:t> is, </w:t>
      </w:r>
      <w:r w:rsidRPr="00236EE1">
        <w:rPr>
          <w:i/>
          <w:iCs/>
        </w:rPr>
        <w:t>□</w:t>
      </w:r>
      <w:r w:rsidRPr="00236EE1">
        <w:t> is not a joint venture that complies with the requirements of </w:t>
      </w:r>
      <w:hyperlink r:id="rId27" w:anchor="p-127.506(a)" w:tgtFrame="_blank" w:tooltip="13 CFR 127.506(a)" w:history="1">
        <w:r w:rsidRPr="00236EE1">
          <w:rPr>
            <w:rStyle w:val="Hyperlink"/>
          </w:rPr>
          <w:t>13 CFR 127.506(a)</w:t>
        </w:r>
      </w:hyperlink>
      <w:r w:rsidRPr="00236EE1">
        <w:t> through </w:t>
      </w:r>
      <w:hyperlink r:id="rId28" w:anchor="p-127.506(c)" w:tgtFrame="_blank" w:tooltip="(c)" w:history="1">
        <w:r w:rsidRPr="00236EE1">
          <w:rPr>
            <w:rStyle w:val="Hyperlink"/>
          </w:rPr>
          <w:t>(c)</w:t>
        </w:r>
      </w:hyperlink>
      <w:r w:rsidRPr="00236EE1">
        <w:t>. [ </w:t>
      </w:r>
      <w:r w:rsidRPr="00236EE1">
        <w:rPr>
          <w:i/>
          <w:iCs/>
        </w:rPr>
        <w:t>The offeror shall enter the name and unique entity identifier of each party to the joint venture:</w:t>
      </w:r>
      <w:r w:rsidRPr="00236EE1">
        <w:t> </w:t>
      </w:r>
      <w:r w:rsidRPr="00236EE1">
        <w:rPr>
          <w:i/>
          <w:iCs/>
        </w:rPr>
        <w:t>____________</w:t>
      </w:r>
      <w:r w:rsidRPr="00236EE1">
        <w:t>.]</w:t>
      </w:r>
    </w:p>
    <w:p w14:paraId="0FD51E03" w14:textId="77777777" w:rsidR="00236EE1" w:rsidRPr="00236EE1" w:rsidRDefault="00236EE1" w:rsidP="00236EE1">
      <w:r w:rsidRPr="00236EE1">
        <w:t>(8) </w:t>
      </w:r>
      <w:r w:rsidRPr="00236EE1">
        <w:rPr>
          <w:i/>
          <w:iCs/>
        </w:rPr>
        <w:t>Economically disadvantaged women-owned small business (EDWOSB) joint venture.</w:t>
      </w:r>
      <w:r w:rsidRPr="00236EE1">
        <w:t> The offeror represents that it </w:t>
      </w:r>
      <w:r w:rsidRPr="00236EE1">
        <w:rPr>
          <w:i/>
          <w:iCs/>
        </w:rPr>
        <w:t>□</w:t>
      </w:r>
      <w:r w:rsidRPr="00236EE1">
        <w:t> is, </w:t>
      </w:r>
      <w:r w:rsidRPr="00236EE1">
        <w:rPr>
          <w:i/>
          <w:iCs/>
        </w:rPr>
        <w:t>□</w:t>
      </w:r>
      <w:r w:rsidRPr="00236EE1">
        <w:t> is not a joint venture that complies with the requirements of </w:t>
      </w:r>
      <w:hyperlink r:id="rId29" w:anchor="p-127.506(a)" w:tgtFrame="_blank" w:tooltip="13 CFR 127.506(a)" w:history="1">
        <w:r w:rsidRPr="00236EE1">
          <w:rPr>
            <w:rStyle w:val="Hyperlink"/>
          </w:rPr>
          <w:t>13 CFR 127.506(a)</w:t>
        </w:r>
      </w:hyperlink>
      <w:r w:rsidRPr="00236EE1">
        <w:t> through </w:t>
      </w:r>
      <w:hyperlink r:id="rId30" w:anchor="p-127.506(c)" w:tgtFrame="_blank" w:tooltip="(c)" w:history="1">
        <w:r w:rsidRPr="00236EE1">
          <w:rPr>
            <w:rStyle w:val="Hyperlink"/>
          </w:rPr>
          <w:t>(c)</w:t>
        </w:r>
      </w:hyperlink>
      <w:r w:rsidRPr="00236EE1">
        <w:t>. [</w:t>
      </w:r>
      <w:r w:rsidRPr="00236EE1">
        <w:rPr>
          <w:i/>
          <w:iCs/>
        </w:rPr>
        <w:t>The offeror shall enter the name and unique entity identifier of each party to the joint venture:</w:t>
      </w:r>
      <w:r w:rsidRPr="00236EE1">
        <w:t> </w:t>
      </w:r>
      <w:r w:rsidRPr="00236EE1">
        <w:rPr>
          <w:i/>
          <w:iCs/>
        </w:rPr>
        <w:t>____________</w:t>
      </w:r>
      <w:r w:rsidRPr="00236EE1">
        <w:t>.]</w:t>
      </w:r>
    </w:p>
    <w:p w14:paraId="7DED2237" w14:textId="77777777" w:rsidR="00236EE1" w:rsidRPr="00236EE1" w:rsidRDefault="00236EE1" w:rsidP="00236EE1">
      <w:r w:rsidRPr="00236EE1">
        <w:rPr>
          <w:b/>
          <w:bCs/>
        </w:rPr>
        <w:t>Note to paragraphs (c)(9) and (10):</w:t>
      </w:r>
      <w:r w:rsidRPr="00236EE1">
        <w:t> Complete paragraphs (c)(9) and (10) only if this solicitation is expected to exceed the simplified acquisition threshold.</w:t>
      </w:r>
    </w:p>
    <w:p w14:paraId="0D46A2FA" w14:textId="77777777" w:rsidR="00236EE1" w:rsidRPr="00236EE1" w:rsidRDefault="00236EE1" w:rsidP="00236EE1">
      <w:r w:rsidRPr="00236EE1">
        <w:t>(9) </w:t>
      </w:r>
      <w:r w:rsidRPr="00236EE1">
        <w:rPr>
          <w:i/>
          <w:iCs/>
        </w:rPr>
        <w:t>Women-owned business concern (other than small business concern</w:t>
      </w:r>
      <w:r w:rsidRPr="00236EE1">
        <w:t>). [</w:t>
      </w:r>
      <w:r w:rsidRPr="00236EE1">
        <w:rPr>
          <w:i/>
          <w:iCs/>
        </w:rPr>
        <w:t xml:space="preserve">Complete only if the offeror is a women-owned business concern and did not represent itself as a small </w:t>
      </w:r>
      <w:r w:rsidRPr="00236EE1">
        <w:rPr>
          <w:i/>
          <w:iCs/>
        </w:rPr>
        <w:lastRenderedPageBreak/>
        <w:t>business concern in paragraph (c)(1) of this provision</w:t>
      </w:r>
      <w:r w:rsidRPr="00236EE1">
        <w:t>.] The offeror represents that it </w:t>
      </w:r>
      <w:r w:rsidRPr="00236EE1">
        <w:rPr>
          <w:i/>
          <w:iCs/>
        </w:rPr>
        <w:t>□</w:t>
      </w:r>
      <w:r w:rsidRPr="00236EE1">
        <w:t> is a women-owned business concern.</w:t>
      </w:r>
    </w:p>
    <w:p w14:paraId="69E70232" w14:textId="77777777" w:rsidR="00236EE1" w:rsidRPr="00236EE1" w:rsidRDefault="00236EE1" w:rsidP="00236EE1">
      <w:r w:rsidRPr="00236EE1">
        <w:t>(10) </w:t>
      </w:r>
      <w:r w:rsidRPr="00236EE1">
        <w:rPr>
          <w:i/>
          <w:iCs/>
        </w:rPr>
        <w:t>Tie bid priority for labor surplus area concerns</w:t>
      </w:r>
      <w:r w:rsidRPr="00236EE1">
        <w:t xml:space="preserve">. If this is an invitation for bid, small business offerors may identify the labor surplus areas in which costs to be incurred on account of manufacturing or production (by offeror or first-tier subcontractors) amount to more than 50 percent of the contract </w:t>
      </w:r>
      <w:proofErr w:type="gramStart"/>
      <w:r w:rsidRPr="00236EE1">
        <w:t>price:</w:t>
      </w:r>
      <w:r w:rsidRPr="00236EE1">
        <w:rPr>
          <w:i/>
          <w:iCs/>
        </w:rPr>
        <w:t>_</w:t>
      </w:r>
      <w:proofErr w:type="gramEnd"/>
      <w:r w:rsidRPr="00236EE1">
        <w:rPr>
          <w:i/>
          <w:iCs/>
        </w:rPr>
        <w:t>___________</w:t>
      </w:r>
    </w:p>
    <w:p w14:paraId="5E4C2CE7" w14:textId="77777777" w:rsidR="00236EE1" w:rsidRPr="00236EE1" w:rsidRDefault="00236EE1" w:rsidP="00236EE1">
      <w:r w:rsidRPr="00236EE1">
        <w:t>(11) </w:t>
      </w:r>
      <w:r w:rsidRPr="00236EE1">
        <w:rPr>
          <w:i/>
          <w:iCs/>
        </w:rPr>
        <w:t>HUBZone small business concern</w:t>
      </w:r>
      <w:r w:rsidRPr="00236EE1">
        <w:t>. [</w:t>
      </w:r>
      <w:r w:rsidRPr="00236EE1">
        <w:rPr>
          <w:i/>
          <w:iCs/>
        </w:rPr>
        <w:t>Complete only if the offeror represented itself as a small business concern in paragraph (c)(1) of this provision</w:t>
      </w:r>
      <w:r w:rsidRPr="00236EE1">
        <w:t>.] The offeror represents, as part of its offer, that–</w:t>
      </w:r>
    </w:p>
    <w:p w14:paraId="2B63739C" w14:textId="77777777" w:rsidR="00236EE1" w:rsidRPr="00236EE1" w:rsidRDefault="00236EE1" w:rsidP="00236EE1">
      <w:r w:rsidRPr="00236EE1">
        <w:t>(i) It </w:t>
      </w:r>
      <w:r w:rsidRPr="00236EE1">
        <w:rPr>
          <w:i/>
          <w:iCs/>
        </w:rPr>
        <w:t>□</w:t>
      </w:r>
      <w:r w:rsidRPr="00236EE1">
        <w:t> is, </w:t>
      </w:r>
      <w:r w:rsidRPr="00236EE1">
        <w:rPr>
          <w:i/>
          <w:iCs/>
        </w:rPr>
        <w:t>□</w:t>
      </w:r>
      <w:r w:rsidRPr="00236EE1">
        <w:t> is not a HUBZone small business concern listed, on the date of this representation, as having been certified by SBA as a HUBZone small business concern in the Dynamic Small Business Search and SAM, and will attempt to maintain an employment rate of HUBZone residents of 35 percent of its employees during performance of a HUBZone contract (see </w:t>
      </w:r>
      <w:hyperlink r:id="rId31" w:tgtFrame="_blank" w:tooltip="13 CFR                               126.200(e)(1)" w:history="1">
        <w:r w:rsidRPr="00236EE1">
          <w:rPr>
            <w:rStyle w:val="Hyperlink"/>
          </w:rPr>
          <w:t>13 CFR 126.200(e)(1)</w:t>
        </w:r>
      </w:hyperlink>
      <w:r w:rsidRPr="00236EE1">
        <w:t>); and</w:t>
      </w:r>
    </w:p>
    <w:p w14:paraId="2156EB69" w14:textId="77777777" w:rsidR="00236EE1" w:rsidRPr="00236EE1" w:rsidRDefault="00236EE1" w:rsidP="00236EE1">
      <w:r w:rsidRPr="00236EE1">
        <w:t>(ii) It </w:t>
      </w:r>
      <w:r w:rsidRPr="00236EE1">
        <w:rPr>
          <w:i/>
          <w:iCs/>
        </w:rPr>
        <w:t>□</w:t>
      </w:r>
      <w:r w:rsidRPr="00236EE1">
        <w:t> is, </w:t>
      </w:r>
      <w:r w:rsidRPr="00236EE1">
        <w:rPr>
          <w:i/>
          <w:iCs/>
        </w:rPr>
        <w:t>□</w:t>
      </w:r>
      <w:r w:rsidRPr="00236EE1">
        <w:t> is not a HUBZone joint venture that complies with the requirements of </w:t>
      </w:r>
      <w:hyperlink r:id="rId32" w:anchor="p-126.616(a)" w:tgtFrame="_blank" w:tooltip="13 CFR 126.616(a)" w:history="1">
        <w:r w:rsidRPr="00236EE1">
          <w:rPr>
            <w:rStyle w:val="Hyperlink"/>
          </w:rPr>
          <w:t>13 CFR 126.616(a)</w:t>
        </w:r>
      </w:hyperlink>
      <w:r w:rsidRPr="00236EE1">
        <w:t> through </w:t>
      </w:r>
      <w:hyperlink r:id="rId33" w:anchor="p-126.616(c)" w:tgtFrame="_blank" w:tooltip="(c)" w:history="1">
        <w:r w:rsidRPr="00236EE1">
          <w:rPr>
            <w:rStyle w:val="Hyperlink"/>
          </w:rPr>
          <w:t>(c)</w:t>
        </w:r>
      </w:hyperlink>
      <w:r w:rsidRPr="00236EE1">
        <w:t>. [</w:t>
      </w:r>
      <w:r w:rsidRPr="00236EE1">
        <w:rPr>
          <w:i/>
          <w:iCs/>
        </w:rPr>
        <w:t>The offeror shall enter the name and unique entity identifier of each party to the joint venture:</w:t>
      </w:r>
      <w:r w:rsidRPr="00236EE1">
        <w:t> </w:t>
      </w:r>
      <w:r w:rsidRPr="00236EE1">
        <w:rPr>
          <w:i/>
          <w:iCs/>
        </w:rPr>
        <w:t>______</w:t>
      </w:r>
      <w:r w:rsidRPr="00236EE1">
        <w:t>.] Each HUBZone small business concern participating in the HUBZone joint venture shall provide representation of its HUBZone status.</w:t>
      </w:r>
    </w:p>
    <w:p w14:paraId="1E91D66A" w14:textId="77777777" w:rsidR="00236EE1" w:rsidRPr="00236EE1" w:rsidRDefault="00236EE1" w:rsidP="00236EE1">
      <w:r w:rsidRPr="00236EE1">
        <w:t>(d) Representations required to implement provisions of Executive Order11246-</w:t>
      </w:r>
    </w:p>
    <w:p w14:paraId="5BDB6DFB" w14:textId="77777777" w:rsidR="00236EE1" w:rsidRPr="00236EE1" w:rsidRDefault="00236EE1" w:rsidP="00236EE1">
      <w:r w:rsidRPr="00236EE1">
        <w:t> </w:t>
      </w:r>
    </w:p>
    <w:p w14:paraId="0C172F59" w14:textId="77777777" w:rsidR="00236EE1" w:rsidRPr="00236EE1" w:rsidRDefault="00236EE1" w:rsidP="00236EE1">
      <w:r w:rsidRPr="00236EE1">
        <w:t>(1) Previous contracts and compliance. The offeror represents that-</w:t>
      </w:r>
    </w:p>
    <w:p w14:paraId="708011CA" w14:textId="77777777" w:rsidR="00236EE1" w:rsidRPr="00236EE1" w:rsidRDefault="00236EE1" w:rsidP="00236EE1">
      <w:r w:rsidRPr="00236EE1">
        <w:t>(i) It </w:t>
      </w:r>
      <w:r w:rsidRPr="00236EE1">
        <w:rPr>
          <w:i/>
          <w:iCs/>
        </w:rPr>
        <w:t>□</w:t>
      </w:r>
      <w:r w:rsidRPr="00236EE1">
        <w:t> has, </w:t>
      </w:r>
      <w:r w:rsidRPr="00236EE1">
        <w:rPr>
          <w:i/>
          <w:iCs/>
        </w:rPr>
        <w:t>□</w:t>
      </w:r>
      <w:r w:rsidRPr="00236EE1">
        <w:t> has not participated in a previous contract or subcontract subject to the Equal Opportunity clause of this solicitation; and</w:t>
      </w:r>
    </w:p>
    <w:p w14:paraId="7C3775E1" w14:textId="77777777" w:rsidR="00236EE1" w:rsidRPr="00236EE1" w:rsidRDefault="00236EE1" w:rsidP="00236EE1">
      <w:r w:rsidRPr="00236EE1">
        <w:t>(ii) It </w:t>
      </w:r>
      <w:r w:rsidRPr="00236EE1">
        <w:rPr>
          <w:i/>
          <w:iCs/>
        </w:rPr>
        <w:t>□</w:t>
      </w:r>
      <w:r w:rsidRPr="00236EE1">
        <w:t> has, </w:t>
      </w:r>
      <w:r w:rsidRPr="00236EE1">
        <w:rPr>
          <w:i/>
          <w:iCs/>
        </w:rPr>
        <w:t>□</w:t>
      </w:r>
      <w:r w:rsidRPr="00236EE1">
        <w:t> has not filed all required compliance reports.</w:t>
      </w:r>
    </w:p>
    <w:p w14:paraId="76B2308C" w14:textId="77777777" w:rsidR="00236EE1" w:rsidRPr="00236EE1" w:rsidRDefault="00236EE1" w:rsidP="00236EE1">
      <w:r w:rsidRPr="00236EE1">
        <w:t>(2) </w:t>
      </w:r>
      <w:r w:rsidRPr="00236EE1">
        <w:rPr>
          <w:i/>
          <w:iCs/>
        </w:rPr>
        <w:t>Affirmative Action Compliance</w:t>
      </w:r>
      <w:r w:rsidRPr="00236EE1">
        <w:t>. The offeror represents that-</w:t>
      </w:r>
    </w:p>
    <w:p w14:paraId="2CFD55C9" w14:textId="77777777" w:rsidR="00236EE1" w:rsidRPr="00236EE1" w:rsidRDefault="00236EE1" w:rsidP="00236EE1">
      <w:r w:rsidRPr="00236EE1">
        <w:t>(i) It </w:t>
      </w:r>
      <w:r w:rsidRPr="00236EE1">
        <w:rPr>
          <w:i/>
          <w:iCs/>
        </w:rPr>
        <w:t>□</w:t>
      </w:r>
      <w:r w:rsidRPr="00236EE1">
        <w:t> has developed and has on file, </w:t>
      </w:r>
      <w:r w:rsidRPr="00236EE1">
        <w:rPr>
          <w:i/>
          <w:iCs/>
        </w:rPr>
        <w:t>□</w:t>
      </w:r>
      <w:r w:rsidRPr="00236EE1">
        <w:t> has not developed and does not have on file, at each establishment, affirmative action programs required by rules and regulations of the Secretary of Labor (41 CFR parts 60-1 and 60-2), or</w:t>
      </w:r>
    </w:p>
    <w:p w14:paraId="0DD0BB4B" w14:textId="77777777" w:rsidR="00236EE1" w:rsidRPr="00236EE1" w:rsidRDefault="00236EE1" w:rsidP="00236EE1">
      <w:r w:rsidRPr="00236EE1">
        <w:t>(ii) It </w:t>
      </w:r>
      <w:r w:rsidRPr="00236EE1">
        <w:rPr>
          <w:i/>
          <w:iCs/>
        </w:rPr>
        <w:t>□</w:t>
      </w:r>
      <w:r w:rsidRPr="00236EE1">
        <w:t> has not previously had contracts subject to the written affirmative action programs requirement of the rules and regulations of the Secretary of Labor.</w:t>
      </w:r>
    </w:p>
    <w:p w14:paraId="1BADD35C" w14:textId="77777777" w:rsidR="00236EE1" w:rsidRPr="00236EE1" w:rsidRDefault="00236EE1" w:rsidP="00236EE1">
      <w:r w:rsidRPr="00236EE1">
        <w:t>(e) </w:t>
      </w:r>
      <w:r w:rsidRPr="00236EE1">
        <w:rPr>
          <w:i/>
          <w:iCs/>
        </w:rPr>
        <w:t>Certification Regarding Payments to Influence Federal Transactions (31 </w:t>
      </w:r>
      <w:hyperlink r:id="rId34" w:tgtFrame="_blank" w:tooltip="http://uscode.house.gov/ " w:history="1">
        <w:r w:rsidRPr="00236EE1">
          <w:rPr>
            <w:rStyle w:val="Hyperlink"/>
            <w:i/>
            <w:iCs/>
          </w:rPr>
          <w:t>http://uscode.house.gov/ </w:t>
        </w:r>
      </w:hyperlink>
      <w:r w:rsidRPr="00236EE1">
        <w:rPr>
          <w:i/>
          <w:iCs/>
        </w:rPr>
        <w:t> U.S.C. 1352)</w:t>
      </w:r>
      <w:r w:rsidRPr="00236EE1">
        <w:t xml:space="preserve">. (Applies only if the contract is expected to </w:t>
      </w:r>
      <w:r w:rsidRPr="00236EE1">
        <w:lastRenderedPageBreak/>
        <w:t>exceed $150,000.) By submission of its offer, the offeror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his or her behalf in connection with the award of any resultant contract. If any registrants under the Lobbying Disclosure Act of 1995 have made a lobbying contact on behalf of the offeror with respect to this contract, the offeror shall complete and submit, with its offer, OMB Standard Form LLL, Disclosure of Lobbying Activities, to provide the name of the registrants. The offeror need not report regularly employed officers or employees of the offeror to whom payments of reasonable compensation were made.</w:t>
      </w:r>
    </w:p>
    <w:p w14:paraId="76924337" w14:textId="77777777" w:rsidR="00236EE1" w:rsidRPr="00236EE1" w:rsidRDefault="00236EE1" w:rsidP="00236EE1">
      <w:r w:rsidRPr="00236EE1">
        <w:t>(f) </w:t>
      </w:r>
      <w:r w:rsidRPr="00236EE1">
        <w:rPr>
          <w:i/>
          <w:iCs/>
        </w:rPr>
        <w:t>Buy American Certificate</w:t>
      </w:r>
      <w:r w:rsidRPr="00236EE1">
        <w:t>. (Applies only if the clause at Federal Acquisition Regulation (FAR) </w:t>
      </w:r>
      <w:hyperlink r:id="rId35" w:anchor="FAR_52_225_1" w:tooltip="52.225-1" w:history="1">
        <w:r w:rsidRPr="00236EE1">
          <w:rPr>
            <w:rStyle w:val="Hyperlink"/>
          </w:rPr>
          <w:t>52.225-1</w:t>
        </w:r>
      </w:hyperlink>
      <w:r w:rsidRPr="00236EE1">
        <w:t>, Buy American-Supplies, is included in this solicitation.)</w:t>
      </w:r>
    </w:p>
    <w:p w14:paraId="64298A2B" w14:textId="77777777" w:rsidR="00236EE1" w:rsidRPr="00236EE1" w:rsidRDefault="00236EE1" w:rsidP="00236EE1">
      <w:r w:rsidRPr="00236EE1">
        <w:t>(1) </w:t>
      </w:r>
    </w:p>
    <w:p w14:paraId="28A670C2" w14:textId="77777777" w:rsidR="00236EE1" w:rsidRPr="00236EE1" w:rsidRDefault="00236EE1" w:rsidP="00236EE1">
      <w:r w:rsidRPr="00236EE1">
        <w:t>(i) The Offeror certifies that each </w:t>
      </w:r>
      <w:proofErr w:type="gramStart"/>
      <w:r w:rsidRPr="00236EE1">
        <w:t>end product</w:t>
      </w:r>
      <w:proofErr w:type="gramEnd"/>
      <w:r w:rsidRPr="00236EE1">
        <w:t>, except those listed in paragraph (f)(2) of this provision, is a domestic end product and that each domestic end product listed in paragraph (f)(3) of this provision contains a critical component.</w:t>
      </w:r>
    </w:p>
    <w:p w14:paraId="144093DA" w14:textId="77777777" w:rsidR="00236EE1" w:rsidRPr="00236EE1" w:rsidRDefault="00236EE1" w:rsidP="00236EE1">
      <w:r w:rsidRPr="00236EE1">
        <w:t>(ii) The Offeror shall list as foreign end products those end products manufactured in the United States that do not qualify as domestic end products.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14:paraId="0C74CFB7" w14:textId="77777777" w:rsidR="00236EE1" w:rsidRPr="00236EE1" w:rsidRDefault="00236EE1" w:rsidP="00236EE1">
      <w:r w:rsidRPr="00236EE1">
        <w:t>(iii) The Offeror shall separately list the </w:t>
      </w:r>
      <w:proofErr w:type="gramStart"/>
      <w:r w:rsidRPr="00236EE1">
        <w:t>line item</w:t>
      </w:r>
      <w:proofErr w:type="gramEnd"/>
      <w:r w:rsidRPr="00236EE1">
        <w:t xml:space="preserve"> numbers of domestic end products that contain a critical component (see FAR 25.105).</w:t>
      </w:r>
    </w:p>
    <w:p w14:paraId="785157D3" w14:textId="77777777" w:rsidR="00236EE1" w:rsidRPr="00236EE1" w:rsidRDefault="00236EE1" w:rsidP="00236EE1">
      <w:r w:rsidRPr="00236EE1">
        <w:t xml:space="preserve">(iv) The terms “commercially available off-the-shelf (COTS) item,” “critical component,” “domestic </w:t>
      </w:r>
      <w:proofErr w:type="gramStart"/>
      <w:r w:rsidRPr="00236EE1">
        <w:t>end product</w:t>
      </w:r>
      <w:proofErr w:type="gramEnd"/>
      <w:r w:rsidRPr="00236EE1">
        <w:t>,” "end product," "foreign end product," and "United States" are defined in the clause of this solicitation entitled "Buy American-Supplies."</w:t>
      </w:r>
    </w:p>
    <w:p w14:paraId="63A32A45" w14:textId="77777777" w:rsidR="00236EE1" w:rsidRPr="00236EE1" w:rsidRDefault="00236EE1" w:rsidP="00236EE1">
      <w:r w:rsidRPr="00236EE1">
        <w:t>(2) Foreign End Products:</w:t>
      </w:r>
    </w:p>
    <w:tbl>
      <w:tblPr>
        <w:tblW w:w="12615" w:type="dxa"/>
        <w:tblCellMar>
          <w:top w:w="15" w:type="dxa"/>
          <w:left w:w="15" w:type="dxa"/>
          <w:bottom w:w="15" w:type="dxa"/>
          <w:right w:w="15" w:type="dxa"/>
        </w:tblCellMar>
        <w:tblLook w:val="04A0" w:firstRow="1" w:lastRow="0" w:firstColumn="1" w:lastColumn="0" w:noHBand="0" w:noVBand="1"/>
      </w:tblPr>
      <w:tblGrid>
        <w:gridCol w:w="2781"/>
        <w:gridCol w:w="3236"/>
        <w:gridCol w:w="6598"/>
      </w:tblGrid>
      <w:tr w:rsidR="00236EE1" w:rsidRPr="00236EE1" w14:paraId="765AFB04" w14:textId="77777777" w:rsidTr="00236EE1">
        <w:trPr>
          <w:tblHeader/>
        </w:trPr>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05997336" w14:textId="77777777" w:rsidR="00236EE1" w:rsidRPr="00236EE1" w:rsidRDefault="00236EE1" w:rsidP="00236EE1">
            <w:pPr>
              <w:rPr>
                <w:b/>
                <w:bCs/>
              </w:rPr>
            </w:pPr>
            <w:proofErr w:type="gramStart"/>
            <w:r w:rsidRPr="00236EE1">
              <w:rPr>
                <w:b/>
                <w:bCs/>
              </w:rPr>
              <w:t>Line Item</w:t>
            </w:r>
            <w:proofErr w:type="gramEnd"/>
            <w:r w:rsidRPr="00236EE1">
              <w:rPr>
                <w:b/>
                <w:bCs/>
              </w:rPr>
              <w:t> No.</w:t>
            </w:r>
          </w:p>
        </w:tc>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6AE57F6F" w14:textId="77777777" w:rsidR="00236EE1" w:rsidRPr="00236EE1" w:rsidRDefault="00236EE1" w:rsidP="00236EE1">
            <w:pPr>
              <w:rPr>
                <w:b/>
                <w:bCs/>
              </w:rPr>
            </w:pPr>
            <w:r w:rsidRPr="00236EE1">
              <w:rPr>
                <w:b/>
                <w:bCs/>
              </w:rPr>
              <w:t>Country of Origin</w:t>
            </w:r>
          </w:p>
        </w:tc>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0156B499" w14:textId="77777777" w:rsidR="00236EE1" w:rsidRPr="00236EE1" w:rsidRDefault="00236EE1" w:rsidP="00236EE1">
            <w:pPr>
              <w:rPr>
                <w:b/>
                <w:bCs/>
              </w:rPr>
            </w:pPr>
            <w:r w:rsidRPr="00236EE1">
              <w:rPr>
                <w:b/>
                <w:bCs/>
              </w:rPr>
              <w:t>Exceeds 55% domestic content (yes/no)</w:t>
            </w:r>
          </w:p>
        </w:tc>
      </w:tr>
      <w:tr w:rsidR="00236EE1" w:rsidRPr="00236EE1" w14:paraId="4F3770A9"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1B5CB374" w14:textId="77777777" w:rsidR="00236EE1" w:rsidRPr="00236EE1" w:rsidRDefault="00236EE1" w:rsidP="00236EE1">
            <w:r w:rsidRPr="00236EE1">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4E5D36D7" w14:textId="77777777" w:rsidR="00236EE1" w:rsidRPr="00236EE1" w:rsidRDefault="00236EE1" w:rsidP="00236EE1">
            <w:r w:rsidRPr="00236EE1">
              <w:t>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690DBDCE" w14:textId="77777777" w:rsidR="00236EE1" w:rsidRPr="00236EE1" w:rsidRDefault="00236EE1" w:rsidP="00236EE1">
            <w:r w:rsidRPr="00236EE1">
              <w:t>_________________</w:t>
            </w:r>
          </w:p>
        </w:tc>
      </w:tr>
      <w:tr w:rsidR="00236EE1" w:rsidRPr="00236EE1" w14:paraId="069FE9BD"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1CE9E1A8" w14:textId="77777777" w:rsidR="00236EE1" w:rsidRPr="00236EE1" w:rsidRDefault="00236EE1" w:rsidP="00236EE1">
            <w:r w:rsidRPr="00236EE1">
              <w:lastRenderedPageBreak/>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5382B0D6" w14:textId="77777777" w:rsidR="00236EE1" w:rsidRPr="00236EE1" w:rsidRDefault="00236EE1" w:rsidP="00236EE1">
            <w:r w:rsidRPr="00236EE1">
              <w:t>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57C6F488" w14:textId="77777777" w:rsidR="00236EE1" w:rsidRPr="00236EE1" w:rsidRDefault="00236EE1" w:rsidP="00236EE1">
            <w:r w:rsidRPr="00236EE1">
              <w:t>_________________</w:t>
            </w:r>
          </w:p>
        </w:tc>
      </w:tr>
      <w:tr w:rsidR="00236EE1" w:rsidRPr="00236EE1" w14:paraId="6B01B1CA"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3FD6B374" w14:textId="77777777" w:rsidR="00236EE1" w:rsidRPr="00236EE1" w:rsidRDefault="00236EE1" w:rsidP="00236EE1">
            <w:r w:rsidRPr="00236EE1">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2AAF4108" w14:textId="77777777" w:rsidR="00236EE1" w:rsidRPr="00236EE1" w:rsidRDefault="00236EE1" w:rsidP="00236EE1">
            <w:r w:rsidRPr="00236EE1">
              <w:t>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205EAC38" w14:textId="77777777" w:rsidR="00236EE1" w:rsidRPr="00236EE1" w:rsidRDefault="00236EE1" w:rsidP="00236EE1">
            <w:r w:rsidRPr="00236EE1">
              <w:t>_________________</w:t>
            </w:r>
          </w:p>
        </w:tc>
      </w:tr>
    </w:tbl>
    <w:p w14:paraId="3B0E7D3B" w14:textId="77777777" w:rsidR="00236EE1" w:rsidRPr="00236EE1" w:rsidRDefault="00236EE1" w:rsidP="00236EE1">
      <w:r w:rsidRPr="00236EE1">
        <w:t>[</w:t>
      </w:r>
      <w:r w:rsidRPr="00236EE1">
        <w:rPr>
          <w:i/>
          <w:iCs/>
        </w:rPr>
        <w:t>List as necessary</w:t>
      </w:r>
      <w:r w:rsidRPr="00236EE1">
        <w:t>]</w:t>
      </w:r>
    </w:p>
    <w:p w14:paraId="35E71B2C" w14:textId="77777777" w:rsidR="00236EE1" w:rsidRPr="00236EE1" w:rsidRDefault="00236EE1" w:rsidP="00236EE1">
      <w:r w:rsidRPr="00236EE1">
        <w:t>(3) Domestic end products containing a critical component:</w:t>
      </w:r>
    </w:p>
    <w:p w14:paraId="7E0A3F8C" w14:textId="77777777" w:rsidR="00236EE1" w:rsidRPr="00236EE1" w:rsidRDefault="00236EE1" w:rsidP="00236EE1">
      <w:proofErr w:type="gramStart"/>
      <w:r w:rsidRPr="00236EE1">
        <w:t>Line Item</w:t>
      </w:r>
      <w:proofErr w:type="gramEnd"/>
      <w:r w:rsidRPr="00236EE1">
        <w:t> No. ___</w:t>
      </w:r>
    </w:p>
    <w:p w14:paraId="6A34D285" w14:textId="77777777" w:rsidR="00236EE1" w:rsidRPr="00236EE1" w:rsidRDefault="00236EE1" w:rsidP="00236EE1">
      <w:r w:rsidRPr="00236EE1">
        <w:t>[</w:t>
      </w:r>
      <w:r w:rsidRPr="00236EE1">
        <w:rPr>
          <w:i/>
          <w:iCs/>
        </w:rPr>
        <w:t>List as necessary</w:t>
      </w:r>
      <w:r w:rsidRPr="00236EE1">
        <w:t>]</w:t>
      </w:r>
    </w:p>
    <w:p w14:paraId="077D317B" w14:textId="77777777" w:rsidR="00236EE1" w:rsidRPr="00236EE1" w:rsidRDefault="00236EE1" w:rsidP="00236EE1">
      <w:r w:rsidRPr="00236EE1">
        <w:t>(4) The Government will evaluate offers in accordance with the policies and procedures of FAR </w:t>
      </w:r>
      <w:hyperlink r:id="rId36" w:anchor="FAR_Part_25" w:tooltip="part  25" w:history="1">
        <w:r w:rsidRPr="00236EE1">
          <w:rPr>
            <w:rStyle w:val="Hyperlink"/>
          </w:rPr>
          <w:t>part  25</w:t>
        </w:r>
      </w:hyperlink>
      <w:r w:rsidRPr="00236EE1">
        <w:t>.</w:t>
      </w:r>
    </w:p>
    <w:p w14:paraId="68DFE425" w14:textId="77777777" w:rsidR="00236EE1" w:rsidRPr="00236EE1" w:rsidRDefault="00236EE1" w:rsidP="00236EE1">
      <w:r w:rsidRPr="00236EE1">
        <w:t>(g) </w:t>
      </w:r>
    </w:p>
    <w:p w14:paraId="70403C93" w14:textId="77777777" w:rsidR="00236EE1" w:rsidRPr="00236EE1" w:rsidRDefault="00236EE1" w:rsidP="00236EE1">
      <w:r w:rsidRPr="00236EE1">
        <w:t>(1) </w:t>
      </w:r>
      <w:r w:rsidRPr="00236EE1">
        <w:rPr>
          <w:i/>
          <w:iCs/>
        </w:rPr>
        <w:t>Buy American-Free Trade Agreements-Israeli Trade Act Certificate</w:t>
      </w:r>
      <w:r w:rsidRPr="00236EE1">
        <w:t>. (Applies only if the clause at FAR </w:t>
      </w:r>
      <w:hyperlink r:id="rId37" w:anchor="FAR_52_225_3" w:tooltip="52.225-3" w:history="1">
        <w:r w:rsidRPr="00236EE1">
          <w:rPr>
            <w:rStyle w:val="Hyperlink"/>
          </w:rPr>
          <w:t>52.225-3</w:t>
        </w:r>
      </w:hyperlink>
      <w:r w:rsidRPr="00236EE1">
        <w:t>, Buy American-Free Trade Agreements-Israeli Trade Act, is included in this solicitation.)</w:t>
      </w:r>
    </w:p>
    <w:p w14:paraId="6B60CB23" w14:textId="77777777" w:rsidR="00236EE1" w:rsidRPr="00236EE1" w:rsidRDefault="00236EE1" w:rsidP="00236EE1">
      <w:r w:rsidRPr="00236EE1">
        <w:t>(i) </w:t>
      </w:r>
    </w:p>
    <w:p w14:paraId="7B5DE1BE" w14:textId="77777777" w:rsidR="00236EE1" w:rsidRPr="00236EE1" w:rsidRDefault="00236EE1" w:rsidP="00236EE1">
      <w:r w:rsidRPr="00236EE1">
        <w:t>(A) The Offeror certifies that each </w:t>
      </w:r>
      <w:proofErr w:type="gramStart"/>
      <w:r w:rsidRPr="00236EE1">
        <w:t>end product</w:t>
      </w:r>
      <w:proofErr w:type="gramEnd"/>
      <w:r w:rsidRPr="00236EE1">
        <w:t>, except those listed in paragraph (g)(1)(ii) or (iii) of this provision, is a domestic end product and that each domestic end product listed in paragraph (g)(1)(iv) of this provision contains a critical component.</w:t>
      </w:r>
    </w:p>
    <w:p w14:paraId="5BAA22BE" w14:textId="77777777" w:rsidR="00236EE1" w:rsidRPr="00236EE1" w:rsidRDefault="00236EE1" w:rsidP="00236EE1">
      <w:r w:rsidRPr="00236EE1">
        <w:t>(B) The terms "Bahraini, Moroccan, Omani, Panamanian, or Peruvian end product," "commercially available off-the-shelf (COTS) item," "critical component,"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14:paraId="2903C272" w14:textId="77777777" w:rsidR="00236EE1" w:rsidRPr="00236EE1" w:rsidRDefault="00236EE1" w:rsidP="00236EE1">
      <w:r w:rsidRPr="00236EE1">
        <w:t>(ii) The Offeror certifies that the following supplies are Free Trade Agreement country end products (other than Bahraini, Moroccan, Omani, Panamanian, or Peruvian end products) or Israeli end products as defined in the clause of this solicitation entitled "Buy American-Free Trade Agreements-Israeli Trade Act."</w:t>
      </w:r>
    </w:p>
    <w:p w14:paraId="104746B7" w14:textId="77777777" w:rsidR="00236EE1" w:rsidRPr="00236EE1" w:rsidRDefault="00236EE1" w:rsidP="00236EE1">
      <w:r w:rsidRPr="00236EE1">
        <w:lastRenderedPageBreak/>
        <w:t>Free Trade Agreement Country End Products (Other than Bahraini, Moroccan, Omani, Panamanian, or Peruvian End Products) or</w:t>
      </w:r>
      <w:r w:rsidRPr="00236EE1">
        <w:rPr>
          <w:i/>
          <w:iCs/>
        </w:rPr>
        <w:t> Israeli End Products</w:t>
      </w:r>
      <w:r w:rsidRPr="00236EE1">
        <w:t>:</w:t>
      </w:r>
    </w:p>
    <w:tbl>
      <w:tblPr>
        <w:tblW w:w="12615" w:type="dxa"/>
        <w:tblCellMar>
          <w:top w:w="15" w:type="dxa"/>
          <w:left w:w="15" w:type="dxa"/>
          <w:bottom w:w="15" w:type="dxa"/>
          <w:right w:w="15" w:type="dxa"/>
        </w:tblCellMar>
        <w:tblLook w:val="04A0" w:firstRow="1" w:lastRow="0" w:firstColumn="1" w:lastColumn="0" w:noHBand="0" w:noVBand="1"/>
      </w:tblPr>
      <w:tblGrid>
        <w:gridCol w:w="5831"/>
        <w:gridCol w:w="6784"/>
      </w:tblGrid>
      <w:tr w:rsidR="00236EE1" w:rsidRPr="00236EE1" w14:paraId="4DF3A465" w14:textId="77777777" w:rsidTr="00236EE1">
        <w:trPr>
          <w:tblHeader/>
        </w:trPr>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19708FE8" w14:textId="77777777" w:rsidR="00236EE1" w:rsidRPr="00236EE1" w:rsidRDefault="00236EE1" w:rsidP="00236EE1">
            <w:pPr>
              <w:rPr>
                <w:b/>
                <w:bCs/>
              </w:rPr>
            </w:pPr>
            <w:proofErr w:type="gramStart"/>
            <w:r w:rsidRPr="00236EE1">
              <w:rPr>
                <w:b/>
                <w:bCs/>
              </w:rPr>
              <w:t>Line Item</w:t>
            </w:r>
            <w:proofErr w:type="gramEnd"/>
            <w:r w:rsidRPr="00236EE1">
              <w:rPr>
                <w:b/>
                <w:bCs/>
              </w:rPr>
              <w:t> No.</w:t>
            </w:r>
          </w:p>
        </w:tc>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0E4D7E51" w14:textId="77777777" w:rsidR="00236EE1" w:rsidRPr="00236EE1" w:rsidRDefault="00236EE1" w:rsidP="00236EE1">
            <w:pPr>
              <w:rPr>
                <w:b/>
                <w:bCs/>
              </w:rPr>
            </w:pPr>
            <w:r w:rsidRPr="00236EE1">
              <w:rPr>
                <w:b/>
                <w:bCs/>
              </w:rPr>
              <w:t>Country of Origin</w:t>
            </w:r>
          </w:p>
        </w:tc>
      </w:tr>
      <w:tr w:rsidR="00236EE1" w:rsidRPr="00236EE1" w14:paraId="1EB81864"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16F68EA9" w14:textId="77777777" w:rsidR="00236EE1" w:rsidRPr="00236EE1" w:rsidRDefault="00236EE1" w:rsidP="00236EE1">
            <w:r w:rsidRPr="00236EE1">
              <w:rPr>
                <w:i/>
                <w:iCs/>
              </w:rPr>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0BCBA651" w14:textId="77777777" w:rsidR="00236EE1" w:rsidRPr="00236EE1" w:rsidRDefault="00236EE1" w:rsidP="00236EE1">
            <w:r w:rsidRPr="00236EE1">
              <w:rPr>
                <w:i/>
                <w:iCs/>
              </w:rPr>
              <w:t>_________________</w:t>
            </w:r>
          </w:p>
        </w:tc>
      </w:tr>
      <w:tr w:rsidR="00236EE1" w:rsidRPr="00236EE1" w14:paraId="64371A3F"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178C7931" w14:textId="77777777" w:rsidR="00236EE1" w:rsidRPr="00236EE1" w:rsidRDefault="00236EE1" w:rsidP="00236EE1">
            <w:r w:rsidRPr="00236EE1">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0311FD82" w14:textId="77777777" w:rsidR="00236EE1" w:rsidRPr="00236EE1" w:rsidRDefault="00236EE1" w:rsidP="00236EE1">
            <w:r w:rsidRPr="00236EE1">
              <w:t>_________________</w:t>
            </w:r>
          </w:p>
        </w:tc>
      </w:tr>
      <w:tr w:rsidR="00236EE1" w:rsidRPr="00236EE1" w14:paraId="42B6714F"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30F6E1AB" w14:textId="77777777" w:rsidR="00236EE1" w:rsidRPr="00236EE1" w:rsidRDefault="00236EE1" w:rsidP="00236EE1">
            <w:r w:rsidRPr="00236EE1">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0A3C347E" w14:textId="77777777" w:rsidR="00236EE1" w:rsidRPr="00236EE1" w:rsidRDefault="00236EE1" w:rsidP="00236EE1">
            <w:r w:rsidRPr="00236EE1">
              <w:t>_________________</w:t>
            </w:r>
          </w:p>
        </w:tc>
      </w:tr>
    </w:tbl>
    <w:p w14:paraId="6C25ABA1" w14:textId="77777777" w:rsidR="00236EE1" w:rsidRPr="00236EE1" w:rsidRDefault="00236EE1" w:rsidP="00236EE1">
      <w:r w:rsidRPr="00236EE1">
        <w:t>[</w:t>
      </w:r>
      <w:r w:rsidRPr="00236EE1">
        <w:rPr>
          <w:i/>
          <w:iCs/>
        </w:rPr>
        <w:t>List as necessary</w:t>
      </w:r>
      <w:r w:rsidRPr="00236EE1">
        <w:t>]</w:t>
      </w:r>
    </w:p>
    <w:p w14:paraId="7C3627B6" w14:textId="77777777" w:rsidR="00236EE1" w:rsidRPr="00236EE1" w:rsidRDefault="00236EE1" w:rsidP="00236EE1">
      <w:r w:rsidRPr="00236EE1">
        <w:t>(iii) The Offeror shall list those supplies that are foreign end products (other than those listed in paragraph (g)(1)(ii) of this provision) as defined in the clause of this solicitation entitled "Buy American-Free Trade Agreements-Israeli Trade Act." The Offeror shall list as other foreign end products those end products manufactured in the United States that do not qualify as domestic end products.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14:paraId="449E646F" w14:textId="77777777" w:rsidR="00236EE1" w:rsidRPr="00236EE1" w:rsidRDefault="00236EE1" w:rsidP="00236EE1">
      <w:r w:rsidRPr="00236EE1">
        <w:rPr>
          <w:i/>
          <w:iCs/>
        </w:rPr>
        <w:t>Other Foreign End Products</w:t>
      </w:r>
      <w:r w:rsidRPr="00236EE1">
        <w:t>:</w:t>
      </w:r>
    </w:p>
    <w:tbl>
      <w:tblPr>
        <w:tblW w:w="12615" w:type="dxa"/>
        <w:tblCellMar>
          <w:top w:w="15" w:type="dxa"/>
          <w:left w:w="15" w:type="dxa"/>
          <w:bottom w:w="15" w:type="dxa"/>
          <w:right w:w="15" w:type="dxa"/>
        </w:tblCellMar>
        <w:tblLook w:val="04A0" w:firstRow="1" w:lastRow="0" w:firstColumn="1" w:lastColumn="0" w:noHBand="0" w:noVBand="1"/>
      </w:tblPr>
      <w:tblGrid>
        <w:gridCol w:w="2789"/>
        <w:gridCol w:w="3210"/>
        <w:gridCol w:w="6616"/>
      </w:tblGrid>
      <w:tr w:rsidR="00236EE1" w:rsidRPr="00236EE1" w14:paraId="77C26D60" w14:textId="77777777" w:rsidTr="00236EE1">
        <w:trPr>
          <w:tblHeader/>
        </w:trPr>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0B7FBEC9" w14:textId="77777777" w:rsidR="00236EE1" w:rsidRPr="00236EE1" w:rsidRDefault="00236EE1" w:rsidP="00236EE1">
            <w:pPr>
              <w:rPr>
                <w:b/>
                <w:bCs/>
              </w:rPr>
            </w:pPr>
            <w:proofErr w:type="gramStart"/>
            <w:r w:rsidRPr="00236EE1">
              <w:rPr>
                <w:b/>
                <w:bCs/>
              </w:rPr>
              <w:t>Line Item</w:t>
            </w:r>
            <w:proofErr w:type="gramEnd"/>
            <w:r w:rsidRPr="00236EE1">
              <w:rPr>
                <w:b/>
                <w:bCs/>
              </w:rPr>
              <w:t> No.</w:t>
            </w:r>
          </w:p>
        </w:tc>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3EC6CAEF" w14:textId="77777777" w:rsidR="00236EE1" w:rsidRPr="00236EE1" w:rsidRDefault="00236EE1" w:rsidP="00236EE1">
            <w:pPr>
              <w:rPr>
                <w:b/>
                <w:bCs/>
              </w:rPr>
            </w:pPr>
            <w:r w:rsidRPr="00236EE1">
              <w:rPr>
                <w:b/>
                <w:bCs/>
              </w:rPr>
              <w:t>Country of Origin</w:t>
            </w:r>
          </w:p>
        </w:tc>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6B640937" w14:textId="77777777" w:rsidR="00236EE1" w:rsidRPr="00236EE1" w:rsidRDefault="00236EE1" w:rsidP="00236EE1">
            <w:pPr>
              <w:rPr>
                <w:b/>
                <w:bCs/>
              </w:rPr>
            </w:pPr>
            <w:r w:rsidRPr="00236EE1">
              <w:rPr>
                <w:b/>
                <w:bCs/>
              </w:rPr>
              <w:t>Exceeds 55% domestic content (yes/no)</w:t>
            </w:r>
          </w:p>
        </w:tc>
      </w:tr>
      <w:tr w:rsidR="00236EE1" w:rsidRPr="00236EE1" w14:paraId="73BDCA73"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78EAF960" w14:textId="77777777" w:rsidR="00236EE1" w:rsidRPr="00236EE1" w:rsidRDefault="00236EE1" w:rsidP="00236EE1">
            <w:r w:rsidRPr="00236EE1">
              <w:rPr>
                <w:i/>
                <w:iCs/>
              </w:rPr>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696DE1AA" w14:textId="77777777" w:rsidR="00236EE1" w:rsidRPr="00236EE1" w:rsidRDefault="00236EE1" w:rsidP="00236EE1">
            <w:r w:rsidRPr="00236EE1">
              <w:rPr>
                <w:i/>
                <w:iCs/>
              </w:rPr>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37773876" w14:textId="77777777" w:rsidR="00236EE1" w:rsidRPr="00236EE1" w:rsidRDefault="00236EE1" w:rsidP="00236EE1">
            <w:r w:rsidRPr="00236EE1">
              <w:rPr>
                <w:i/>
                <w:iCs/>
              </w:rPr>
              <w:t>______________</w:t>
            </w:r>
          </w:p>
        </w:tc>
      </w:tr>
      <w:tr w:rsidR="00236EE1" w:rsidRPr="00236EE1" w14:paraId="2A8E22C5"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530C97D6" w14:textId="77777777" w:rsidR="00236EE1" w:rsidRPr="00236EE1" w:rsidRDefault="00236EE1" w:rsidP="00236EE1">
            <w:r w:rsidRPr="00236EE1">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2529C289" w14:textId="77777777" w:rsidR="00236EE1" w:rsidRPr="00236EE1" w:rsidRDefault="00236EE1" w:rsidP="00236EE1">
            <w:r w:rsidRPr="00236EE1">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4E18DAC9" w14:textId="77777777" w:rsidR="00236EE1" w:rsidRPr="00236EE1" w:rsidRDefault="00236EE1" w:rsidP="00236EE1">
            <w:r w:rsidRPr="00236EE1">
              <w:t>______________</w:t>
            </w:r>
          </w:p>
        </w:tc>
      </w:tr>
      <w:tr w:rsidR="00236EE1" w:rsidRPr="00236EE1" w14:paraId="2F48F475"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29D89990" w14:textId="77777777" w:rsidR="00236EE1" w:rsidRPr="00236EE1" w:rsidRDefault="00236EE1" w:rsidP="00236EE1">
            <w:r w:rsidRPr="00236EE1">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7587F36A" w14:textId="77777777" w:rsidR="00236EE1" w:rsidRPr="00236EE1" w:rsidRDefault="00236EE1" w:rsidP="00236EE1">
            <w:r w:rsidRPr="00236EE1">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7B921BFF" w14:textId="77777777" w:rsidR="00236EE1" w:rsidRPr="00236EE1" w:rsidRDefault="00236EE1" w:rsidP="00236EE1">
            <w:r w:rsidRPr="00236EE1">
              <w:t>______________</w:t>
            </w:r>
          </w:p>
        </w:tc>
      </w:tr>
    </w:tbl>
    <w:p w14:paraId="1CD6F8DC" w14:textId="77777777" w:rsidR="00236EE1" w:rsidRPr="00236EE1" w:rsidRDefault="00236EE1" w:rsidP="00236EE1">
      <w:r w:rsidRPr="00236EE1">
        <w:lastRenderedPageBreak/>
        <w:t>[List as necessary]</w:t>
      </w:r>
    </w:p>
    <w:p w14:paraId="7E15C6EA" w14:textId="77777777" w:rsidR="00236EE1" w:rsidRPr="00236EE1" w:rsidRDefault="00236EE1" w:rsidP="00236EE1">
      <w:r w:rsidRPr="00236EE1">
        <w:t>(iv) The Offeror shall list the line item numbers of domestic end products that contain a critical component (see FAR </w:t>
      </w:r>
      <w:hyperlink r:id="rId38" w:anchor="FAR_25_105" w:tooltip="25.105" w:history="1">
        <w:r w:rsidRPr="00236EE1">
          <w:rPr>
            <w:rStyle w:val="Hyperlink"/>
          </w:rPr>
          <w:t>25.105</w:t>
        </w:r>
      </w:hyperlink>
      <w:r w:rsidRPr="00236EE1">
        <w:t>).</w:t>
      </w:r>
    </w:p>
    <w:p w14:paraId="247D0BA6" w14:textId="77777777" w:rsidR="00236EE1" w:rsidRPr="00236EE1" w:rsidRDefault="00236EE1" w:rsidP="00236EE1">
      <w:proofErr w:type="gramStart"/>
      <w:r w:rsidRPr="00236EE1">
        <w:t>Line Item</w:t>
      </w:r>
      <w:proofErr w:type="gramEnd"/>
      <w:r w:rsidRPr="00236EE1">
        <w:t> No. </w:t>
      </w:r>
      <w:r w:rsidRPr="00236EE1">
        <w:rPr>
          <w:i/>
          <w:iCs/>
        </w:rPr>
        <w:t>___</w:t>
      </w:r>
    </w:p>
    <w:p w14:paraId="6C34B6E5" w14:textId="77777777" w:rsidR="00236EE1" w:rsidRPr="00236EE1" w:rsidRDefault="00236EE1" w:rsidP="00236EE1">
      <w:r w:rsidRPr="00236EE1">
        <w:t>[List as necessary]</w:t>
      </w:r>
    </w:p>
    <w:p w14:paraId="3D5955FE" w14:textId="77777777" w:rsidR="00236EE1" w:rsidRPr="00236EE1" w:rsidRDefault="00236EE1" w:rsidP="00236EE1">
      <w:r w:rsidRPr="00236EE1">
        <w:t>(v) The Government will evaluate </w:t>
      </w:r>
      <w:r w:rsidRPr="00236EE1">
        <w:rPr>
          <w:i/>
          <w:iCs/>
        </w:rPr>
        <w:t>offers</w:t>
      </w:r>
      <w:r w:rsidRPr="00236EE1">
        <w:t> in accordance with the policies and procedures of FAR </w:t>
      </w:r>
      <w:hyperlink r:id="rId39" w:anchor="FAR_Part_25" w:tooltip="part  25" w:history="1">
        <w:r w:rsidRPr="00236EE1">
          <w:rPr>
            <w:rStyle w:val="Hyperlink"/>
          </w:rPr>
          <w:t>part  25</w:t>
        </w:r>
      </w:hyperlink>
      <w:r w:rsidRPr="00236EE1">
        <w:t>.</w:t>
      </w:r>
    </w:p>
    <w:p w14:paraId="2744D335" w14:textId="77777777" w:rsidR="00236EE1" w:rsidRPr="00236EE1" w:rsidRDefault="00236EE1" w:rsidP="00236EE1">
      <w:r w:rsidRPr="00236EE1">
        <w:t>(2) </w:t>
      </w:r>
      <w:r w:rsidRPr="00236EE1">
        <w:rPr>
          <w:i/>
          <w:iCs/>
        </w:rPr>
        <w:t>Buy American-Free Trade Agreements-Israeli Trade Act Certificate, Alternate II</w:t>
      </w:r>
      <w:r w:rsidRPr="00236EE1">
        <w:t>. If Alternate II to the clause at FAR </w:t>
      </w:r>
      <w:hyperlink r:id="rId40" w:anchor="FAR_52_225_3" w:tooltip="52.225-3" w:history="1">
        <w:r w:rsidRPr="00236EE1">
          <w:rPr>
            <w:rStyle w:val="Hyperlink"/>
          </w:rPr>
          <w:t>52.225-3</w:t>
        </w:r>
      </w:hyperlink>
      <w:r w:rsidRPr="00236EE1">
        <w:t> is included in this solicitation, substitute the following paragraph (g)(1)(ii) for paragraph (g)(1)(ii) of the basic provision:</w:t>
      </w:r>
    </w:p>
    <w:p w14:paraId="16675B3E" w14:textId="77777777" w:rsidR="00236EE1" w:rsidRPr="00236EE1" w:rsidRDefault="00236EE1" w:rsidP="00236EE1">
      <w:r w:rsidRPr="00236EE1">
        <w:t>(g)(1)(ii) The offeror certifies that the following supplies are Israeli end products as defined in the clause of this solicitation entitled “Buy American—Free Trade Agreements—Israeli Trade Act”:</w:t>
      </w:r>
    </w:p>
    <w:p w14:paraId="16241BD6" w14:textId="77777777" w:rsidR="00236EE1" w:rsidRPr="00236EE1" w:rsidRDefault="00236EE1" w:rsidP="00236EE1">
      <w:r w:rsidRPr="00236EE1">
        <w:rPr>
          <w:i/>
          <w:iCs/>
        </w:rPr>
        <w:t>Israeli End Products</w:t>
      </w:r>
      <w:r w:rsidRPr="00236EE1">
        <w:t>:</w:t>
      </w:r>
    </w:p>
    <w:tbl>
      <w:tblPr>
        <w:tblW w:w="12615" w:type="dxa"/>
        <w:tblCellMar>
          <w:top w:w="15" w:type="dxa"/>
          <w:left w:w="15" w:type="dxa"/>
          <w:bottom w:w="15" w:type="dxa"/>
          <w:right w:w="15" w:type="dxa"/>
        </w:tblCellMar>
        <w:tblLook w:val="04A0" w:firstRow="1" w:lastRow="0" w:firstColumn="1" w:lastColumn="0" w:noHBand="0" w:noVBand="1"/>
      </w:tblPr>
      <w:tblGrid>
        <w:gridCol w:w="12615"/>
      </w:tblGrid>
      <w:tr w:rsidR="00236EE1" w:rsidRPr="00236EE1" w14:paraId="5331A839" w14:textId="77777777" w:rsidTr="00236EE1">
        <w:trPr>
          <w:tblHeader/>
        </w:trPr>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024CB112" w14:textId="77777777" w:rsidR="00236EE1" w:rsidRPr="00236EE1" w:rsidRDefault="00236EE1" w:rsidP="00236EE1">
            <w:pPr>
              <w:rPr>
                <w:b/>
                <w:bCs/>
              </w:rPr>
            </w:pPr>
            <w:proofErr w:type="gramStart"/>
            <w:r w:rsidRPr="00236EE1">
              <w:rPr>
                <w:b/>
                <w:bCs/>
              </w:rPr>
              <w:t>Line Item</w:t>
            </w:r>
            <w:proofErr w:type="gramEnd"/>
            <w:r w:rsidRPr="00236EE1">
              <w:rPr>
                <w:b/>
                <w:bCs/>
              </w:rPr>
              <w:t> No.</w:t>
            </w:r>
          </w:p>
        </w:tc>
      </w:tr>
      <w:tr w:rsidR="00236EE1" w:rsidRPr="00236EE1" w14:paraId="756495C2"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330F84C0" w14:textId="77777777" w:rsidR="00236EE1" w:rsidRPr="00236EE1" w:rsidRDefault="00236EE1" w:rsidP="00236EE1">
            <w:r w:rsidRPr="00236EE1">
              <w:rPr>
                <w:i/>
                <w:iCs/>
              </w:rPr>
              <w:t>____________</w:t>
            </w:r>
          </w:p>
        </w:tc>
      </w:tr>
      <w:tr w:rsidR="00236EE1" w:rsidRPr="00236EE1" w14:paraId="5165E856"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2ED235C7" w14:textId="77777777" w:rsidR="00236EE1" w:rsidRPr="00236EE1" w:rsidRDefault="00236EE1" w:rsidP="00236EE1">
            <w:r w:rsidRPr="00236EE1">
              <w:t>______________</w:t>
            </w:r>
          </w:p>
        </w:tc>
      </w:tr>
      <w:tr w:rsidR="00236EE1" w:rsidRPr="00236EE1" w14:paraId="03B15D92"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4D8F0B4D" w14:textId="77777777" w:rsidR="00236EE1" w:rsidRPr="00236EE1" w:rsidRDefault="00236EE1" w:rsidP="00236EE1">
            <w:r w:rsidRPr="00236EE1">
              <w:t>______________</w:t>
            </w:r>
          </w:p>
        </w:tc>
      </w:tr>
    </w:tbl>
    <w:p w14:paraId="465F6049" w14:textId="77777777" w:rsidR="00236EE1" w:rsidRPr="00236EE1" w:rsidRDefault="00236EE1" w:rsidP="00236EE1">
      <w:r w:rsidRPr="00236EE1">
        <w:t>[</w:t>
      </w:r>
      <w:r w:rsidRPr="00236EE1">
        <w:rPr>
          <w:i/>
          <w:iCs/>
        </w:rPr>
        <w:t>List as necessary</w:t>
      </w:r>
      <w:r w:rsidRPr="00236EE1">
        <w:t>]</w:t>
      </w:r>
    </w:p>
    <w:p w14:paraId="53FDBDD7" w14:textId="77777777" w:rsidR="00236EE1" w:rsidRPr="00236EE1" w:rsidRDefault="00236EE1" w:rsidP="00236EE1">
      <w:r w:rsidRPr="00236EE1">
        <w:t>(3) </w:t>
      </w:r>
      <w:r w:rsidRPr="00236EE1">
        <w:rPr>
          <w:i/>
          <w:iCs/>
        </w:rPr>
        <w:t>Buy American-Free Trade Agreements-Israeli Trade Act Certificate, Alternate III</w:t>
      </w:r>
      <w:r w:rsidRPr="00236EE1">
        <w:t>. If Alternate III to the clause at </w:t>
      </w:r>
      <w:hyperlink r:id="rId41" w:anchor="FAR_52_225_3" w:tooltip="52.225-3" w:history="1">
        <w:r w:rsidRPr="00236EE1">
          <w:rPr>
            <w:rStyle w:val="Hyperlink"/>
          </w:rPr>
          <w:t>52.225-3</w:t>
        </w:r>
      </w:hyperlink>
      <w:r w:rsidRPr="00236EE1">
        <w:t> is included in this solicitation, substitute the following paragraphs (g)(1)(i)(B) and (g)(1)(ii) for paragraphs (g)(1)(i)(B) and (g)(1)(ii) of the basic provision:</w:t>
      </w:r>
    </w:p>
    <w:p w14:paraId="4868BB78" w14:textId="77777777" w:rsidR="00236EE1" w:rsidRPr="00236EE1" w:rsidRDefault="00236EE1" w:rsidP="00236EE1">
      <w:r w:rsidRPr="00236EE1">
        <w:t xml:space="preserve">(g)(1)(i)(B) The terms “Korean end product”, “commercially available off-the-shelf (COTS) item,” “critical component,” “domestic end product,” “end product,” “foreign end product,” “Free Trade Agreement country,” “Free Trade Agreement country end product,” “Israeli end </w:t>
      </w:r>
      <w:r w:rsidRPr="00236EE1">
        <w:lastRenderedPageBreak/>
        <w:t>product,” and “United States” are defined in the clause of this solicitation entitled “Buy American—Free Trade Agreements—Israeli Trade Act.”</w:t>
      </w:r>
    </w:p>
    <w:p w14:paraId="74ECC6AD" w14:textId="77777777" w:rsidR="00236EE1" w:rsidRPr="00236EE1" w:rsidRDefault="00236EE1" w:rsidP="00236EE1">
      <w:r w:rsidRPr="00236EE1">
        <w:t>(g)(1)(ii) The Offeror certifies that the following supplies are Korean end products or Israeli end products as defined in the clause of this solicitation entitled “Buy American—Free Trade Agreements—Israeli Trade Act”:</w:t>
      </w:r>
    </w:p>
    <w:p w14:paraId="3A8EE41E" w14:textId="77777777" w:rsidR="00236EE1" w:rsidRPr="00236EE1" w:rsidRDefault="00236EE1" w:rsidP="00236EE1">
      <w:r w:rsidRPr="00236EE1">
        <w:t>Korean End Products or Israeli End Products:</w:t>
      </w:r>
    </w:p>
    <w:tbl>
      <w:tblPr>
        <w:tblW w:w="12615" w:type="dxa"/>
        <w:tblCellMar>
          <w:top w:w="15" w:type="dxa"/>
          <w:left w:w="15" w:type="dxa"/>
          <w:bottom w:w="15" w:type="dxa"/>
          <w:right w:w="15" w:type="dxa"/>
        </w:tblCellMar>
        <w:tblLook w:val="04A0" w:firstRow="1" w:lastRow="0" w:firstColumn="1" w:lastColumn="0" w:noHBand="0" w:noVBand="1"/>
      </w:tblPr>
      <w:tblGrid>
        <w:gridCol w:w="6307"/>
        <w:gridCol w:w="6308"/>
      </w:tblGrid>
      <w:tr w:rsidR="00236EE1" w:rsidRPr="00236EE1" w14:paraId="4CE29363" w14:textId="77777777" w:rsidTr="00236EE1">
        <w:trPr>
          <w:tblHeader/>
        </w:trPr>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16D223C0" w14:textId="77777777" w:rsidR="00236EE1" w:rsidRPr="00236EE1" w:rsidRDefault="00236EE1" w:rsidP="00236EE1">
            <w:pPr>
              <w:rPr>
                <w:b/>
                <w:bCs/>
              </w:rPr>
            </w:pPr>
            <w:proofErr w:type="gramStart"/>
            <w:r w:rsidRPr="00236EE1">
              <w:rPr>
                <w:b/>
                <w:bCs/>
              </w:rPr>
              <w:t>Line Item</w:t>
            </w:r>
            <w:proofErr w:type="gramEnd"/>
            <w:r w:rsidRPr="00236EE1">
              <w:rPr>
                <w:b/>
                <w:bCs/>
              </w:rPr>
              <w:t> No.</w:t>
            </w:r>
          </w:p>
        </w:tc>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16B22FDB" w14:textId="77777777" w:rsidR="00236EE1" w:rsidRPr="00236EE1" w:rsidRDefault="00236EE1" w:rsidP="00236EE1">
            <w:pPr>
              <w:rPr>
                <w:b/>
                <w:bCs/>
              </w:rPr>
            </w:pPr>
            <w:r w:rsidRPr="00236EE1">
              <w:rPr>
                <w:b/>
                <w:bCs/>
              </w:rPr>
              <w:t>Country of Origin</w:t>
            </w:r>
          </w:p>
        </w:tc>
      </w:tr>
      <w:tr w:rsidR="00236EE1" w:rsidRPr="00236EE1" w14:paraId="4C50CF34"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2B3D2AF6" w14:textId="77777777" w:rsidR="00236EE1" w:rsidRPr="00236EE1" w:rsidRDefault="00236EE1" w:rsidP="00236EE1">
            <w:r w:rsidRPr="00236EE1">
              <w:rPr>
                <w:i/>
                <w:iCs/>
              </w:rPr>
              <w:t>__________________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64A5EBB8" w14:textId="77777777" w:rsidR="00236EE1" w:rsidRPr="00236EE1" w:rsidRDefault="00236EE1" w:rsidP="00236EE1">
            <w:r w:rsidRPr="00236EE1">
              <w:rPr>
                <w:i/>
                <w:iCs/>
              </w:rPr>
              <w:t>__________________</w:t>
            </w:r>
          </w:p>
        </w:tc>
      </w:tr>
      <w:tr w:rsidR="00236EE1" w:rsidRPr="00236EE1" w14:paraId="2321A78D"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5329E42B" w14:textId="77777777" w:rsidR="00236EE1" w:rsidRPr="00236EE1" w:rsidRDefault="00236EE1" w:rsidP="00236EE1">
            <w:r w:rsidRPr="00236EE1">
              <w:t>__________________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09231D24" w14:textId="77777777" w:rsidR="00236EE1" w:rsidRPr="00236EE1" w:rsidRDefault="00236EE1" w:rsidP="00236EE1">
            <w:r w:rsidRPr="00236EE1">
              <w:t>__________________</w:t>
            </w:r>
          </w:p>
        </w:tc>
      </w:tr>
      <w:tr w:rsidR="00236EE1" w:rsidRPr="00236EE1" w14:paraId="23EF6399"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5D258BE9" w14:textId="77777777" w:rsidR="00236EE1" w:rsidRPr="00236EE1" w:rsidRDefault="00236EE1" w:rsidP="00236EE1">
            <w:r w:rsidRPr="00236EE1">
              <w:t>__________________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0475529F" w14:textId="77777777" w:rsidR="00236EE1" w:rsidRPr="00236EE1" w:rsidRDefault="00236EE1" w:rsidP="00236EE1">
            <w:r w:rsidRPr="00236EE1">
              <w:t>__________________</w:t>
            </w:r>
          </w:p>
        </w:tc>
      </w:tr>
    </w:tbl>
    <w:p w14:paraId="31CCA326" w14:textId="77777777" w:rsidR="00236EE1" w:rsidRPr="00236EE1" w:rsidRDefault="00236EE1" w:rsidP="00236EE1">
      <w:r w:rsidRPr="00236EE1">
        <w:t>[</w:t>
      </w:r>
      <w:r w:rsidRPr="00236EE1">
        <w:rPr>
          <w:i/>
          <w:iCs/>
        </w:rPr>
        <w:t>List as necessary</w:t>
      </w:r>
      <w:r w:rsidRPr="00236EE1">
        <w:t>]</w:t>
      </w:r>
    </w:p>
    <w:p w14:paraId="129BB5FC" w14:textId="77777777" w:rsidR="00236EE1" w:rsidRPr="00236EE1" w:rsidRDefault="00236EE1" w:rsidP="00236EE1">
      <w:r w:rsidRPr="00236EE1">
        <w:t>(4) </w:t>
      </w:r>
      <w:r w:rsidRPr="00236EE1">
        <w:rPr>
          <w:i/>
          <w:iCs/>
        </w:rPr>
        <w:t>Trade Agreements Certificate</w:t>
      </w:r>
      <w:r w:rsidRPr="00236EE1">
        <w:t>. (Applies only if the clause at FAR </w:t>
      </w:r>
      <w:hyperlink r:id="rId42" w:anchor="FAR_52_225_5" w:tooltip="52.225-5" w:history="1">
        <w:r w:rsidRPr="00236EE1">
          <w:rPr>
            <w:rStyle w:val="Hyperlink"/>
          </w:rPr>
          <w:t>52.225-5</w:t>
        </w:r>
      </w:hyperlink>
      <w:r w:rsidRPr="00236EE1">
        <w:t>, Trade Agreements, is included in this solicitation.)</w:t>
      </w:r>
    </w:p>
    <w:p w14:paraId="7AA13B77" w14:textId="77777777" w:rsidR="00236EE1" w:rsidRPr="00236EE1" w:rsidRDefault="00236EE1" w:rsidP="00236EE1">
      <w:r w:rsidRPr="00236EE1">
        <w:t>(i) The offeror certifies that each </w:t>
      </w:r>
      <w:proofErr w:type="gramStart"/>
      <w:r w:rsidRPr="00236EE1">
        <w:t>end product</w:t>
      </w:r>
      <w:proofErr w:type="gramEnd"/>
      <w:r w:rsidRPr="00236EE1">
        <w:t>, except those listed in paragraph (g)(4)(ii) of this provision, is a U.S.-made or designated country end product, as defined in the clause of this solicitation entitled "Trade Agreements."</w:t>
      </w:r>
    </w:p>
    <w:p w14:paraId="167349E8" w14:textId="77777777" w:rsidR="00236EE1" w:rsidRPr="00236EE1" w:rsidRDefault="00236EE1" w:rsidP="00236EE1">
      <w:r w:rsidRPr="00236EE1">
        <w:t>(ii) The offeror shall list as other end products those end products that are not U.S.-made or designated country end products.</w:t>
      </w:r>
    </w:p>
    <w:p w14:paraId="5FE6FE8E" w14:textId="77777777" w:rsidR="00236EE1" w:rsidRPr="00236EE1" w:rsidRDefault="00236EE1" w:rsidP="00236EE1">
      <w:r w:rsidRPr="00236EE1">
        <w:rPr>
          <w:i/>
          <w:iCs/>
        </w:rPr>
        <w:t>Other End Products</w:t>
      </w:r>
      <w:r w:rsidRPr="00236EE1">
        <w:t>:</w:t>
      </w:r>
    </w:p>
    <w:tbl>
      <w:tblPr>
        <w:tblW w:w="12615" w:type="dxa"/>
        <w:tblCellMar>
          <w:top w:w="15" w:type="dxa"/>
          <w:left w:w="15" w:type="dxa"/>
          <w:bottom w:w="15" w:type="dxa"/>
          <w:right w:w="15" w:type="dxa"/>
        </w:tblCellMar>
        <w:tblLook w:val="04A0" w:firstRow="1" w:lastRow="0" w:firstColumn="1" w:lastColumn="0" w:noHBand="0" w:noVBand="1"/>
      </w:tblPr>
      <w:tblGrid>
        <w:gridCol w:w="6307"/>
        <w:gridCol w:w="6308"/>
      </w:tblGrid>
      <w:tr w:rsidR="00236EE1" w:rsidRPr="00236EE1" w14:paraId="66354041" w14:textId="77777777" w:rsidTr="00236EE1">
        <w:trPr>
          <w:tblHeader/>
        </w:trPr>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3BC06D0C" w14:textId="77777777" w:rsidR="00236EE1" w:rsidRPr="00236EE1" w:rsidRDefault="00236EE1" w:rsidP="00236EE1">
            <w:pPr>
              <w:rPr>
                <w:b/>
                <w:bCs/>
              </w:rPr>
            </w:pPr>
            <w:proofErr w:type="gramStart"/>
            <w:r w:rsidRPr="00236EE1">
              <w:rPr>
                <w:b/>
                <w:bCs/>
              </w:rPr>
              <w:t>Line Item</w:t>
            </w:r>
            <w:proofErr w:type="gramEnd"/>
            <w:r w:rsidRPr="00236EE1">
              <w:rPr>
                <w:b/>
                <w:bCs/>
              </w:rPr>
              <w:t> No.</w:t>
            </w:r>
          </w:p>
        </w:tc>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60242892" w14:textId="77777777" w:rsidR="00236EE1" w:rsidRPr="00236EE1" w:rsidRDefault="00236EE1" w:rsidP="00236EE1">
            <w:pPr>
              <w:rPr>
                <w:b/>
                <w:bCs/>
              </w:rPr>
            </w:pPr>
            <w:r w:rsidRPr="00236EE1">
              <w:rPr>
                <w:b/>
                <w:bCs/>
              </w:rPr>
              <w:t>Country of Origin</w:t>
            </w:r>
          </w:p>
        </w:tc>
      </w:tr>
      <w:tr w:rsidR="00236EE1" w:rsidRPr="00236EE1" w14:paraId="297B5AE6"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23EEE7F0" w14:textId="77777777" w:rsidR="00236EE1" w:rsidRPr="00236EE1" w:rsidRDefault="00236EE1" w:rsidP="00236EE1">
            <w:r w:rsidRPr="00236EE1">
              <w:rPr>
                <w:i/>
                <w:iCs/>
              </w:rPr>
              <w:t>__________________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1F44B25D" w14:textId="77777777" w:rsidR="00236EE1" w:rsidRPr="00236EE1" w:rsidRDefault="00236EE1" w:rsidP="00236EE1">
            <w:r w:rsidRPr="00236EE1">
              <w:rPr>
                <w:i/>
                <w:iCs/>
              </w:rPr>
              <w:t>__________________</w:t>
            </w:r>
          </w:p>
        </w:tc>
      </w:tr>
      <w:tr w:rsidR="00236EE1" w:rsidRPr="00236EE1" w14:paraId="246C1AE4"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7C5AFD79" w14:textId="77777777" w:rsidR="00236EE1" w:rsidRPr="00236EE1" w:rsidRDefault="00236EE1" w:rsidP="00236EE1">
            <w:r w:rsidRPr="00236EE1">
              <w:lastRenderedPageBreak/>
              <w:t>__________________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49BAF594" w14:textId="77777777" w:rsidR="00236EE1" w:rsidRPr="00236EE1" w:rsidRDefault="00236EE1" w:rsidP="00236EE1">
            <w:r w:rsidRPr="00236EE1">
              <w:t>__________________</w:t>
            </w:r>
          </w:p>
        </w:tc>
      </w:tr>
      <w:tr w:rsidR="00236EE1" w:rsidRPr="00236EE1" w14:paraId="737FF01A"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6250546C" w14:textId="77777777" w:rsidR="00236EE1" w:rsidRPr="00236EE1" w:rsidRDefault="00236EE1" w:rsidP="00236EE1">
            <w:r w:rsidRPr="00236EE1">
              <w:t>__________________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3EC3AAE5" w14:textId="77777777" w:rsidR="00236EE1" w:rsidRPr="00236EE1" w:rsidRDefault="00236EE1" w:rsidP="00236EE1">
            <w:r w:rsidRPr="00236EE1">
              <w:t>__________________</w:t>
            </w:r>
          </w:p>
        </w:tc>
      </w:tr>
    </w:tbl>
    <w:p w14:paraId="0E2AF847" w14:textId="77777777" w:rsidR="00236EE1" w:rsidRPr="00236EE1" w:rsidRDefault="00236EE1" w:rsidP="00236EE1">
      <w:r w:rsidRPr="00236EE1">
        <w:t>[</w:t>
      </w:r>
      <w:r w:rsidRPr="00236EE1">
        <w:rPr>
          <w:i/>
          <w:iCs/>
        </w:rPr>
        <w:t>List as necessary</w:t>
      </w:r>
      <w:r w:rsidRPr="00236EE1">
        <w:t>]</w:t>
      </w:r>
    </w:p>
    <w:p w14:paraId="218385C0" w14:textId="77777777" w:rsidR="00236EE1" w:rsidRPr="00236EE1" w:rsidRDefault="00236EE1" w:rsidP="00236EE1">
      <w:r w:rsidRPr="00236EE1">
        <w:t>(iii) The Government will evaluate offers in accordance with the policies and procedures of FAR </w:t>
      </w:r>
      <w:hyperlink r:id="rId43" w:anchor="FAR_Part_25" w:tooltip="part  25" w:history="1">
        <w:r w:rsidRPr="00236EE1">
          <w:rPr>
            <w:rStyle w:val="Hyperlink"/>
          </w:rPr>
          <w:t>part  25</w:t>
        </w:r>
      </w:hyperlink>
      <w:r w:rsidRPr="00236EE1">
        <w:t>. For line items covered by the WTO GPA, the Government will evaluate offers of U.S.-made or designated country end products without regard to the restrictions of the Buy American statute. The Government will consider for award only offers of U.S.-made or designated country end products unless the Contracting Officer determines that there are no offers for such products or that the offers for such products are insufficient to fulfill the requirements of the solicitation.</w:t>
      </w:r>
    </w:p>
    <w:p w14:paraId="4DAED4F1" w14:textId="77777777" w:rsidR="00236EE1" w:rsidRPr="00236EE1" w:rsidRDefault="00236EE1" w:rsidP="00236EE1">
      <w:r w:rsidRPr="00236EE1">
        <w:t>(h) </w:t>
      </w:r>
      <w:r w:rsidRPr="00236EE1">
        <w:rPr>
          <w:i/>
          <w:iCs/>
        </w:rPr>
        <w:t>Certification Regarding Responsibility Matters (Executive Order 12689</w:t>
      </w:r>
      <w:r w:rsidRPr="00236EE1">
        <w:t>). (Applies only if the contract value is expected to exceed the simplified acquisition threshold.) The offeror certifies, to the best of its knowledge and belief, that the offeror and/or any of its principals–</w:t>
      </w:r>
    </w:p>
    <w:p w14:paraId="472BF240" w14:textId="77777777" w:rsidR="00236EE1" w:rsidRPr="00236EE1" w:rsidRDefault="00236EE1" w:rsidP="00236EE1">
      <w:r w:rsidRPr="00236EE1">
        <w:t>(1) </w:t>
      </w:r>
      <w:r w:rsidRPr="00236EE1">
        <w:rPr>
          <w:i/>
          <w:iCs/>
        </w:rPr>
        <w:t>□</w:t>
      </w:r>
      <w:r w:rsidRPr="00236EE1">
        <w:t> Are, </w:t>
      </w:r>
      <w:r w:rsidRPr="00236EE1">
        <w:rPr>
          <w:i/>
          <w:iCs/>
        </w:rPr>
        <w:t>□</w:t>
      </w:r>
      <w:r w:rsidRPr="00236EE1">
        <w:t xml:space="preserve"> are not presently debarred, suspended, proposed for debarment, or declared ineligible for the award of contracts by any Federal </w:t>
      </w:r>
      <w:proofErr w:type="gramStart"/>
      <w:r w:rsidRPr="00236EE1">
        <w:t>agency;</w:t>
      </w:r>
      <w:proofErr w:type="gramEnd"/>
    </w:p>
    <w:p w14:paraId="7BF94CC6" w14:textId="77777777" w:rsidR="00236EE1" w:rsidRPr="00236EE1" w:rsidRDefault="00236EE1" w:rsidP="00236EE1">
      <w:r w:rsidRPr="00236EE1">
        <w:t>(2) </w:t>
      </w:r>
      <w:r w:rsidRPr="00236EE1">
        <w:rPr>
          <w:i/>
          <w:iCs/>
        </w:rPr>
        <w:t>□</w:t>
      </w:r>
      <w:r w:rsidRPr="00236EE1">
        <w:t> Have, </w:t>
      </w:r>
      <w:r w:rsidRPr="00236EE1">
        <w:rPr>
          <w:i/>
          <w:iCs/>
        </w:rPr>
        <w:t>□</w:t>
      </w:r>
      <w:r w:rsidRPr="00236EE1">
        <w:t> have not, within a three-year period preceding this offer, been convicted of or had a civil judgment rendered against them for: commission of fraud or a criminal offense in connection with obtaining, attempting to obtain, or performing a Federal, state or local government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w:t>
      </w:r>
    </w:p>
    <w:p w14:paraId="26034BBB" w14:textId="77777777" w:rsidR="00236EE1" w:rsidRPr="00236EE1" w:rsidRDefault="00236EE1" w:rsidP="00236EE1">
      <w:r w:rsidRPr="00236EE1">
        <w:t>(3) </w:t>
      </w:r>
      <w:r w:rsidRPr="00236EE1">
        <w:rPr>
          <w:i/>
          <w:iCs/>
        </w:rPr>
        <w:t>□</w:t>
      </w:r>
      <w:r w:rsidRPr="00236EE1">
        <w:t> Are, </w:t>
      </w:r>
      <w:r w:rsidRPr="00236EE1">
        <w:rPr>
          <w:i/>
          <w:iCs/>
        </w:rPr>
        <w:t>□</w:t>
      </w:r>
      <w:r w:rsidRPr="00236EE1">
        <w:t xml:space="preserve"> are not presently indicted for, or otherwise criminally or civilly charged by a </w:t>
      </w:r>
      <w:proofErr w:type="gramStart"/>
      <w:r w:rsidRPr="00236EE1">
        <w:t>Government</w:t>
      </w:r>
      <w:proofErr w:type="gramEnd"/>
      <w:r w:rsidRPr="00236EE1">
        <w:t xml:space="preserve"> entity with, commission of any of these offenses enumerated in paragraph (h)(2) of this clause; and</w:t>
      </w:r>
    </w:p>
    <w:p w14:paraId="677D0BE3" w14:textId="77777777" w:rsidR="00236EE1" w:rsidRPr="00236EE1" w:rsidRDefault="00236EE1" w:rsidP="00236EE1">
      <w:r w:rsidRPr="00236EE1">
        <w:lastRenderedPageBreak/>
        <w:t>(4) </w:t>
      </w:r>
      <w:r w:rsidRPr="00236EE1">
        <w:rPr>
          <w:i/>
          <w:iCs/>
        </w:rPr>
        <w:t>□</w:t>
      </w:r>
      <w:r w:rsidRPr="00236EE1">
        <w:t> Have, </w:t>
      </w:r>
      <w:r w:rsidRPr="00236EE1">
        <w:rPr>
          <w:i/>
          <w:iCs/>
        </w:rPr>
        <w:t>□</w:t>
      </w:r>
      <w:r w:rsidRPr="00236EE1">
        <w:t> have not, within a three-year period preceding this offer, been notified of any delinquent Federal taxes in an amount that exceeds the threshold at </w:t>
      </w:r>
      <w:hyperlink r:id="rId44" w:anchor="FAR_9_104_5" w:tooltip="9.104-5" w:history="1">
        <w:r w:rsidRPr="00236EE1">
          <w:rPr>
            <w:rStyle w:val="Hyperlink"/>
          </w:rPr>
          <w:t>9.104-5</w:t>
        </w:r>
      </w:hyperlink>
      <w:r w:rsidRPr="00236EE1">
        <w:t>(a)(2) for which the liability remains unsatisfied.</w:t>
      </w:r>
    </w:p>
    <w:p w14:paraId="433E0431" w14:textId="77777777" w:rsidR="00236EE1" w:rsidRPr="00236EE1" w:rsidRDefault="00236EE1" w:rsidP="00236EE1">
      <w:r w:rsidRPr="00236EE1">
        <w:t>(i) Taxes are considered delinquent if both of the following criteria apply:</w:t>
      </w:r>
    </w:p>
    <w:p w14:paraId="3D33A7E3" w14:textId="77777777" w:rsidR="00236EE1" w:rsidRPr="00236EE1" w:rsidRDefault="00236EE1" w:rsidP="00236EE1">
      <w:r w:rsidRPr="00236EE1">
        <w:t>(A) </w:t>
      </w:r>
      <w:r w:rsidRPr="00236EE1">
        <w:rPr>
          <w:i/>
          <w:iCs/>
        </w:rPr>
        <w:t>The tax liability is finally determined</w:t>
      </w:r>
      <w:r w:rsidRPr="00236EE1">
        <w:t>.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14:paraId="01BC9260" w14:textId="77777777" w:rsidR="00236EE1" w:rsidRPr="00236EE1" w:rsidRDefault="00236EE1" w:rsidP="00236EE1">
      <w:r w:rsidRPr="00236EE1">
        <w:t>(B) </w:t>
      </w:r>
      <w:r w:rsidRPr="00236EE1">
        <w:rPr>
          <w:i/>
          <w:iCs/>
        </w:rPr>
        <w:t>The taxpayer is delinquent in making payment</w:t>
      </w:r>
      <w:r w:rsidRPr="00236EE1">
        <w:t>. A taxpayer is delinquent if the taxpayer has failed to pay the tax liability when full payment was due and required. A taxpayer is not delinquent in cases where enforced collection action is precluded.</w:t>
      </w:r>
    </w:p>
    <w:p w14:paraId="3A48175C" w14:textId="77777777" w:rsidR="00236EE1" w:rsidRPr="00236EE1" w:rsidRDefault="00236EE1" w:rsidP="00236EE1">
      <w:r w:rsidRPr="00236EE1">
        <w:t>(ii) </w:t>
      </w:r>
      <w:r w:rsidRPr="00236EE1">
        <w:rPr>
          <w:i/>
          <w:iCs/>
        </w:rPr>
        <w:t>Examples</w:t>
      </w:r>
      <w:r w:rsidRPr="00236EE1">
        <w:t>.</w:t>
      </w:r>
    </w:p>
    <w:p w14:paraId="7AB4FDE3" w14:textId="77777777" w:rsidR="00236EE1" w:rsidRPr="00236EE1" w:rsidRDefault="00236EE1" w:rsidP="00236EE1">
      <w:r w:rsidRPr="00236EE1">
        <w:t> </w:t>
      </w:r>
    </w:p>
    <w:p w14:paraId="0C7CD9AA" w14:textId="77777777" w:rsidR="00236EE1" w:rsidRPr="00236EE1" w:rsidRDefault="00236EE1" w:rsidP="00236EE1">
      <w:r w:rsidRPr="00236EE1">
        <w:t>(A) The taxpayer has received a statutory notice of deficiency, under I.R.C.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14:paraId="2CB70D53" w14:textId="77777777" w:rsidR="00236EE1" w:rsidRPr="00236EE1" w:rsidRDefault="00236EE1" w:rsidP="00236EE1">
      <w:r w:rsidRPr="00236EE1">
        <w:t xml:space="preserve">(B) The IRS has filed a notice of Federal tax lien with respect to an assessed tax liability, and the taxpayer has been issued a notice under I.R.C. §6320 entitling the taxpayer to request a hearing with the IRS Office of Appeals contesting the lien filing, and to further appeal to the Tax Court if the IRS determines to sustain the lien filing. </w:t>
      </w:r>
      <w:proofErr w:type="gramStart"/>
      <w:r w:rsidRPr="00236EE1">
        <w:t>In the course of</w:t>
      </w:r>
      <w:proofErr w:type="gramEnd"/>
      <w:r w:rsidRPr="00236EE1">
        <w:t xml:space="preserve">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14:paraId="0586F655" w14:textId="77777777" w:rsidR="00236EE1" w:rsidRPr="00236EE1" w:rsidRDefault="00236EE1" w:rsidP="00236EE1">
      <w:r w:rsidRPr="00236EE1">
        <w:t>(C) The taxpayer has entered into an installment agreement pursuant to I.R.C. §6159. The taxpayer is making timely payments and is in full compliance with the agreement terms. The taxpayer is not delinquent because the taxpayer is not currently required to make full payment.</w:t>
      </w:r>
    </w:p>
    <w:p w14:paraId="25A4D1CE" w14:textId="77777777" w:rsidR="00236EE1" w:rsidRPr="00236EE1" w:rsidRDefault="00236EE1" w:rsidP="00236EE1">
      <w:r w:rsidRPr="00236EE1">
        <w:t>(D) The taxpayer has filed for bankruptcy protection. The taxpayer is not delinquent because enforced collection action is stayed under 11 U.S.C. §362 (the Bankruptcy Code).</w:t>
      </w:r>
    </w:p>
    <w:p w14:paraId="3F1184C8" w14:textId="77777777" w:rsidR="00236EE1" w:rsidRPr="00236EE1" w:rsidRDefault="00236EE1" w:rsidP="00236EE1">
      <w:r w:rsidRPr="00236EE1">
        <w:lastRenderedPageBreak/>
        <w:t>(i) </w:t>
      </w:r>
      <w:r w:rsidRPr="00236EE1">
        <w:rPr>
          <w:i/>
          <w:iCs/>
        </w:rPr>
        <w:t>Certification Regarding Knowledge of Child Labor for Listed End Products (Executive Order 13126). [The Contracting Officer must list in paragraph (i)(1) any end products being acquired under this solicitation that are included in the List of Products Requiring Contractor Certification as to Forced or Indentured Child Labor, unless excluded at </w:t>
      </w:r>
      <w:hyperlink r:id="rId45" w:anchor="FAR_22_1503" w:tooltip="22.1503" w:history="1">
        <w:r w:rsidRPr="00236EE1">
          <w:rPr>
            <w:rStyle w:val="Hyperlink"/>
            <w:i/>
            <w:iCs/>
          </w:rPr>
          <w:t>22.1503</w:t>
        </w:r>
      </w:hyperlink>
      <w:r w:rsidRPr="00236EE1">
        <w:rPr>
          <w:i/>
          <w:iCs/>
        </w:rPr>
        <w:t>(b).]</w:t>
      </w:r>
    </w:p>
    <w:p w14:paraId="1E1FC84C" w14:textId="77777777" w:rsidR="00236EE1" w:rsidRPr="00236EE1" w:rsidRDefault="00236EE1" w:rsidP="00236EE1">
      <w:r w:rsidRPr="00236EE1">
        <w:t>(1) </w:t>
      </w:r>
      <w:r w:rsidRPr="00236EE1">
        <w:rPr>
          <w:i/>
          <w:iCs/>
        </w:rPr>
        <w:t>Listed end products.</w:t>
      </w:r>
    </w:p>
    <w:tbl>
      <w:tblPr>
        <w:tblW w:w="12615" w:type="dxa"/>
        <w:tblCellMar>
          <w:top w:w="15" w:type="dxa"/>
          <w:left w:w="15" w:type="dxa"/>
          <w:bottom w:w="15" w:type="dxa"/>
          <w:right w:w="15" w:type="dxa"/>
        </w:tblCellMar>
        <w:tblLook w:val="04A0" w:firstRow="1" w:lastRow="0" w:firstColumn="1" w:lastColumn="0" w:noHBand="0" w:noVBand="1"/>
      </w:tblPr>
      <w:tblGrid>
        <w:gridCol w:w="5584"/>
        <w:gridCol w:w="7031"/>
      </w:tblGrid>
      <w:tr w:rsidR="00236EE1" w:rsidRPr="00236EE1" w14:paraId="1DB3D8F3" w14:textId="77777777" w:rsidTr="00236EE1">
        <w:trPr>
          <w:tblHeader/>
        </w:trPr>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4453C4B4" w14:textId="77777777" w:rsidR="00236EE1" w:rsidRPr="00236EE1" w:rsidRDefault="00236EE1" w:rsidP="00236EE1">
            <w:pPr>
              <w:rPr>
                <w:b/>
                <w:bCs/>
              </w:rPr>
            </w:pPr>
            <w:r w:rsidRPr="00236EE1">
              <w:rPr>
                <w:b/>
                <w:bCs/>
              </w:rPr>
              <w:t>Listed End Product</w:t>
            </w:r>
          </w:p>
        </w:tc>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5CAE16F7" w14:textId="77777777" w:rsidR="00236EE1" w:rsidRPr="00236EE1" w:rsidRDefault="00236EE1" w:rsidP="00236EE1">
            <w:pPr>
              <w:rPr>
                <w:b/>
                <w:bCs/>
              </w:rPr>
            </w:pPr>
            <w:r w:rsidRPr="00236EE1">
              <w:rPr>
                <w:b/>
                <w:bCs/>
              </w:rPr>
              <w:t>Listed Countries of Origin</w:t>
            </w:r>
          </w:p>
        </w:tc>
      </w:tr>
      <w:tr w:rsidR="00236EE1" w:rsidRPr="00236EE1" w14:paraId="4C219E5B"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1796A63D" w14:textId="77777777" w:rsidR="00236EE1" w:rsidRPr="00236EE1" w:rsidRDefault="00236EE1" w:rsidP="00236EE1">
            <w:r w:rsidRPr="00236EE1">
              <w:rPr>
                <w:i/>
                <w:iCs/>
              </w:rPr>
              <w:t>___________________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09744256" w14:textId="77777777" w:rsidR="00236EE1" w:rsidRPr="00236EE1" w:rsidRDefault="00236EE1" w:rsidP="00236EE1">
            <w:r w:rsidRPr="00236EE1">
              <w:rPr>
                <w:i/>
                <w:iCs/>
              </w:rPr>
              <w:t>___________________</w:t>
            </w:r>
          </w:p>
        </w:tc>
      </w:tr>
      <w:tr w:rsidR="00236EE1" w:rsidRPr="00236EE1" w14:paraId="4BCDD419" w14:textId="77777777" w:rsidTr="00236EE1">
        <w:tc>
          <w:tcPr>
            <w:tcW w:w="0" w:type="auto"/>
            <w:tcBorders>
              <w:top w:val="nil"/>
              <w:left w:val="nil"/>
              <w:bottom w:val="nil"/>
              <w:right w:val="nil"/>
            </w:tcBorders>
            <w:tcMar>
              <w:top w:w="240" w:type="dxa"/>
              <w:left w:w="240" w:type="dxa"/>
              <w:bottom w:w="240" w:type="dxa"/>
              <w:right w:w="240" w:type="dxa"/>
            </w:tcMar>
            <w:vAlign w:val="bottom"/>
            <w:hideMark/>
          </w:tcPr>
          <w:p w14:paraId="40C4DCFB" w14:textId="77777777" w:rsidR="00236EE1" w:rsidRPr="00236EE1" w:rsidRDefault="00236EE1" w:rsidP="00236EE1">
            <w:r w:rsidRPr="00236EE1">
              <w:t>___________________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5B5E4D71" w14:textId="77777777" w:rsidR="00236EE1" w:rsidRPr="00236EE1" w:rsidRDefault="00236EE1" w:rsidP="00236EE1">
            <w:r w:rsidRPr="00236EE1">
              <w:t>___________________</w:t>
            </w:r>
          </w:p>
        </w:tc>
      </w:tr>
    </w:tbl>
    <w:p w14:paraId="324E9A13" w14:textId="77777777" w:rsidR="00236EE1" w:rsidRPr="00236EE1" w:rsidRDefault="00236EE1" w:rsidP="00236EE1">
      <w:r w:rsidRPr="00236EE1">
        <w:t>(2) </w:t>
      </w:r>
      <w:r w:rsidRPr="00236EE1">
        <w:rPr>
          <w:i/>
          <w:iCs/>
        </w:rPr>
        <w:t>Certification. [If the Contracting Officer has identified end products and countries of origin in paragraph (i)(1) of this provision, then the offeror must certify to either (i)(2)(i) or (i)(2)(ii) by checking the appropriate block.]</w:t>
      </w:r>
    </w:p>
    <w:p w14:paraId="0C79A053" w14:textId="77777777" w:rsidR="00236EE1" w:rsidRPr="00236EE1" w:rsidRDefault="00236EE1" w:rsidP="00236EE1">
      <w:r w:rsidRPr="00236EE1">
        <w:t>☐ (i) </w:t>
      </w:r>
      <w:r w:rsidRPr="00236EE1">
        <w:rPr>
          <w:i/>
          <w:iCs/>
        </w:rPr>
        <w:t>The </w:t>
      </w:r>
      <w:r w:rsidRPr="00236EE1">
        <w:t>offeror</w:t>
      </w:r>
      <w:r w:rsidRPr="00236EE1">
        <w:rPr>
          <w:i/>
          <w:iCs/>
        </w:rPr>
        <w:t> will not supply any </w:t>
      </w:r>
      <w:proofErr w:type="gramStart"/>
      <w:r w:rsidRPr="00236EE1">
        <w:t>end product</w:t>
      </w:r>
      <w:proofErr w:type="gramEnd"/>
      <w:r w:rsidRPr="00236EE1">
        <w:rPr>
          <w:i/>
          <w:iCs/>
        </w:rPr>
        <w:t> listed in paragraph (i)(1) of this provision that was mined, produced, or manufactured in the corresponding country as listed for that product.</w:t>
      </w:r>
    </w:p>
    <w:p w14:paraId="31084654" w14:textId="77777777" w:rsidR="00236EE1" w:rsidRPr="00236EE1" w:rsidRDefault="00236EE1" w:rsidP="00236EE1">
      <w:r w:rsidRPr="00236EE1">
        <w:t>☐ (ii) </w:t>
      </w:r>
      <w:r w:rsidRPr="00236EE1">
        <w:rPr>
          <w:i/>
          <w:iCs/>
        </w:rPr>
        <w:t>The </w:t>
      </w:r>
      <w:r w:rsidRPr="00236EE1">
        <w:t>offeror</w:t>
      </w:r>
      <w:r w:rsidRPr="00236EE1">
        <w:rPr>
          <w:i/>
          <w:iCs/>
        </w:rPr>
        <w:t> </w:t>
      </w:r>
      <w:r w:rsidRPr="00236EE1">
        <w:t>may</w:t>
      </w:r>
      <w:r w:rsidRPr="00236EE1">
        <w:rPr>
          <w:i/>
          <w:iCs/>
        </w:rPr>
        <w:t xml:space="preserve"> supply </w:t>
      </w:r>
      <w:proofErr w:type="gramStart"/>
      <w:r w:rsidRPr="00236EE1">
        <w:rPr>
          <w:i/>
          <w:iCs/>
        </w:rPr>
        <w:t>an </w:t>
      </w:r>
      <w:r w:rsidRPr="00236EE1">
        <w:t>end product</w:t>
      </w:r>
      <w:proofErr w:type="gramEnd"/>
      <w:r w:rsidRPr="00236EE1">
        <w:rPr>
          <w:i/>
          <w:iCs/>
        </w:rPr>
        <w:t> listed in paragraph (i)(1) of this provision that was mined, produced, or manufactured in the corresponding country as listed for that product. The </w:t>
      </w:r>
      <w:r w:rsidRPr="00236EE1">
        <w:t>offeror</w:t>
      </w:r>
      <w:r w:rsidRPr="00236EE1">
        <w:rPr>
          <w:i/>
          <w:iCs/>
        </w:rPr>
        <w:t xml:space="preserve"> certifies that it has made a good faith effort to determine whether forced or indentured child labor was used to mine, produce, or manufacture any such </w:t>
      </w:r>
      <w:proofErr w:type="gramStart"/>
      <w:r w:rsidRPr="00236EE1">
        <w:rPr>
          <w:i/>
          <w:iCs/>
        </w:rPr>
        <w:t>end product</w:t>
      </w:r>
      <w:proofErr w:type="gramEnd"/>
      <w:r w:rsidRPr="00236EE1">
        <w:rPr>
          <w:i/>
          <w:iCs/>
        </w:rPr>
        <w:t xml:space="preserve"> furnished under this contract. </w:t>
      </w:r>
      <w:proofErr w:type="gramStart"/>
      <w:r w:rsidRPr="00236EE1">
        <w:rPr>
          <w:i/>
          <w:iCs/>
        </w:rPr>
        <w:t>On the basis of</w:t>
      </w:r>
      <w:proofErr w:type="gramEnd"/>
      <w:r w:rsidRPr="00236EE1">
        <w:rPr>
          <w:i/>
          <w:iCs/>
        </w:rPr>
        <w:t xml:space="preserve"> those efforts, the </w:t>
      </w:r>
      <w:r w:rsidRPr="00236EE1">
        <w:t>offeror</w:t>
      </w:r>
      <w:r w:rsidRPr="00236EE1">
        <w:rPr>
          <w:i/>
          <w:iCs/>
        </w:rPr>
        <w:t> certifies that it is not aware of any such use of child labor.</w:t>
      </w:r>
    </w:p>
    <w:p w14:paraId="257EC482" w14:textId="77777777" w:rsidR="00236EE1" w:rsidRPr="00236EE1" w:rsidRDefault="00236EE1" w:rsidP="00236EE1">
      <w:r w:rsidRPr="00236EE1">
        <w:t>(j) </w:t>
      </w:r>
      <w:r w:rsidRPr="00236EE1">
        <w:rPr>
          <w:i/>
          <w:iCs/>
        </w:rPr>
        <w:t>Place of manufacture.</w:t>
      </w:r>
      <w:r w:rsidRPr="00236EE1">
        <w:t> (Does not apply unless the solicitation is predominantly for the acquisition of manufactured end products.) For statistical purposes only, the offeror shall indicate whether the place of manufacture of the end products it expects to provide in response to this solicitation is predominantly-</w:t>
      </w:r>
    </w:p>
    <w:p w14:paraId="0B45675A" w14:textId="77777777" w:rsidR="00236EE1" w:rsidRPr="00236EE1" w:rsidRDefault="00236EE1" w:rsidP="00236EE1">
      <w:r w:rsidRPr="00236EE1">
        <w:t>(1) </w:t>
      </w:r>
      <w:r w:rsidRPr="00236EE1">
        <w:rPr>
          <w:i/>
          <w:iCs/>
        </w:rPr>
        <w:t>□</w:t>
      </w:r>
      <w:r w:rsidRPr="00236EE1">
        <w:t> In the United States (Check this box if the total anticipated price of offered end products manufactured in the United States exceeds the total anticipated price of offered end products manufactured outside the United States); or</w:t>
      </w:r>
    </w:p>
    <w:p w14:paraId="009A9D0C" w14:textId="77777777" w:rsidR="00236EE1" w:rsidRPr="00236EE1" w:rsidRDefault="00236EE1" w:rsidP="00236EE1">
      <w:r w:rsidRPr="00236EE1">
        <w:t>(2) </w:t>
      </w:r>
      <w:r w:rsidRPr="00236EE1">
        <w:rPr>
          <w:i/>
          <w:iCs/>
        </w:rPr>
        <w:t>□</w:t>
      </w:r>
      <w:r w:rsidRPr="00236EE1">
        <w:t> Outside the United States.</w:t>
      </w:r>
    </w:p>
    <w:p w14:paraId="4687956C" w14:textId="77777777" w:rsidR="00236EE1" w:rsidRPr="00236EE1" w:rsidRDefault="00236EE1" w:rsidP="00236EE1">
      <w:r w:rsidRPr="00236EE1">
        <w:lastRenderedPageBreak/>
        <w:t>(k) </w:t>
      </w:r>
      <w:r w:rsidRPr="00236EE1">
        <w:rPr>
          <w:i/>
          <w:iCs/>
        </w:rPr>
        <w:t>Certificates regarding exemptions from the application of the Service Contract Labor Standards</w:t>
      </w:r>
      <w:r w:rsidRPr="00236EE1">
        <w:t> (Certification by the offeror as to its compliance with respect to the contract also constitutes its certification as to compliance by its subcontractor if it subcontracts out the exempt services.) [</w:t>
      </w:r>
      <w:r w:rsidRPr="00236EE1">
        <w:rPr>
          <w:i/>
          <w:iCs/>
        </w:rPr>
        <w:t>The contracting officer is to check a box to indicate if paragraph (k)(1) or (k)(2) applies.</w:t>
      </w:r>
      <w:r w:rsidRPr="00236EE1">
        <w:t>]</w:t>
      </w:r>
    </w:p>
    <w:p w14:paraId="5A7C35B0" w14:textId="77777777" w:rsidR="00236EE1" w:rsidRPr="00236EE1" w:rsidRDefault="00236EE1" w:rsidP="00236EE1">
      <w:r w:rsidRPr="00236EE1">
        <w:t>☐ (1)   </w:t>
      </w:r>
      <w:r w:rsidRPr="00236EE1">
        <w:rPr>
          <w:i/>
          <w:iCs/>
        </w:rPr>
        <w:t>Maintenance, calibration, or repair of certain equipment as described in FAR </w:t>
      </w:r>
      <w:hyperlink r:id="rId46" w:anchor="FAR_22_1003_4" w:tooltip="22.1003-4" w:history="1">
        <w:r w:rsidRPr="00236EE1">
          <w:rPr>
            <w:rStyle w:val="Hyperlink"/>
          </w:rPr>
          <w:t>22.1003-4</w:t>
        </w:r>
      </w:hyperlink>
      <w:r w:rsidRPr="00236EE1">
        <w:t>(c)(1). The offeror </w:t>
      </w:r>
      <w:r w:rsidRPr="00236EE1">
        <w:rPr>
          <w:i/>
          <w:iCs/>
        </w:rPr>
        <w:t>□</w:t>
      </w:r>
      <w:r w:rsidRPr="00236EE1">
        <w:t> does </w:t>
      </w:r>
      <w:r w:rsidRPr="00236EE1">
        <w:rPr>
          <w:i/>
          <w:iCs/>
        </w:rPr>
        <w:t>□</w:t>
      </w:r>
      <w:r w:rsidRPr="00236EE1">
        <w:t> does not certify that–</w:t>
      </w:r>
    </w:p>
    <w:p w14:paraId="6A2483FE" w14:textId="77777777" w:rsidR="00236EE1" w:rsidRPr="00236EE1" w:rsidRDefault="00236EE1" w:rsidP="00236EE1">
      <w:r w:rsidRPr="00236EE1">
        <w:t xml:space="preserve">(i) The items of equipment to be serviced under this contract are used regularly for other than Governmental purposes and are sold or traded by the offeror (or subcontractor in the case of an exempt subcontract) in substantial quantities to the general public in the course of normal business </w:t>
      </w:r>
      <w:proofErr w:type="gramStart"/>
      <w:r w:rsidRPr="00236EE1">
        <w:t>operations;</w:t>
      </w:r>
      <w:proofErr w:type="gramEnd"/>
    </w:p>
    <w:p w14:paraId="15E88610" w14:textId="77777777" w:rsidR="00236EE1" w:rsidRPr="00236EE1" w:rsidRDefault="00236EE1" w:rsidP="00236EE1">
      <w:r w:rsidRPr="00236EE1">
        <w:t>(ii) The services will be furnished at prices which are, or are based on, established catalog or market prices (see FAR </w:t>
      </w:r>
      <w:hyperlink r:id="rId47" w:anchor="FAR_22_1003_4" w:tooltip="22.1003-4" w:history="1">
        <w:r w:rsidRPr="00236EE1">
          <w:rPr>
            <w:rStyle w:val="Hyperlink"/>
          </w:rPr>
          <w:t>22.1003-4</w:t>
        </w:r>
      </w:hyperlink>
      <w:r w:rsidRPr="00236EE1">
        <w:t>(c)(2)(ii)) for the maintenance, calibration, or repair of such equipment; and</w:t>
      </w:r>
    </w:p>
    <w:p w14:paraId="146BBEAD" w14:textId="77777777" w:rsidR="00236EE1" w:rsidRPr="00236EE1" w:rsidRDefault="00236EE1" w:rsidP="00236EE1">
      <w:r w:rsidRPr="00236EE1">
        <w:t>(iii) The compensation (wage and fringe benefits) plan for all service employees performing work under the contract will be the same as that used for these employees and equivalent employees servicing the same equipment of commercial customers.</w:t>
      </w:r>
    </w:p>
    <w:p w14:paraId="047EA26E" w14:textId="77777777" w:rsidR="00236EE1" w:rsidRPr="00236EE1" w:rsidRDefault="00236EE1" w:rsidP="00236EE1">
      <w:r w:rsidRPr="00236EE1">
        <w:t>☐ (2)   </w:t>
      </w:r>
      <w:r w:rsidRPr="00236EE1">
        <w:rPr>
          <w:i/>
          <w:iCs/>
        </w:rPr>
        <w:t>Certain services as described in FAR</w:t>
      </w:r>
      <w:r w:rsidRPr="00236EE1">
        <w:t> </w:t>
      </w:r>
      <w:hyperlink r:id="rId48" w:anchor="FAR_22_1003_4" w:tooltip="22.1003-4" w:history="1">
        <w:r w:rsidRPr="00236EE1">
          <w:rPr>
            <w:rStyle w:val="Hyperlink"/>
          </w:rPr>
          <w:t>22.1003-4</w:t>
        </w:r>
      </w:hyperlink>
      <w:r w:rsidRPr="00236EE1">
        <w:t>(d)(1). The offeror </w:t>
      </w:r>
      <w:r w:rsidRPr="00236EE1">
        <w:rPr>
          <w:i/>
          <w:iCs/>
        </w:rPr>
        <w:t>□</w:t>
      </w:r>
      <w:r w:rsidRPr="00236EE1">
        <w:t> does </w:t>
      </w:r>
      <w:r w:rsidRPr="00236EE1">
        <w:rPr>
          <w:i/>
          <w:iCs/>
        </w:rPr>
        <w:t>□</w:t>
      </w:r>
      <w:r w:rsidRPr="00236EE1">
        <w:t> does not certify that-</w:t>
      </w:r>
    </w:p>
    <w:p w14:paraId="092A168E" w14:textId="77777777" w:rsidR="00236EE1" w:rsidRPr="00236EE1" w:rsidRDefault="00236EE1" w:rsidP="00236EE1">
      <w:r w:rsidRPr="00236EE1">
        <w:t xml:space="preserve">(i) The services under the contract are offered and sold regularly to non-Governmental customers, and are provided by the offeror (or subcontractor in the case of an exempt subcontract) to the general public in substantial quantities in the course of normal business </w:t>
      </w:r>
      <w:proofErr w:type="gramStart"/>
      <w:r w:rsidRPr="00236EE1">
        <w:t>operations;</w:t>
      </w:r>
      <w:proofErr w:type="gramEnd"/>
    </w:p>
    <w:p w14:paraId="2EAFE8BB" w14:textId="77777777" w:rsidR="00236EE1" w:rsidRPr="00236EE1" w:rsidRDefault="00236EE1" w:rsidP="00236EE1">
      <w:r w:rsidRPr="00236EE1">
        <w:t>(ii) The contract services will be furnished at prices that are, or are based on, established catalog or market prices (see FAR </w:t>
      </w:r>
      <w:hyperlink r:id="rId49" w:anchor="FAR_22_1003_4" w:tooltip="22.1003-4" w:history="1">
        <w:r w:rsidRPr="00236EE1">
          <w:rPr>
            <w:rStyle w:val="Hyperlink"/>
          </w:rPr>
          <w:t>22.1003-4</w:t>
        </w:r>
      </w:hyperlink>
      <w:r w:rsidRPr="00236EE1">
        <w:t>(d)(2)(iii));</w:t>
      </w:r>
    </w:p>
    <w:p w14:paraId="2D8008AE" w14:textId="77777777" w:rsidR="00236EE1" w:rsidRPr="00236EE1" w:rsidRDefault="00236EE1" w:rsidP="00236EE1">
      <w:r w:rsidRPr="00236EE1">
        <w:t>(iii) Each service employee who will perform the services under the contract will spend only a small portion of his or her time (a monthly average of less than 20 percent of the available hours on an annualized basis, or less than 20 percent of available hours during the contract period if the contract period is less than a month) servicing the Government contract; and</w:t>
      </w:r>
    </w:p>
    <w:p w14:paraId="23D9BE46" w14:textId="77777777" w:rsidR="00236EE1" w:rsidRPr="00236EE1" w:rsidRDefault="00236EE1" w:rsidP="00236EE1">
      <w:r w:rsidRPr="00236EE1">
        <w:t>(iv) The compensation (wage and fringe benefits) plan for all service employees performing work under the contract is the same as that used for these employees and equivalent employees servicing commercial customers.</w:t>
      </w:r>
    </w:p>
    <w:p w14:paraId="73654CB5" w14:textId="77777777" w:rsidR="00236EE1" w:rsidRPr="00236EE1" w:rsidRDefault="00236EE1" w:rsidP="00236EE1">
      <w:r w:rsidRPr="00236EE1">
        <w:t>(3) If paragraph (k)(1) or (k)(2) of this clause applies–</w:t>
      </w:r>
    </w:p>
    <w:p w14:paraId="103CAE53" w14:textId="77777777" w:rsidR="00236EE1" w:rsidRPr="00236EE1" w:rsidRDefault="00236EE1" w:rsidP="00236EE1">
      <w:r w:rsidRPr="00236EE1">
        <w:lastRenderedPageBreak/>
        <w:t>(i) If the offeror does not certify to the conditions in paragraph (k)(1) or (k)(2) and the Contracting Officer did not attach a Service Contract Labor Standards wage determination to the solicitation, the offeror shall notify the Contracting Officer as soon as possible; and</w:t>
      </w:r>
    </w:p>
    <w:p w14:paraId="02F84F4B" w14:textId="77777777" w:rsidR="00236EE1" w:rsidRPr="00236EE1" w:rsidRDefault="00236EE1" w:rsidP="00236EE1">
      <w:r w:rsidRPr="00236EE1">
        <w:t>(ii) The Contracting Officer may not make an award to the offeror if the offeror fails to execute the certification in paragraph (k)(1) or (k)(2) of this clause or to contact the Contracting Officer as required in paragraph (k)(3)(i) of this clause.</w:t>
      </w:r>
    </w:p>
    <w:p w14:paraId="0B069903" w14:textId="77777777" w:rsidR="00236EE1" w:rsidRPr="00236EE1" w:rsidRDefault="00236EE1" w:rsidP="00236EE1">
      <w:r w:rsidRPr="00236EE1">
        <w:t>(l) </w:t>
      </w:r>
      <w:r w:rsidRPr="00236EE1">
        <w:rPr>
          <w:i/>
          <w:iCs/>
        </w:rPr>
        <w:t>Taxpayer Identification Number (TIN) (</w:t>
      </w:r>
      <w:r w:rsidRPr="00236EE1">
        <w:t> </w:t>
      </w:r>
      <w:hyperlink r:id="rId50" w:tgtFrame="_blank" w:tooltip="26 U.S.C. 6109" w:history="1">
        <w:r w:rsidRPr="00236EE1">
          <w:rPr>
            <w:rStyle w:val="Hyperlink"/>
          </w:rPr>
          <w:t>26 U.S.C. 6109</w:t>
        </w:r>
      </w:hyperlink>
      <w:r w:rsidRPr="00236EE1">
        <w:t>, </w:t>
      </w:r>
      <w:hyperlink r:id="rId51" w:tgtFrame="_blank" w:tooltip="31 U.S.C. 7701" w:history="1">
        <w:r w:rsidRPr="00236EE1">
          <w:rPr>
            <w:rStyle w:val="Hyperlink"/>
          </w:rPr>
          <w:t>31 U.S.C. 7701</w:t>
        </w:r>
      </w:hyperlink>
      <w:r w:rsidRPr="00236EE1">
        <w:t>). (Not applicable if the offeror is required to provide this information to the SAM to be eligible for award.)</w:t>
      </w:r>
    </w:p>
    <w:p w14:paraId="1728B461" w14:textId="77777777" w:rsidR="00236EE1" w:rsidRPr="00236EE1" w:rsidRDefault="00236EE1" w:rsidP="00236EE1">
      <w:r w:rsidRPr="00236EE1">
        <w:t>(1) All offerors must submit the information required in paragraphs (l)(3) through (l)(5) of this provision to comply with debt collection requirements of </w:t>
      </w:r>
      <w:hyperlink r:id="rId52" w:tgtFrame="_blank" w:tooltip="31 U.S.C. 7701(c) and                         3325(d)" w:history="1">
        <w:r w:rsidRPr="00236EE1">
          <w:rPr>
            <w:rStyle w:val="Hyperlink"/>
          </w:rPr>
          <w:t>31 U.S.C. 7701(c) and 3325(d)</w:t>
        </w:r>
      </w:hyperlink>
      <w:r w:rsidRPr="00236EE1">
        <w:t>, reporting requirements of </w:t>
      </w:r>
      <w:hyperlink r:id="rId53" w:tgtFrame="_blank" w:tooltip="26 U.S.C. 6041, 6041A, and                         6050M" w:history="1">
        <w:r w:rsidRPr="00236EE1">
          <w:rPr>
            <w:rStyle w:val="Hyperlink"/>
          </w:rPr>
          <w:t>26 U.S.C. 6041, 6041A, and 6050M</w:t>
        </w:r>
      </w:hyperlink>
      <w:r w:rsidRPr="00236EE1">
        <w:t>, and implementing regulations issued by the Internal Revenue Service (IRS).</w:t>
      </w:r>
    </w:p>
    <w:p w14:paraId="0F9C9EC3" w14:textId="77777777" w:rsidR="00236EE1" w:rsidRPr="00236EE1" w:rsidRDefault="00236EE1" w:rsidP="00236EE1">
      <w:r w:rsidRPr="00236EE1">
        <w:t>(2) The TIN may be used by the Government to collect and report on any delinquent amounts arising out of the offeror’s relationship with the Government ( </w:t>
      </w:r>
      <w:hyperlink r:id="rId54" w:tgtFrame="_blank" w:tooltip="31 U.S.C. 7701(c)(3)" w:history="1">
        <w:r w:rsidRPr="00236EE1">
          <w:rPr>
            <w:rStyle w:val="Hyperlink"/>
          </w:rPr>
          <w:t>31 U.S.C. 7701(c)(3)</w:t>
        </w:r>
      </w:hyperlink>
      <w:r w:rsidRPr="00236EE1">
        <w:t>). If the resulting contract is subject to the payment reporting requirements described in FAR </w:t>
      </w:r>
      <w:hyperlink r:id="rId55" w:anchor="FAR_4_904" w:tooltip="4.904" w:history="1">
        <w:r w:rsidRPr="00236EE1">
          <w:rPr>
            <w:rStyle w:val="Hyperlink"/>
          </w:rPr>
          <w:t>4.904</w:t>
        </w:r>
      </w:hyperlink>
      <w:r w:rsidRPr="00236EE1">
        <w:t>, the TIN provided hereunder may be matched with IRS records to verify the accuracy of the offeror’s TIN.</w:t>
      </w:r>
    </w:p>
    <w:p w14:paraId="0683458B" w14:textId="77777777" w:rsidR="00236EE1" w:rsidRPr="00236EE1" w:rsidRDefault="00236EE1" w:rsidP="00236EE1">
      <w:r w:rsidRPr="00236EE1">
        <w:t>(3) </w:t>
      </w:r>
      <w:r w:rsidRPr="00236EE1">
        <w:rPr>
          <w:i/>
          <w:iCs/>
        </w:rPr>
        <w:t>Taxpayer Identification Number (TIN)</w:t>
      </w:r>
      <w:r w:rsidRPr="00236EE1">
        <w:t>.</w:t>
      </w:r>
    </w:p>
    <w:p w14:paraId="750FA525" w14:textId="77777777" w:rsidR="00236EE1" w:rsidRPr="00236EE1" w:rsidRDefault="00236EE1" w:rsidP="00236EE1">
      <w:r w:rsidRPr="00236EE1">
        <w:t>☐TIN: ________________________________.</w:t>
      </w:r>
    </w:p>
    <w:p w14:paraId="743F751C" w14:textId="77777777" w:rsidR="00236EE1" w:rsidRPr="00236EE1" w:rsidRDefault="00236EE1" w:rsidP="00236EE1">
      <w:r w:rsidRPr="00236EE1">
        <w:t>☐TIN has been applied for.</w:t>
      </w:r>
    </w:p>
    <w:p w14:paraId="417CB4B9" w14:textId="77777777" w:rsidR="00236EE1" w:rsidRPr="00236EE1" w:rsidRDefault="00236EE1" w:rsidP="00236EE1">
      <w:r w:rsidRPr="00236EE1">
        <w:t>☐TIN is not required because:</w:t>
      </w:r>
    </w:p>
    <w:p w14:paraId="682DF94B" w14:textId="77777777" w:rsidR="00236EE1" w:rsidRPr="00236EE1" w:rsidRDefault="00236EE1" w:rsidP="00236EE1">
      <w:r w:rsidRPr="00236EE1">
        <w:t xml:space="preserve">☐Offeror is a nonresident alien, foreign corporation, or foreign partnership that does not have income effectively connected with the conduct of a trade or business in the United States and does not have an office or place of business or a fiscal paying agent in the United </w:t>
      </w:r>
      <w:proofErr w:type="gramStart"/>
      <w:r w:rsidRPr="00236EE1">
        <w:t>States;</w:t>
      </w:r>
      <w:proofErr w:type="gramEnd"/>
    </w:p>
    <w:p w14:paraId="46C19527" w14:textId="77777777" w:rsidR="00236EE1" w:rsidRPr="00236EE1" w:rsidRDefault="00236EE1" w:rsidP="00236EE1">
      <w:r w:rsidRPr="00236EE1">
        <w:t xml:space="preserve">☐Offeror is an agency or instrumentality of a foreign </w:t>
      </w:r>
      <w:proofErr w:type="gramStart"/>
      <w:r w:rsidRPr="00236EE1">
        <w:t>government;</w:t>
      </w:r>
      <w:proofErr w:type="gramEnd"/>
    </w:p>
    <w:p w14:paraId="0B83CA05" w14:textId="77777777" w:rsidR="00236EE1" w:rsidRPr="00236EE1" w:rsidRDefault="00236EE1" w:rsidP="00236EE1">
      <w:r w:rsidRPr="00236EE1">
        <w:t>☐Offeror is an agency or instrumentality of the Federal Government.</w:t>
      </w:r>
    </w:p>
    <w:p w14:paraId="59E9D4EB" w14:textId="77777777" w:rsidR="00236EE1" w:rsidRPr="00236EE1" w:rsidRDefault="00236EE1" w:rsidP="00236EE1">
      <w:r w:rsidRPr="00236EE1">
        <w:t>(4) </w:t>
      </w:r>
      <w:r w:rsidRPr="00236EE1">
        <w:rPr>
          <w:i/>
          <w:iCs/>
        </w:rPr>
        <w:t>Type of organization</w:t>
      </w:r>
      <w:r w:rsidRPr="00236EE1">
        <w:t>.</w:t>
      </w:r>
    </w:p>
    <w:p w14:paraId="7A9A1090" w14:textId="77777777" w:rsidR="00236EE1" w:rsidRPr="00236EE1" w:rsidRDefault="00236EE1" w:rsidP="00236EE1">
      <w:r w:rsidRPr="00236EE1">
        <w:t xml:space="preserve">☐Sole </w:t>
      </w:r>
      <w:proofErr w:type="gramStart"/>
      <w:r w:rsidRPr="00236EE1">
        <w:t>proprietorship;</w:t>
      </w:r>
      <w:proofErr w:type="gramEnd"/>
    </w:p>
    <w:p w14:paraId="037A5250" w14:textId="77777777" w:rsidR="00236EE1" w:rsidRPr="00236EE1" w:rsidRDefault="00236EE1" w:rsidP="00236EE1">
      <w:r w:rsidRPr="00236EE1">
        <w:t>☐</w:t>
      </w:r>
      <w:proofErr w:type="gramStart"/>
      <w:r w:rsidRPr="00236EE1">
        <w:t>Partnership;</w:t>
      </w:r>
      <w:proofErr w:type="gramEnd"/>
    </w:p>
    <w:p w14:paraId="06B46D0E" w14:textId="77777777" w:rsidR="00236EE1" w:rsidRPr="00236EE1" w:rsidRDefault="00236EE1" w:rsidP="00236EE1">
      <w:r w:rsidRPr="00236EE1">
        <w:lastRenderedPageBreak/>
        <w:t>☐Corporate entity (not tax-exempt</w:t>
      </w:r>
      <w:proofErr w:type="gramStart"/>
      <w:r w:rsidRPr="00236EE1">
        <w:t>);</w:t>
      </w:r>
      <w:proofErr w:type="gramEnd"/>
    </w:p>
    <w:p w14:paraId="52C86915" w14:textId="77777777" w:rsidR="00236EE1" w:rsidRPr="00236EE1" w:rsidRDefault="00236EE1" w:rsidP="00236EE1">
      <w:r w:rsidRPr="00236EE1">
        <w:t>☐Corporate entity (tax-exempt</w:t>
      </w:r>
      <w:proofErr w:type="gramStart"/>
      <w:r w:rsidRPr="00236EE1">
        <w:t>);</w:t>
      </w:r>
      <w:proofErr w:type="gramEnd"/>
    </w:p>
    <w:p w14:paraId="6D7430E7" w14:textId="77777777" w:rsidR="00236EE1" w:rsidRPr="00236EE1" w:rsidRDefault="00236EE1" w:rsidP="00236EE1">
      <w:r w:rsidRPr="00236EE1">
        <w:t>☐Government entity (Federal, State, or local</w:t>
      </w:r>
      <w:proofErr w:type="gramStart"/>
      <w:r w:rsidRPr="00236EE1">
        <w:t>);</w:t>
      </w:r>
      <w:proofErr w:type="gramEnd"/>
    </w:p>
    <w:p w14:paraId="1D850BCD" w14:textId="77777777" w:rsidR="00236EE1" w:rsidRPr="00236EE1" w:rsidRDefault="00236EE1" w:rsidP="00236EE1">
      <w:r w:rsidRPr="00236EE1">
        <w:t xml:space="preserve">☐Foreign </w:t>
      </w:r>
      <w:proofErr w:type="gramStart"/>
      <w:r w:rsidRPr="00236EE1">
        <w:t>government;</w:t>
      </w:r>
      <w:proofErr w:type="gramEnd"/>
    </w:p>
    <w:p w14:paraId="142270F2" w14:textId="77777777" w:rsidR="00236EE1" w:rsidRPr="00236EE1" w:rsidRDefault="00236EE1" w:rsidP="00236EE1">
      <w:r w:rsidRPr="00236EE1">
        <w:t>☐International organization per 26 CFR1.6049-</w:t>
      </w:r>
      <w:proofErr w:type="gramStart"/>
      <w:r w:rsidRPr="00236EE1">
        <w:t>4;</w:t>
      </w:r>
      <w:proofErr w:type="gramEnd"/>
    </w:p>
    <w:p w14:paraId="0853B39B" w14:textId="77777777" w:rsidR="00236EE1" w:rsidRPr="00236EE1" w:rsidRDefault="00236EE1" w:rsidP="00236EE1">
      <w:r w:rsidRPr="00236EE1">
        <w:t>☐Other ________________________________.</w:t>
      </w:r>
    </w:p>
    <w:p w14:paraId="0E1E03EC" w14:textId="77777777" w:rsidR="00236EE1" w:rsidRPr="00236EE1" w:rsidRDefault="00236EE1" w:rsidP="00236EE1">
      <w:r w:rsidRPr="00236EE1">
        <w:t>(5) </w:t>
      </w:r>
      <w:r w:rsidRPr="00236EE1">
        <w:rPr>
          <w:i/>
          <w:iCs/>
        </w:rPr>
        <w:t>Common parent</w:t>
      </w:r>
      <w:r w:rsidRPr="00236EE1">
        <w:t>.</w:t>
      </w:r>
    </w:p>
    <w:p w14:paraId="30893A92" w14:textId="77777777" w:rsidR="00236EE1" w:rsidRPr="00236EE1" w:rsidRDefault="00236EE1" w:rsidP="00236EE1">
      <w:r w:rsidRPr="00236EE1">
        <w:t xml:space="preserve">☐Offeror is not owned or controlled by a common </w:t>
      </w:r>
      <w:proofErr w:type="gramStart"/>
      <w:r w:rsidRPr="00236EE1">
        <w:t>parent;</w:t>
      </w:r>
      <w:proofErr w:type="gramEnd"/>
    </w:p>
    <w:p w14:paraId="1B98B19B" w14:textId="77777777" w:rsidR="00236EE1" w:rsidRPr="00236EE1" w:rsidRDefault="00236EE1" w:rsidP="00236EE1">
      <w:r w:rsidRPr="00236EE1">
        <w:t>☐Name and TIN of common parent:</w:t>
      </w:r>
    </w:p>
    <w:p w14:paraId="4BE2547C" w14:textId="77777777" w:rsidR="00236EE1" w:rsidRPr="00236EE1" w:rsidRDefault="00236EE1" w:rsidP="00236EE1">
      <w:r w:rsidRPr="00236EE1">
        <w:t>Name ________________________________.</w:t>
      </w:r>
    </w:p>
    <w:p w14:paraId="44CFF655" w14:textId="77777777" w:rsidR="00236EE1" w:rsidRPr="00236EE1" w:rsidRDefault="00236EE1" w:rsidP="00236EE1">
      <w:r w:rsidRPr="00236EE1">
        <w:t>TIN _________________________________.</w:t>
      </w:r>
    </w:p>
    <w:p w14:paraId="7929FA2F" w14:textId="77777777" w:rsidR="00236EE1" w:rsidRPr="00236EE1" w:rsidRDefault="00236EE1" w:rsidP="00236EE1">
      <w:r w:rsidRPr="00236EE1">
        <w:t>(m) </w:t>
      </w:r>
      <w:r w:rsidRPr="00236EE1">
        <w:rPr>
          <w:i/>
          <w:iCs/>
        </w:rPr>
        <w:t>Restricted business operations in Sudan</w:t>
      </w:r>
      <w:r w:rsidRPr="00236EE1">
        <w:t>. By submission of its offer, the offeror certifies that the offeror does not conduct any restricted business operations in Sudan.</w:t>
      </w:r>
    </w:p>
    <w:p w14:paraId="5A6FDF13" w14:textId="77777777" w:rsidR="00236EE1" w:rsidRPr="00236EE1" w:rsidRDefault="00236EE1" w:rsidP="00236EE1">
      <w:r w:rsidRPr="00236EE1">
        <w:t>(n) Prohibition on Contracting with Inverted Domestic Corporations.</w:t>
      </w:r>
    </w:p>
    <w:p w14:paraId="10CDBB70" w14:textId="77777777" w:rsidR="00236EE1" w:rsidRPr="00236EE1" w:rsidRDefault="00236EE1" w:rsidP="00236EE1">
      <w:r w:rsidRPr="00236EE1">
        <w:t> </w:t>
      </w:r>
    </w:p>
    <w:p w14:paraId="3F9C81DE" w14:textId="77777777" w:rsidR="00236EE1" w:rsidRPr="00236EE1" w:rsidRDefault="00236EE1" w:rsidP="00236EE1">
      <w:r w:rsidRPr="00236EE1">
        <w:t>(1) Government agencies are not permitted to use appropriated (or otherwise made available) funds for contracts with either an inverted domestic corporation, or a subsidiary of an inverted domestic corporation, unless the exception at </w:t>
      </w:r>
      <w:hyperlink r:id="rId56" w:anchor="FAR_9_108_2" w:tooltip="9.108-2" w:history="1">
        <w:r w:rsidRPr="00236EE1">
          <w:rPr>
            <w:rStyle w:val="Hyperlink"/>
          </w:rPr>
          <w:t>9.108-2</w:t>
        </w:r>
      </w:hyperlink>
      <w:r w:rsidRPr="00236EE1">
        <w:t>(b) applies or the requirement is waived in accordance with the procedures at </w:t>
      </w:r>
      <w:hyperlink r:id="rId57" w:anchor="FAR_9_108_4" w:tooltip="9.108-4" w:history="1">
        <w:r w:rsidRPr="00236EE1">
          <w:rPr>
            <w:rStyle w:val="Hyperlink"/>
          </w:rPr>
          <w:t>9.108-4</w:t>
        </w:r>
      </w:hyperlink>
      <w:r w:rsidRPr="00236EE1">
        <w:t>.</w:t>
      </w:r>
    </w:p>
    <w:p w14:paraId="722EF4BE" w14:textId="77777777" w:rsidR="00236EE1" w:rsidRPr="00236EE1" w:rsidRDefault="00236EE1" w:rsidP="00236EE1">
      <w:r w:rsidRPr="00236EE1">
        <w:t>(2) </w:t>
      </w:r>
      <w:r w:rsidRPr="00236EE1">
        <w:rPr>
          <w:i/>
          <w:iCs/>
        </w:rPr>
        <w:t>Representation</w:t>
      </w:r>
      <w:r w:rsidRPr="00236EE1">
        <w:t>. The Offeror represents that–</w:t>
      </w:r>
    </w:p>
    <w:p w14:paraId="0E7007BA" w14:textId="77777777" w:rsidR="00236EE1" w:rsidRPr="00236EE1" w:rsidRDefault="00236EE1" w:rsidP="00236EE1">
      <w:r w:rsidRPr="00236EE1">
        <w:t>(i) It </w:t>
      </w:r>
      <w:r w:rsidRPr="00236EE1">
        <w:rPr>
          <w:i/>
          <w:iCs/>
        </w:rPr>
        <w:t>□</w:t>
      </w:r>
      <w:r w:rsidRPr="00236EE1">
        <w:t> is, </w:t>
      </w:r>
      <w:r w:rsidRPr="00236EE1">
        <w:rPr>
          <w:i/>
          <w:iCs/>
        </w:rPr>
        <w:t>□</w:t>
      </w:r>
      <w:r w:rsidRPr="00236EE1">
        <w:t> is not an inverted domestic corporation; and</w:t>
      </w:r>
    </w:p>
    <w:p w14:paraId="7AE510DB" w14:textId="77777777" w:rsidR="00236EE1" w:rsidRPr="00236EE1" w:rsidRDefault="00236EE1" w:rsidP="00236EE1">
      <w:r w:rsidRPr="00236EE1">
        <w:t>(ii) It </w:t>
      </w:r>
      <w:r w:rsidRPr="00236EE1">
        <w:rPr>
          <w:i/>
          <w:iCs/>
        </w:rPr>
        <w:t>□</w:t>
      </w:r>
      <w:r w:rsidRPr="00236EE1">
        <w:t> is, </w:t>
      </w:r>
      <w:r w:rsidRPr="00236EE1">
        <w:rPr>
          <w:i/>
          <w:iCs/>
        </w:rPr>
        <w:t>□</w:t>
      </w:r>
      <w:r w:rsidRPr="00236EE1">
        <w:t> is not a subsidiary of an inverted domestic corporation.</w:t>
      </w:r>
    </w:p>
    <w:p w14:paraId="40C49ACB" w14:textId="77777777" w:rsidR="00236EE1" w:rsidRPr="00236EE1" w:rsidRDefault="00236EE1" w:rsidP="00236EE1">
      <w:r w:rsidRPr="00236EE1">
        <w:t>(o) Prohibition on contracting with entities engaging in certain activities or transactions relating to Iran.</w:t>
      </w:r>
    </w:p>
    <w:p w14:paraId="517333B0" w14:textId="77777777" w:rsidR="00236EE1" w:rsidRPr="00236EE1" w:rsidRDefault="00236EE1" w:rsidP="00236EE1">
      <w:r w:rsidRPr="00236EE1">
        <w:t> </w:t>
      </w:r>
    </w:p>
    <w:p w14:paraId="4B92CDE3" w14:textId="77777777" w:rsidR="00236EE1" w:rsidRPr="00236EE1" w:rsidRDefault="00236EE1" w:rsidP="00236EE1">
      <w:r w:rsidRPr="00236EE1">
        <w:t>(1) The offeror shall e-mail questions concerning sensitive technology to the Department of State at </w:t>
      </w:r>
      <w:hyperlink r:id="rId58" w:tgtFrame="_blank" w:tooltip="CISADA106@state.gov" w:history="1">
        <w:r w:rsidRPr="00236EE1">
          <w:rPr>
            <w:rStyle w:val="Hyperlink"/>
          </w:rPr>
          <w:t>CISADA106@state.gov</w:t>
        </w:r>
      </w:hyperlink>
      <w:r w:rsidRPr="00236EE1">
        <w:t>.</w:t>
      </w:r>
    </w:p>
    <w:p w14:paraId="59F16D55" w14:textId="77777777" w:rsidR="00236EE1" w:rsidRPr="00236EE1" w:rsidRDefault="00236EE1" w:rsidP="00236EE1">
      <w:r w:rsidRPr="00236EE1">
        <w:lastRenderedPageBreak/>
        <w:t>(2) </w:t>
      </w:r>
      <w:r w:rsidRPr="00236EE1">
        <w:rPr>
          <w:i/>
          <w:iCs/>
        </w:rPr>
        <w:t>Representation and Certifications</w:t>
      </w:r>
      <w:r w:rsidRPr="00236EE1">
        <w:t>. Unless a waiver is granted or an exception applies as provided in paragraph (o)(3) of this provision, by submission of its offer, the offeror-</w:t>
      </w:r>
    </w:p>
    <w:p w14:paraId="1DFC36FD" w14:textId="77777777" w:rsidR="00236EE1" w:rsidRPr="00236EE1" w:rsidRDefault="00236EE1" w:rsidP="00236EE1">
      <w:r w:rsidRPr="00236EE1">
        <w:t xml:space="preserve">(i) Represents, to the best of its knowledge and belief, that the offeror does not export any sensitive technology to the government of </w:t>
      </w:r>
      <w:proofErr w:type="gramStart"/>
      <w:r w:rsidRPr="00236EE1">
        <w:t>Iran</w:t>
      </w:r>
      <w:proofErr w:type="gramEnd"/>
      <w:r w:rsidRPr="00236EE1">
        <w:t xml:space="preserve"> or any entities or individuals owned or controlled by, or acting on behalf or at the direction of, the government of Iran;</w:t>
      </w:r>
    </w:p>
    <w:p w14:paraId="6FD64AF8" w14:textId="77777777" w:rsidR="00236EE1" w:rsidRPr="00236EE1" w:rsidRDefault="00236EE1" w:rsidP="00236EE1">
      <w:r w:rsidRPr="00236EE1">
        <w:t>(ii) Certifies that the offeror, or any person owned or controlled by the offeror, does not engage in any activities for which sanctions may be imposed under section 5 of the Iran Sanctions Act; and</w:t>
      </w:r>
    </w:p>
    <w:p w14:paraId="0B06FBBE" w14:textId="77777777" w:rsidR="00236EE1" w:rsidRPr="00236EE1" w:rsidRDefault="00236EE1" w:rsidP="00236EE1">
      <w:r w:rsidRPr="00236EE1">
        <w:t>(iii) Certifies that the offeror, and any person owned or controlled by the offeror, does not knowingly engage in any transaction that exceeds the threshold at FAR </w:t>
      </w:r>
      <w:hyperlink r:id="rId59" w:anchor="FAR_25_703_2" w:tooltip="25.703-2" w:history="1">
        <w:r w:rsidRPr="00236EE1">
          <w:rPr>
            <w:rStyle w:val="Hyperlink"/>
          </w:rPr>
          <w:t>25.703-2</w:t>
        </w:r>
      </w:hyperlink>
      <w:r w:rsidRPr="00236EE1">
        <w:t>(a)(2) with Iran’s Revolutionary Guard Corps or any of its officials, agents, or affiliates, the property and interests in property of which are blocked pursuant to the International Emergency Economic Powers Act (et seq.) (see OFAC’s Specially Designated Nationals and Blocked Persons List at </w:t>
      </w:r>
      <w:hyperlink r:id="rId60" w:tgtFrame="_blank" w:tooltip="https://www.treasury.gov/resource-center/sanctions/SDN-List/Pages/default.aspx" w:history="1">
        <w:r w:rsidRPr="00236EE1">
          <w:rPr>
            <w:rStyle w:val="Hyperlink"/>
          </w:rPr>
          <w:t>https://www.treasury.gov/resource-center/sanctions/SDN-List/Pages/default.aspx</w:t>
        </w:r>
      </w:hyperlink>
      <w:r w:rsidRPr="00236EE1">
        <w:t>).</w:t>
      </w:r>
    </w:p>
    <w:p w14:paraId="25F44E04" w14:textId="77777777" w:rsidR="00236EE1" w:rsidRPr="00236EE1" w:rsidRDefault="00236EE1" w:rsidP="00236EE1">
      <w:r w:rsidRPr="00236EE1">
        <w:t>(3) The representation and certification requirements of paragraph (o)(2) of this provision do not apply if-</w:t>
      </w:r>
    </w:p>
    <w:p w14:paraId="2861A674" w14:textId="77777777" w:rsidR="00236EE1" w:rsidRPr="00236EE1" w:rsidRDefault="00236EE1" w:rsidP="00236EE1">
      <w:r w:rsidRPr="00236EE1">
        <w:t>(i) This solicitation includes a trade agreements certification (</w:t>
      </w:r>
      <w:r w:rsidRPr="00236EE1">
        <w:rPr>
          <w:i/>
          <w:iCs/>
        </w:rPr>
        <w:t>e.g.</w:t>
      </w:r>
      <w:r w:rsidRPr="00236EE1">
        <w:t>, </w:t>
      </w:r>
      <w:hyperlink r:id="rId61" w:anchor="FAR_52_212_3" w:tooltip="52.212-3" w:history="1">
        <w:r w:rsidRPr="00236EE1">
          <w:rPr>
            <w:rStyle w:val="Hyperlink"/>
          </w:rPr>
          <w:t>52.212-3</w:t>
        </w:r>
      </w:hyperlink>
      <w:r w:rsidRPr="00236EE1">
        <w:t>(g) or a comparable agency provision); and</w:t>
      </w:r>
    </w:p>
    <w:p w14:paraId="453B700E" w14:textId="77777777" w:rsidR="00236EE1" w:rsidRPr="00236EE1" w:rsidRDefault="00236EE1" w:rsidP="00236EE1">
      <w:r w:rsidRPr="00236EE1">
        <w:t>(ii) The offeror has certified that all the offered products to be supplied are designated country end products.</w:t>
      </w:r>
    </w:p>
    <w:p w14:paraId="1446A09B" w14:textId="77777777" w:rsidR="00236EE1" w:rsidRPr="00236EE1" w:rsidRDefault="00236EE1" w:rsidP="00236EE1">
      <w:r w:rsidRPr="00236EE1">
        <w:t>(p) </w:t>
      </w:r>
      <w:r w:rsidRPr="00236EE1">
        <w:rPr>
          <w:i/>
          <w:iCs/>
        </w:rPr>
        <w:t>Ownership or Control of Offeror</w:t>
      </w:r>
      <w:r w:rsidRPr="00236EE1">
        <w:t>. (Applies in all solicitations when there is a requirement to be registered in SAM or a requirement to have a unique entity identifier in the solicitation).</w:t>
      </w:r>
    </w:p>
    <w:p w14:paraId="748C13C7" w14:textId="77777777" w:rsidR="00236EE1" w:rsidRPr="00236EE1" w:rsidRDefault="00236EE1" w:rsidP="00236EE1">
      <w:r w:rsidRPr="00236EE1">
        <w:t>(1) The Offeror represents that it </w:t>
      </w:r>
      <w:r w:rsidRPr="00236EE1">
        <w:rPr>
          <w:i/>
          <w:iCs/>
        </w:rPr>
        <w:t>□</w:t>
      </w:r>
      <w:r w:rsidRPr="00236EE1">
        <w:t> has or </w:t>
      </w:r>
      <w:r w:rsidRPr="00236EE1">
        <w:rPr>
          <w:i/>
          <w:iCs/>
        </w:rPr>
        <w:t>□</w:t>
      </w:r>
      <w:r w:rsidRPr="00236EE1">
        <w:t> does not have an immediate owner. If the Offeror has more than one immediate owner (such as a joint venture), then the Offeror shall respond to paragraph (2) and if applicable, paragraph (3) of this provision for each participant in the joint venture.</w:t>
      </w:r>
    </w:p>
    <w:p w14:paraId="3CDF9F59" w14:textId="77777777" w:rsidR="00236EE1" w:rsidRPr="00236EE1" w:rsidRDefault="00236EE1" w:rsidP="00236EE1">
      <w:r w:rsidRPr="00236EE1">
        <w:t>(2) If the Offeror indicates "has" in paragraph (p)(1) of this provision, enter the following information:</w:t>
      </w:r>
    </w:p>
    <w:p w14:paraId="69F0DC17" w14:textId="77777777" w:rsidR="00236EE1" w:rsidRPr="00236EE1" w:rsidRDefault="00236EE1" w:rsidP="00236EE1">
      <w:r w:rsidRPr="00236EE1">
        <w:t>Immediate owner CAGE code: ____________________.</w:t>
      </w:r>
    </w:p>
    <w:p w14:paraId="5838587D" w14:textId="77777777" w:rsidR="00236EE1" w:rsidRPr="00236EE1" w:rsidRDefault="00236EE1" w:rsidP="00236EE1">
      <w:r w:rsidRPr="00236EE1">
        <w:t>Immediate owner legal name: _____________________.</w:t>
      </w:r>
    </w:p>
    <w:p w14:paraId="04A7901A" w14:textId="77777777" w:rsidR="00236EE1" w:rsidRPr="00236EE1" w:rsidRDefault="00236EE1" w:rsidP="00236EE1">
      <w:r w:rsidRPr="00236EE1">
        <w:lastRenderedPageBreak/>
        <w:t>(Do not use a "doing business as" name)</w:t>
      </w:r>
    </w:p>
    <w:p w14:paraId="2B4FDD02" w14:textId="77777777" w:rsidR="00236EE1" w:rsidRPr="00236EE1" w:rsidRDefault="00236EE1" w:rsidP="00236EE1">
      <w:r w:rsidRPr="00236EE1">
        <w:t>Is the immediate owner owned or controlled by another entity: </w:t>
      </w:r>
      <w:r w:rsidRPr="00236EE1">
        <w:rPr>
          <w:i/>
          <w:iCs/>
        </w:rPr>
        <w:t>□</w:t>
      </w:r>
      <w:r w:rsidRPr="00236EE1">
        <w:t> Yes or </w:t>
      </w:r>
      <w:r w:rsidRPr="00236EE1">
        <w:rPr>
          <w:i/>
          <w:iCs/>
        </w:rPr>
        <w:t>□</w:t>
      </w:r>
      <w:r w:rsidRPr="00236EE1">
        <w:t> No.</w:t>
      </w:r>
    </w:p>
    <w:p w14:paraId="31DE6BF8" w14:textId="77777777" w:rsidR="00236EE1" w:rsidRPr="00236EE1" w:rsidRDefault="00236EE1" w:rsidP="00236EE1">
      <w:r w:rsidRPr="00236EE1">
        <w:t>(3) If the Offeror indicates "yes" in paragraph (p)(2) of this provision, indicating that the immediate owner is owned or controlled by another entity, then enter the following information:</w:t>
      </w:r>
    </w:p>
    <w:p w14:paraId="3CE0E58E" w14:textId="77777777" w:rsidR="00236EE1" w:rsidRPr="00236EE1" w:rsidRDefault="00236EE1" w:rsidP="00236EE1">
      <w:r w:rsidRPr="00236EE1">
        <w:t>Highest-level owner CAGE code: __________________.</w:t>
      </w:r>
    </w:p>
    <w:p w14:paraId="1AD357F9" w14:textId="77777777" w:rsidR="00236EE1" w:rsidRPr="00236EE1" w:rsidRDefault="00236EE1" w:rsidP="00236EE1">
      <w:r w:rsidRPr="00236EE1">
        <w:t>Highest-level owner legal name: ___________________.</w:t>
      </w:r>
    </w:p>
    <w:p w14:paraId="38E2A7B3" w14:textId="77777777" w:rsidR="00236EE1" w:rsidRPr="00236EE1" w:rsidRDefault="00236EE1" w:rsidP="00236EE1">
      <w:r w:rsidRPr="00236EE1">
        <w:t>(</w:t>
      </w:r>
      <w:r w:rsidRPr="00236EE1">
        <w:rPr>
          <w:i/>
          <w:iCs/>
        </w:rPr>
        <w:t>Do not use a "doing business as" name</w:t>
      </w:r>
      <w:r w:rsidRPr="00236EE1">
        <w:t>)</w:t>
      </w:r>
    </w:p>
    <w:p w14:paraId="6A48595D" w14:textId="77777777" w:rsidR="00236EE1" w:rsidRPr="00236EE1" w:rsidRDefault="00236EE1" w:rsidP="00236EE1">
      <w:r w:rsidRPr="00236EE1">
        <w:t>(q) </w:t>
      </w:r>
      <w:r w:rsidRPr="00236EE1">
        <w:rPr>
          <w:i/>
          <w:iCs/>
        </w:rPr>
        <w:t>Representation by Corporations Regarding Delinquent Tax Liability or a Felony Conviction under any Federal Law.</w:t>
      </w:r>
    </w:p>
    <w:p w14:paraId="74992EBB" w14:textId="77777777" w:rsidR="00236EE1" w:rsidRPr="00236EE1" w:rsidRDefault="00236EE1" w:rsidP="00236EE1">
      <w:r w:rsidRPr="00236EE1">
        <w:t xml:space="preserve">(1) As required by sections 744 and 745 of Division E of the Consolidated and Further Continuing Appropriations Act, 2015 (Pub. L. 113-235), and similar provisions, if contained in subsequent appropriations acts, The Government will not </w:t>
      </w:r>
      <w:proofErr w:type="gramStart"/>
      <w:r w:rsidRPr="00236EE1">
        <w:t>enter into</w:t>
      </w:r>
      <w:proofErr w:type="gramEnd"/>
      <w:r w:rsidRPr="00236EE1">
        <w:t xml:space="preserve"> a contract with any corporation that–</w:t>
      </w:r>
    </w:p>
    <w:p w14:paraId="33A2B5FE" w14:textId="77777777" w:rsidR="00236EE1" w:rsidRPr="00236EE1" w:rsidRDefault="00236EE1" w:rsidP="00236EE1">
      <w:r w:rsidRPr="00236EE1">
        <w:t>(i)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made a determination that suspension or debarment is not necessary to protect the interests of the Government; or</w:t>
      </w:r>
    </w:p>
    <w:p w14:paraId="042CA712" w14:textId="77777777" w:rsidR="00236EE1" w:rsidRPr="00236EE1" w:rsidRDefault="00236EE1" w:rsidP="00236EE1">
      <w:r w:rsidRPr="00236EE1">
        <w:t xml:space="preserve">(ii) Was convicted of a felony criminal violation under any Federal law within the preceding 24 months, where the awarding agency is aware of the conviction, unless an agency has considered suspension or debarment of the corporation and </w:t>
      </w:r>
      <w:proofErr w:type="gramStart"/>
      <w:r w:rsidRPr="00236EE1">
        <w:t>made a determination</w:t>
      </w:r>
      <w:proofErr w:type="gramEnd"/>
      <w:r w:rsidRPr="00236EE1">
        <w:t xml:space="preserve"> that this action is not necessary to protect the interests of the Government.</w:t>
      </w:r>
    </w:p>
    <w:p w14:paraId="40121031" w14:textId="77777777" w:rsidR="00236EE1" w:rsidRPr="00236EE1" w:rsidRDefault="00236EE1" w:rsidP="00236EE1">
      <w:r w:rsidRPr="00236EE1">
        <w:t>(2) The Offeror represents that–</w:t>
      </w:r>
    </w:p>
    <w:p w14:paraId="1003F98D" w14:textId="77777777" w:rsidR="00236EE1" w:rsidRPr="00236EE1" w:rsidRDefault="00236EE1" w:rsidP="00236EE1">
      <w:r w:rsidRPr="00236EE1">
        <w:t>(i) It is </w:t>
      </w:r>
      <w:r w:rsidRPr="00236EE1">
        <w:rPr>
          <w:i/>
          <w:iCs/>
        </w:rPr>
        <w:t>□</w:t>
      </w:r>
      <w:r w:rsidRPr="00236EE1">
        <w:t> is not </w:t>
      </w:r>
      <w:r w:rsidRPr="00236EE1">
        <w:rPr>
          <w:i/>
          <w:iCs/>
        </w:rPr>
        <w:t>□</w:t>
      </w:r>
      <w:r w:rsidRPr="00236EE1">
        <w:t>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14:paraId="03895039" w14:textId="77777777" w:rsidR="00236EE1" w:rsidRPr="00236EE1" w:rsidRDefault="00236EE1" w:rsidP="00236EE1">
      <w:r w:rsidRPr="00236EE1">
        <w:t>(ii) It is </w:t>
      </w:r>
      <w:r w:rsidRPr="00236EE1">
        <w:rPr>
          <w:i/>
          <w:iCs/>
        </w:rPr>
        <w:t>□</w:t>
      </w:r>
      <w:r w:rsidRPr="00236EE1">
        <w:t> is not </w:t>
      </w:r>
      <w:r w:rsidRPr="00236EE1">
        <w:rPr>
          <w:i/>
          <w:iCs/>
        </w:rPr>
        <w:t>□</w:t>
      </w:r>
      <w:r w:rsidRPr="00236EE1">
        <w:t xml:space="preserve"> a corporation that was convicted of a felony criminal violation under a </w:t>
      </w:r>
      <w:proofErr w:type="gramStart"/>
      <w:r w:rsidRPr="00236EE1">
        <w:t>Federal</w:t>
      </w:r>
      <w:proofErr w:type="gramEnd"/>
      <w:r w:rsidRPr="00236EE1">
        <w:t xml:space="preserve"> law within the preceding 24 months.</w:t>
      </w:r>
    </w:p>
    <w:p w14:paraId="45D73E73" w14:textId="77777777" w:rsidR="00236EE1" w:rsidRPr="00236EE1" w:rsidRDefault="00236EE1" w:rsidP="00236EE1">
      <w:r w:rsidRPr="00236EE1">
        <w:lastRenderedPageBreak/>
        <w:t>(r) </w:t>
      </w:r>
      <w:r w:rsidRPr="00236EE1">
        <w:rPr>
          <w:i/>
          <w:iCs/>
        </w:rPr>
        <w:t>Predecessor of Offeror.</w:t>
      </w:r>
      <w:r w:rsidRPr="00236EE1">
        <w:t> (Applies in all solicitations that include the provision at </w:t>
      </w:r>
      <w:hyperlink r:id="rId62" w:anchor="FAR_52_204_16" w:tooltip="52.204-16" w:history="1">
        <w:r w:rsidRPr="00236EE1">
          <w:rPr>
            <w:rStyle w:val="Hyperlink"/>
          </w:rPr>
          <w:t>52.204-16</w:t>
        </w:r>
      </w:hyperlink>
      <w:r w:rsidRPr="00236EE1">
        <w:t>, Commercial and Government Entity Code Reporting.)</w:t>
      </w:r>
    </w:p>
    <w:p w14:paraId="6D838DE7" w14:textId="77777777" w:rsidR="00236EE1" w:rsidRPr="00236EE1" w:rsidRDefault="00236EE1" w:rsidP="00236EE1">
      <w:r w:rsidRPr="00236EE1">
        <w:t>(1) The Offeror represents that it </w:t>
      </w:r>
      <w:r w:rsidRPr="00236EE1">
        <w:rPr>
          <w:i/>
          <w:iCs/>
        </w:rPr>
        <w:t>□</w:t>
      </w:r>
      <w:r w:rsidRPr="00236EE1">
        <w:t> is or </w:t>
      </w:r>
      <w:r w:rsidRPr="00236EE1">
        <w:rPr>
          <w:i/>
          <w:iCs/>
        </w:rPr>
        <w:t>□</w:t>
      </w:r>
      <w:r w:rsidRPr="00236EE1">
        <w:t xml:space="preserve"> is not a successor to a predecessor that held a </w:t>
      </w:r>
      <w:proofErr w:type="gramStart"/>
      <w:r w:rsidRPr="00236EE1">
        <w:t>Federal</w:t>
      </w:r>
      <w:proofErr w:type="gramEnd"/>
      <w:r w:rsidRPr="00236EE1">
        <w:t xml:space="preserve"> contract or grant within the last three years.</w:t>
      </w:r>
    </w:p>
    <w:p w14:paraId="6AE7C5BC" w14:textId="77777777" w:rsidR="00236EE1" w:rsidRPr="00236EE1" w:rsidRDefault="00236EE1" w:rsidP="00236EE1">
      <w:r w:rsidRPr="00236EE1">
        <w:t xml:space="preserve">(2) If the Offeror has indicated "is" in paragraph (r)(1) of this provision, enter the following information for all predecessors that held a </w:t>
      </w:r>
      <w:proofErr w:type="gramStart"/>
      <w:r w:rsidRPr="00236EE1">
        <w:t>Federal</w:t>
      </w:r>
      <w:proofErr w:type="gramEnd"/>
      <w:r w:rsidRPr="00236EE1">
        <w:t xml:space="preserve"> contract or grant within the last three years (if more than one predecessor, list in reverse chronological order):</w:t>
      </w:r>
    </w:p>
    <w:p w14:paraId="5899B003" w14:textId="77777777" w:rsidR="00236EE1" w:rsidRPr="00236EE1" w:rsidRDefault="00236EE1" w:rsidP="00236EE1">
      <w:r w:rsidRPr="00236EE1">
        <w:t>Predecessor CAGE code: (or mark "Unknown").</w:t>
      </w:r>
    </w:p>
    <w:p w14:paraId="1B024087" w14:textId="77777777" w:rsidR="00236EE1" w:rsidRPr="00236EE1" w:rsidRDefault="00236EE1" w:rsidP="00236EE1">
      <w:r w:rsidRPr="00236EE1">
        <w:t>Predecessor legal name:</w:t>
      </w:r>
      <w:r w:rsidRPr="00236EE1">
        <w:rPr>
          <w:u w:val="single"/>
        </w:rPr>
        <w:t> </w:t>
      </w:r>
      <w:r w:rsidRPr="00236EE1">
        <w:t>____.</w:t>
      </w:r>
    </w:p>
    <w:p w14:paraId="407241ED" w14:textId="77777777" w:rsidR="00236EE1" w:rsidRPr="00236EE1" w:rsidRDefault="00236EE1" w:rsidP="00236EE1">
      <w:r w:rsidRPr="00236EE1">
        <w:t>(</w:t>
      </w:r>
      <w:r w:rsidRPr="00236EE1">
        <w:rPr>
          <w:i/>
          <w:iCs/>
        </w:rPr>
        <w:t>Do not use a "doing business as" name</w:t>
      </w:r>
      <w:r w:rsidRPr="00236EE1">
        <w:t>).</w:t>
      </w:r>
    </w:p>
    <w:p w14:paraId="7A57F47D" w14:textId="77777777" w:rsidR="00236EE1" w:rsidRPr="00236EE1" w:rsidRDefault="00236EE1" w:rsidP="00236EE1">
      <w:r w:rsidRPr="00236EE1">
        <w:t>(s) [Reserved].</w:t>
      </w:r>
    </w:p>
    <w:p w14:paraId="1B4B65FC" w14:textId="77777777" w:rsidR="00236EE1" w:rsidRPr="00236EE1" w:rsidRDefault="00236EE1" w:rsidP="00236EE1">
      <w:r w:rsidRPr="00236EE1">
        <w:t>(t) </w:t>
      </w:r>
      <w:r w:rsidRPr="00236EE1">
        <w:rPr>
          <w:i/>
          <w:iCs/>
        </w:rPr>
        <w:t>Public Disclosure of Greenhouse Gas Emissions and Reduction Goals</w:t>
      </w:r>
      <w:r w:rsidRPr="00236EE1">
        <w:t>. Applies in all solicitations that require offerors to register in SAM ( </w:t>
      </w:r>
      <w:hyperlink r:id="rId63" w:anchor="FAR_12_301" w:tooltip="12.301" w:history="1">
        <w:r w:rsidRPr="00236EE1">
          <w:rPr>
            <w:rStyle w:val="Hyperlink"/>
          </w:rPr>
          <w:t>12.301</w:t>
        </w:r>
      </w:hyperlink>
      <w:r w:rsidRPr="00236EE1">
        <w:t>(d)(1)).</w:t>
      </w:r>
    </w:p>
    <w:p w14:paraId="369430B7" w14:textId="77777777" w:rsidR="00236EE1" w:rsidRPr="00236EE1" w:rsidRDefault="00236EE1" w:rsidP="00236EE1">
      <w:r w:rsidRPr="00236EE1">
        <w:t>(1) This representation shall be completed if the Offeror received $7.5 million or more in contract awards in the prior Federal fiscal year. The representation is optional if the Offeror received less than $7.5 million in Federal contract awards in the prior Federal fiscal year.</w:t>
      </w:r>
    </w:p>
    <w:p w14:paraId="6E1DB0D9" w14:textId="77777777" w:rsidR="00236EE1" w:rsidRPr="00236EE1" w:rsidRDefault="00236EE1" w:rsidP="00236EE1">
      <w:r w:rsidRPr="00236EE1">
        <w:t>(2) Representation. [Offeror to check applicable block(s) in paragraph (t)(2)(i) and (ii)].</w:t>
      </w:r>
    </w:p>
    <w:p w14:paraId="041662E8" w14:textId="77777777" w:rsidR="00236EE1" w:rsidRPr="00236EE1" w:rsidRDefault="00236EE1" w:rsidP="00236EE1">
      <w:r w:rsidRPr="00236EE1">
        <w:t> </w:t>
      </w:r>
    </w:p>
    <w:p w14:paraId="69DD0B50" w14:textId="77777777" w:rsidR="00236EE1" w:rsidRPr="00236EE1" w:rsidRDefault="00236EE1" w:rsidP="00236EE1">
      <w:r w:rsidRPr="00236EE1">
        <w:t>(i) The Offeror (itself or through its immediate owner or highest-level owner) </w:t>
      </w:r>
      <w:r w:rsidRPr="00236EE1">
        <w:rPr>
          <w:i/>
          <w:iCs/>
        </w:rPr>
        <w:t>□</w:t>
      </w:r>
      <w:r w:rsidRPr="00236EE1">
        <w:t> does, </w:t>
      </w:r>
      <w:r w:rsidRPr="00236EE1">
        <w:rPr>
          <w:i/>
          <w:iCs/>
        </w:rPr>
        <w:t>□</w:t>
      </w:r>
      <w:r w:rsidRPr="00236EE1">
        <w:t> does not publicly disclose greenhouse gas emissions, i.e., makes available on a publicly accessible website the results of a greenhouse gas inventory, performed in accordance with an accounting standard with publicly available and consistently applied criteria, such as the Greenhouse Gas Protocol Corporate Standard.</w:t>
      </w:r>
    </w:p>
    <w:p w14:paraId="6007DC45" w14:textId="77777777" w:rsidR="00236EE1" w:rsidRPr="00236EE1" w:rsidRDefault="00236EE1" w:rsidP="00236EE1">
      <w:r w:rsidRPr="00236EE1">
        <w:t>(ii) The Offeror (itself or through its immediate owner or highest-level owner) </w:t>
      </w:r>
      <w:r w:rsidRPr="00236EE1">
        <w:rPr>
          <w:i/>
          <w:iCs/>
        </w:rPr>
        <w:t>□</w:t>
      </w:r>
      <w:r w:rsidRPr="00236EE1">
        <w:t> does, </w:t>
      </w:r>
      <w:r w:rsidRPr="00236EE1">
        <w:rPr>
          <w:i/>
          <w:iCs/>
        </w:rPr>
        <w:t>□</w:t>
      </w:r>
      <w:r w:rsidRPr="00236EE1">
        <w:t> does not publicly disclose a quantitative greenhouse gas emissions reduction goal, i.e., make available on a publicly accessible website a target to reduce absolute emissions or emissions intensity by a specific quantity or percentage.</w:t>
      </w:r>
    </w:p>
    <w:p w14:paraId="289A2599" w14:textId="77777777" w:rsidR="00236EE1" w:rsidRPr="00236EE1" w:rsidRDefault="00236EE1" w:rsidP="00236EE1">
      <w:r w:rsidRPr="00236EE1">
        <w:t>(iii) A publicly accessible website includes the Offeror's own website or a recognized, third-party greenhouse gas emissions reporting program.</w:t>
      </w:r>
    </w:p>
    <w:p w14:paraId="3CA132F4" w14:textId="77777777" w:rsidR="00236EE1" w:rsidRPr="00236EE1" w:rsidRDefault="00236EE1" w:rsidP="00236EE1">
      <w:r w:rsidRPr="00236EE1">
        <w:lastRenderedPageBreak/>
        <w:t xml:space="preserve">(3) If the Offeror checked "does" in paragraphs (t)(2)(i) or (t)(2)(ii) of this provision, respectively, the Offeror shall provide the publicly accessible website(s) where greenhouse gas emissions and/or reduction goals are </w:t>
      </w:r>
      <w:proofErr w:type="gramStart"/>
      <w:r w:rsidRPr="00236EE1">
        <w:t>reported:</w:t>
      </w:r>
      <w:r w:rsidRPr="00236EE1">
        <w:rPr>
          <w:i/>
          <w:iCs/>
        </w:rPr>
        <w:t>_</w:t>
      </w:r>
      <w:proofErr w:type="gramEnd"/>
      <w:r w:rsidRPr="00236EE1">
        <w:rPr>
          <w:i/>
          <w:iCs/>
        </w:rPr>
        <w:t>___________</w:t>
      </w:r>
      <w:r w:rsidRPr="00236EE1">
        <w:t>.</w:t>
      </w:r>
    </w:p>
    <w:p w14:paraId="0F2C825A" w14:textId="77777777" w:rsidR="00236EE1" w:rsidRPr="00236EE1" w:rsidRDefault="00236EE1" w:rsidP="00236EE1">
      <w:r w:rsidRPr="00236EE1">
        <w:t>(u) </w:t>
      </w:r>
    </w:p>
    <w:p w14:paraId="399163A7" w14:textId="77777777" w:rsidR="00236EE1" w:rsidRPr="00236EE1" w:rsidRDefault="00236EE1" w:rsidP="00236EE1">
      <w:r w:rsidRPr="00236EE1">
        <w:t>(1) In accordance with section 743 of Division E, Title VII, of the Consolidated and Further Continuing Appropriations Act, 2015 (Pub. L. 113-235) and its successor provisions in subsequent appropriations acts (and as extended in continuing resolutions), Government agencies are not permitted to use appropriated (or otherwise made available) funds for contracts with an entity that requires employees or subcontractors of such entity seeking to report waste, fraud,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14:paraId="19A8D6E9" w14:textId="77777777" w:rsidR="00236EE1" w:rsidRPr="00236EE1" w:rsidRDefault="00236EE1" w:rsidP="00236EE1">
      <w:r w:rsidRPr="00236EE1">
        <w:t xml:space="preserve">(2) The prohibition in paragraph (u)(1) of this provision does not contravene requirements applicable to Standard Form 312 (Classified Information Nondisclosure Agreement), Form 4414 (Sensitive Compartmented Information Nondisclosure Agreement), or any other form issued by a </w:t>
      </w:r>
      <w:proofErr w:type="gramStart"/>
      <w:r w:rsidRPr="00236EE1">
        <w:t>Federal</w:t>
      </w:r>
      <w:proofErr w:type="gramEnd"/>
      <w:r w:rsidRPr="00236EE1">
        <w:t xml:space="preserve"> department or agency governing the nondisclosure of classified information.</w:t>
      </w:r>
    </w:p>
    <w:p w14:paraId="7D4968EE" w14:textId="77777777" w:rsidR="00236EE1" w:rsidRPr="00236EE1" w:rsidRDefault="00236EE1" w:rsidP="00236EE1">
      <w:r w:rsidRPr="00236EE1">
        <w:t>(3) </w:t>
      </w:r>
      <w:r w:rsidRPr="00236EE1">
        <w:rPr>
          <w:i/>
          <w:iCs/>
        </w:rPr>
        <w:t>Representation</w:t>
      </w:r>
      <w:r w:rsidRPr="00236EE1">
        <w:t>. By submission of its offer, the Offeror represents that it will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law enforcement representative of a Federal department or agency authorized to receive such information (</w:t>
      </w:r>
      <w:r w:rsidRPr="00236EE1">
        <w:rPr>
          <w:i/>
          <w:iCs/>
        </w:rPr>
        <w:t>e.g.</w:t>
      </w:r>
      <w:r w:rsidRPr="00236EE1">
        <w:t>, agency Office of the Inspector General).</w:t>
      </w:r>
    </w:p>
    <w:p w14:paraId="044B6CD3" w14:textId="77777777" w:rsidR="00236EE1" w:rsidRPr="00236EE1" w:rsidRDefault="00236EE1" w:rsidP="00236EE1">
      <w:r w:rsidRPr="00236EE1">
        <w:t>(v) </w:t>
      </w:r>
      <w:r w:rsidRPr="00236EE1">
        <w:rPr>
          <w:i/>
          <w:iCs/>
        </w:rPr>
        <w:t>Covered Telecommunications Equipment or Services-Representation.</w:t>
      </w:r>
      <w:r w:rsidRPr="00236EE1">
        <w:t> Section 889(a)(1)(A) and section 889 (a)(1)(B) of Public Law 115-232.</w:t>
      </w:r>
    </w:p>
    <w:p w14:paraId="5C9A7F97" w14:textId="77777777" w:rsidR="00236EE1" w:rsidRPr="00236EE1" w:rsidRDefault="00236EE1" w:rsidP="00236EE1">
      <w:r w:rsidRPr="00236EE1">
        <w:t>(1) The Offeror shall review the list of excluded parties in the System for Award Management (SAM) ( </w:t>
      </w:r>
      <w:hyperlink r:id="rId64" w:tgtFrame="_blank" w:tooltip="https://www.sam.gov" w:history="1">
        <w:r w:rsidRPr="00236EE1">
          <w:rPr>
            <w:rStyle w:val="Hyperlink"/>
          </w:rPr>
          <w:t>https://www.sam.gov</w:t>
        </w:r>
      </w:hyperlink>
      <w:r w:rsidRPr="00236EE1">
        <w:t>) for entities excluded from receiving federal awards for "covered telecommunications equipment or services".</w:t>
      </w:r>
    </w:p>
    <w:p w14:paraId="2E1DB2C0" w14:textId="77777777" w:rsidR="00236EE1" w:rsidRPr="00236EE1" w:rsidRDefault="00236EE1" w:rsidP="00236EE1">
      <w:r w:rsidRPr="00236EE1">
        <w:t>(2) The Offeror represents that–</w:t>
      </w:r>
    </w:p>
    <w:p w14:paraId="445F42FF" w14:textId="77777777" w:rsidR="00236EE1" w:rsidRPr="00236EE1" w:rsidRDefault="00236EE1" w:rsidP="00236EE1">
      <w:r w:rsidRPr="00236EE1">
        <w:t>(i) It </w:t>
      </w:r>
      <w:r w:rsidRPr="00236EE1">
        <w:rPr>
          <w:i/>
          <w:iCs/>
        </w:rPr>
        <w:t>□</w:t>
      </w:r>
      <w:r w:rsidRPr="00236EE1">
        <w:t> does, </w:t>
      </w:r>
      <w:r w:rsidRPr="00236EE1">
        <w:rPr>
          <w:i/>
          <w:iCs/>
        </w:rPr>
        <w:t>□</w:t>
      </w:r>
      <w:r w:rsidRPr="00236EE1">
        <w:t> does not provide covered telecommunications equipment or services as a part of its offered products or services to the Government in the performance of any contract, subcontract, or other contractual instrument.</w:t>
      </w:r>
    </w:p>
    <w:p w14:paraId="159A02E9" w14:textId="77777777" w:rsidR="00236EE1" w:rsidRPr="00236EE1" w:rsidRDefault="00236EE1" w:rsidP="00236EE1">
      <w:r w:rsidRPr="00236EE1">
        <w:lastRenderedPageBreak/>
        <w:t>(ii) After conducting a reasonable inquiry for purposes of this representation, that it </w:t>
      </w:r>
      <w:r w:rsidRPr="00236EE1">
        <w:rPr>
          <w:i/>
          <w:iCs/>
        </w:rPr>
        <w:t>□</w:t>
      </w:r>
      <w:r w:rsidRPr="00236EE1">
        <w:t> does, </w:t>
      </w:r>
      <w:r w:rsidRPr="00236EE1">
        <w:rPr>
          <w:i/>
          <w:iCs/>
        </w:rPr>
        <w:t>□</w:t>
      </w:r>
      <w:r w:rsidRPr="00236EE1">
        <w:t> does not use covered telecommunications equipment or services, or any equipment, system, or service that uses covered telecommunications equipment or services.</w:t>
      </w:r>
    </w:p>
    <w:p w14:paraId="506E690E" w14:textId="77777777" w:rsidR="00236EE1" w:rsidRPr="00236EE1" w:rsidRDefault="00236EE1" w:rsidP="00236EE1">
      <w:r w:rsidRPr="00236EE1">
        <w:t>(End of Provision)</w:t>
      </w:r>
    </w:p>
    <w:p w14:paraId="36C111B5" w14:textId="77777777" w:rsidR="00236EE1" w:rsidRPr="00236EE1" w:rsidRDefault="00236EE1" w:rsidP="00236EE1">
      <w:r w:rsidRPr="00236EE1">
        <w:rPr>
          <w:i/>
          <w:iCs/>
        </w:rPr>
        <w:t>Alternate I </w:t>
      </w:r>
      <w:r w:rsidRPr="00236EE1">
        <w:t>(Feb 2024). As prescribed in </w:t>
      </w:r>
      <w:hyperlink r:id="rId65" w:anchor="FAR_12_301" w:tooltip="12.301" w:history="1">
        <w:r w:rsidRPr="00236EE1">
          <w:rPr>
            <w:rStyle w:val="Hyperlink"/>
          </w:rPr>
          <w:t>12.301</w:t>
        </w:r>
      </w:hyperlink>
      <w:r w:rsidRPr="00236EE1">
        <w:t> (b)(2), add the following paragraph (c)(12) to the basic provision:</w:t>
      </w:r>
    </w:p>
    <w:p w14:paraId="27D11B81" w14:textId="77777777" w:rsidR="00236EE1" w:rsidRPr="00236EE1" w:rsidRDefault="00236EE1" w:rsidP="00236EE1">
      <w:r w:rsidRPr="00236EE1">
        <w:t>(12) (Complete if the offeror has represented itself as disadvantaged in paragraph (c)(5) of this provision.)</w:t>
      </w:r>
    </w:p>
    <w:p w14:paraId="1C18FA09" w14:textId="77777777" w:rsidR="00236EE1" w:rsidRPr="00236EE1" w:rsidRDefault="00236EE1" w:rsidP="00236EE1">
      <w:r w:rsidRPr="00236EE1">
        <w:rPr>
          <w:i/>
          <w:iCs/>
        </w:rPr>
        <w:t>□</w:t>
      </w:r>
      <w:r w:rsidRPr="00236EE1">
        <w:t> Black American.</w:t>
      </w:r>
    </w:p>
    <w:p w14:paraId="053CDA67" w14:textId="77777777" w:rsidR="00236EE1" w:rsidRPr="00236EE1" w:rsidRDefault="00236EE1" w:rsidP="00236EE1">
      <w:r w:rsidRPr="00236EE1">
        <w:rPr>
          <w:i/>
          <w:iCs/>
        </w:rPr>
        <w:t>□</w:t>
      </w:r>
      <w:r w:rsidRPr="00236EE1">
        <w:t> Hispanic American.</w:t>
      </w:r>
    </w:p>
    <w:p w14:paraId="0A935E90" w14:textId="77777777" w:rsidR="00236EE1" w:rsidRPr="00236EE1" w:rsidRDefault="00236EE1" w:rsidP="00236EE1">
      <w:r w:rsidRPr="00236EE1">
        <w:rPr>
          <w:i/>
          <w:iCs/>
        </w:rPr>
        <w:t>□</w:t>
      </w:r>
      <w:r w:rsidRPr="00236EE1">
        <w:t> Native American (American Indians, Eskimos, Aleuts, or Native Hawaiians).</w:t>
      </w:r>
    </w:p>
    <w:p w14:paraId="529F762E" w14:textId="77777777" w:rsidR="00236EE1" w:rsidRPr="00236EE1" w:rsidRDefault="00236EE1" w:rsidP="00236EE1">
      <w:r w:rsidRPr="00236EE1">
        <w:rPr>
          <w:i/>
          <w:iCs/>
        </w:rPr>
        <w:t>□</w:t>
      </w:r>
      <w:r w:rsidRPr="00236EE1">
        <w:t> Asian-Pacific American (persons with origins from Burma, Thailand, Malaysia, Indonesia, Singapore, Brunei, Japan, China, Taiwan, Laos, Cambodia (Kampuchea), Vietnam, Korea, The Philippines, Republic of Palau, Republic of the Marshall Islands, Federated States of Micronesia, the Commonwealth of the Northern Mariana Islands, Guam, Samoa, Macao, Hong Kong, Fiji, Tonga, Kiribati, Tuvalu, or Nauru).</w:t>
      </w:r>
    </w:p>
    <w:p w14:paraId="4A85A192" w14:textId="77777777" w:rsidR="00236EE1" w:rsidRPr="00236EE1" w:rsidRDefault="00236EE1" w:rsidP="00236EE1">
      <w:r w:rsidRPr="00236EE1">
        <w:rPr>
          <w:i/>
          <w:iCs/>
        </w:rPr>
        <w:t>□</w:t>
      </w:r>
      <w:r w:rsidRPr="00236EE1">
        <w:t> Subcontinent Asian (Asian-Indian) American (persons with origins from India, Pakistan, Bangladesh, Sri Lanka, Bhutan, the Maldives Islands, or Nepal).</w:t>
      </w:r>
    </w:p>
    <w:p w14:paraId="0394363C" w14:textId="77777777" w:rsidR="00236EE1" w:rsidRPr="00236EE1" w:rsidRDefault="00236EE1" w:rsidP="00236EE1">
      <w:r w:rsidRPr="00236EE1">
        <w:rPr>
          <w:i/>
          <w:iCs/>
        </w:rPr>
        <w:t>□</w:t>
      </w:r>
      <w:r w:rsidRPr="00236EE1">
        <w:t> Individual/concern, other than one of the preceding.</w:t>
      </w:r>
    </w:p>
    <w:p w14:paraId="67F14741" w14:textId="77777777" w:rsidR="00236EE1" w:rsidRPr="00236EE1" w:rsidRDefault="00236EE1" w:rsidP="00236EE1">
      <w:r w:rsidRPr="00236EE1">
        <w:rPr>
          <w:b/>
          <w:bCs/>
        </w:rPr>
        <w:t>Parent topic:</w:t>
      </w:r>
      <w:r w:rsidRPr="00236EE1">
        <w:t> </w:t>
      </w:r>
      <w:hyperlink r:id="rId66" w:tooltip="52.212 [Reserved]" w:history="1">
        <w:r w:rsidRPr="00236EE1">
          <w:rPr>
            <w:rStyle w:val="Hyperlink"/>
          </w:rPr>
          <w:t>52.212 [Reserved]</w:t>
        </w:r>
      </w:hyperlink>
    </w:p>
    <w:p w14:paraId="063CA8C3" w14:textId="77777777" w:rsidR="00A66030" w:rsidRDefault="00A66030"/>
    <w:sectPr w:rsidR="00A66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E1"/>
    <w:rsid w:val="00236EE1"/>
    <w:rsid w:val="00A66030"/>
    <w:rsid w:val="00FE3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4968"/>
  <w15:chartTrackingRefBased/>
  <w15:docId w15:val="{F7491A94-27DA-49C3-A83B-8D60A669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EE1"/>
    <w:rPr>
      <w:rFonts w:eastAsiaTheme="majorEastAsia" w:cstheme="majorBidi"/>
      <w:color w:val="272727" w:themeColor="text1" w:themeTint="D8"/>
    </w:rPr>
  </w:style>
  <w:style w:type="paragraph" w:styleId="Title">
    <w:name w:val="Title"/>
    <w:basedOn w:val="Normal"/>
    <w:next w:val="Normal"/>
    <w:link w:val="TitleChar"/>
    <w:uiPriority w:val="10"/>
    <w:qFormat/>
    <w:rsid w:val="0023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EE1"/>
    <w:pPr>
      <w:spacing w:before="160"/>
      <w:jc w:val="center"/>
    </w:pPr>
    <w:rPr>
      <w:i/>
      <w:iCs/>
      <w:color w:val="404040" w:themeColor="text1" w:themeTint="BF"/>
    </w:rPr>
  </w:style>
  <w:style w:type="character" w:customStyle="1" w:styleId="QuoteChar">
    <w:name w:val="Quote Char"/>
    <w:basedOn w:val="DefaultParagraphFont"/>
    <w:link w:val="Quote"/>
    <w:uiPriority w:val="29"/>
    <w:rsid w:val="00236EE1"/>
    <w:rPr>
      <w:i/>
      <w:iCs/>
      <w:color w:val="404040" w:themeColor="text1" w:themeTint="BF"/>
    </w:rPr>
  </w:style>
  <w:style w:type="paragraph" w:styleId="ListParagraph">
    <w:name w:val="List Paragraph"/>
    <w:basedOn w:val="Normal"/>
    <w:uiPriority w:val="34"/>
    <w:qFormat/>
    <w:rsid w:val="00236EE1"/>
    <w:pPr>
      <w:ind w:left="720"/>
      <w:contextualSpacing/>
    </w:pPr>
  </w:style>
  <w:style w:type="character" w:styleId="IntenseEmphasis">
    <w:name w:val="Intense Emphasis"/>
    <w:basedOn w:val="DefaultParagraphFont"/>
    <w:uiPriority w:val="21"/>
    <w:qFormat/>
    <w:rsid w:val="00236EE1"/>
    <w:rPr>
      <w:i/>
      <w:iCs/>
      <w:color w:val="0F4761" w:themeColor="accent1" w:themeShade="BF"/>
    </w:rPr>
  </w:style>
  <w:style w:type="paragraph" w:styleId="IntenseQuote">
    <w:name w:val="Intense Quote"/>
    <w:basedOn w:val="Normal"/>
    <w:next w:val="Normal"/>
    <w:link w:val="IntenseQuoteChar"/>
    <w:uiPriority w:val="30"/>
    <w:qFormat/>
    <w:rsid w:val="00236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EE1"/>
    <w:rPr>
      <w:i/>
      <w:iCs/>
      <w:color w:val="0F4761" w:themeColor="accent1" w:themeShade="BF"/>
    </w:rPr>
  </w:style>
  <w:style w:type="character" w:styleId="IntenseReference">
    <w:name w:val="Intense Reference"/>
    <w:basedOn w:val="DefaultParagraphFont"/>
    <w:uiPriority w:val="32"/>
    <w:qFormat/>
    <w:rsid w:val="00236EE1"/>
    <w:rPr>
      <w:b/>
      <w:bCs/>
      <w:smallCaps/>
      <w:color w:val="0F4761" w:themeColor="accent1" w:themeShade="BF"/>
      <w:spacing w:val="5"/>
    </w:rPr>
  </w:style>
  <w:style w:type="paragraph" w:customStyle="1" w:styleId="msonormal0">
    <w:name w:val="msonormal"/>
    <w:basedOn w:val="Normal"/>
    <w:rsid w:val="00236EE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h">
    <w:name w:val="ph"/>
    <w:basedOn w:val="DefaultParagraphFont"/>
    <w:rsid w:val="00236EE1"/>
  </w:style>
  <w:style w:type="paragraph" w:customStyle="1" w:styleId="p">
    <w:name w:val="p"/>
    <w:basedOn w:val="Normal"/>
    <w:rsid w:val="00236EE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36EE1"/>
    <w:rPr>
      <w:color w:val="0000FF"/>
      <w:u w:val="single"/>
    </w:rPr>
  </w:style>
  <w:style w:type="character" w:styleId="FollowedHyperlink">
    <w:name w:val="FollowedHyperlink"/>
    <w:basedOn w:val="DefaultParagraphFont"/>
    <w:uiPriority w:val="99"/>
    <w:semiHidden/>
    <w:unhideWhenUsed/>
    <w:rsid w:val="00236EE1"/>
    <w:rPr>
      <w:color w:val="800080"/>
      <w:u w:val="single"/>
    </w:rPr>
  </w:style>
  <w:style w:type="paragraph" w:customStyle="1" w:styleId="listl1">
    <w:name w:val="listl1"/>
    <w:basedOn w:val="Normal"/>
    <w:rsid w:val="00236EE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36EE1"/>
    <w:rPr>
      <w:i/>
      <w:iCs/>
    </w:rPr>
  </w:style>
  <w:style w:type="paragraph" w:customStyle="1" w:styleId="listl2">
    <w:name w:val="listl2"/>
    <w:basedOn w:val="Normal"/>
    <w:rsid w:val="00236EE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istl3">
    <w:name w:val="listl3"/>
    <w:basedOn w:val="Normal"/>
    <w:rsid w:val="00236EE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nin">
    <w:name w:val="runin"/>
    <w:basedOn w:val="Normal"/>
    <w:rsid w:val="00236EE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ninchild">
    <w:name w:val="runinchild"/>
    <w:basedOn w:val="Normal"/>
    <w:rsid w:val="00236EE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ite">
    <w:name w:val="HTML Cite"/>
    <w:basedOn w:val="DefaultParagraphFont"/>
    <w:uiPriority w:val="99"/>
    <w:semiHidden/>
    <w:unhideWhenUsed/>
    <w:rsid w:val="00236EE1"/>
    <w:rPr>
      <w:i/>
      <w:iCs/>
    </w:rPr>
  </w:style>
  <w:style w:type="character" w:styleId="Strong">
    <w:name w:val="Strong"/>
    <w:basedOn w:val="DefaultParagraphFont"/>
    <w:uiPriority w:val="22"/>
    <w:qFormat/>
    <w:rsid w:val="00236EE1"/>
    <w:rPr>
      <w:b/>
      <w:bCs/>
    </w:rPr>
  </w:style>
  <w:style w:type="paragraph" w:customStyle="1" w:styleId="listl4">
    <w:name w:val="listl4"/>
    <w:basedOn w:val="Normal"/>
    <w:rsid w:val="00236EE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ninrestart">
    <w:name w:val="runinrestart"/>
    <w:basedOn w:val="Normal"/>
    <w:rsid w:val="00236EE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236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0">
      <w:bodyDiv w:val="1"/>
      <w:marLeft w:val="0"/>
      <w:marRight w:val="0"/>
      <w:marTop w:val="0"/>
      <w:marBottom w:val="0"/>
      <w:divBdr>
        <w:top w:val="none" w:sz="0" w:space="0" w:color="auto"/>
        <w:left w:val="none" w:sz="0" w:space="0" w:color="auto"/>
        <w:bottom w:val="none" w:sz="0" w:space="0" w:color="auto"/>
        <w:right w:val="none" w:sz="0" w:space="0" w:color="auto"/>
      </w:divBdr>
      <w:divsChild>
        <w:div w:id="151681143">
          <w:marLeft w:val="0"/>
          <w:marRight w:val="0"/>
          <w:marTop w:val="300"/>
          <w:marBottom w:val="300"/>
          <w:divBdr>
            <w:top w:val="none" w:sz="0" w:space="0" w:color="auto"/>
            <w:left w:val="none" w:sz="0" w:space="0" w:color="auto"/>
            <w:bottom w:val="none" w:sz="0" w:space="0" w:color="auto"/>
            <w:right w:val="none" w:sz="0" w:space="0" w:color="auto"/>
          </w:divBdr>
          <w:divsChild>
            <w:div w:id="312568046">
              <w:marLeft w:val="0"/>
              <w:marRight w:val="0"/>
              <w:marTop w:val="0"/>
              <w:marBottom w:val="0"/>
              <w:divBdr>
                <w:top w:val="none" w:sz="0" w:space="0" w:color="auto"/>
                <w:left w:val="none" w:sz="0" w:space="0" w:color="auto"/>
                <w:bottom w:val="none" w:sz="0" w:space="0" w:color="auto"/>
                <w:right w:val="none" w:sz="0" w:space="0" w:color="auto"/>
              </w:divBdr>
              <w:divsChild>
                <w:div w:id="1131896505">
                  <w:marLeft w:val="0"/>
                  <w:marRight w:val="0"/>
                  <w:marTop w:val="0"/>
                  <w:marBottom w:val="0"/>
                  <w:divBdr>
                    <w:top w:val="none" w:sz="0" w:space="0" w:color="auto"/>
                    <w:left w:val="none" w:sz="0" w:space="0" w:color="auto"/>
                    <w:bottom w:val="none" w:sz="0" w:space="0" w:color="auto"/>
                    <w:right w:val="none" w:sz="0" w:space="0" w:color="auto"/>
                  </w:divBdr>
                </w:div>
                <w:div w:id="996349623">
                  <w:marLeft w:val="0"/>
                  <w:marRight w:val="0"/>
                  <w:marTop w:val="0"/>
                  <w:marBottom w:val="0"/>
                  <w:divBdr>
                    <w:top w:val="none" w:sz="0" w:space="0" w:color="auto"/>
                    <w:left w:val="none" w:sz="0" w:space="0" w:color="auto"/>
                    <w:bottom w:val="none" w:sz="0" w:space="0" w:color="auto"/>
                    <w:right w:val="none" w:sz="0" w:space="0" w:color="auto"/>
                  </w:divBdr>
                </w:div>
                <w:div w:id="1395860926">
                  <w:marLeft w:val="0"/>
                  <w:marRight w:val="0"/>
                  <w:marTop w:val="0"/>
                  <w:marBottom w:val="0"/>
                  <w:divBdr>
                    <w:top w:val="none" w:sz="0" w:space="0" w:color="auto"/>
                    <w:left w:val="none" w:sz="0" w:space="0" w:color="auto"/>
                    <w:bottom w:val="none" w:sz="0" w:space="0" w:color="auto"/>
                    <w:right w:val="none" w:sz="0" w:space="0" w:color="auto"/>
                  </w:divBdr>
                </w:div>
                <w:div w:id="2091732788">
                  <w:marLeft w:val="0"/>
                  <w:marRight w:val="0"/>
                  <w:marTop w:val="0"/>
                  <w:marBottom w:val="0"/>
                  <w:divBdr>
                    <w:top w:val="none" w:sz="0" w:space="0" w:color="auto"/>
                    <w:left w:val="none" w:sz="0" w:space="0" w:color="auto"/>
                    <w:bottom w:val="none" w:sz="0" w:space="0" w:color="auto"/>
                    <w:right w:val="none" w:sz="0" w:space="0" w:color="auto"/>
                  </w:divBdr>
                </w:div>
                <w:div w:id="1682705500">
                  <w:marLeft w:val="0"/>
                  <w:marRight w:val="0"/>
                  <w:marTop w:val="0"/>
                  <w:marBottom w:val="0"/>
                  <w:divBdr>
                    <w:top w:val="none" w:sz="0" w:space="0" w:color="auto"/>
                    <w:left w:val="none" w:sz="0" w:space="0" w:color="auto"/>
                    <w:bottom w:val="none" w:sz="0" w:space="0" w:color="auto"/>
                    <w:right w:val="none" w:sz="0" w:space="0" w:color="auto"/>
                  </w:divBdr>
                </w:div>
                <w:div w:id="315844480">
                  <w:marLeft w:val="0"/>
                  <w:marRight w:val="0"/>
                  <w:marTop w:val="0"/>
                  <w:marBottom w:val="0"/>
                  <w:divBdr>
                    <w:top w:val="none" w:sz="0" w:space="0" w:color="auto"/>
                    <w:left w:val="none" w:sz="0" w:space="0" w:color="auto"/>
                    <w:bottom w:val="none" w:sz="0" w:space="0" w:color="auto"/>
                    <w:right w:val="none" w:sz="0" w:space="0" w:color="auto"/>
                  </w:divBdr>
                </w:div>
                <w:div w:id="1522162668">
                  <w:marLeft w:val="0"/>
                  <w:marRight w:val="0"/>
                  <w:marTop w:val="0"/>
                  <w:marBottom w:val="0"/>
                  <w:divBdr>
                    <w:top w:val="none" w:sz="0" w:space="0" w:color="auto"/>
                    <w:left w:val="none" w:sz="0" w:space="0" w:color="auto"/>
                    <w:bottom w:val="none" w:sz="0" w:space="0" w:color="auto"/>
                    <w:right w:val="none" w:sz="0" w:space="0" w:color="auto"/>
                  </w:divBdr>
                </w:div>
              </w:divsChild>
            </w:div>
            <w:div w:id="804085847">
              <w:marLeft w:val="0"/>
              <w:marRight w:val="0"/>
              <w:marTop w:val="0"/>
              <w:marBottom w:val="0"/>
              <w:divBdr>
                <w:top w:val="none" w:sz="0" w:space="0" w:color="auto"/>
                <w:left w:val="none" w:sz="0" w:space="0" w:color="auto"/>
                <w:bottom w:val="none" w:sz="0" w:space="0" w:color="auto"/>
                <w:right w:val="none" w:sz="0" w:space="0" w:color="auto"/>
              </w:divBdr>
              <w:divsChild>
                <w:div w:id="6498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43602">
      <w:bodyDiv w:val="1"/>
      <w:marLeft w:val="0"/>
      <w:marRight w:val="0"/>
      <w:marTop w:val="0"/>
      <w:marBottom w:val="0"/>
      <w:divBdr>
        <w:top w:val="none" w:sz="0" w:space="0" w:color="auto"/>
        <w:left w:val="none" w:sz="0" w:space="0" w:color="auto"/>
        <w:bottom w:val="none" w:sz="0" w:space="0" w:color="auto"/>
        <w:right w:val="none" w:sz="0" w:space="0" w:color="auto"/>
      </w:divBdr>
      <w:divsChild>
        <w:div w:id="1883596746">
          <w:marLeft w:val="0"/>
          <w:marRight w:val="0"/>
          <w:marTop w:val="300"/>
          <w:marBottom w:val="300"/>
          <w:divBdr>
            <w:top w:val="none" w:sz="0" w:space="0" w:color="auto"/>
            <w:left w:val="none" w:sz="0" w:space="0" w:color="auto"/>
            <w:bottom w:val="none" w:sz="0" w:space="0" w:color="auto"/>
            <w:right w:val="none" w:sz="0" w:space="0" w:color="auto"/>
          </w:divBdr>
          <w:divsChild>
            <w:div w:id="1070538126">
              <w:marLeft w:val="0"/>
              <w:marRight w:val="0"/>
              <w:marTop w:val="0"/>
              <w:marBottom w:val="0"/>
              <w:divBdr>
                <w:top w:val="none" w:sz="0" w:space="0" w:color="auto"/>
                <w:left w:val="none" w:sz="0" w:space="0" w:color="auto"/>
                <w:bottom w:val="none" w:sz="0" w:space="0" w:color="auto"/>
                <w:right w:val="none" w:sz="0" w:space="0" w:color="auto"/>
              </w:divBdr>
              <w:divsChild>
                <w:div w:id="148402190">
                  <w:marLeft w:val="0"/>
                  <w:marRight w:val="0"/>
                  <w:marTop w:val="0"/>
                  <w:marBottom w:val="0"/>
                  <w:divBdr>
                    <w:top w:val="none" w:sz="0" w:space="0" w:color="auto"/>
                    <w:left w:val="none" w:sz="0" w:space="0" w:color="auto"/>
                    <w:bottom w:val="none" w:sz="0" w:space="0" w:color="auto"/>
                    <w:right w:val="none" w:sz="0" w:space="0" w:color="auto"/>
                  </w:divBdr>
                </w:div>
                <w:div w:id="1525094033">
                  <w:marLeft w:val="0"/>
                  <w:marRight w:val="0"/>
                  <w:marTop w:val="0"/>
                  <w:marBottom w:val="0"/>
                  <w:divBdr>
                    <w:top w:val="none" w:sz="0" w:space="0" w:color="auto"/>
                    <w:left w:val="none" w:sz="0" w:space="0" w:color="auto"/>
                    <w:bottom w:val="none" w:sz="0" w:space="0" w:color="auto"/>
                    <w:right w:val="none" w:sz="0" w:space="0" w:color="auto"/>
                  </w:divBdr>
                </w:div>
                <w:div w:id="1160585329">
                  <w:marLeft w:val="0"/>
                  <w:marRight w:val="0"/>
                  <w:marTop w:val="0"/>
                  <w:marBottom w:val="0"/>
                  <w:divBdr>
                    <w:top w:val="none" w:sz="0" w:space="0" w:color="auto"/>
                    <w:left w:val="none" w:sz="0" w:space="0" w:color="auto"/>
                    <w:bottom w:val="none" w:sz="0" w:space="0" w:color="auto"/>
                    <w:right w:val="none" w:sz="0" w:space="0" w:color="auto"/>
                  </w:divBdr>
                </w:div>
                <w:div w:id="397945574">
                  <w:marLeft w:val="0"/>
                  <w:marRight w:val="0"/>
                  <w:marTop w:val="0"/>
                  <w:marBottom w:val="0"/>
                  <w:divBdr>
                    <w:top w:val="none" w:sz="0" w:space="0" w:color="auto"/>
                    <w:left w:val="none" w:sz="0" w:space="0" w:color="auto"/>
                    <w:bottom w:val="none" w:sz="0" w:space="0" w:color="auto"/>
                    <w:right w:val="none" w:sz="0" w:space="0" w:color="auto"/>
                  </w:divBdr>
                </w:div>
                <w:div w:id="556357715">
                  <w:marLeft w:val="0"/>
                  <w:marRight w:val="0"/>
                  <w:marTop w:val="0"/>
                  <w:marBottom w:val="0"/>
                  <w:divBdr>
                    <w:top w:val="none" w:sz="0" w:space="0" w:color="auto"/>
                    <w:left w:val="none" w:sz="0" w:space="0" w:color="auto"/>
                    <w:bottom w:val="none" w:sz="0" w:space="0" w:color="auto"/>
                    <w:right w:val="none" w:sz="0" w:space="0" w:color="auto"/>
                  </w:divBdr>
                </w:div>
                <w:div w:id="1305548552">
                  <w:marLeft w:val="0"/>
                  <w:marRight w:val="0"/>
                  <w:marTop w:val="0"/>
                  <w:marBottom w:val="0"/>
                  <w:divBdr>
                    <w:top w:val="none" w:sz="0" w:space="0" w:color="auto"/>
                    <w:left w:val="none" w:sz="0" w:space="0" w:color="auto"/>
                    <w:bottom w:val="none" w:sz="0" w:space="0" w:color="auto"/>
                    <w:right w:val="none" w:sz="0" w:space="0" w:color="auto"/>
                  </w:divBdr>
                </w:div>
                <w:div w:id="1032415678">
                  <w:marLeft w:val="0"/>
                  <w:marRight w:val="0"/>
                  <w:marTop w:val="0"/>
                  <w:marBottom w:val="0"/>
                  <w:divBdr>
                    <w:top w:val="none" w:sz="0" w:space="0" w:color="auto"/>
                    <w:left w:val="none" w:sz="0" w:space="0" w:color="auto"/>
                    <w:bottom w:val="none" w:sz="0" w:space="0" w:color="auto"/>
                    <w:right w:val="none" w:sz="0" w:space="0" w:color="auto"/>
                  </w:divBdr>
                </w:div>
              </w:divsChild>
            </w:div>
            <w:div w:id="2119524275">
              <w:marLeft w:val="0"/>
              <w:marRight w:val="0"/>
              <w:marTop w:val="0"/>
              <w:marBottom w:val="0"/>
              <w:divBdr>
                <w:top w:val="none" w:sz="0" w:space="0" w:color="auto"/>
                <w:left w:val="none" w:sz="0" w:space="0" w:color="auto"/>
                <w:bottom w:val="none" w:sz="0" w:space="0" w:color="auto"/>
                <w:right w:val="none" w:sz="0" w:space="0" w:color="auto"/>
              </w:divBdr>
              <w:divsChild>
                <w:div w:id="17662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cfr.gov/current/title-13/section-124.1001" TargetMode="External"/><Relationship Id="rId21" Type="http://schemas.openxmlformats.org/officeDocument/2006/relationships/hyperlink" Target="https://www.acquisition.gov/far/part-19" TargetMode="External"/><Relationship Id="rId34" Type="http://schemas.openxmlformats.org/officeDocument/2006/relationships/hyperlink" Target="http://uscode.house.gov/browse.xhtml;jsessionid=114A3287C7B3359E597506A31FC855B3" TargetMode="External"/><Relationship Id="rId42" Type="http://schemas.openxmlformats.org/officeDocument/2006/relationships/hyperlink" Target="https://www.acquisition.gov/far/52.225-5" TargetMode="External"/><Relationship Id="rId47" Type="http://schemas.openxmlformats.org/officeDocument/2006/relationships/hyperlink" Target="https://www.acquisition.gov/far/22.1003-4" TargetMode="External"/><Relationship Id="rId50" Type="http://schemas.openxmlformats.org/officeDocument/2006/relationships/hyperlink" Target="http://uscode.house.gov/browse.xhtml;jsessionid=114A3287C7B3359E597506A31FC855B3" TargetMode="External"/><Relationship Id="rId55" Type="http://schemas.openxmlformats.org/officeDocument/2006/relationships/hyperlink" Target="https://www.acquisition.gov/far/4.904" TargetMode="External"/><Relationship Id="rId63" Type="http://schemas.openxmlformats.org/officeDocument/2006/relationships/hyperlink" Target="https://www.acquisition.gov/far/12.301" TargetMode="External"/><Relationship Id="rId68" Type="http://schemas.openxmlformats.org/officeDocument/2006/relationships/theme" Target="theme/theme1.xml"/><Relationship Id="rId7" Type="http://schemas.openxmlformats.org/officeDocument/2006/relationships/hyperlink" Target="https://www.ecfr.gov/current/title-13/part-127" TargetMode="External"/><Relationship Id="rId2" Type="http://schemas.openxmlformats.org/officeDocument/2006/relationships/settings" Target="settings.xml"/><Relationship Id="rId16" Type="http://schemas.openxmlformats.org/officeDocument/2006/relationships/hyperlink" Target="https://www.ecfr.gov/current/title-13/part-127" TargetMode="External"/><Relationship Id="rId29" Type="http://schemas.openxmlformats.org/officeDocument/2006/relationships/hyperlink" Target="https://www.ecfr.gov/current/title-13/section-127.506" TargetMode="External"/><Relationship Id="rId11" Type="http://schemas.openxmlformats.org/officeDocument/2006/relationships/hyperlink" Target="https://www.acquisition.gov/far/52.204-25" TargetMode="External"/><Relationship Id="rId24" Type="http://schemas.openxmlformats.org/officeDocument/2006/relationships/hyperlink" Target="https://www.ecfr.gov/current/title-13/section-125.8" TargetMode="External"/><Relationship Id="rId32" Type="http://schemas.openxmlformats.org/officeDocument/2006/relationships/hyperlink" Target="https://www.ecfr.gov/current/title-13/section-126.616" TargetMode="External"/><Relationship Id="rId37" Type="http://schemas.openxmlformats.org/officeDocument/2006/relationships/hyperlink" Target="https://www.acquisition.gov/far/52.225-3" TargetMode="External"/><Relationship Id="rId40" Type="http://schemas.openxmlformats.org/officeDocument/2006/relationships/hyperlink" Target="https://www.acquisition.gov/far/52.225-3" TargetMode="External"/><Relationship Id="rId45" Type="http://schemas.openxmlformats.org/officeDocument/2006/relationships/hyperlink" Target="https://www.acquisition.gov/far/22.1503" TargetMode="External"/><Relationship Id="rId53" Type="http://schemas.openxmlformats.org/officeDocument/2006/relationships/hyperlink" Target="http://uscode.house.gov/browse.xhtml;jsessionid=114A3287C7B3359E597506A31FC855B3" TargetMode="External"/><Relationship Id="rId58" Type="http://schemas.openxmlformats.org/officeDocument/2006/relationships/hyperlink" Target="mailto:CISADA106@state.gov" TargetMode="External"/><Relationship Id="rId66" Type="http://schemas.openxmlformats.org/officeDocument/2006/relationships/hyperlink" Target="https://www.acquisition.gov/far/52.212" TargetMode="External"/><Relationship Id="rId5" Type="http://schemas.openxmlformats.org/officeDocument/2006/relationships/hyperlink" Target="https://www.sam.gov/" TargetMode="External"/><Relationship Id="rId61" Type="http://schemas.openxmlformats.org/officeDocument/2006/relationships/hyperlink" Target="https://www.acquisition.gov/far/52.212-3" TargetMode="External"/><Relationship Id="rId19" Type="http://schemas.openxmlformats.org/officeDocument/2006/relationships/hyperlink" Target="https://www.acquisition.gov/far/52.212-3" TargetMode="External"/><Relationship Id="rId14" Type="http://schemas.openxmlformats.org/officeDocument/2006/relationships/hyperlink" Target="http://uscode.house.gov/view.xhtml?req=granuleid:USC-prelim-title38-section101&amp;num=0&amp;edition=prelim" TargetMode="External"/><Relationship Id="rId22" Type="http://schemas.openxmlformats.org/officeDocument/2006/relationships/hyperlink" Target="https://www.acquisition.gov/far/19.000" TargetMode="External"/><Relationship Id="rId27" Type="http://schemas.openxmlformats.org/officeDocument/2006/relationships/hyperlink" Target="https://www.ecfr.gov/current/title-13/section-127.506" TargetMode="External"/><Relationship Id="rId30" Type="http://schemas.openxmlformats.org/officeDocument/2006/relationships/hyperlink" Target="https://www.ecfr.gov/current/title-13/section-127.506" TargetMode="External"/><Relationship Id="rId35" Type="http://schemas.openxmlformats.org/officeDocument/2006/relationships/hyperlink" Target="https://www.acquisition.gov/far/52.225-1" TargetMode="External"/><Relationship Id="rId43" Type="http://schemas.openxmlformats.org/officeDocument/2006/relationships/hyperlink" Target="https://www.acquisition.gov/far/part-25" TargetMode="External"/><Relationship Id="rId48" Type="http://schemas.openxmlformats.org/officeDocument/2006/relationships/hyperlink" Target="https://www.acquisition.gov/far/22.1003-4" TargetMode="External"/><Relationship Id="rId56" Type="http://schemas.openxmlformats.org/officeDocument/2006/relationships/hyperlink" Target="https://www.acquisition.gov/far/9.108-2" TargetMode="External"/><Relationship Id="rId64" Type="http://schemas.openxmlformats.org/officeDocument/2006/relationships/hyperlink" Target="https://www.sam.gov/" TargetMode="External"/><Relationship Id="rId8" Type="http://schemas.openxmlformats.org/officeDocument/2006/relationships/hyperlink" Target="https://www.ecfr.gov/current/title-13/section-127.300" TargetMode="External"/><Relationship Id="rId51" Type="http://schemas.openxmlformats.org/officeDocument/2006/relationships/hyperlink" Target="http://uscode.house.gov/browse.xhtml;jsessionid=114A3287C7B3359E597506A31FC855B3" TargetMode="External"/><Relationship Id="rId3" Type="http://schemas.openxmlformats.org/officeDocument/2006/relationships/webSettings" Target="webSettings.xml"/><Relationship Id="rId12" Type="http://schemas.openxmlformats.org/officeDocument/2006/relationships/hyperlink" Target="https://www.acquisition.gov/far/subpart-19.14" TargetMode="External"/><Relationship Id="rId17" Type="http://schemas.openxmlformats.org/officeDocument/2006/relationships/hyperlink" Target="https://www.ecfr.gov/current/title-13/section-127.300" TargetMode="External"/><Relationship Id="rId25" Type="http://schemas.openxmlformats.org/officeDocument/2006/relationships/hyperlink" Target="https://www.ecfr.gov/current/title-13/section-125.8" TargetMode="External"/><Relationship Id="rId33" Type="http://schemas.openxmlformats.org/officeDocument/2006/relationships/hyperlink" Target="https://www.ecfr.gov/current/title-13/section-126.616" TargetMode="External"/><Relationship Id="rId38" Type="http://schemas.openxmlformats.org/officeDocument/2006/relationships/hyperlink" Target="https://www.acquisition.gov/far/25.105" TargetMode="External"/><Relationship Id="rId46" Type="http://schemas.openxmlformats.org/officeDocument/2006/relationships/hyperlink" Target="https://www.acquisition.gov/far/22.1003-4" TargetMode="External"/><Relationship Id="rId59" Type="http://schemas.openxmlformats.org/officeDocument/2006/relationships/hyperlink" Target="https://www.acquisition.gov/far/25.703-2" TargetMode="External"/><Relationship Id="rId67" Type="http://schemas.openxmlformats.org/officeDocument/2006/relationships/fontTable" Target="fontTable.xml"/><Relationship Id="rId20" Type="http://schemas.openxmlformats.org/officeDocument/2006/relationships/hyperlink" Target="https://www.acquisition.gov/far/4.1201" TargetMode="External"/><Relationship Id="rId41" Type="http://schemas.openxmlformats.org/officeDocument/2006/relationships/hyperlink" Target="https://www.acquisition.gov/far/52.225-3" TargetMode="External"/><Relationship Id="rId54" Type="http://schemas.openxmlformats.org/officeDocument/2006/relationships/hyperlink" Target="http://uscode.house.gov/browse.xhtml;jsessionid=114A3287C7B3359E597506A31FC855B3" TargetMode="External"/><Relationship Id="rId62" Type="http://schemas.openxmlformats.org/officeDocument/2006/relationships/hyperlink" Target="https://www.acquisition.gov/far/52.204-16" TargetMode="External"/><Relationship Id="rId1" Type="http://schemas.openxmlformats.org/officeDocument/2006/relationships/styles" Target="styles.xml"/><Relationship Id="rId6" Type="http://schemas.openxmlformats.org/officeDocument/2006/relationships/hyperlink" Target="https://www.acquisition.gov/far/52.204-25" TargetMode="External"/><Relationship Id="rId15" Type="http://schemas.openxmlformats.org/officeDocument/2006/relationships/hyperlink" Target="https://www.ecfr.gov/current/title-13/part-121" TargetMode="External"/><Relationship Id="rId23" Type="http://schemas.openxmlformats.org/officeDocument/2006/relationships/hyperlink" Target="https://www.ecfr.gov/current/title-13/section-121.103" TargetMode="External"/><Relationship Id="rId28" Type="http://schemas.openxmlformats.org/officeDocument/2006/relationships/hyperlink" Target="https://www.ecfr.gov/current/title-13/section-127.506" TargetMode="External"/><Relationship Id="rId36" Type="http://schemas.openxmlformats.org/officeDocument/2006/relationships/hyperlink" Target="https://www.acquisition.gov/far/part-25" TargetMode="External"/><Relationship Id="rId49" Type="http://schemas.openxmlformats.org/officeDocument/2006/relationships/hyperlink" Target="https://www.acquisition.gov/far/22.1003-4" TargetMode="External"/><Relationship Id="rId57" Type="http://schemas.openxmlformats.org/officeDocument/2006/relationships/hyperlink" Target="https://www.acquisition.gov/far/9.108-4" TargetMode="External"/><Relationship Id="rId10" Type="http://schemas.openxmlformats.org/officeDocument/2006/relationships/hyperlink" Target="http://uscode.house.gov/view.xhtml?req=granuleid:USC-prelim-title6-section395&amp;num=0&amp;edition=prelim" TargetMode="External"/><Relationship Id="rId31" Type="http://schemas.openxmlformats.org/officeDocument/2006/relationships/hyperlink" Target="https://www.ecfr.gov/current/title-13/section-126.200" TargetMode="External"/><Relationship Id="rId44" Type="http://schemas.openxmlformats.org/officeDocument/2006/relationships/hyperlink" Target="https://www.acquisition.gov/far/9.104-5" TargetMode="External"/><Relationship Id="rId52" Type="http://schemas.openxmlformats.org/officeDocument/2006/relationships/hyperlink" Target="http://uscode.house.gov/browse.xhtml;jsessionid=114A3287C7B3359E597506A31FC855B3" TargetMode="External"/><Relationship Id="rId60" Type="http://schemas.openxmlformats.org/officeDocument/2006/relationships/hyperlink" Target="https://www.treasury.gov/resource-center/sanctions/SDN-List/Pages/default.aspx" TargetMode="External"/><Relationship Id="rId65" Type="http://schemas.openxmlformats.org/officeDocument/2006/relationships/hyperlink" Target="https://www.acquisition.gov/far/12.301" TargetMode="External"/><Relationship Id="rId4" Type="http://schemas.openxmlformats.org/officeDocument/2006/relationships/hyperlink" Target="https://www.acquisition.gov/far/12.301" TargetMode="External"/><Relationship Id="rId9" Type="http://schemas.openxmlformats.org/officeDocument/2006/relationships/hyperlink" Target="http://uscode.house.gov/view.xhtml?req=granuleid:USC-prelim-title6-section395&amp;num=0&amp;edition=prelim" TargetMode="External"/><Relationship Id="rId13" Type="http://schemas.openxmlformats.org/officeDocument/2006/relationships/hyperlink" Target="http://uscode.house.gov/view.xhtml?req=granuleid:USC-prelim-title38-section101&amp;num=0&amp;edition=prelim" TargetMode="External"/><Relationship Id="rId18" Type="http://schemas.openxmlformats.org/officeDocument/2006/relationships/hyperlink" Target="http://www.sam.gov/" TargetMode="External"/><Relationship Id="rId39" Type="http://schemas.openxmlformats.org/officeDocument/2006/relationships/hyperlink" Target="https://www.acquisition.gov/far/part-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8211</Words>
  <Characters>46808</Characters>
  <Application>Microsoft Office Word</Application>
  <DocSecurity>0</DocSecurity>
  <Lines>390</Lines>
  <Paragraphs>109</Paragraphs>
  <ScaleCrop>false</ScaleCrop>
  <Company>United States Coast Guard</Company>
  <LinksUpToDate>false</LinksUpToDate>
  <CharactersWithSpaces>54910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Goldstein, Eric I CIV (USA)</dc:creator>
  <cp:keywords/>
  <dc:description/>
  <cp:lastModifiedBy>Goldstein, Eric I CIV (USA)</cp:lastModifiedBy>
  <cp:revision>1</cp:revision>
  <dcterms:created xsi:type="dcterms:W3CDTF">2024-08-07T16:12:00Z</dcterms:created>
  <dcterms:modified xsi:type="dcterms:W3CDTF">2024-08-07T16:14:00Z</dcterms:modified>
</cp:coreProperties>
</file>