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100"/>
        <w:jc w:val="center"/>
      </w:pPr>
      <w:r>
        <w:rPr>
          <w:rFonts w:ascii="Arial" w:cs="Arial" w:eastAsia="Arial" w:hAnsi="Arial"/>
          <w:b/>
          <w:bCs/>
          <w:i w:val="false"/>
          <w:iCs w:val="false"/>
          <w:color w:val="1A3A1A"/>
          <w:sz w:val="60"/>
          <w:szCs w:val="60"/>
        </w:rPr>
        <w:t xml:space="preserve">CALIFORNIA BIOCHAR EXCHANGE</w:t>
      </w:r>
    </w:p>
    <w:p>
      <w:pPr>
        <w:spacing w:before="0" w:after="80"/>
        <w:jc w:val="center"/>
      </w:pPr>
      <w:r>
        <w:rPr>
          <w:rFonts w:ascii="Arial" w:cs="Arial" w:eastAsia="Arial" w:hAnsi="Arial"/>
          <w:b w:val="false"/>
          <w:bCs w:val="false"/>
          <w:i/>
          <w:iCs/>
          <w:color w:val="2D6A2D"/>
          <w:sz w:val="26"/>
          <w:szCs w:val="26"/>
        </w:rPr>
        <w:t xml:space="preserve">Business Specification Document</w:t>
      </w:r>
    </w:p>
    <w:p>
      <w:pPr>
        <w:spacing w:before="0" w:after="400"/>
        <w:jc w:val="center"/>
      </w:pPr>
      <w:r>
        <w:rPr>
          <w:rFonts w:ascii="Arial" w:cs="Arial" w:eastAsia="Arial" w:hAnsi="Arial"/>
          <w:b w:val="false"/>
          <w:bCs w:val="false"/>
          <w:i w:val="false"/>
          <w:iCs w:val="false"/>
          <w:color w:val="666666"/>
          <w:sz w:val="20"/>
          <w:szCs w:val="20"/>
        </w:rPr>
        <w:t xml:space="preserve">Connecting California biochar producers to local agricultural buyers</w:t>
      </w:r>
    </w:p>
    <w:p>
      <w:pPr>
        <w:pBdr>
          <w:bottom w:val="single" w:color="52B752" w:sz="4" w:space="1"/>
        </w:pBdr>
        <w:spacing w:before="80" w:after="80"/>
      </w:pPr>
    </w:p>
    <w:p>
      <w:pPr>
        <w:spacing w:before="200" w:after="0"/>
      </w:pPr>
    </w:p>
    <w:p>
      <w:pPr>
        <w:spacing w:before="0" w:after="80"/>
        <w:jc w:val="center"/>
      </w:pPr>
      <w:r>
        <w:rPr>
          <w:rFonts w:ascii="Arial" w:cs="Arial" w:eastAsia="Arial" w:hAnsi="Arial"/>
          <w:b w:val="false"/>
          <w:bCs w:val="false"/>
          <w:i w:val="false"/>
          <w:iCs w:val="false"/>
          <w:color w:val="AAAAAA"/>
          <w:sz w:val="18"/>
          <w:szCs w:val="18"/>
        </w:rPr>
        <w:t xml:space="preserve">Version 1.0  ·  California  ·  2025  ·  Confidential</w:t>
      </w:r>
    </w:p>
    <w:p>
      <w:r>
        <w:br w:type="page"/>
      </w:r>
    </w:p>
    <w:p>
      <w:pPr>
        <w:pBdr>
          <w:bottom w:val="single" w:color="1A3A1A" w:sz="8" w:space="4"/>
        </w:pBdr>
        <w:spacing w:before="440" w:after="160"/>
      </w:pPr>
      <w:r>
        <w:rPr>
          <w:rFonts w:ascii="Arial" w:cs="Arial" w:eastAsia="Arial" w:hAnsi="Arial"/>
          <w:b/>
          <w:bCs/>
          <w:i w:val="false"/>
          <w:iCs w:val="false"/>
          <w:color w:val="1A3A1A"/>
          <w:sz w:val="30"/>
          <w:szCs w:val="30"/>
        </w:rPr>
        <w:t xml:space="preserve">What Biochar Is — Starting From Zero</w:t>
      </w:r>
    </w:p>
    <w:p>
      <w:pPr>
        <w:spacing w:before="80" w:after="80"/>
        <w:jc w:val="left"/>
      </w:pPr>
      <w:r>
        <w:rPr>
          <w:rFonts w:ascii="Arial" w:cs="Arial" w:eastAsia="Arial" w:hAnsi="Arial"/>
          <w:b w:val="false"/>
          <w:bCs w:val="false"/>
          <w:i w:val="false"/>
          <w:iCs w:val="false"/>
          <w:color w:val="222222"/>
          <w:sz w:val="20"/>
          <w:szCs w:val="20"/>
        </w:rPr>
        <w:t xml:space="preserve">Biochar is charcoal made from organic waste. The process is called pyrolysis: organic material — wood chips, agricultural residue, rice husks, almond shells — is heated in a low-oxygen environment to temperatures between 350°C and 700°C. Without oxygen, the material does not combust. Instead it carbonizes into a stable, porous, charcoal-like substance that can persist in soil for hundreds to thousands of years.</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This is not a new or experimental technology. Biochar has been produced and used in agriculture for centuries — ancient Amazonian civilizations created 'terra preta' soils using charred organic material that remain extraordinarily fertile today. The modern commercial biochar industry is applying the same principle at industrial scale using controlled equipment.</w:t>
      </w:r>
    </w:p>
    <w:p>
      <w:pPr>
        <w:spacing w:before="80" w:after="0"/>
      </w:pPr>
    </w:p>
    <w:p>
      <w:pPr>
        <w:spacing w:before="300" w:after="100"/>
      </w:pPr>
      <w:r>
        <w:rPr>
          <w:rFonts w:ascii="Arial" w:cs="Arial" w:eastAsia="Arial" w:hAnsi="Arial"/>
          <w:b/>
          <w:bCs/>
          <w:i w:val="false"/>
          <w:iCs w:val="false"/>
          <w:color w:val="2D6A2D"/>
          <w:sz w:val="24"/>
          <w:szCs w:val="24"/>
        </w:rPr>
        <w:t xml:space="preserve">What biochar actually does in soil</w:t>
      </w:r>
    </w:p>
    <w:p>
      <w:pPr>
        <w:spacing w:before="80" w:after="80"/>
        <w:jc w:val="left"/>
      </w:pPr>
      <w:r>
        <w:rPr>
          <w:rFonts w:ascii="Arial" w:cs="Arial" w:eastAsia="Arial" w:hAnsi="Arial"/>
          <w:b w:val="false"/>
          <w:bCs w:val="false"/>
          <w:i w:val="false"/>
          <w:iCs w:val="false"/>
          <w:color w:val="222222"/>
          <w:sz w:val="20"/>
          <w:szCs w:val="20"/>
        </w:rPr>
        <w:t xml:space="preserve">When incorporated into agricultural soil, biochar does several things simultaneously. Its highly porous structure improves water retention — meaning crops need less irrigation. It increases the soil's ability to hold nutrients like nitrogen and phosphorus rather than losing them to runoff, reducing fertilizer requirements. It raises soil pH in acidic soils and improves microbial activity. And because the carbon in biochar is chemically stable, it remains locked in the soil rather than returning to the atmosphere as CO₂ — making it a genuine carbon sequestration tool, not just a soil amendment.</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For California agriculture specifically — vineyards, organic farms, almond and walnut orchards, vegetable operations — biochar offers a meaningful improvement to water efficiency and soil health in a state where both are under serious pressure. Water scarcity is one of the defining challenges of California farming. Anything that credibly reduces irrigation demand while improving yields gets serious attention from growers.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8"/>
              <w:left w:val="single" w:color="2D6A2D" w:sz="20"/>
              <w:bottom w:val="single" w:color="DDDDDD" w:sz="1"/>
              <w:right w:val="single" w:color="DDDDDD" w:sz="1"/>
            </w:tcBorders>
            <w:shd w:fill="EFF7EF" w:val="clear"/>
            <w:tcMar>
              <w:top w:type="dxa" w:w="140"/>
              <w:left w:type="dxa" w:w="220"/>
              <w:bottom w:type="dxa" w:w="140"/>
              <w:right w:type="dxa" w:w="220"/>
            </w:tcMar>
          </w:tcPr>
          <w:p>
            <w:pPr>
              <w:spacing w:before="0" w:after="60"/>
            </w:pPr>
            <w:r>
              <w:rPr>
                <w:rFonts w:ascii="Arial" w:cs="Arial" w:eastAsia="Arial" w:hAnsi="Arial"/>
                <w:b/>
                <w:bCs/>
                <w:i w:val="false"/>
                <w:iCs w:val="false"/>
                <w:color w:val="2D6A2D"/>
                <w:sz w:val="18"/>
                <w:szCs w:val="18"/>
              </w:rPr>
              <w:t xml:space="preserve">The key distinction from compost or fertilizer</w:t>
            </w:r>
          </w:p>
          <w:p>
            <w:pPr>
              <w:spacing w:before="0" w:after="0"/>
            </w:pPr>
            <w:r>
              <w:rPr>
                <w:rFonts w:ascii="Arial" w:cs="Arial" w:eastAsia="Arial" w:hAnsi="Arial"/>
                <w:b w:val="false"/>
                <w:bCs w:val="false"/>
                <w:i w:val="false"/>
                <w:iCs w:val="false"/>
                <w:color w:val="222222"/>
                <w:sz w:val="19"/>
                <w:szCs w:val="19"/>
              </w:rPr>
              <w:t xml:space="preserve">Biochar is not a nutrient source. It is a soil infrastructure material — it improves the soil's ability to retain and use nutrients already there, and it persists for decades rather than breaking down in a single season. A farmer who applies biochar once is making a long-term investment in their soil, not buying a consumable input. This changes the economics of the purchase decision significantly.</w:t>
            </w:r>
          </w:p>
        </w:tc>
      </w:tr>
    </w:tbl>
    <w:p>
      <w:pPr>
        <w:spacing w:before="120" w:after="0"/>
      </w:pPr>
    </w:p>
    <w:p>
      <w:pPr>
        <w:pBdr>
          <w:bottom w:val="single" w:color="1A3A1A" w:sz="8" w:space="4"/>
        </w:pBdr>
        <w:spacing w:before="440" w:after="160"/>
      </w:pPr>
      <w:r>
        <w:rPr>
          <w:rFonts w:ascii="Arial" w:cs="Arial" w:eastAsia="Arial" w:hAnsi="Arial"/>
          <w:b/>
          <w:bCs/>
          <w:i w:val="false"/>
          <w:iCs w:val="false"/>
          <w:color w:val="1A3A1A"/>
          <w:sz w:val="30"/>
          <w:szCs w:val="30"/>
        </w:rPr>
        <w:t xml:space="preserve">The California Opportunity</w:t>
      </w:r>
    </w:p>
    <w:p>
      <w:pPr>
        <w:spacing w:before="80" w:after="80"/>
        <w:jc w:val="left"/>
      </w:pPr>
      <w:r>
        <w:rPr>
          <w:rFonts w:ascii="Arial" w:cs="Arial" w:eastAsia="Arial" w:hAnsi="Arial"/>
          <w:b w:val="false"/>
          <w:bCs w:val="false"/>
          <w:i w:val="false"/>
          <w:iCs w:val="false"/>
          <w:color w:val="222222"/>
          <w:sz w:val="20"/>
          <w:szCs w:val="20"/>
        </w:rPr>
        <w:t xml:space="preserve">California is simultaneously one of the best places in the world to produce biochar and one of the best places to sell it — and the two sides of that equation have not been properly connected.</w:t>
      </w:r>
    </w:p>
    <w:p>
      <w:pPr>
        <w:spacing w:before="80" w:after="0"/>
      </w:pPr>
    </w:p>
    <w:p>
      <w:pPr>
        <w:spacing w:before="300" w:after="100"/>
      </w:pPr>
      <w:r>
        <w:rPr>
          <w:rFonts w:ascii="Arial" w:cs="Arial" w:eastAsia="Arial" w:hAnsi="Arial"/>
          <w:b/>
          <w:bCs/>
          <w:i w:val="false"/>
          <w:iCs w:val="false"/>
          <w:color w:val="2D6A2D"/>
          <w:sz w:val="24"/>
          <w:szCs w:val="24"/>
        </w:rPr>
        <w:t xml:space="preserve">The supply side — why California has so much to work with</w:t>
      </w:r>
    </w:p>
    <w:p>
      <w:pPr>
        <w:spacing w:before="80" w:after="80"/>
        <w:jc w:val="left"/>
      </w:pPr>
      <w:r>
        <w:rPr>
          <w:rFonts w:ascii="Arial" w:cs="Arial" w:eastAsia="Arial" w:hAnsi="Arial"/>
          <w:b w:val="false"/>
          <w:bCs w:val="false"/>
          <w:i w:val="false"/>
          <w:iCs w:val="false"/>
          <w:color w:val="222222"/>
          <w:sz w:val="20"/>
          <w:szCs w:val="20"/>
        </w:rPr>
        <w:t xml:space="preserve">California's agricultural sector produces enormous volumes of organic waste that make excellent biochar feedstock. The state grows more organic produce than any other in the US. It produces roughly 20% of all American rice in the Sacramento Valley. Almond orchards generate millions of tonnes of pruning waste annually. Wine grape cultivation leaves marc and vine cuttings after harvest. Forest management — particularly post-wildfire — produces wood waste in volumes that overwhelm current disposal capacity.</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Most of this material is either burned in the field under increasingly restricted air quality permits, sent to landfill at cost, or chipped and left on-site at low value. Converting it into biochar is, in many cases, more economical for the producer than current disposal — and increasingly attractive as burn permit restrictions tighten under California Air Resources Board regulations.</w:t>
      </w:r>
    </w:p>
    <w:p>
      <w:pPr>
        <w:spacing w:before="80" w:after="0"/>
      </w:pPr>
    </w:p>
    <w:p>
      <w:pPr>
        <w:spacing w:before="300" w:after="100"/>
      </w:pPr>
      <w:r>
        <w:rPr>
          <w:rFonts w:ascii="Arial" w:cs="Arial" w:eastAsia="Arial" w:hAnsi="Arial"/>
          <w:b/>
          <w:bCs/>
          <w:i w:val="false"/>
          <w:iCs w:val="false"/>
          <w:color w:val="2D6A2D"/>
          <w:sz w:val="24"/>
          <w:szCs w:val="24"/>
        </w:rPr>
        <w:t xml:space="preserve">The demand side — why California farmers want it</w:t>
      </w:r>
    </w:p>
    <w:p>
      <w:pPr>
        <w:spacing w:before="80" w:after="80"/>
        <w:jc w:val="left"/>
      </w:pPr>
      <w:r>
        <w:rPr>
          <w:rFonts w:ascii="Arial" w:cs="Arial" w:eastAsia="Arial" w:hAnsi="Arial"/>
          <w:b w:val="false"/>
          <w:bCs w:val="false"/>
          <w:i w:val="false"/>
          <w:iCs w:val="false"/>
          <w:color w:val="222222"/>
          <w:sz w:val="20"/>
          <w:szCs w:val="20"/>
        </w:rPr>
        <w:t xml:space="preserve">California has the highest number of certified organic farmers in the US, with over $3.5 billion in organic agricultural sales annually. Organic certification prohibits many synthetic inputs, creating strong demand for soil amendments that improve productivity without chemical dependency. Biochar fits precisely. California vineyards — of which there are thousands — are under pressure to reduce water use and demonstrate sustainability credentials to increasingly environmentally conscious buyers. Organic vegetable operations in the Central Valley want to reduce fertilizer costs. Almond and walnut orchards in the San Joaquin Valley want to improve water retention in increasingly dry conditions.</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The USDA invested $120 million across six California biochar initiatives in late 2024 alone, signaling that government funding is actively flowing into this space. Farms participating in these programs need a reliable local source of material. That source does not currently exist in organized form.</w:t>
      </w:r>
    </w:p>
    <w:p>
      <w:pPr>
        <w:spacing w:before="80" w:after="0"/>
      </w:pPr>
    </w:p>
    <w:p>
      <w:pPr>
        <w:spacing w:before="300" w:after="100"/>
      </w:pPr>
      <w:r>
        <w:rPr>
          <w:rFonts w:ascii="Arial" w:cs="Arial" w:eastAsia="Arial" w:hAnsi="Arial"/>
          <w:b/>
          <w:bCs/>
          <w:i w:val="false"/>
          <w:iCs w:val="false"/>
          <w:color w:val="2D6A2D"/>
          <w:sz w:val="24"/>
          <w:szCs w:val="24"/>
        </w:rPr>
        <w:t xml:space="preserve">The gap nobody has filled</w:t>
      </w:r>
    </w:p>
    <w:p>
      <w:pPr>
        <w:spacing w:before="80" w:after="80"/>
        <w:jc w:val="left"/>
      </w:pPr>
      <w:r>
        <w:rPr>
          <w:rFonts w:ascii="Arial" w:cs="Arial" w:eastAsia="Arial" w:hAnsi="Arial"/>
          <w:b w:val="false"/>
          <w:bCs w:val="false"/>
          <w:i w:val="false"/>
          <w:iCs w:val="false"/>
          <w:color w:val="222222"/>
          <w:sz w:val="20"/>
          <w:szCs w:val="20"/>
        </w:rPr>
        <w:t xml:space="preserve">Multiple small biochar producers operate across California — Pacific Biochar in Santa Rosa, AgraMarketing Solutions in Chico, All Power Labs in the Bay Area, Sitos Group in Soledad, and others. They produce real material. They have capacity. But they sell almost entirely through direct relationships with individual farms they have found themselves, or through slow word of mouth within small regional networks.</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On the buyer side, farms that want local California-sourced biochar frequently cannot find a reliable supplier. University of California research explicitly identifies market access as the single largest barrier facing California biochar producers today — not production cost, not technology, not regulation. The market cannot find itself.</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No platform exists that allows a vineyard in Napa, an organic farm in Fresno, or a ranch in the Sierra Nevada foothills to browse available California biochar producers, compare material types and specifications, and transact efficiently. The international platforms that exist — Enchar in Europe, Puro.earth for carbon credits — operate at a different scale entirely, connecting large corporate credit buyers to industrial producers. The local agricultural buyer sourcing 10-50 tonnes of soil amendment has nowhere to go.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8"/>
              <w:left w:val="single" w:color="2D6A2D" w:sz="20"/>
              <w:bottom w:val="single" w:color="DDDDDD" w:sz="1"/>
              <w:right w:val="single" w:color="DDDDDD" w:sz="1"/>
            </w:tcBorders>
            <w:shd w:fill="EFF7EF" w:val="clear"/>
            <w:tcMar>
              <w:top w:type="dxa" w:w="140"/>
              <w:left w:type="dxa" w:w="220"/>
              <w:bottom w:type="dxa" w:w="140"/>
              <w:right w:type="dxa" w:w="220"/>
            </w:tcMar>
          </w:tcPr>
          <w:p>
            <w:pPr>
              <w:spacing w:before="0" w:after="0"/>
            </w:pPr>
            <w:r>
              <w:rPr>
                <w:rFonts w:ascii="Arial" w:cs="Arial" w:eastAsia="Arial" w:hAnsi="Arial"/>
                <w:b w:val="false"/>
                <w:bCs w:val="false"/>
                <w:i w:val="false"/>
                <w:iCs w:val="false"/>
                <w:color w:val="222222"/>
                <w:sz w:val="19"/>
                <w:szCs w:val="19"/>
              </w:rPr>
              <w:t xml:space="preserve">This is the gap California Biochar Exchange fills. Not global corporate carbon trading. Not industrial scale. A functional, trusted, California-specific marketplace where local producers find local buyers efficiently and both sides get something they currently cannot access.</w:t>
            </w:r>
          </w:p>
        </w:tc>
      </w:tr>
    </w:tbl>
    <w:p>
      <w:pPr>
        <w:spacing w:before="120" w:after="0"/>
      </w:pPr>
    </w:p>
    <w:p>
      <w:pPr>
        <w:pBdr>
          <w:bottom w:val="single" w:color="1A3A1A" w:sz="8" w:space="4"/>
        </w:pBdr>
        <w:spacing w:before="440" w:after="160"/>
      </w:pPr>
      <w:r>
        <w:rPr>
          <w:rFonts w:ascii="Arial" w:cs="Arial" w:eastAsia="Arial" w:hAnsi="Arial"/>
          <w:b/>
          <w:bCs/>
          <w:i w:val="false"/>
          <w:iCs w:val="false"/>
          <w:color w:val="1A3A1A"/>
          <w:sz w:val="30"/>
          <w:szCs w:val="30"/>
        </w:rPr>
        <w:t xml:space="preserve">The Business — What California Biochar Exchange Does</w:t>
      </w:r>
    </w:p>
    <w:p>
      <w:pPr>
        <w:spacing w:before="80" w:after="80"/>
        <w:jc w:val="left"/>
      </w:pPr>
      <w:r>
        <w:rPr>
          <w:rFonts w:ascii="Arial" w:cs="Arial" w:eastAsia="Arial" w:hAnsi="Arial"/>
          <w:b w:val="false"/>
          <w:bCs w:val="false"/>
          <w:i w:val="false"/>
          <w:iCs w:val="false"/>
          <w:color w:val="222222"/>
          <w:sz w:val="20"/>
          <w:szCs w:val="20"/>
        </w:rPr>
        <w:t xml:space="preserve">California Biochar Exchange is a business-to-business marketplace. It connects California biochar producers to California agricultural buyers. It charges a commission on completed transactions. It does not produce biochar, process feedstock, or handle physical material. The platform's value is market infrastructure — discovery, trust, quality documentation, and transaction facilitation.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EFF7EF" w:val="clear"/>
            <w:tcMar>
              <w:top w:type="dxa" w:w="90"/>
              <w:left w:type="dxa" w:w="140"/>
              <w:bottom w:type="dxa" w:w="90"/>
              <w:right w:type="dxa" w:w="140"/>
            </w:tcMar>
          </w:tcPr>
          <w:p>
            <w:r>
              <w:rPr>
                <w:rFonts w:ascii="Arial" w:cs="Arial" w:eastAsia="Arial" w:hAnsi="Arial"/>
                <w:b/>
                <w:bCs/>
                <w:i w:val="false"/>
                <w:iCs w:val="false"/>
                <w:color w:val="333333"/>
                <w:sz w:val="19"/>
                <w:szCs w:val="19"/>
              </w:rPr>
              <w:t xml:space="preserve">What it is</w:t>
            </w:r>
          </w:p>
        </w:tc>
        <w:tc>
          <w:tcPr>
            <w:tcW w:type="dxa" w:w="68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i w:val="false"/>
                <w:iCs w:val="false"/>
                <w:color w:val="222222"/>
                <w:sz w:val="19"/>
                <w:szCs w:val="19"/>
              </w:rPr>
              <w:t xml:space="preserve">A digital B2B marketplace where biochar producers list available material and agricultural buyers find, evaluate, and purchase it</w:t>
            </w:r>
          </w:p>
        </w:tc>
      </w:tr>
      <w:tr>
        <w:tc>
          <w:tcPr>
            <w:tcW w:type="dxa" w:w="25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i w:val="false"/>
                <w:iCs w:val="false"/>
                <w:color w:val="333333"/>
                <w:sz w:val="19"/>
                <w:szCs w:val="19"/>
              </w:rPr>
              <w:t xml:space="preserve">What it is not</w:t>
            </w:r>
          </w:p>
        </w:tc>
        <w:tc>
          <w:tcPr>
            <w:tcW w:type="dxa" w:w="686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40"/>
            </w:tcMar>
          </w:tcPr>
          <w:p>
            <w:r>
              <w:rPr>
                <w:rFonts w:ascii="Arial" w:cs="Arial" w:eastAsia="Arial" w:hAnsi="Arial"/>
                <w:b w:val="false"/>
                <w:bCs w:val="false"/>
                <w:i w:val="false"/>
                <w:iCs w:val="false"/>
                <w:color w:val="222222"/>
                <w:sz w:val="19"/>
                <w:szCs w:val="19"/>
              </w:rPr>
              <w:t xml:space="preserve">A biochar producer, a carbon credit broker, a logistics company, or a physical commodity trader</w:t>
            </w:r>
          </w:p>
        </w:tc>
      </w:tr>
      <w:tr>
        <w:tc>
          <w:tcPr>
            <w:tcW w:type="dxa" w:w="2500"/>
            <w:tcBorders>
              <w:top w:val="single" w:color="DDDDDD" w:sz="1"/>
              <w:left w:val="single" w:color="DDDDDD" w:sz="1"/>
              <w:bottom w:val="single" w:color="DDDDDD" w:sz="1"/>
              <w:right w:val="single" w:color="DDDDDD" w:sz="1"/>
            </w:tcBorders>
            <w:shd w:fill="EFF7EF" w:val="clear"/>
            <w:tcMar>
              <w:top w:type="dxa" w:w="90"/>
              <w:left w:type="dxa" w:w="140"/>
              <w:bottom w:type="dxa" w:w="90"/>
              <w:right w:type="dxa" w:w="140"/>
            </w:tcMar>
          </w:tcPr>
          <w:p>
            <w:r>
              <w:rPr>
                <w:rFonts w:ascii="Arial" w:cs="Arial" w:eastAsia="Arial" w:hAnsi="Arial"/>
                <w:b/>
                <w:bCs/>
                <w:i w:val="false"/>
                <w:iCs w:val="false"/>
                <w:color w:val="333333"/>
                <w:sz w:val="19"/>
                <w:szCs w:val="19"/>
              </w:rPr>
              <w:t xml:space="preserve">Revenue model</w:t>
            </w:r>
          </w:p>
        </w:tc>
        <w:tc>
          <w:tcPr>
            <w:tcW w:type="dxa" w:w="68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i w:val="false"/>
                <w:iCs w:val="false"/>
                <w:color w:val="222222"/>
                <w:sz w:val="19"/>
                <w:szCs w:val="19"/>
              </w:rPr>
              <w:t xml:space="preserve">3–5% commission charged to the seller on every completed transaction. No subscription fees in V1. No listing fees.</w:t>
            </w:r>
          </w:p>
        </w:tc>
      </w:tr>
      <w:tr>
        <w:tc>
          <w:tcPr>
            <w:tcW w:type="dxa" w:w="25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i w:val="false"/>
                <w:iCs w:val="false"/>
                <w:color w:val="333333"/>
                <w:sz w:val="19"/>
                <w:szCs w:val="19"/>
              </w:rPr>
              <w:t xml:space="preserve">Who pays</w:t>
            </w:r>
          </w:p>
        </w:tc>
        <w:tc>
          <w:tcPr>
            <w:tcW w:type="dxa" w:w="686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40"/>
            </w:tcMar>
          </w:tcPr>
          <w:p>
            <w:r>
              <w:rPr>
                <w:rFonts w:ascii="Arial" w:cs="Arial" w:eastAsia="Arial" w:hAnsi="Arial"/>
                <w:b w:val="false"/>
                <w:bCs w:val="false"/>
                <w:i w:val="false"/>
                <w:iCs w:val="false"/>
                <w:color w:val="222222"/>
                <w:sz w:val="19"/>
                <w:szCs w:val="19"/>
              </w:rPr>
              <w:t xml:space="preserve">The seller, not the buyer. Standard marketplace model — sellers pay to reach buyers they could not otherwise find efficiently.</w:t>
            </w:r>
          </w:p>
        </w:tc>
      </w:tr>
      <w:tr>
        <w:tc>
          <w:tcPr>
            <w:tcW w:type="dxa" w:w="2500"/>
            <w:tcBorders>
              <w:top w:val="single" w:color="DDDDDD" w:sz="1"/>
              <w:left w:val="single" w:color="DDDDDD" w:sz="1"/>
              <w:bottom w:val="single" w:color="DDDDDD" w:sz="1"/>
              <w:right w:val="single" w:color="DDDDDD" w:sz="1"/>
            </w:tcBorders>
            <w:shd w:fill="EFF7EF" w:val="clear"/>
            <w:tcMar>
              <w:top w:type="dxa" w:w="90"/>
              <w:left w:type="dxa" w:w="140"/>
              <w:bottom w:type="dxa" w:w="90"/>
              <w:right w:type="dxa" w:w="140"/>
            </w:tcMar>
          </w:tcPr>
          <w:p>
            <w:r>
              <w:rPr>
                <w:rFonts w:ascii="Arial" w:cs="Arial" w:eastAsia="Arial" w:hAnsi="Arial"/>
                <w:b/>
                <w:bCs/>
                <w:i w:val="false"/>
                <w:iCs w:val="false"/>
                <w:color w:val="333333"/>
                <w:sz w:val="19"/>
                <w:szCs w:val="19"/>
              </w:rPr>
              <w:t xml:space="preserve">Who the buyers are</w:t>
            </w:r>
          </w:p>
        </w:tc>
        <w:tc>
          <w:tcPr>
            <w:tcW w:type="dxa" w:w="68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i w:val="false"/>
                <w:iCs w:val="false"/>
                <w:color w:val="222222"/>
                <w:sz w:val="19"/>
                <w:szCs w:val="19"/>
              </w:rPr>
              <w:t xml:space="preserve">Organic farms, vineyards, orchards, ranches, and landscaping operations across California sourcing 5–100 tonnes per order</w:t>
            </w:r>
          </w:p>
        </w:tc>
      </w:tr>
      <w:tr>
        <w:tc>
          <w:tcPr>
            <w:tcW w:type="dxa" w:w="25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i w:val="false"/>
                <w:iCs w:val="false"/>
                <w:color w:val="333333"/>
                <w:sz w:val="19"/>
                <w:szCs w:val="19"/>
              </w:rPr>
              <w:t xml:space="preserve">Who the sellers are</w:t>
            </w:r>
          </w:p>
        </w:tc>
        <w:tc>
          <w:tcPr>
            <w:tcW w:type="dxa" w:w="686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40"/>
            </w:tcMar>
          </w:tcPr>
          <w:p>
            <w:r>
              <w:rPr>
                <w:rFonts w:ascii="Arial" w:cs="Arial" w:eastAsia="Arial" w:hAnsi="Arial"/>
                <w:b w:val="false"/>
                <w:bCs w:val="false"/>
                <w:i w:val="false"/>
                <w:iCs w:val="false"/>
                <w:color w:val="222222"/>
                <w:sz w:val="19"/>
                <w:szCs w:val="19"/>
              </w:rPr>
              <w:t xml:space="preserve">Small and mid-size California biochar producers with existing production capacity and certified or characterizable material</w:t>
            </w:r>
          </w:p>
        </w:tc>
      </w:tr>
      <w:tr>
        <w:tc>
          <w:tcPr>
            <w:tcW w:type="dxa" w:w="2500"/>
            <w:tcBorders>
              <w:top w:val="single" w:color="DDDDDD" w:sz="1"/>
              <w:left w:val="single" w:color="DDDDDD" w:sz="1"/>
              <w:bottom w:val="single" w:color="DDDDDD" w:sz="1"/>
              <w:right w:val="single" w:color="DDDDDD" w:sz="1"/>
            </w:tcBorders>
            <w:shd w:fill="EFF7EF" w:val="clear"/>
            <w:tcMar>
              <w:top w:type="dxa" w:w="90"/>
              <w:left w:type="dxa" w:w="140"/>
              <w:bottom w:type="dxa" w:w="90"/>
              <w:right w:type="dxa" w:w="140"/>
            </w:tcMar>
          </w:tcPr>
          <w:p>
            <w:r>
              <w:rPr>
                <w:rFonts w:ascii="Arial" w:cs="Arial" w:eastAsia="Arial" w:hAnsi="Arial"/>
                <w:b/>
                <w:bCs/>
                <w:i w:val="false"/>
                <w:iCs w:val="false"/>
                <w:color w:val="333333"/>
                <w:sz w:val="19"/>
                <w:szCs w:val="19"/>
              </w:rPr>
              <w:t xml:space="preserve">Capital required</w:t>
            </w:r>
          </w:p>
        </w:tc>
        <w:tc>
          <w:tcPr>
            <w:tcW w:type="dxa" w:w="68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i w:val="false"/>
                <w:iCs w:val="false"/>
                <w:color w:val="222222"/>
                <w:sz w:val="19"/>
                <w:szCs w:val="19"/>
              </w:rPr>
              <w:t xml:space="preserve">Near zero. Website, email, and manual operations. No inventory, no logistics, no processing equipment.</w:t>
            </w:r>
          </w:p>
        </w:tc>
      </w:tr>
    </w:tbl>
    <w:p>
      <w:pPr>
        <w:spacing w:before="120" w:after="0"/>
      </w:pPr>
    </w:p>
    <w:p>
      <w:pPr>
        <w:pBdr>
          <w:bottom w:val="single" w:color="1A3A1A" w:sz="8" w:space="4"/>
        </w:pBdr>
        <w:spacing w:before="440" w:after="160"/>
      </w:pPr>
      <w:r>
        <w:rPr>
          <w:rFonts w:ascii="Arial" w:cs="Arial" w:eastAsia="Arial" w:hAnsi="Arial"/>
          <w:b/>
          <w:bCs/>
          <w:i w:val="false"/>
          <w:iCs w:val="false"/>
          <w:color w:val="1A3A1A"/>
          <w:sz w:val="30"/>
          <w:szCs w:val="30"/>
        </w:rPr>
        <w:t xml:space="preserve">Why Biochar Works as a Marketplace Commodity</w:t>
      </w:r>
    </w:p>
    <w:p>
      <w:pPr>
        <w:spacing w:before="80" w:after="80"/>
        <w:jc w:val="left"/>
      </w:pPr>
      <w:r>
        <w:rPr>
          <w:rFonts w:ascii="Arial" w:cs="Arial" w:eastAsia="Arial" w:hAnsi="Arial"/>
          <w:b w:val="false"/>
          <w:bCs w:val="false"/>
          <w:i w:val="false"/>
          <w:iCs w:val="false"/>
          <w:color w:val="222222"/>
          <w:sz w:val="20"/>
          <w:szCs w:val="20"/>
        </w:rPr>
        <w:t xml:space="preserve">Not every product works well in a marketplace. Some commodities are too low-value per transaction, too perishable, or too standardized to justify marketplace infrastructure. Biochar has characteristics that make it genuinely well-suited.</w:t>
      </w:r>
    </w:p>
    <w:p>
      <w:pPr>
        <w:spacing w:before="80" w:after="0"/>
      </w:pPr>
    </w:p>
    <w:p>
      <w:pPr>
        <w:spacing w:before="300" w:after="100"/>
      </w:pPr>
      <w:r>
        <w:rPr>
          <w:rFonts w:ascii="Arial" w:cs="Arial" w:eastAsia="Arial" w:hAnsi="Arial"/>
          <w:b/>
          <w:bCs/>
          <w:i w:val="false"/>
          <w:iCs w:val="false"/>
          <w:color w:val="2D6A2D"/>
          <w:sz w:val="24"/>
          <w:szCs w:val="24"/>
        </w:rPr>
        <w:t xml:space="preserve">Non-perishable</w:t>
      </w:r>
    </w:p>
    <w:p>
      <w:pPr>
        <w:spacing w:before="80" w:after="80"/>
        <w:jc w:val="left"/>
      </w:pPr>
      <w:r>
        <w:rPr>
          <w:rFonts w:ascii="Arial" w:cs="Arial" w:eastAsia="Arial" w:hAnsi="Arial"/>
          <w:b w:val="false"/>
          <w:bCs w:val="false"/>
          <w:i w:val="false"/>
          <w:iCs w:val="false"/>
          <w:color w:val="222222"/>
          <w:sz w:val="20"/>
          <w:szCs w:val="20"/>
        </w:rPr>
        <w:t xml:space="preserve">Unlike food byproducts, spent grain, or wet agricultural waste, biochar has essentially indefinite shelf life when stored dry. A producer can list material with a weeks-long or months-long availability window. A buyer can browse, evaluate, and make a purchase decision without time pressure. This makes a normal marketplace discovery-and-transact flow viable in a way it is not for perishable materials.</w:t>
      </w:r>
    </w:p>
    <w:p>
      <w:pPr>
        <w:spacing w:before="60" w:after="0"/>
      </w:pPr>
    </w:p>
    <w:p>
      <w:pPr>
        <w:spacing w:before="300" w:after="100"/>
      </w:pPr>
      <w:r>
        <w:rPr>
          <w:rFonts w:ascii="Arial" w:cs="Arial" w:eastAsia="Arial" w:hAnsi="Arial"/>
          <w:b/>
          <w:bCs/>
          <w:i w:val="false"/>
          <w:iCs w:val="false"/>
          <w:color w:val="2D6A2D"/>
          <w:sz w:val="24"/>
          <w:szCs w:val="24"/>
        </w:rPr>
        <w:t xml:space="preserve">Variable enough to create information asymmetry</w:t>
      </w:r>
    </w:p>
    <w:p>
      <w:pPr>
        <w:spacing w:before="80" w:after="80"/>
        <w:jc w:val="left"/>
      </w:pPr>
      <w:r>
        <w:rPr>
          <w:rFonts w:ascii="Arial" w:cs="Arial" w:eastAsia="Arial" w:hAnsi="Arial"/>
          <w:b w:val="false"/>
          <w:bCs w:val="false"/>
          <w:i w:val="false"/>
          <w:iCs w:val="false"/>
          <w:color w:val="222222"/>
          <w:sz w:val="20"/>
          <w:szCs w:val="20"/>
        </w:rPr>
        <w:t xml:space="preserve">Biochar is not a fully standardized commodity like Portland cement or refined metal. Different feedstocks produce biochar with meaningfully different properties — surface area, pH, carbon content, particle size, nutrient retention capacity. Rice husk biochar behaves differently from wood chip biochar from almond shell biochar. Agricultural buyers making informed decisions want to match the material to their soil conditions and crop type.</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This variability is what makes a marketplace valuable over a simple price list. A buyer needs to evaluate specifications, not just find the cheapest price. California Biochar Exchange provides the specification layer — standardized characterization data presented consistently across all listings — so buyers can compare meaningfully. Producers who provide good documentation get better results. The platform's value grows with the quality of the data it presents.</w:t>
      </w:r>
    </w:p>
    <w:p>
      <w:pPr>
        <w:spacing w:before="60" w:after="0"/>
      </w:pPr>
    </w:p>
    <w:p>
      <w:pPr>
        <w:spacing w:before="300" w:after="100"/>
      </w:pPr>
      <w:r>
        <w:rPr>
          <w:rFonts w:ascii="Arial" w:cs="Arial" w:eastAsia="Arial" w:hAnsi="Arial"/>
          <w:b/>
          <w:bCs/>
          <w:i w:val="false"/>
          <w:iCs w:val="false"/>
          <w:color w:val="2D6A2D"/>
          <w:sz w:val="24"/>
          <w:szCs w:val="24"/>
        </w:rPr>
        <w:t xml:space="preserve">Transaction values justify the commission</w:t>
      </w:r>
    </w:p>
    <w:p>
      <w:pPr>
        <w:spacing w:before="80" w:after="80"/>
        <w:jc w:val="left"/>
      </w:pPr>
      <w:r>
        <w:rPr>
          <w:rFonts w:ascii="Arial" w:cs="Arial" w:eastAsia="Arial" w:hAnsi="Arial"/>
          <w:b w:val="false"/>
          <w:bCs w:val="false"/>
          <w:i w:val="false"/>
          <w:iCs w:val="false"/>
          <w:color w:val="222222"/>
          <w:sz w:val="20"/>
          <w:szCs w:val="20"/>
        </w:rPr>
        <w:t xml:space="preserve">Agricultural biochar in California sells for $200–800 per tonne depending on quality, feedstock, and certification status. An order of 20 tonnes at $400 per tonne is an $8,000 transaction. At 4% commission that is $320 per transaction. The commission is meaningful relative to the effort of facilitating the match, unlike perishable food byproducts where a tonne might be worth $20 and your commission is $0.60.</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At 20 completed transactions per month of average $6,000 gross value, monthly commission revenue is $7,200. That is real money, achievable within year one at a platform operating in a state with California's agricultural scale.</w:t>
      </w:r>
    </w:p>
    <w:p>
      <w:pPr>
        <w:spacing w:before="120" w:after="0"/>
      </w:pPr>
    </w:p>
    <w:p>
      <w:pPr>
        <w:pBdr>
          <w:bottom w:val="single" w:color="1A3A1A" w:sz="8" w:space="4"/>
        </w:pBdr>
        <w:spacing w:before="440" w:after="160"/>
      </w:pPr>
      <w:r>
        <w:rPr>
          <w:rFonts w:ascii="Arial" w:cs="Arial" w:eastAsia="Arial" w:hAnsi="Arial"/>
          <w:b/>
          <w:bCs/>
          <w:i w:val="false"/>
          <w:iCs w:val="false"/>
          <w:color w:val="1A3A1A"/>
          <w:sz w:val="30"/>
          <w:szCs w:val="30"/>
        </w:rPr>
        <w:t xml:space="preserve">Version 1 — Feature Specifications</w:t>
      </w:r>
    </w:p>
    <w:p>
      <w:pPr>
        <w:spacing w:before="80" w:after="80"/>
        <w:jc w:val="left"/>
      </w:pPr>
      <w:r>
        <w:rPr>
          <w:rFonts w:ascii="Arial" w:cs="Arial" w:eastAsia="Arial" w:hAnsi="Arial"/>
          <w:b w:val="false"/>
          <w:bCs w:val="false"/>
          <w:i w:val="false"/>
          <w:iCs w:val="false"/>
          <w:color w:val="222222"/>
          <w:sz w:val="20"/>
          <w:szCs w:val="20"/>
        </w:rPr>
        <w:t xml:space="preserve">Version 1 is deliberately simple. The goal is to prove that producers will list and buyers will transact — not to build a sophisticated platform. Every feature described below is designed to be buildable in days using AI coding tools and free-tier services, with the founder handling everything manually that is not worth automating yet.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2D" w:sz="20"/>
              <w:bottom w:val="single" w:color="DDDDDD" w:sz="1"/>
              <w:right w:val="single" w:color="DDDDDD" w:sz="1"/>
            </w:tcBorders>
            <w:shd w:fill="EFF7EF" w:val="clear"/>
            <w:tcMar>
              <w:top w:type="dxa" w:w="130"/>
              <w:left w:type="dxa" w:w="200"/>
              <w:bottom w:type="dxa" w:w="130"/>
              <w:right w:type="dxa" w:w="200"/>
            </w:tcMar>
          </w:tcPr>
          <w:p>
            <w:pPr>
              <w:spacing w:before="0" w:after="60"/>
            </w:pPr>
            <w:r>
              <w:rPr>
                <w:rFonts w:ascii="Arial" w:cs="Arial" w:eastAsia="Arial" w:hAnsi="Arial"/>
                <w:b/>
                <w:bCs/>
                <w:i w:val="false"/>
                <w:iCs w:val="false"/>
                <w:color w:val="2D6A2D"/>
                <w:sz w:val="22"/>
                <w:szCs w:val="22"/>
              </w:rPr>
              <w:t xml:space="preserve">Feature 1: Public Landing Page</w:t>
            </w:r>
            <w:r>
              <w:rPr>
                <w:rFonts w:ascii="Arial" w:cs="Arial" w:eastAsia="Arial" w:hAnsi="Arial"/>
                <w:b w:val="false"/>
                <w:bCs w:val="false"/>
                <w:i w:val="false"/>
                <w:iCs w:val="false"/>
                <w:color w:val="111111"/>
                <w:sz w:val="20"/>
                <w:szCs w:val="20"/>
              </w:rPr>
              <w:t xml:space="preserve">   </w:t>
            </w:r>
            <w:r>
              <w:rPr>
                <w:rFonts w:ascii="Arial" w:cs="Arial" w:eastAsia="Arial" w:hAnsi="Arial"/>
                <w:b/>
                <w:bCs/>
                <w:i w:val="false"/>
                <w:iCs w:val="false"/>
                <w:color w:val="1A3A1A"/>
                <w:sz w:val="16"/>
                <w:szCs w:val="16"/>
              </w:rPr>
              <w:t xml:space="preserve"> STATIC — BUILD IN 1 DAY </w:t>
            </w:r>
          </w:p>
          <w:p>
            <w:pPr>
              <w:spacing w:before="0" w:after="80"/>
            </w:pPr>
            <w:r>
              <w:rPr>
                <w:rFonts w:ascii="Arial" w:cs="Arial" w:eastAsia="Arial" w:hAnsi="Arial"/>
                <w:b w:val="false"/>
                <w:bCs w:val="false"/>
                <w:i/>
                <w:iCs/>
                <w:color w:val="444444"/>
                <w:sz w:val="19"/>
                <w:szCs w:val="19"/>
              </w:rPr>
              <w:t xml:space="preserve">The public face of the marketplace. No login required. Explains what California Biochar Exchange does in plain language for both producers and buyers who have never heard of the platform.</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WHAT IT SHOWS: A clear one-sentence explanation of what the exchange does. Two distinct paths — 'List Your Biochar' for producers, 'Find California Biochar' for buyers. A brief plain-English explanation of what biochar is and why California farmers want it. A 'How It Works' section in three steps: list your material → buyer finds and inquires → transaction completes and you get paid.</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TRUST SIGNALS: 'California Producers Only' badge — this is a deliberate market positioning choice that differentiates from generic global platforms. A note explaining that all producers are manually verified before listing. Reference to IBI (International Biochar Initiative) characterization standards to signal technical seriousness.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WHAT IT DOES NOT SHOW: Pricing details, commission rates, specific producers (until buyer registers), any consumer-app patterns like social login or user reviews before first transaction.</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WHY THE LOCAL ANGLE IS THE PITCH: 'California-grown biochar from verified local producers' is a meaningful product claim for organic farms and vineyards that care about supply chain provenance. It is also a defensible market position that large international platforms cannot easily replicate — their scale works against local credibility.</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TECHNICAL STACK: Next.js on Vercel free tier. Google Analytics for traffic tracking. All CTA buttons go to Tally.so forms — no backend required. Total build time with AI coding tools: one weekend.</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2D" w:sz="20"/>
              <w:bottom w:val="single" w:color="DDDDDD" w:sz="1"/>
              <w:right w:val="single" w:color="DDDDDD" w:sz="1"/>
            </w:tcBorders>
            <w:shd w:fill="FDF8EC" w:val="clear"/>
            <w:tcMar>
              <w:top w:type="dxa" w:w="130"/>
              <w:left w:type="dxa" w:w="200"/>
              <w:bottom w:type="dxa" w:w="130"/>
              <w:right w:type="dxa" w:w="200"/>
            </w:tcMar>
          </w:tcPr>
          <w:p>
            <w:pPr>
              <w:spacing w:before="0" w:after="60"/>
            </w:pPr>
            <w:r>
              <w:rPr>
                <w:rFonts w:ascii="Arial" w:cs="Arial" w:eastAsia="Arial" w:hAnsi="Arial"/>
                <w:b/>
                <w:bCs/>
                <w:i w:val="false"/>
                <w:iCs w:val="false"/>
                <w:color w:val="2D6A2D"/>
                <w:sz w:val="22"/>
                <w:szCs w:val="22"/>
              </w:rPr>
              <w:t xml:space="preserve">Feature 2: Producer Registration and Verification</w:t>
            </w:r>
            <w:r>
              <w:rPr>
                <w:rFonts w:ascii="Arial" w:cs="Arial" w:eastAsia="Arial" w:hAnsi="Arial"/>
                <w:b w:val="false"/>
                <w:bCs w:val="false"/>
                <w:i w:val="false"/>
                <w:iCs w:val="false"/>
                <w:color w:val="111111"/>
                <w:sz w:val="20"/>
                <w:szCs w:val="20"/>
              </w:rPr>
              <w:t xml:space="preserve">   </w:t>
            </w:r>
            <w:r>
              <w:rPr>
                <w:rFonts w:ascii="Arial" w:cs="Arial" w:eastAsia="Arial" w:hAnsi="Arial"/>
                <w:b/>
                <w:bCs/>
                <w:i w:val="false"/>
                <w:iCs w:val="false"/>
                <w:color w:val="8B6914"/>
                <w:sz w:val="16"/>
                <w:szCs w:val="16"/>
              </w:rPr>
              <w:t xml:space="preserve"> MANUAL — FOUNDER REVIEWS EACH </w:t>
            </w:r>
          </w:p>
          <w:p>
            <w:pPr>
              <w:spacing w:before="0" w:after="80"/>
            </w:pPr>
            <w:r>
              <w:rPr>
                <w:rFonts w:ascii="Arial" w:cs="Arial" w:eastAsia="Arial" w:hAnsi="Arial"/>
                <w:b w:val="false"/>
                <w:bCs w:val="false"/>
                <w:i/>
                <w:iCs/>
                <w:color w:val="444444"/>
                <w:sz w:val="19"/>
                <w:szCs w:val="19"/>
              </w:rPr>
              <w:t xml:space="preserve">How biochar producers apply to list on the platform. Designed to be thorough enough to filter serious producers from casual inquiries, while not so burdensome that it discourages participation.</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1 — COMPANY IDENTITY: Legal business name, EIN, state of incorporation, physical address of production facility, company website if any, year founded or operating since.</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2 — CONTACT PERSON: Full name, job title, business email (company domain required — no Gmail), direct phone number.</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3 — PRODUCTION DETAILS: Primary feedstock type (dropdown: wood chips, rice husks, almond shells, agricultural residue, mixed, other — with text field for specifics), approximate monthly production capacity in tonnes, production method (slow pyrolysis, fast pyrolysis, gasification — dropdown), whether they currently have IBI characterization data or similar third-party analysis.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4 — EXISTING OPERATIONS: Do they currently sell biochar, and if so to whom and through what channel. This tells the founder whether this is a producer with existing customers who is adding a new channel, or a producer with material they cannot currently move — the latter is higher priority.</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5 — LOGISTICS: Loading capability (bulk, tote bags, 20kg bags), minimum order quantity they can fulfill, geographic service radius they are comfortable with for buyer pickup or delivery coordination.</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6 — ACKNOWLEDGMENT: Checkbox confirming understanding that (1) listing requires at minimum an IBI-standard characterization report before going live, (2) a 4% commission on gross transaction value is charged to the producer on completed transactions, (3) a 24-month tail commission applies to any transaction between parties introduced through the platform.</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FOUNDER VERIFICATION PROCESS: Google company name for existence. Check California Secretary of State registry at bizfile.sos.ca.gov to verify EIN and active status. Find production facility on Google Maps — confirm it is a real industrial or agricultural operation, not a residential address. Call the company's independently listed phone number to confirm the applicant's identity and authority. Total time: 20-30 minutes per application.</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ONBOARDING EMAIL TO APPROVED PRODUCERS: Step-by-step guide to IBI characterization (which labs, what tests, what the report needs to show). Google Drive upload link for their characterization report. Instructions for submitting their first listing. Welcome to the platform.</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2D" w:sz="20"/>
              <w:bottom w:val="single" w:color="DDDDDD" w:sz="1"/>
              <w:right w:val="single" w:color="DDDDDD" w:sz="1"/>
            </w:tcBorders>
            <w:shd w:fill="FDF8EC" w:val="clear"/>
            <w:tcMar>
              <w:top w:type="dxa" w:w="130"/>
              <w:left w:type="dxa" w:w="200"/>
              <w:bottom w:type="dxa" w:w="130"/>
              <w:right w:type="dxa" w:w="200"/>
            </w:tcMar>
          </w:tcPr>
          <w:p>
            <w:pPr>
              <w:spacing w:before="0" w:after="60"/>
            </w:pPr>
            <w:r>
              <w:rPr>
                <w:rFonts w:ascii="Arial" w:cs="Arial" w:eastAsia="Arial" w:hAnsi="Arial"/>
                <w:b/>
                <w:bCs/>
                <w:i w:val="false"/>
                <w:iCs w:val="false"/>
                <w:color w:val="2D6A2D"/>
                <w:sz w:val="22"/>
                <w:szCs w:val="22"/>
              </w:rPr>
              <w:t xml:space="preserve">Feature 3: Buyer Registration and Verification</w:t>
            </w:r>
            <w:r>
              <w:rPr>
                <w:rFonts w:ascii="Arial" w:cs="Arial" w:eastAsia="Arial" w:hAnsi="Arial"/>
                <w:b w:val="false"/>
                <w:bCs w:val="false"/>
                <w:i w:val="false"/>
                <w:iCs w:val="false"/>
                <w:color w:val="111111"/>
                <w:sz w:val="20"/>
                <w:szCs w:val="20"/>
              </w:rPr>
              <w:t xml:space="preserve">   </w:t>
            </w:r>
            <w:r>
              <w:rPr>
                <w:rFonts w:ascii="Arial" w:cs="Arial" w:eastAsia="Arial" w:hAnsi="Arial"/>
                <w:b/>
                <w:bCs/>
                <w:i w:val="false"/>
                <w:iCs w:val="false"/>
                <w:color w:val="8B6914"/>
                <w:sz w:val="16"/>
                <w:szCs w:val="16"/>
              </w:rPr>
              <w:t xml:space="preserve"> MANUAL — FOUNDER REVIEWS EACH </w:t>
            </w:r>
          </w:p>
          <w:p>
            <w:pPr>
              <w:spacing w:before="0" w:after="80"/>
            </w:pPr>
            <w:r>
              <w:rPr>
                <w:rFonts w:ascii="Arial" w:cs="Arial" w:eastAsia="Arial" w:hAnsi="Arial"/>
                <w:b w:val="false"/>
                <w:bCs w:val="false"/>
                <w:i/>
                <w:iCs/>
                <w:color w:val="444444"/>
                <w:sz w:val="19"/>
                <w:szCs w:val="19"/>
              </w:rPr>
              <w:t xml:space="preserve">How agricultural buyers apply to access producer listings and contact information. Less detailed than producer registration — the bar for buyers is lower because the risk of a bad buyer is lower than the risk of a bad producer.</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1 — COMPANY IDENTITY: Business name, EIN, address of primary farm or facility, business website or social media presence, operation type (dropdown: organic farm, vineyard, orchard, ranch, landscaping company, municipal operation, other).</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2 — CONTACT PERSON: Name, role, business email, phone.</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3 — SOURCING NEEDS: What they want biochar for (soil amendment, compost additive, water retention improvement, other), approximate annual volume they would need in tonnes, preferred feedstock type if any preference, geographic preference for sourcing (how far from their farm are they willing to source), whether they have used biochar before and if so what experience.</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SECTION 4 — PURCHASE LOGISTICS: Preferred order size (single delivery, recurring deliveries, trial order first), whether they can arrange their own trucking or need seller-arranged delivery, payment terms they typically use (credit card, bank transfer, net-30).</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FOUNDER VERIFICATION: Company registry check, confirm the farm or operation exists via Google Maps and web search. Phone call not required for buyers in V1 — email confirmation of identity is sufficient. Flag any applications that look like resellers rather than end users (resellers are fine but the founder should know).</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DATA STORED: All form fields plus verification status, estimated annual volume potential (calculated from their stated needs), material type preferences tagged for matching, transaction history once active.</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2D" w:sz="20"/>
              <w:bottom w:val="single" w:color="DDDDDD" w:sz="1"/>
              <w:right w:val="single" w:color="DDDDDD" w:sz="1"/>
            </w:tcBorders>
            <w:shd w:fill="FDF8EC" w:val="clear"/>
            <w:tcMar>
              <w:top w:type="dxa" w:w="130"/>
              <w:left w:type="dxa" w:w="200"/>
              <w:bottom w:type="dxa" w:w="130"/>
              <w:right w:type="dxa" w:w="200"/>
            </w:tcMar>
          </w:tcPr>
          <w:p>
            <w:pPr>
              <w:spacing w:before="0" w:after="60"/>
            </w:pPr>
            <w:r>
              <w:rPr>
                <w:rFonts w:ascii="Arial" w:cs="Arial" w:eastAsia="Arial" w:hAnsi="Arial"/>
                <w:b/>
                <w:bCs/>
                <w:i w:val="false"/>
                <w:iCs w:val="false"/>
                <w:color w:val="2D6A2D"/>
                <w:sz w:val="22"/>
                <w:szCs w:val="22"/>
              </w:rPr>
              <w:t xml:space="preserve">Feature 4: Producer Listings</w:t>
            </w:r>
            <w:r>
              <w:rPr>
                <w:rFonts w:ascii="Arial" w:cs="Arial" w:eastAsia="Arial" w:hAnsi="Arial"/>
                <w:b w:val="false"/>
                <w:bCs w:val="false"/>
                <w:i w:val="false"/>
                <w:iCs w:val="false"/>
                <w:color w:val="111111"/>
                <w:sz w:val="20"/>
                <w:szCs w:val="20"/>
              </w:rPr>
              <w:t xml:space="preserve">   </w:t>
            </w:r>
            <w:r>
              <w:rPr>
                <w:rFonts w:ascii="Arial" w:cs="Arial" w:eastAsia="Arial" w:hAnsi="Arial"/>
                <w:b/>
                <w:bCs/>
                <w:i w:val="false"/>
                <w:iCs w:val="false"/>
                <w:color w:val="8B6914"/>
                <w:sz w:val="16"/>
                <w:szCs w:val="16"/>
              </w:rPr>
              <w:t xml:space="preserve"> FOUNDER CREATES MANUALLY IN V1 </w:t>
            </w:r>
          </w:p>
          <w:p>
            <w:pPr>
              <w:spacing w:before="0" w:after="80"/>
            </w:pPr>
            <w:r>
              <w:rPr>
                <w:rFonts w:ascii="Arial" w:cs="Arial" w:eastAsia="Arial" w:hAnsi="Arial"/>
                <w:b w:val="false"/>
                <w:bCs w:val="false"/>
                <w:i/>
                <w:iCs/>
                <w:color w:val="444444"/>
                <w:sz w:val="19"/>
                <w:szCs w:val="19"/>
              </w:rPr>
              <w:t xml:space="preserve">The core browse experience where buyers discover available California biochar. In V1, the founder creates every listing manually based on producer-submitted information after their characterization report is verified.</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WHAT BUYERS SEE — LISTING CARD: Material type and feedstock (e.g., 'Rice Husk Biochar', 'Mixed Wood Biochar'), available volume in tonnes, production location as city and county only (exact address not shown until introduction), price per tonne or 'Price on Request', minimum order quantity, IBI characterization status badge (Characterized / Pending / Uncharacterized), listing date.</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WHAT BUYERS DO NOT SEE: Producer company name, contact information, exact facility address. These are revealed only after an inquiry is submitted and introduction is made. This protects platform commission revenue and prevents buyers going around the platform.</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KEY SPECIFICATION DATA SHOWN: The characterization data that sophisticated buyers actually care about — carbon content percentage, pH, moisture content, surface area if available, particle size, feedstock origin. These are pulled from the IBI characterization report and displayed on the listing in a standardized table so buyers can compare producers consistently. This specification layer is what separates California Biochar Exchange from a classified ads board.</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LISTING FIELDS IN DATABASE: ListingID, ProducerID (internal), FeedstockType, ProductionMethod, AvailableVolumeTonnes, MinOrderQuantityTonnes, PricePerTonne, NegotiableFlag, FacilityCity, FacilityCounty, FacilityLat, FacilityLng, CharacterizationStatus, CharacterizationReportLink, CarbonContentPct, pHValue, MoistureContentPct, ListingCreatedDate, ListingExpiryDate (90 days auto), Status (active/pending/completed/expired), ViewCount, InquiryCount.</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FILTERS BUYERS CAN USE: Feedstock type, maximum distance from buyer's zip code, minimum volume available, price range, characterization status (characterized only toggle).</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LISTING LIFECYCLE: Active → Pending Transaction (when negotiation confirmed) → Completed (archived with transaction record) or back to Active if negotiation fails. Expired listings trigger automatic email to producer to refresh.</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2D" w:sz="20"/>
              <w:bottom w:val="single" w:color="DDDDDD" w:sz="1"/>
              <w:right w:val="single" w:color="DDDDDD" w:sz="1"/>
            </w:tcBorders>
            <w:shd w:fill="FDF8EC" w:val="clear"/>
            <w:tcMar>
              <w:top w:type="dxa" w:w="130"/>
              <w:left w:type="dxa" w:w="200"/>
              <w:bottom w:type="dxa" w:w="130"/>
              <w:right w:type="dxa" w:w="200"/>
            </w:tcMar>
          </w:tcPr>
          <w:p>
            <w:pPr>
              <w:spacing w:before="0" w:after="60"/>
            </w:pPr>
            <w:r>
              <w:rPr>
                <w:rFonts w:ascii="Arial" w:cs="Arial" w:eastAsia="Arial" w:hAnsi="Arial"/>
                <w:b/>
                <w:bCs/>
                <w:i w:val="false"/>
                <w:iCs w:val="false"/>
                <w:color w:val="2D6A2D"/>
                <w:sz w:val="22"/>
                <w:szCs w:val="22"/>
              </w:rPr>
              <w:t xml:space="preserve">Feature 5: Buyer Inquiry System</w:t>
            </w:r>
            <w:r>
              <w:rPr>
                <w:rFonts w:ascii="Arial" w:cs="Arial" w:eastAsia="Arial" w:hAnsi="Arial"/>
                <w:b w:val="false"/>
                <w:bCs w:val="false"/>
                <w:i w:val="false"/>
                <w:iCs w:val="false"/>
                <w:color w:val="111111"/>
                <w:sz w:val="20"/>
                <w:szCs w:val="20"/>
              </w:rPr>
              <w:t xml:space="preserve">   </w:t>
            </w:r>
            <w:r>
              <w:rPr>
                <w:rFonts w:ascii="Arial" w:cs="Arial" w:eastAsia="Arial" w:hAnsi="Arial"/>
                <w:b/>
                <w:bCs/>
                <w:i w:val="false"/>
                <w:iCs w:val="false"/>
                <w:color w:val="8B6914"/>
                <w:sz w:val="16"/>
                <w:szCs w:val="16"/>
              </w:rPr>
              <w:t xml:space="preserve"> MANUAL — FOUNDER BROKERS EACH INTRODUCTION </w:t>
            </w:r>
          </w:p>
          <w:p>
            <w:pPr>
              <w:spacing w:before="0" w:after="80"/>
            </w:pPr>
            <w:r>
              <w:rPr>
                <w:rFonts w:ascii="Arial" w:cs="Arial" w:eastAsia="Arial" w:hAnsi="Arial"/>
                <w:b w:val="false"/>
                <w:bCs w:val="false"/>
                <w:i/>
                <w:iCs/>
                <w:color w:val="444444"/>
                <w:sz w:val="19"/>
                <w:szCs w:val="19"/>
              </w:rPr>
              <w:t xml:space="preserve">How buyers express interest in a listing and how the founder converts that interest into an introduction. This is the core transaction event in V1.</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WHAT THE BUYER DOES: On any listing, a single button: 'Request Introduction'. Opens a brief modal form asking: buyer company name (pre-filled if registered), facility zip code (for distance confirmation), volume needed in tonnes, intended use (soil amendment, compost blend, trial evaluation, other), target delivery timeline, and a free-text field for any specific questions about the material or production method.</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WHAT HAPPENS IMMEDIATELY: Form submission emails the founder. Airtable Inquiries table is auto-populated. Buyer receives automated acknowledgment email within seconds: 'We have received your inquiry. We verify all matches before making introductions — you will hear from us within one business day.'</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FOUNDER REVIEW AND MATCH ASSESSMENT: Founder checks buyer registration status. Checks geographic feasibility — is the buyer's facility within reasonable trucking distance of the producer? Checks volume compatibility — does the buyer's requested volume fall within the producer's minimum and available volume? Checks for any previous interactions between these specific parties — if they have already transacted directly, flag for commission tracking.</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INTRODUCTION EMAIL: Sent to both parties simultaneously, CC'd to both, with the founder on CC. Includes both parties' company names, contact names, and email addresses. Attaches the producer's characterization report PDF. Includes a brief note explaining the platform's commission structure and the tail commission clause. Invites both parties to begin communication directly.</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IF NO MATCH IS POSSIBLE: Founder emails buyer explaining why no introduction was sent (volume mismatch, distance too great, producer already fully committed) and offers to notify them when a more suitable listing appears. This proactive communication builds trust and keeps buyers engaged.</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INQUIRY DATA STORED: InquiryID, ListingID, BuyerID, VolumeRequestedTonnes, IntendedUse, Timeline, Message, Timestamp, FounderReviewStatus (New / Reviewed / Intro Sent / Negotiating / Completed / No Match / Abandoned), IntroductionSentDate, OutcomeNotes.</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2D" w:sz="20"/>
              <w:bottom w:val="single" w:color="DDDDDD" w:sz="1"/>
              <w:right w:val="single" w:color="DDDDDD" w:sz="1"/>
            </w:tcBorders>
            <w:shd w:fill="FDF8EC" w:val="clear"/>
            <w:tcMar>
              <w:top w:type="dxa" w:w="130"/>
              <w:left w:type="dxa" w:w="200"/>
              <w:bottom w:type="dxa" w:w="130"/>
              <w:right w:type="dxa" w:w="200"/>
            </w:tcMar>
          </w:tcPr>
          <w:p>
            <w:pPr>
              <w:spacing w:before="0" w:after="60"/>
            </w:pPr>
            <w:r>
              <w:rPr>
                <w:rFonts w:ascii="Arial" w:cs="Arial" w:eastAsia="Arial" w:hAnsi="Arial"/>
                <w:b/>
                <w:bCs/>
                <w:i w:val="false"/>
                <w:iCs w:val="false"/>
                <w:color w:val="2D6A2D"/>
                <w:sz w:val="22"/>
                <w:szCs w:val="22"/>
              </w:rPr>
              <w:t xml:space="preserve">Feature 6: Biochar Characterization Handling</w:t>
            </w:r>
            <w:r>
              <w:rPr>
                <w:rFonts w:ascii="Arial" w:cs="Arial" w:eastAsia="Arial" w:hAnsi="Arial"/>
                <w:b w:val="false"/>
                <w:bCs w:val="false"/>
                <w:i w:val="false"/>
                <w:iCs w:val="false"/>
                <w:color w:val="111111"/>
                <w:sz w:val="20"/>
                <w:szCs w:val="20"/>
              </w:rPr>
              <w:t xml:space="preserve">   </w:t>
            </w:r>
            <w:r>
              <w:rPr>
                <w:rFonts w:ascii="Arial" w:cs="Arial" w:eastAsia="Arial" w:hAnsi="Arial"/>
                <w:b/>
                <w:bCs/>
                <w:i w:val="false"/>
                <w:iCs w:val="false"/>
                <w:color w:val="8B6914"/>
                <w:sz w:val="16"/>
                <w:szCs w:val="16"/>
              </w:rPr>
              <w:t xml:space="preserve"> MANUAL — FOUNDER REVIEWS EACH REPORT </w:t>
            </w:r>
          </w:p>
          <w:p>
            <w:pPr>
              <w:spacing w:before="0" w:after="80"/>
            </w:pPr>
            <w:r>
              <w:rPr>
                <w:rFonts w:ascii="Arial" w:cs="Arial" w:eastAsia="Arial" w:hAnsi="Arial"/>
                <w:b w:val="false"/>
                <w:bCs w:val="false"/>
                <w:i/>
                <w:iCs/>
                <w:color w:val="444444"/>
                <w:sz w:val="19"/>
                <w:szCs w:val="19"/>
              </w:rPr>
              <w:t xml:space="preserve">The quality documentation layer that separates this platform from a classified ads board. Biochar specifications vary significantly between producers and feedstocks. Agricultural buyers making significant purchases need verifiable data. This feature provides it.</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WHAT AN IBI CHARACTERIZATION REPORT IS: The International Biochar Initiative has published standardized testing guidelines for biochar characterization. A report produced by an accredited laboratory following IBI guidelines documents: carbon content and stability, pH, moisture content, particle size distribution, surface area, electrical conductivity, and absence of harmful contaminants (heavy metals, PAHs). It is not a certification of product performance — it is a factual characterization of what the material is. That is what buyers need to make informed decisions.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WHY IBI RATHER THAN A PROPRIETARY STANDARD: IBI is the most widely recognized international biochar standard. Using it signals to sophisticated buyers and investors that the platform takes quality seriously. It also positions the platform for eventual carbon credit integration, where IBI characterization is a prerequisite for most credit registries.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HOW PRODUCERS OBTAIN A REPORT: Founder provides every approved producer with a one-page guide explaining the IBI reporting process, which accredited labs offer this testing in California (Woods End Watershed Soil Research Lab, Brookside Laboratories, A&amp;L Western Laboratories in Portland), what tests to request, typical costs ($300-600 per analysis), and what the report must contain to be accepted by the platform.</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FOUNDER REVIEW CHECKLIST: Before any listing goes live, the founder verifies the characterization report against a checklist built into Airtable: (1) Lab is recognizable and accredited, (2) Report date within 18 months, (3) IBI reporting guidelines cited, (4) Carbon content reported, (5) pH within agricultural utility range (typically 6.5-10), (6) No contaminant flags, (7) Feedstock and production method match what producer stated in registration.</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WHAT BUYERS SEE: Each listing displays a structured specification table built from the characterization data — the same fields in the same order for every listing. Buyers can download the full report PDF. This standardization is the platform's core technical value — it creates comparability that does not currently exist in the market.</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CERTIFICATE EXPIRY: Characterization reports treated as valid for 18 months. Airtable tracks expiry. Automatic email to producer at 30 days before expiry requesting updated analysis.</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2D" w:sz="20"/>
              <w:bottom w:val="single" w:color="DDDDDD" w:sz="1"/>
              <w:right w:val="single" w:color="DDDDDD" w:sz="1"/>
            </w:tcBorders>
            <w:shd w:fill="EFF7EF" w:val="clear"/>
            <w:tcMar>
              <w:top w:type="dxa" w:w="130"/>
              <w:left w:type="dxa" w:w="200"/>
              <w:bottom w:type="dxa" w:w="130"/>
              <w:right w:type="dxa" w:w="200"/>
            </w:tcMar>
          </w:tcPr>
          <w:p>
            <w:pPr>
              <w:spacing w:before="0" w:after="60"/>
            </w:pPr>
            <w:r>
              <w:rPr>
                <w:rFonts w:ascii="Arial" w:cs="Arial" w:eastAsia="Arial" w:hAnsi="Arial"/>
                <w:b/>
                <w:bCs/>
                <w:i w:val="false"/>
                <w:iCs w:val="false"/>
                <w:color w:val="2D6A2D"/>
                <w:sz w:val="22"/>
                <w:szCs w:val="22"/>
              </w:rPr>
              <w:t xml:space="preserve">Feature 7: Data Collection Architecture</w:t>
            </w:r>
            <w:r>
              <w:rPr>
                <w:rFonts w:ascii="Arial" w:cs="Arial" w:eastAsia="Arial" w:hAnsi="Arial"/>
                <w:b w:val="false"/>
                <w:bCs w:val="false"/>
                <w:i w:val="false"/>
                <w:iCs w:val="false"/>
                <w:color w:val="111111"/>
                <w:sz w:val="20"/>
                <w:szCs w:val="20"/>
              </w:rPr>
              <w:t xml:space="preserve">   </w:t>
            </w:r>
            <w:r>
              <w:rPr>
                <w:rFonts w:ascii="Arial" w:cs="Arial" w:eastAsia="Arial" w:hAnsi="Arial"/>
                <w:b/>
                <w:bCs/>
                <w:i w:val="false"/>
                <w:iCs w:val="false"/>
                <w:color w:val="1A3A1A"/>
                <w:sz w:val="16"/>
                <w:szCs w:val="16"/>
              </w:rPr>
              <w:t xml:space="preserve"> BUILT FROM DAY ONE — AIRTABLE </w:t>
            </w:r>
          </w:p>
          <w:p>
            <w:pPr>
              <w:spacing w:before="0" w:after="80"/>
            </w:pPr>
            <w:r>
              <w:rPr>
                <w:rFonts w:ascii="Arial" w:cs="Arial" w:eastAsia="Arial" w:hAnsi="Arial"/>
                <w:b w:val="false"/>
                <w:bCs w:val="false"/>
                <w:i/>
                <w:iCs/>
                <w:color w:val="444444"/>
                <w:sz w:val="19"/>
                <w:szCs w:val="19"/>
              </w:rPr>
              <w:t xml:space="preserve">Every interaction, inquiry, and transaction is structured data. The schema below is designed so that everything collected manually in V1 can be migrated to a real database without rebuilding — and so that the data itself becomes increasingly valuable as the platform scales.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TABLE 1 — PRODUCERS: ProducerID, CompanyName, EIN, LegalStatus, FacilityAddress, FacilityCity, FacilityCounty, FacilityLat, FacilityLng, ContactName, ContactTitle, ContactEmail, ContactPhone, PrimaryFeedstock, SecondaryFeedstock, ProductionMethod, MonthlyCapacityTonnes, CurrentSalesChannels, HasExistingCharacterization, LoadingCapability, MinOrderTonnes, ServiceRadiusMiles, VerificationStatus, VerificationDate, VerificationNotes, CharacterizationStatus, CharacterizationLabName, CharacterizationDate, CharacterizationReportLink, CharacterizationExpiryDate, CarbonContentPct, pH, MoistureContentPct, ActiveListings (count), CompletedTransactions (count), TotalVolumeSoldTonnes, TotalCommissionGeneratedUSD, AverageBuyerRating, LastActivityDate, ProducerNotes.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TABLE 2 — BUYERS: BuyerID, CompanyName, EIN, OperationType, FacilityAddress, FacilityCity, FacilityLat, FacilityLng, ContactName, ContactTitle, ContactEmail, ContactPhone, IntendedUse, EstimatedAnnualDemandTonnes, FeedstockPreference, MaxSourcingDistanceMiles, PreferredOrderSizeTonnes, HasUsedBiocharBefore, PreviousBiocharSource, PaymentTermsPreference, VerificationStatus, VerificationDate, ActiveInquiries (count), CompletedTransactions (count), TotalVolumePurchasedTonnes, TotalSpendUSD, AverageProducerRating, LastActivityDate, BuyerNotes.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TABLE 3 — LISTINGS: ListingID, ProducerID, FeedstockType, ProductionMethod, AvailableVolumeTonnes, MinOrderTonnes, PricePerTonne, Negotiable, FacilityCity, FacilityCounty, FacilityLat, FacilityLng, CharacterizationStatus, CharacterizationReportLink, CarbonContentPct, pH, MoistureContentPct, ListingCreatedDate, ListingExpiryDate, Status, ViewCount, InquiryCount, LastViewedDate.</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TABLE 4 — INQUIRIES: InquiryID, ListingID, BuyerID, VolumeRequestedTonnes, IntendedUse, DeliveryTimeline, BuyerMessage, Timestamp, FounderReviewStatus, IntroductionSentDate, NegotiationStatus, OutcomeNotes.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TABLE 5 — TRANSACTIONS: TransactionID, InquiryID, ProducerID, BuyerID, ListingID, FeedstockType, VolumeTonnes, PricePerTonneUSD, GrossValueUSD, CommissionRatePct, CommissionOwedUSD, InvoiceNumber, InvoiceSentDate, InvoicePaidDate, DeliveryDate, CharacterizationReportUsed, BuyerSatisfactionRating, ProducerSatisfactionRating, MaterialConformedToSpec, BuyerWouldReorder, ProducerDeliveredOnTime, TransactionNotes.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WHY THIS DATA MATTERS LONG TERM: After 100 transactions this database contains the first published pricing dataset for California agricultural biochar by feedstock, region, and specification — information that does not exist anywhere today. This becomes the foundation for a paid market intelligence product in V2, and the transaction history is what makes carbon credit certification plausible when that layer is added.</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2D" w:sz="20"/>
              <w:bottom w:val="single" w:color="DDDDDD" w:sz="1"/>
              <w:right w:val="single" w:color="DDDDDD" w:sz="1"/>
            </w:tcBorders>
            <w:shd w:fill="FDF8EC" w:val="clear"/>
            <w:tcMar>
              <w:top w:type="dxa" w:w="130"/>
              <w:left w:type="dxa" w:w="200"/>
              <w:bottom w:type="dxa" w:w="130"/>
              <w:right w:type="dxa" w:w="200"/>
            </w:tcMar>
          </w:tcPr>
          <w:p>
            <w:pPr>
              <w:spacing w:before="0" w:after="60"/>
            </w:pPr>
            <w:r>
              <w:rPr>
                <w:rFonts w:ascii="Arial" w:cs="Arial" w:eastAsia="Arial" w:hAnsi="Arial"/>
                <w:b/>
                <w:bCs/>
                <w:i w:val="false"/>
                <w:iCs w:val="false"/>
                <w:color w:val="2D6A2D"/>
                <w:sz w:val="22"/>
                <w:szCs w:val="22"/>
              </w:rPr>
              <w:t xml:space="preserve">Feature 8: Transaction Facilitation and Commission Collection</w:t>
            </w:r>
            <w:r>
              <w:rPr>
                <w:rFonts w:ascii="Arial" w:cs="Arial" w:eastAsia="Arial" w:hAnsi="Arial"/>
                <w:b w:val="false"/>
                <w:bCs w:val="false"/>
                <w:i w:val="false"/>
                <w:iCs w:val="false"/>
                <w:color w:val="111111"/>
                <w:sz w:val="20"/>
                <w:szCs w:val="20"/>
              </w:rPr>
              <w:t xml:space="preserve">   </w:t>
            </w:r>
            <w:r>
              <w:rPr>
                <w:rFonts w:ascii="Arial" w:cs="Arial" w:eastAsia="Arial" w:hAnsi="Arial"/>
                <w:b/>
                <w:bCs/>
                <w:i w:val="false"/>
                <w:iCs w:val="false"/>
                <w:color w:val="8B6914"/>
                <w:sz w:val="16"/>
                <w:szCs w:val="16"/>
              </w:rPr>
              <w:t xml:space="preserve"> MANUAL — STRIPE INVOICING </w:t>
            </w:r>
          </w:p>
          <w:p>
            <w:pPr>
              <w:spacing w:before="0" w:after="80"/>
            </w:pPr>
            <w:r>
              <w:rPr>
                <w:rFonts w:ascii="Arial" w:cs="Arial" w:eastAsia="Arial" w:hAnsi="Arial"/>
                <w:b w:val="false"/>
                <w:bCs w:val="false"/>
                <w:i/>
                <w:iCs/>
                <w:color w:val="444444"/>
                <w:sz w:val="19"/>
                <w:szCs w:val="19"/>
              </w:rPr>
              <w:t xml:space="preserve">How money flows in V1. The platform does not touch the funds paid for biochar — the buyer pays the producer directly. California Biochar Exchange invoices the producer separately for its commission after the transaction is confirmed. This keeps V1 legally simple and avoids money transmission licensing requirements.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THE TRANSACTION FLOW STEP BY STEP: (1) Buyer submits inquiry. (2) Founder reviews, sends introduction email to both parties with characterization report attached. (3) Buyer and producer communicate directly to negotiate final price, volume, delivery date, and logistics. (4) Buyer confirms to founder when a deal is agreed. (5) Buyer pays producer directly on whatever terms they negotiated. (6) Material is delivered — producer or buyer arranges trucking. (7) Founder emails both parties requesting delivery confirmation and satisfaction ratings. (8) Founder creates Stripe invoice to producer for commission. (9) Producer pays within 30 days.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PARTICIPANT AGREEMENT: Both parties sign a one-page digital agreement (DocuSign) before their first transaction. Key clauses: 4% commission on gross transaction value is owed by producer on any transaction with a buyer introduced through the platform; tail commission of 2% applies for 24 months on any direct transactions between introduced parties; producer is responsible for material conforming to characterization report; disputes resolved by mediation.</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WHY THE TAIL COMMISSION CLAUSE EXISTS: The existential risk of any B2B marketplace is that buyers and sellers meet through the platform and then transact directly to avoid the commission. The tail commission clause makes going direct save only 2% rather than 4% — not worth the relationship risk of violating a contract for a legitimate business. The introduction email creates a paper trail that is easy to reference in any dispute.</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INVOICING: Stripe invoicing is free. Each invoice line item reads: 'California Biochar Exchange Marketplace Commission — Transaction [ID] — [Volume] tonnes [feedstock] at $[price]/tonne = $[gross] × 4%'. Net-30 payment terms. Stripe sends automated reminders at 7 and 14 days if unpaid.</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WHAT HAPPENS IF A PRODUCER DISPUTES THE COMMISSION: The introduction email, platform message logs, and transaction confirmation email create a clear paper trail. The participant agreement they signed covers this explicitly. In practice, for legitimate businesses with ongoing marketplace relationships, disputes over commission are extremely rare — the value of continued platform access outweighs the cost.</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D6A2D" w:sz="20"/>
              <w:bottom w:val="single" w:color="DDDDDD" w:sz="1"/>
              <w:right w:val="single" w:color="DDDDDD" w:sz="1"/>
            </w:tcBorders>
            <w:shd w:fill="EFF7EF" w:val="clear"/>
            <w:tcMar>
              <w:top w:type="dxa" w:w="130"/>
              <w:left w:type="dxa" w:w="200"/>
              <w:bottom w:type="dxa" w:w="130"/>
              <w:right w:type="dxa" w:w="200"/>
            </w:tcMar>
          </w:tcPr>
          <w:p>
            <w:pPr>
              <w:spacing w:before="0" w:after="60"/>
            </w:pPr>
            <w:r>
              <w:rPr>
                <w:rFonts w:ascii="Arial" w:cs="Arial" w:eastAsia="Arial" w:hAnsi="Arial"/>
                <w:b/>
                <w:bCs/>
                <w:i w:val="false"/>
                <w:iCs w:val="false"/>
                <w:color w:val="2D6A2D"/>
                <w:sz w:val="22"/>
                <w:szCs w:val="22"/>
              </w:rPr>
              <w:t xml:space="preserve">Feature 9: Founder Metrics Dashboard</w:t>
            </w:r>
            <w:r>
              <w:rPr>
                <w:rFonts w:ascii="Arial" w:cs="Arial" w:eastAsia="Arial" w:hAnsi="Arial"/>
                <w:b w:val="false"/>
                <w:bCs w:val="false"/>
                <w:i w:val="false"/>
                <w:iCs w:val="false"/>
                <w:color w:val="111111"/>
                <w:sz w:val="20"/>
                <w:szCs w:val="20"/>
              </w:rPr>
              <w:t xml:space="preserve">   </w:t>
            </w:r>
            <w:r>
              <w:rPr>
                <w:rFonts w:ascii="Arial" w:cs="Arial" w:eastAsia="Arial" w:hAnsi="Arial"/>
                <w:b/>
                <w:bCs/>
                <w:i w:val="false"/>
                <w:iCs w:val="false"/>
                <w:color w:val="1A3A1A"/>
                <w:sz w:val="16"/>
                <w:szCs w:val="16"/>
              </w:rPr>
              <w:t xml:space="preserve"> AIRTABLE VIEWS — INTERNAL ONLY </w:t>
            </w:r>
          </w:p>
          <w:p>
            <w:pPr>
              <w:spacing w:before="0" w:after="80"/>
            </w:pPr>
            <w:r>
              <w:rPr>
                <w:rFonts w:ascii="Arial" w:cs="Arial" w:eastAsia="Arial" w:hAnsi="Arial"/>
                <w:b w:val="false"/>
                <w:bCs w:val="false"/>
                <w:i/>
                <w:iCs/>
                <w:color w:val="444444"/>
                <w:sz w:val="19"/>
                <w:szCs w:val="19"/>
              </w:rPr>
              <w:t xml:space="preserve">Internal reporting tracked weekly for the founder's own analysis and for investor conversations. Built automatically from the Airtable data using calculated fields and grouped views — no additional software required.</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1 — Registered Producers: Total count, breakdown by feedstock type, count with current valid characterization. Target: 15 producers by end of month 3.</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2 — Registered Buyers: Total count, breakdown by operation type (organic farm / vineyard / orchard / other), sum of estimated annual demand in tonnes. Target: 25 buyers by end of month 3.</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3 — Active Listings: Total, breakdown by feedstock, average age of listing before first inquiry.</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4 — Inquiry Rate: Inquiries per active listing per month. Target: 0.5+ per listing per month. Below this means listings are not relevant to registered buyers — solve by recruiting better-matched buyers.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5 — Introduction Rate: Percentage of inquiries resulting in an introduction. Target: 65%+. Below this means either buyer or producer quality is poor, or geographic mismatch is high.</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6 — Transaction Conversion: Percentage of introductions resulting in a confirmed transaction. Even 20-25% in V1 is commercially strong — it proves the market works.</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7 — Completed Transactions: Running total. This is the number investors care about most. 5 transactions is proof of concept. 20 is a fundable story.</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8 — Gross Transaction Value: Total dollar value of all completed transactions through the platform.</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9 — Commission Collected: Gross value × 4%. Actual revenue. $10,000 collected in V1 proves the model.</w:t>
            </w:r>
          </w:p>
          <w:p>
            <w:pPr>
              <w:pStyle w:val="ListParagraph"/>
              <w:numPr>
                <w:ilvl w:val="0"/>
                <w:numId w:val="2"/>
              </w:numPr>
              <w:spacing w:before="45" w:after="45"/>
            </w:pPr>
            <w:r>
              <w:rPr>
                <w:rFonts w:ascii="Arial" w:cs="Arial" w:eastAsia="Arial" w:hAnsi="Arial"/>
                <w:b w:val="false"/>
                <w:bCs w:val="false"/>
                <w:i w:val="false"/>
                <w:iCs w:val="false"/>
                <w:color w:val="222222"/>
                <w:sz w:val="19"/>
                <w:szCs w:val="19"/>
              </w:rPr>
              <w:t xml:space="preserve">METRIC 10 — Carbon Sequestration Enabled: Tonnes of stable carbon applied to California soil through platform transactions, calculated from transaction volume and characterization carbon content. Impact metric for press and grant applications — converts commercial activity into environmental story.</w:t>
            </w:r>
          </w:p>
        </w:tc>
      </w:tr>
    </w:tbl>
    <w:p>
      <w:r>
        <w:br w:type="page"/>
      </w:r>
    </w:p>
    <w:p>
      <w:pPr>
        <w:pBdr>
          <w:bottom w:val="single" w:color="1A3A1A" w:sz="8" w:space="4"/>
        </w:pBdr>
        <w:spacing w:before="440" w:after="160"/>
      </w:pPr>
      <w:r>
        <w:rPr>
          <w:rFonts w:ascii="Arial" w:cs="Arial" w:eastAsia="Arial" w:hAnsi="Arial"/>
          <w:b/>
          <w:bCs/>
          <w:i w:val="false"/>
          <w:iCs w:val="false"/>
          <w:color w:val="1A3A1A"/>
          <w:sz w:val="30"/>
          <w:szCs w:val="30"/>
        </w:rPr>
        <w:t xml:space="preserve">What Running V1 Actually Looks Like Day to Day</w:t>
      </w:r>
    </w:p>
    <w:p>
      <w:pPr>
        <w:spacing w:before="80" w:after="80"/>
        <w:jc w:val="left"/>
      </w:pPr>
      <w:r>
        <w:rPr>
          <w:rFonts w:ascii="Arial" w:cs="Arial" w:eastAsia="Arial" w:hAnsi="Arial"/>
          <w:b w:val="false"/>
          <w:bCs w:val="false"/>
          <w:i w:val="false"/>
          <w:iCs w:val="false"/>
          <w:color w:val="222222"/>
          <w:sz w:val="20"/>
          <w:szCs w:val="20"/>
        </w:rPr>
        <w:t xml:space="preserve">V1 is a manual brokerage operation with a professional website. The founder is the platform. The following is an honest description of the daily workflow.</w:t>
      </w:r>
    </w:p>
    <w:p>
      <w:pPr>
        <w:spacing w:before="80" w:after="0"/>
      </w:pPr>
    </w:p>
    <w:p>
      <w:pPr>
        <w:spacing w:before="300" w:after="100"/>
      </w:pPr>
      <w:r>
        <w:rPr>
          <w:rFonts w:ascii="Arial" w:cs="Arial" w:eastAsia="Arial" w:hAnsi="Arial"/>
          <w:b/>
          <w:bCs/>
          <w:i w:val="false"/>
          <w:iCs w:val="false"/>
          <w:color w:val="2D6A2D"/>
          <w:sz w:val="24"/>
          <w:szCs w:val="24"/>
        </w:rPr>
        <w:t xml:space="preserve">Daily — 30 to 60 minutes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Check email and Airtable for new producer applications, buyer registrations, and inquiry form submissions.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Respond to all new inquiries within 24 hours — either sending an introduction or explaining why the fit was not strong enough and what would need to change.</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Follow up on any open negotiations that have gone quiet for more than 4 days — a brief email to both parties asking if they need anything to move forward.</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Update Airtable statuses for any transactions that progressed.</w:t>
      </w:r>
    </w:p>
    <w:p>
      <w:pPr>
        <w:spacing w:before="60" w:after="0"/>
      </w:pPr>
    </w:p>
    <w:p>
      <w:pPr>
        <w:spacing w:before="300" w:after="100"/>
      </w:pPr>
      <w:r>
        <w:rPr>
          <w:rFonts w:ascii="Arial" w:cs="Arial" w:eastAsia="Arial" w:hAnsi="Arial"/>
          <w:b/>
          <w:bCs/>
          <w:i w:val="false"/>
          <w:iCs w:val="false"/>
          <w:color w:val="2D6A2D"/>
          <w:sz w:val="24"/>
          <w:szCs w:val="24"/>
        </w:rPr>
        <w:t xml:space="preserve">Weekly — 2 to 3 hours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Outreach: Email 15-20 new potential producers and buyers identified through LinkedIn, UC Cooperative Extension farm directories, California Certified Organic Farmers member list, California Association of Winegrape Growers, and California Rice Commission contacts. This is the growth engine.</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Listing maintenance: Check expiry dates, email producers to refresh. Update volumes or prices if producers have communicated changes.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Characterization report tracking: Check Airtable expiry fields. Contact any producers with reports expiring within 30 days.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Metrics update: Pull weekly numbers into a simple Google Doc report. Track against targets.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Industry reading: One article from Western Farm Press, Ag Daily, or UC ANR publications covering California soil health, organic agriculture, or water conservation. Stay current on what buyers are being pressured by.</w:t>
      </w:r>
    </w:p>
    <w:p>
      <w:pPr>
        <w:spacing w:before="60" w:after="0"/>
      </w:pPr>
    </w:p>
    <w:p>
      <w:pPr>
        <w:spacing w:before="300" w:after="100"/>
      </w:pPr>
      <w:r>
        <w:rPr>
          <w:rFonts w:ascii="Arial" w:cs="Arial" w:eastAsia="Arial" w:hAnsi="Arial"/>
          <w:b/>
          <w:bCs/>
          <w:i w:val="false"/>
          <w:iCs w:val="false"/>
          <w:color w:val="2D6A2D"/>
          <w:sz w:val="24"/>
          <w:szCs w:val="24"/>
        </w:rPr>
        <w:t xml:space="preserve">Monthly</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Invoice all completed transactions from the prior month via Stripe.</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Follow up on any unpaid invoices from prior months.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Send a brief market update email to all registered buyers and producers — new listings available, market observations, any regulatory news relevant to biochar use in California. Keeps the platform top of mind without being spam.</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Review satisfaction ratings. Contact any transaction where either party gave a rating below 3 out of 5 to understand what went wrong.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8"/>
              <w:left w:val="single" w:color="2D6A2D" w:sz="20"/>
              <w:bottom w:val="single" w:color="DDDDDD" w:sz="1"/>
              <w:right w:val="single" w:color="DDDDDD" w:sz="1"/>
            </w:tcBorders>
            <w:shd w:fill="EFF7EF" w:val="clear"/>
            <w:tcMar>
              <w:top w:type="dxa" w:w="140"/>
              <w:left w:type="dxa" w:w="220"/>
              <w:bottom w:type="dxa" w:w="140"/>
              <w:right w:type="dxa" w:w="220"/>
            </w:tcMar>
          </w:tcPr>
          <w:p>
            <w:pPr>
              <w:spacing w:before="0" w:after="0"/>
            </w:pPr>
            <w:r>
              <w:rPr>
                <w:rFonts w:ascii="Arial" w:cs="Arial" w:eastAsia="Arial" w:hAnsi="Arial"/>
                <w:b w:val="false"/>
                <w:bCs w:val="false"/>
                <w:i w:val="false"/>
                <w:iCs w:val="false"/>
                <w:color w:val="222222"/>
                <w:sz w:val="19"/>
                <w:szCs w:val="19"/>
              </w:rPr>
              <w:t xml:space="preserve">The honest description of V1 is that it is a sales and relationship job with a website. The technology reduces friction but the founder's judgment, outreach, and presence in every transaction is what makes it work. This is normal and appropriate at this scale. Every large marketplace — Airbnb, Etsy, Faire — started with founders manually facilitating early transactions.</w:t>
            </w:r>
          </w:p>
        </w:tc>
      </w:tr>
    </w:tbl>
    <w:p>
      <w:pPr>
        <w:spacing w:before="120" w:after="0"/>
      </w:pPr>
    </w:p>
    <w:p>
      <w:pPr>
        <w:pBdr>
          <w:bottom w:val="single" w:color="1A3A1A" w:sz="8" w:space="4"/>
        </w:pBdr>
        <w:spacing w:before="440" w:after="160"/>
      </w:pPr>
      <w:r>
        <w:rPr>
          <w:rFonts w:ascii="Arial" w:cs="Arial" w:eastAsia="Arial" w:hAnsi="Arial"/>
          <w:b/>
          <w:bCs/>
          <w:i w:val="false"/>
          <w:iCs w:val="false"/>
          <w:color w:val="1A3A1A"/>
          <w:sz w:val="30"/>
          <w:szCs w:val="30"/>
        </w:rPr>
        <w:t xml:space="preserve">How to Find Producers and Buyers</w:t>
      </w:r>
    </w:p>
    <w:p>
      <w:pPr>
        <w:spacing w:before="80" w:after="80"/>
        <w:jc w:val="left"/>
      </w:pPr>
      <w:r>
        <w:rPr>
          <w:rFonts w:ascii="Arial" w:cs="Arial" w:eastAsia="Arial" w:hAnsi="Arial"/>
          <w:b w:val="false"/>
          <w:bCs w:val="false"/>
          <w:i w:val="false"/>
          <w:iCs w:val="false"/>
          <w:color w:val="222222"/>
          <w:sz w:val="20"/>
          <w:szCs w:val="20"/>
        </w:rPr>
        <w:t xml:space="preserve">California Biochar Exchange operates entirely through email outreach, not advertising. The target participants are findable through public directories and industry databases. The following are the specific channels for each side of the market.</w:t>
      </w:r>
    </w:p>
    <w:p>
      <w:pPr>
        <w:spacing w:before="80" w:after="0"/>
      </w:pPr>
    </w:p>
    <w:p>
      <w:pPr>
        <w:spacing w:before="300" w:after="100"/>
      </w:pPr>
      <w:r>
        <w:rPr>
          <w:rFonts w:ascii="Arial" w:cs="Arial" w:eastAsia="Arial" w:hAnsi="Arial"/>
          <w:b/>
          <w:bCs/>
          <w:i w:val="false"/>
          <w:iCs w:val="false"/>
          <w:color w:val="2D6A2D"/>
          <w:sz w:val="24"/>
          <w:szCs w:val="24"/>
        </w:rPr>
        <w:t xml:space="preserve">Finding producers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UC Berkeley and UC Davis have published research identifying California biochar producers by name and location. These lists are the starting point — they are already pre-qualified as real producers with real operations.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The US Biochar Initiative member directory lists producers by state. California has multiple listed members.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LinkedIn search: 'biochar California producer' or 'pyrolysis California agricultural'. Direct message to founders or operations managers.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California Air Resources Board permit database: Facilities operating pyrolysis equipment are permitted and publicly listed. This surfaces producers who have not self-identified through biochar industry channels.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CalRecycle's organic waste management contacts — facilities processing agricultural biomass are listed publicly.</w:t>
      </w:r>
    </w:p>
    <w:p>
      <w:pPr>
        <w:spacing w:before="60" w:after="0"/>
      </w:pPr>
    </w:p>
    <w:p>
      <w:pPr>
        <w:spacing w:before="300" w:after="100"/>
      </w:pPr>
      <w:r>
        <w:rPr>
          <w:rFonts w:ascii="Arial" w:cs="Arial" w:eastAsia="Arial" w:hAnsi="Arial"/>
          <w:b/>
          <w:bCs/>
          <w:i w:val="false"/>
          <w:iCs w:val="false"/>
          <w:color w:val="2D6A2D"/>
          <w:sz w:val="24"/>
          <w:szCs w:val="24"/>
        </w:rPr>
        <w:t xml:space="preserve">Finding buyers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California Certified Organic Farmers (CCOF) has a public member directory of certified organic operations by county. This is your primary buyer prospecting list — filtered to organic farmers who are predisposed to soil health investments.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California Association of Winegrape Growers member list — publicly available, segmented by county. Napa, Sonoma, Paso Robles, and Central Coast wineries are primary targets.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UC Cooperative Extension farm advisors are a warm introduction channel — they advise thousands of California farms and can refer farmers interested in soil amendment options. One relationship with a farm advisor unlocks dozens of potential buyer conversations.</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USDA NRCS California offices: The Natural Resources Conservation Service works directly with farms on soil health practices and is administering biochar-related conservation program funding. Contacts at NRCS offices have direct relationships with farms actively seeking biochar.</w:t>
      </w:r>
    </w:p>
    <w:p>
      <w:pPr>
        <w:pStyle w:val="ListParagraph"/>
        <w:numPr>
          <w:ilvl w:val="0"/>
          <w:numId w:val="2"/>
        </w:numPr>
        <w:spacing w:before="50" w:after="50"/>
      </w:pPr>
      <w:r>
        <w:rPr>
          <w:rFonts w:ascii="Arial" w:cs="Arial" w:eastAsia="Arial" w:hAnsi="Arial"/>
          <w:b w:val="false"/>
          <w:bCs w:val="false"/>
          <w:i w:val="false"/>
          <w:iCs w:val="false"/>
          <w:color w:val="222222"/>
          <w:sz w:val="20"/>
          <w:szCs w:val="20"/>
        </w:rPr>
        <w:t xml:space="preserve">California Farm Bureau county chapters hold monthly meetings where a brief introduction to the platform could reach dozens of potential buyers simultaneously.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8"/>
              <w:left w:val="single" w:color="2D6A2D" w:sz="20"/>
              <w:bottom w:val="single" w:color="DDDDDD" w:sz="1"/>
              <w:right w:val="single" w:color="DDDDDD" w:sz="1"/>
            </w:tcBorders>
            <w:shd w:fill="EFF7EF" w:val="clear"/>
            <w:tcMar>
              <w:top w:type="dxa" w:w="140"/>
              <w:left w:type="dxa" w:w="220"/>
              <w:bottom w:type="dxa" w:w="140"/>
              <w:right w:type="dxa" w:w="220"/>
            </w:tcMar>
          </w:tcPr>
          <w:p>
            <w:pPr>
              <w:spacing w:before="0" w:after="0"/>
            </w:pPr>
            <w:r>
              <w:rPr>
                <w:rFonts w:ascii="Arial" w:cs="Arial" w:eastAsia="Arial" w:hAnsi="Arial"/>
                <w:b w:val="false"/>
                <w:bCs w:val="false"/>
                <w:i w:val="false"/>
                <w:iCs w:val="false"/>
                <w:color w:val="222222"/>
                <w:sz w:val="19"/>
                <w:szCs w:val="19"/>
              </w:rPr>
              <w:t xml:space="preserve">The outreach email that works for producers: 'I'm building a California-specific marketplace connecting local biochar producers to agricultural buyers. I came across your operation through [source] and wanted to understand how you currently handle sales and whether a platform connecting you to California farms and vineyards would be useful. Would you be open to a brief email exchange?' Three sentences. Specific. Research-backed. No pitch, just a question.</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1A5C" w:val="clear"/>
            <w:tcMar>
              <w:top w:type="dxa" w:w="200"/>
              <w:left w:type="dxa" w:w="300"/>
              <w:bottom w:type="dxa" w:w="200"/>
              <w:right w:type="dxa" w:w="300"/>
            </w:tcMar>
          </w:tcPr>
          <w:p>
            <w:pPr>
              <w:jc w:val="center"/>
            </w:pPr>
            <w:r>
              <w:rPr>
                <w:rFonts w:ascii="Arial" w:cs="Arial" w:eastAsia="Arial" w:hAnsi="Arial"/>
                <w:b/>
                <w:bCs/>
                <w:i w:val="false"/>
                <w:iCs w:val="false"/>
                <w:color w:val="FFFFFF"/>
                <w:sz w:val="28"/>
                <w:szCs w:val="28"/>
              </w:rPr>
              <w:t xml:space="preserve">FUTURE EXPANSION — NOT CURRENT FOCUS</w:t>
            </w:r>
          </w:p>
        </w:tc>
      </w:tr>
    </w:tbl>
    <w:p>
      <w:pPr>
        <w:spacing w:before="80" w:after="0"/>
      </w:pPr>
    </w:p>
    <w:p>
      <w:pPr>
        <w:pBdr>
          <w:bottom w:val="single" w:color="3A1A5C" w:sz="8" w:space="4"/>
        </w:pBdr>
        <w:spacing w:before="440" w:after="160"/>
      </w:pPr>
      <w:r>
        <w:rPr>
          <w:rFonts w:ascii="Arial" w:cs="Arial" w:eastAsia="Arial" w:hAnsi="Arial"/>
          <w:b/>
          <w:bCs/>
          <w:i w:val="false"/>
          <w:iCs w:val="false"/>
          <w:color w:val="3A1A5C"/>
          <w:sz w:val="30"/>
          <w:szCs w:val="30"/>
        </w:rPr>
        <w:t xml:space="preserve">Future Layer 1: Carbon Credit Brokerage</w:t>
      </w:r>
    </w:p>
    <w:p>
      <w:pPr>
        <w:spacing w:before="80" w:after="80"/>
        <w:jc w:val="left"/>
      </w:pPr>
      <w:r>
        <w:rPr>
          <w:rFonts w:ascii="Arial" w:cs="Arial" w:eastAsia="Arial" w:hAnsi="Arial"/>
          <w:b w:val="false"/>
          <w:bCs w:val="false"/>
          <w:i w:val="false"/>
          <w:iCs w:val="false"/>
          <w:color w:val="222222"/>
          <w:sz w:val="20"/>
          <w:szCs w:val="20"/>
        </w:rPr>
        <w:t xml:space="preserve">Once the physical biochar marketplace has established transaction history and producer relationships, a second revenue layer becomes viable: brokering carbon credits generated by biochar soil application.</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When biochar is incorporated into soil, the stable carbon it contains is removed from the atmospheric cycle for centuries. This carbon sequestration can be quantified and sold as a verified carbon removal credit to corporate buyers with net-zero commitments. The major biochar credit registries — Puro.earth and the International Biochar Initiative's certification pathway — require documented production data, characterization reports, and verified field application. California Biochar Exchange will already have all of this data from its marketplace operations.</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The carbon credit layer is not being built in Version 1 for two reasons. First, the credit market requires a minimum volume of production to make certification economically viable for small producers — building marketplace volume first solves this. Second, the credit market for biochar showed weakening demand in late 2024 as a small number of large corporate buyers dominated purchasing, making it an unreliable primary revenue source. It is a valuable addition to an established physical marketplace, not a foundation to build 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1A5C" w:sz="8"/>
              <w:left w:val="single" w:color="3A1A5C" w:sz="20"/>
              <w:bottom w:val="single" w:color="DDDDDD" w:sz="1"/>
              <w:right w:val="single" w:color="DDDDDD" w:sz="1"/>
            </w:tcBorders>
            <w:shd w:fill="F5EEF8" w:val="clear"/>
            <w:tcMar>
              <w:top w:type="dxa" w:w="140"/>
              <w:left w:type="dxa" w:w="220"/>
              <w:bottom w:type="dxa" w:w="140"/>
              <w:right w:type="dxa" w:w="220"/>
            </w:tcMar>
          </w:tcPr>
          <w:p>
            <w:pPr>
              <w:spacing w:before="0" w:after="0"/>
            </w:pPr>
            <w:r>
              <w:rPr>
                <w:rFonts w:ascii="Arial" w:cs="Arial" w:eastAsia="Arial" w:hAnsi="Arial"/>
                <w:b w:val="false"/>
                <w:bCs w:val="false"/>
                <w:i w:val="false"/>
                <w:iCs w:val="false"/>
                <w:color w:val="222222"/>
                <w:sz w:val="19"/>
                <w:szCs w:val="19"/>
              </w:rPr>
              <w:t xml:space="preserve">When this layer is added — targeted for Year 2 once 50+ transactions are complete — California Biochar Exchange becomes the only platform connecting California producers to both local agricultural buyers and corporate carbon credit buyers, with all the verification infrastructure already built.</w:t>
            </w:r>
          </w:p>
        </w:tc>
      </w:tr>
    </w:tbl>
    <w:p>
      <w:pPr>
        <w:spacing w:before="120" w:after="0"/>
      </w:pPr>
    </w:p>
    <w:p>
      <w:pPr>
        <w:pBdr>
          <w:bottom w:val="single" w:color="3A1A5C" w:sz="8" w:space="4"/>
        </w:pBdr>
        <w:spacing w:before="440" w:after="160"/>
      </w:pPr>
      <w:r>
        <w:rPr>
          <w:rFonts w:ascii="Arial" w:cs="Arial" w:eastAsia="Arial" w:hAnsi="Arial"/>
          <w:b/>
          <w:bCs/>
          <w:i w:val="false"/>
          <w:iCs w:val="false"/>
          <w:color w:val="3A1A5C"/>
          <w:sz w:val="30"/>
          <w:szCs w:val="30"/>
        </w:rPr>
        <w:t xml:space="preserve">Future Layer 2: Rice Husk Ash and Construction Materials</w:t>
      </w:r>
    </w:p>
    <w:p>
      <w:pPr>
        <w:spacing w:before="80" w:after="80"/>
        <w:jc w:val="left"/>
      </w:pPr>
      <w:r>
        <w:rPr>
          <w:rFonts w:ascii="Arial" w:cs="Arial" w:eastAsia="Arial" w:hAnsi="Arial"/>
          <w:b w:val="false"/>
          <w:bCs w:val="false"/>
          <w:i w:val="false"/>
          <w:iCs w:val="false"/>
          <w:color w:val="222222"/>
          <w:sz w:val="20"/>
          <w:szCs w:val="20"/>
        </w:rPr>
        <w:t xml:space="preserve">The longer-term expansion of this business moves from agricultural biochar into construction materials — specifically Rice Husk Ash as a supplementary cementitious material for concrete.</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Rice husks — the same feedstock used for rice husk biochar — can also be processed at controlled temperatures into a high-performance cement substitute. California's Sacramento Valley produces enormous volumes of rice husks currently being burned or landfilled under increasingly restricted air quality permits. No commercial supply chain exists in California to convert them into certified construction material. This is a larger market, a more defensible long-term position, and a more complex business to build.</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The biochar marketplace is the right entry point for three reasons. It builds relationships with Sacramento Valley rice mills — the same feedstock suppliers needed for RHA. It builds credibility in the industrial byproduct space that makes conversations with concrete companies and construction industry regulators more productive. And it generates revenue and investor track record that can support the more capital-intensive infrastructure required for RHA processing.</w:t>
      </w:r>
    </w:p>
    <w:p>
      <w:pPr>
        <w:spacing w:before="60" w:after="0"/>
      </w:pPr>
    </w:p>
    <w:p>
      <w:pPr>
        <w:spacing w:before="80" w:after="80"/>
        <w:jc w:val="left"/>
      </w:pPr>
      <w:r>
        <w:rPr>
          <w:rFonts w:ascii="Arial" w:cs="Arial" w:eastAsia="Arial" w:hAnsi="Arial"/>
          <w:b w:val="false"/>
          <w:bCs w:val="false"/>
          <w:i w:val="false"/>
          <w:iCs w:val="false"/>
          <w:color w:val="222222"/>
          <w:sz w:val="20"/>
          <w:szCs w:val="20"/>
        </w:rPr>
        <w:t xml:space="preserve">This expansion is targeted for Year 3 at the earliest, after the biochar marketplace is established and the carbon credit layer is operational. It is mentioned here as context for the long-term direction of the business, not as a near-term initiative.</w:t>
      </w:r>
    </w:p>
    <w:p>
      <w:pPr>
        <w:spacing w:before="120" w:after="0"/>
      </w:pPr>
    </w:p>
    <w:p>
      <w:pPr>
        <w:pBdr>
          <w:bottom w:val="single" w:color="2D6A2D" w:sz="4" w:space="1"/>
        </w:pBdr>
        <w:spacing w:before="80" w:after="80"/>
      </w:pPr>
    </w:p>
    <w:p>
      <w:pPr>
        <w:spacing w:before="80" w:after="0"/>
      </w:pPr>
    </w:p>
    <w:p>
      <w:pPr>
        <w:spacing w:before="80" w:after="80"/>
        <w:jc w:val="left"/>
      </w:pPr>
      <w:r>
        <w:rPr>
          <w:rFonts w:ascii="Arial" w:cs="Arial" w:eastAsia="Arial" w:hAnsi="Arial"/>
          <w:b/>
          <w:bCs/>
          <w:i w:val="false"/>
          <w:iCs w:val="false"/>
          <w:color w:val="1A3A1A"/>
          <w:sz w:val="20"/>
          <w:szCs w:val="20"/>
        </w:rPr>
        <w:t xml:space="preserve">California has more organic farmers, more biochar producers, more agricultural biomass, and more policy pressure to improve soil health than almost anywhere else in the US. The market cannot find itself. California Biochar Exchange builds the infrastructure that lets it.</w:t>
      </w:r>
    </w:p>
    <w:p>
      <w:pPr>
        <w:spacing w:before="40" w:after="0"/>
      </w:pPr>
    </w:p>
    <w:p>
      <w:pPr>
        <w:spacing w:before="80" w:after="80"/>
        <w:jc w:val="left"/>
      </w:pPr>
      <w:r>
        <w:rPr>
          <w:rFonts w:ascii="Arial" w:cs="Arial" w:eastAsia="Arial" w:hAnsi="Arial"/>
          <w:b w:val="false"/>
          <w:bCs w:val="false"/>
          <w:i/>
          <w:iCs/>
          <w:color w:val="999999"/>
          <w:sz w:val="20"/>
          <w:szCs w:val="20"/>
        </w:rPr>
        <w:t xml:space="preserve">California  ·  2025  ·  Confidential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2026-02-23T04:46:23.222Z</dcterms:created>
  <dcterms:modified xsi:type="dcterms:W3CDTF">2026-02-23T04:46:23.223Z</dcterms:modified>
</cp:coreProperties>
</file>

<file path=docProps/custom.xml><?xml version="1.0" encoding="utf-8"?>
<Properties xmlns="http://schemas.openxmlformats.org/officeDocument/2006/custom-properties" xmlns:vt="http://schemas.openxmlformats.org/officeDocument/2006/docPropsVTypes"/>
</file>