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3C0" w:rsidRDefault="004253C0" w:rsidP="004253C0">
      <w:pPr>
        <w:pStyle w:val="NormalWeb"/>
        <w:ind w:left="480" w:hanging="480"/>
      </w:pPr>
      <w:r>
        <w:t xml:space="preserve">Chickering, A. W., &amp; Gamson, Z. F. (1987). Seven principles for good practice in undergraduate education. </w:t>
      </w:r>
      <w:r>
        <w:rPr>
          <w:i/>
          <w:iCs/>
        </w:rPr>
        <w:t>American Association of Higher Education Bulletin</w:t>
      </w:r>
      <w:r>
        <w:t xml:space="preserve">, </w:t>
      </w:r>
      <w:r>
        <w:rPr>
          <w:i/>
          <w:iCs/>
        </w:rPr>
        <w:t>39</w:t>
      </w:r>
      <w:r>
        <w:t>(7), 3–7. http://doi.org/10.1016/0307-4412(89)90094-0</w:t>
      </w:r>
    </w:p>
    <w:p w:rsidR="004253C0" w:rsidRDefault="004253C0" w:rsidP="004253C0">
      <w:pPr>
        <w:pStyle w:val="NormalWeb"/>
        <w:ind w:left="480" w:hanging="480"/>
      </w:pPr>
      <w:r>
        <w:t xml:space="preserve">Devlin, M., &amp; Samarawickrema, G. (2010). The criteria of effective teaching in a changing higher education context. </w:t>
      </w:r>
      <w:r>
        <w:rPr>
          <w:i/>
          <w:iCs/>
        </w:rPr>
        <w:t>Higher Education Research &amp; Development</w:t>
      </w:r>
      <w:r>
        <w:t xml:space="preserve">, </w:t>
      </w:r>
      <w:r>
        <w:rPr>
          <w:i/>
          <w:iCs/>
        </w:rPr>
        <w:t>29</w:t>
      </w:r>
      <w:r>
        <w:t>(2), 111–124. http://doi.org/10.1080/07294360903244398</w:t>
      </w:r>
    </w:p>
    <w:p w:rsidR="004253C0" w:rsidRDefault="004253C0" w:rsidP="004253C0">
      <w:pPr>
        <w:pStyle w:val="NormalWeb"/>
        <w:ind w:left="480" w:hanging="480"/>
      </w:pPr>
      <w:r>
        <w:t xml:space="preserve">Friesen, N. (2012). </w:t>
      </w:r>
      <w:r>
        <w:rPr>
          <w:i/>
          <w:iCs/>
        </w:rPr>
        <w:t>Report: Defining Blended Learning</w:t>
      </w:r>
      <w:r>
        <w:t>. Retrieved from http://learningspaces.org/papers/Defining_Blended_Learning_NF.pdf</w:t>
      </w:r>
    </w:p>
    <w:p w:rsidR="004253C0" w:rsidRDefault="004253C0" w:rsidP="004253C0">
      <w:pPr>
        <w:pStyle w:val="NormalWeb"/>
        <w:ind w:left="480" w:hanging="480"/>
      </w:pPr>
      <w:r>
        <w:t>Kolb, D. A. (2015). Experiential learning: experience as the source of learning and development, (1984), 390.</w:t>
      </w:r>
    </w:p>
    <w:p w:rsidR="004253C0" w:rsidRDefault="004253C0" w:rsidP="004253C0">
      <w:pPr>
        <w:pStyle w:val="NormalWeb"/>
        <w:ind w:left="480" w:hanging="480"/>
      </w:pPr>
      <w:r>
        <w:t xml:space="preserve">Lucas, B., Spencer, E., &amp; Claxton, G. (2012). </w:t>
      </w:r>
      <w:r>
        <w:rPr>
          <w:i/>
          <w:iCs/>
        </w:rPr>
        <w:t>How to teach vocational education: a theory of vocational pedagogy</w:t>
      </w:r>
      <w:r>
        <w:t>. http://doi.org/10.13140/2.1.3424.5928</w:t>
      </w:r>
    </w:p>
    <w:p w:rsidR="004253C0" w:rsidRDefault="004253C0" w:rsidP="004253C0">
      <w:pPr>
        <w:pStyle w:val="NormalWeb"/>
        <w:ind w:left="480" w:hanging="480"/>
      </w:pPr>
      <w:r>
        <w:t xml:space="preserve">McKeachie, W. J., Pintrich, P. R., Lin, Y.-G., &amp; Smith, D. A. F. (1986). </w:t>
      </w:r>
      <w:r>
        <w:rPr>
          <w:i/>
          <w:iCs/>
        </w:rPr>
        <w:t>Teaching and learning in the classroom: A review of the research literature</w:t>
      </w:r>
      <w:r>
        <w:t>. Ann Arbor, MI: University of Michigan. Retrieved from https://files.eric.ed.gov/fulltext/ED314999.pdf</w:t>
      </w:r>
    </w:p>
    <w:p w:rsidR="004253C0" w:rsidRDefault="004253C0" w:rsidP="004253C0">
      <w:pPr>
        <w:pStyle w:val="NormalWeb"/>
        <w:ind w:left="480" w:hanging="480"/>
      </w:pPr>
      <w:r>
        <w:t xml:space="preserve">Ministry of Education. (2009). </w:t>
      </w:r>
      <w:r>
        <w:rPr>
          <w:i/>
          <w:iCs/>
        </w:rPr>
        <w:t>He Whakamärama</w:t>
      </w:r>
      <w:r>
        <w:t>. Retrieved from www.educationcounts.govt.nz</w:t>
      </w:r>
    </w:p>
    <w:p w:rsidR="004253C0" w:rsidRDefault="004253C0" w:rsidP="004253C0">
      <w:pPr>
        <w:pStyle w:val="NormalWeb"/>
        <w:ind w:left="480" w:hanging="480"/>
      </w:pPr>
      <w:r>
        <w:t xml:space="preserve">Northcote, M., &amp; Fetherston, T. (2006). New metaphors for teaching and learning in a university context. In </w:t>
      </w:r>
      <w:r>
        <w:rPr>
          <w:i/>
          <w:iCs/>
        </w:rPr>
        <w:t>Critical Visions, Proceedings of the 29th HERDSA Annual Conference, Western Australia</w:t>
      </w:r>
      <w:r>
        <w:t xml:space="preserve"> (pp. 251–258). Perth, Western Australia. Retrieved from www.herdsa.org.au</w:t>
      </w:r>
    </w:p>
    <w:p w:rsidR="004253C0" w:rsidRDefault="004253C0" w:rsidP="004253C0">
      <w:pPr>
        <w:pStyle w:val="NormalWeb"/>
        <w:ind w:left="480" w:hanging="480"/>
      </w:pPr>
      <w:r>
        <w:t xml:space="preserve">Piaget, J., &amp; Wells, P. A. (1972). </w:t>
      </w:r>
      <w:r>
        <w:rPr>
          <w:i/>
          <w:iCs/>
        </w:rPr>
        <w:t>Psychology and epistemology : towards a theory of knowledge</w:t>
      </w:r>
      <w:r>
        <w:t>. Penguin.</w:t>
      </w:r>
    </w:p>
    <w:p w:rsidR="004253C0" w:rsidRDefault="004253C0" w:rsidP="004253C0">
      <w:pPr>
        <w:pStyle w:val="NormalWeb"/>
        <w:ind w:left="480" w:hanging="480"/>
      </w:pPr>
      <w:r>
        <w:t xml:space="preserve">Ross, L., Greene, D., &amp; House, P. (n.d.). </w:t>
      </w:r>
      <w:r>
        <w:rPr>
          <w:i/>
          <w:iCs/>
        </w:rPr>
        <w:t>The “False Consensus Effect”: An Egocentric Bias in Social Perception and Attribution Processes</w:t>
      </w:r>
      <w:r>
        <w:t>. Retrieved from http://web.mit.edu/curhan/www/docs/Articles/biases/13_J_Experimental_Social_Psychology_279_%28Ross%29.pdf</w:t>
      </w:r>
    </w:p>
    <w:p w:rsidR="004253C0" w:rsidRDefault="004253C0" w:rsidP="004253C0">
      <w:pPr>
        <w:pStyle w:val="NormalWeb"/>
        <w:ind w:left="480" w:hanging="480"/>
      </w:pPr>
      <w:r>
        <w:t xml:space="preserve">Ushioda, E. (2009). A person-in-context relational view of emergent motivation, self and identity. In Z. Dörnyei &amp; E. Ushioda (Eds.), </w:t>
      </w:r>
      <w:r>
        <w:rPr>
          <w:i/>
          <w:iCs/>
        </w:rPr>
        <w:t>Motivation, language identity and the L2 self. Second language acquisition</w:t>
      </w:r>
      <w:r>
        <w:t xml:space="preserve"> (pp. 215–228). Bristol, U.K. ; Buffalo, N.Y.: Multilingual Matters.</w:t>
      </w:r>
    </w:p>
    <w:p w:rsidR="004253C0" w:rsidRDefault="004253C0" w:rsidP="004253C0">
      <w:pPr>
        <w:pStyle w:val="NormalWeb"/>
        <w:ind w:left="480" w:hanging="480"/>
      </w:pPr>
      <w:r>
        <w:t xml:space="preserve">Vygotskiĭ, L. S. (Lev S., &amp; Cole, M. (1978). </w:t>
      </w:r>
      <w:r>
        <w:rPr>
          <w:i/>
          <w:iCs/>
        </w:rPr>
        <w:t>Mind in society : the development of higher psychological processes</w:t>
      </w:r>
      <w:r>
        <w:t>. Harvard University Press.</w:t>
      </w:r>
    </w:p>
    <w:p w:rsidR="004253C0" w:rsidRDefault="004253C0" w:rsidP="004253C0">
      <w:pPr>
        <w:pStyle w:val="NormalWeb"/>
        <w:ind w:left="480" w:hanging="480"/>
      </w:pPr>
      <w:r>
        <w:t xml:space="preserve">Zack, M., &amp; Zack, M. H. (1998). </w:t>
      </w:r>
      <w:r>
        <w:rPr>
          <w:i/>
          <w:iCs/>
        </w:rPr>
        <w:t>What Knowledge-Problems Can Information Technology Help to Solve?</w:t>
      </w:r>
      <w:r>
        <w:t xml:space="preserve"> Retrieved from http://aisel.aisnet.org/amcis1998/216-644-</w:t>
      </w:r>
    </w:p>
    <w:p w:rsidR="00FB7A5E" w:rsidRDefault="00FB7A5E">
      <w:bookmarkStart w:id="0" w:name="_GoBack"/>
      <w:bookmarkEnd w:id="0"/>
    </w:p>
    <w:sectPr w:rsidR="00FB7A5E" w:rsidSect="002418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C0"/>
    <w:rsid w:val="0024183A"/>
    <w:rsid w:val="004253C0"/>
    <w:rsid w:val="007846A0"/>
    <w:rsid w:val="00A91047"/>
    <w:rsid w:val="00FB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30DA5FB-A264-C049-A0EE-F0DDA3B3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6A0"/>
    <w:pPr>
      <w:spacing w:before="120" w:after="120"/>
    </w:pPr>
    <w:rPr>
      <w:rFonts w:ascii="Arial" w:hAnsi="Arial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6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846A0"/>
    <w:pPr>
      <w:outlineLvl w:val="1"/>
    </w:pPr>
    <w:rPr>
      <w:rFonts w:ascii="Helvetica" w:hAnsi="Helvetic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6A0"/>
    <w:rPr>
      <w:rFonts w:ascii="Helvetica" w:eastAsiaTheme="majorEastAsia" w:hAnsi="Helvetica" w:cstheme="majorBidi"/>
      <w:b/>
      <w:color w:val="000000" w:themeColor="tex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846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code">
    <w:name w:val="code"/>
    <w:basedOn w:val="DefaultParagraphFont"/>
    <w:qFormat/>
    <w:rsid w:val="007846A0"/>
    <w:rPr>
      <w:rFonts w:ascii="Consolas" w:hAnsi="Consolas"/>
      <w:b w:val="0"/>
      <w:i w:val="0"/>
      <w:color w:val="auto"/>
      <w:sz w:val="22"/>
      <w:u w:val="none"/>
    </w:rPr>
  </w:style>
  <w:style w:type="paragraph" w:customStyle="1" w:styleId="pre">
    <w:name w:val="pre"/>
    <w:basedOn w:val="Normal"/>
    <w:autoRedefine/>
    <w:qFormat/>
    <w:rsid w:val="007846A0"/>
    <w:pPr>
      <w:keepNext/>
      <w:keepLines/>
      <w:pBdr>
        <w:top w:val="single" w:sz="48" w:space="1" w:color="E7E6E6" w:themeColor="background2"/>
        <w:left w:val="single" w:sz="48" w:space="4" w:color="E7E6E6" w:themeColor="background2"/>
        <w:bottom w:val="single" w:sz="48" w:space="1" w:color="E7E6E6" w:themeColor="background2"/>
        <w:right w:val="single" w:sz="48" w:space="4" w:color="E7E6E6" w:themeColor="background2"/>
      </w:pBdr>
      <w:shd w:val="clear" w:color="auto" w:fill="E7E6E6" w:themeFill="background2"/>
      <w:suppressAutoHyphens/>
      <w:spacing w:line="288" w:lineRule="auto"/>
      <w:ind w:left="851" w:right="851"/>
      <w:contextualSpacing/>
    </w:pPr>
    <w:rPr>
      <w:rFonts w:ascii="Consolas" w:hAnsi="Consolas"/>
    </w:rPr>
  </w:style>
  <w:style w:type="paragraph" w:styleId="NormalWeb">
    <w:name w:val="Normal (Web)"/>
    <w:basedOn w:val="Normal"/>
    <w:uiPriority w:val="99"/>
    <w:semiHidden/>
    <w:unhideWhenUsed/>
    <w:rsid w:val="004253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</dc:creator>
  <cp:keywords/>
  <dc:description/>
  <cp:lastModifiedBy>Elise</cp:lastModifiedBy>
  <cp:revision>1</cp:revision>
  <dcterms:created xsi:type="dcterms:W3CDTF">2018-11-13T21:25:00Z</dcterms:created>
  <dcterms:modified xsi:type="dcterms:W3CDTF">2018-11-13T21:41:00Z</dcterms:modified>
</cp:coreProperties>
</file>