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55B11" w14:textId="77777777" w:rsidR="00C629CE" w:rsidRDefault="00000000">
      <w:pPr>
        <w:rPr>
          <w:sz w:val="38"/>
          <w:szCs w:val="38"/>
          <w:u w:val="single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72F55B44" wp14:editId="72F55B45">
            <wp:simplePos x="0" y="0"/>
            <wp:positionH relativeFrom="column">
              <wp:posOffset>4048125</wp:posOffset>
            </wp:positionH>
            <wp:positionV relativeFrom="paragraph">
              <wp:posOffset>114300</wp:posOffset>
            </wp:positionV>
            <wp:extent cx="2403638" cy="962394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3638" cy="962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F55B12" w14:textId="77777777" w:rsidR="00C629CE" w:rsidRDefault="00C629CE">
      <w:pPr>
        <w:rPr>
          <w:sz w:val="38"/>
          <w:szCs w:val="38"/>
          <w:u w:val="single"/>
        </w:rPr>
      </w:pPr>
    </w:p>
    <w:p w14:paraId="72F55B13" w14:textId="77777777" w:rsidR="00C629CE" w:rsidRDefault="00000000">
      <w:pPr>
        <w:rPr>
          <w:sz w:val="38"/>
          <w:szCs w:val="38"/>
          <w:u w:val="single"/>
        </w:rPr>
      </w:pPr>
      <w:r>
        <w:rPr>
          <w:sz w:val="38"/>
          <w:szCs w:val="38"/>
          <w:u w:val="single"/>
        </w:rPr>
        <w:t xml:space="preserve">Lab 1: Introduction to Orange  </w:t>
      </w:r>
    </w:p>
    <w:p w14:paraId="72F55B14" w14:textId="77777777" w:rsidR="00C629CE" w:rsidRDefault="00C629CE"/>
    <w:p w14:paraId="72F55B15" w14:textId="77777777" w:rsidR="00C629CE" w:rsidRDefault="00C629CE"/>
    <w:p w14:paraId="72F55B16" w14:textId="16CFBA9D" w:rsidR="00C629CE" w:rsidRDefault="00000000">
      <w:r>
        <w:t xml:space="preserve">The first step is to get and install the software on your machine. Alternatively, you can </w:t>
      </w:r>
      <w:r w:rsidR="006445F9">
        <w:t>log in to TU Dublin Lab and click</w:t>
      </w:r>
      <w:r>
        <w:t xml:space="preserve"> the orange icon.</w:t>
      </w:r>
    </w:p>
    <w:p w14:paraId="72F55B17" w14:textId="77777777" w:rsidR="00C629CE" w:rsidRDefault="00000000">
      <w:hyperlink r:id="rId6" w:anchor="macos">
        <w:r>
          <w:rPr>
            <w:color w:val="1155CC"/>
            <w:u w:val="single"/>
          </w:rPr>
          <w:t>Orange Data Mining - Download</w:t>
        </w:r>
      </w:hyperlink>
    </w:p>
    <w:p w14:paraId="72F55B18" w14:textId="77777777" w:rsidR="00C629CE" w:rsidRDefault="00C629CE"/>
    <w:p w14:paraId="72F55B19" w14:textId="225BC3ED" w:rsidR="00C629CE" w:rsidRDefault="00000000">
      <w:r>
        <w:t>The first thing you need to do is to go to the first video of the online tutorials. If you do not have headphones, do not worry</w:t>
      </w:r>
      <w:r w:rsidR="00F55702">
        <w:t>;</w:t>
      </w:r>
      <w:r>
        <w:t xml:space="preserve"> use the subtitles.</w:t>
      </w:r>
    </w:p>
    <w:p w14:paraId="72F55B1A" w14:textId="77777777" w:rsidR="00C629CE" w:rsidRDefault="00000000">
      <w:hyperlink r:id="rId7">
        <w:r>
          <w:rPr>
            <w:color w:val="1155CC"/>
            <w:u w:val="single"/>
          </w:rPr>
          <w:t>Getting Started with Orange 01: Welcome to Orange</w:t>
        </w:r>
      </w:hyperlink>
    </w:p>
    <w:p w14:paraId="72F55B1B" w14:textId="77777777" w:rsidR="00C629CE" w:rsidRDefault="00C629CE"/>
    <w:p w14:paraId="72F55B1C" w14:textId="77777777" w:rsidR="00C629CE" w:rsidRDefault="00000000">
      <w:pPr>
        <w:rPr>
          <w:b/>
        </w:rPr>
      </w:pPr>
      <w:r>
        <w:rPr>
          <w:b/>
        </w:rPr>
        <w:t xml:space="preserve">Part I: </w:t>
      </w:r>
      <w:hyperlink r:id="rId8">
        <w:r>
          <w:rPr>
            <w:color w:val="0000EE"/>
            <w:u w:val="single"/>
          </w:rPr>
          <w:t>Getting Started with Orange 01: Welcome to Orange</w:t>
        </w:r>
      </w:hyperlink>
    </w:p>
    <w:p w14:paraId="72F55B1D" w14:textId="033393A3" w:rsidR="00C629CE" w:rsidRDefault="00000000">
      <w:r>
        <w:t xml:space="preserve">The first video is just a quick overview of how </w:t>
      </w:r>
      <w:proofErr w:type="gramStart"/>
      <w:r>
        <w:t>Orange</w:t>
      </w:r>
      <w:proofErr w:type="gramEnd"/>
      <w:r>
        <w:t xml:space="preserve"> works. In this video</w:t>
      </w:r>
      <w:r w:rsidR="006445F9">
        <w:t>,</w:t>
      </w:r>
      <w:r>
        <w:t xml:space="preserve"> you would do the following things:</w:t>
      </w:r>
    </w:p>
    <w:p w14:paraId="72F55B1E" w14:textId="77777777" w:rsidR="00C629CE" w:rsidRDefault="00000000">
      <w:pPr>
        <w:numPr>
          <w:ilvl w:val="0"/>
          <w:numId w:val="1"/>
        </w:numPr>
      </w:pPr>
      <w:r>
        <w:t xml:space="preserve">General overview of how </w:t>
      </w:r>
      <w:proofErr w:type="gramStart"/>
      <w:r>
        <w:t>Orange</w:t>
      </w:r>
      <w:proofErr w:type="gramEnd"/>
      <w:r>
        <w:t xml:space="preserve"> works.</w:t>
      </w:r>
    </w:p>
    <w:p w14:paraId="72F55B1F" w14:textId="77777777" w:rsidR="00C629CE" w:rsidRDefault="00000000">
      <w:pPr>
        <w:numPr>
          <w:ilvl w:val="0"/>
          <w:numId w:val="1"/>
        </w:numPr>
      </w:pPr>
      <w:r>
        <w:t xml:space="preserve">Use the File widget to load the Iris dataset. The Iris dataset is one of the classic datasets used in ML. </w:t>
      </w:r>
      <w:hyperlink r:id="rId9">
        <w:r>
          <w:rPr>
            <w:color w:val="1155CC"/>
            <w:u w:val="single"/>
          </w:rPr>
          <w:t>https://www.kaggle.com/datasets/uciml/iris</w:t>
        </w:r>
      </w:hyperlink>
    </w:p>
    <w:p w14:paraId="72F55B20" w14:textId="77777777" w:rsidR="00C629CE" w:rsidRDefault="00000000">
      <w:pPr>
        <w:numPr>
          <w:ilvl w:val="0"/>
          <w:numId w:val="1"/>
        </w:numPr>
      </w:pPr>
      <w:r>
        <w:t>Use the Scatter plot to visualise the table.</w:t>
      </w:r>
    </w:p>
    <w:p w14:paraId="72F55B21" w14:textId="77777777" w:rsidR="00C629CE" w:rsidRDefault="00000000">
      <w:pPr>
        <w:numPr>
          <w:ilvl w:val="0"/>
          <w:numId w:val="1"/>
        </w:numPr>
      </w:pPr>
      <w:r>
        <w:t>Save your file and load it again.</w:t>
      </w:r>
    </w:p>
    <w:p w14:paraId="72F55B22" w14:textId="77777777" w:rsidR="00C629CE" w:rsidRDefault="00000000">
      <w:pPr>
        <w:numPr>
          <w:ilvl w:val="0"/>
          <w:numId w:val="1"/>
        </w:numPr>
      </w:pPr>
      <w:r>
        <w:t>Explore the different options and try to understand the logic behind them.</w:t>
      </w:r>
    </w:p>
    <w:p w14:paraId="72F55B23" w14:textId="6CB37CE6" w:rsidR="00C629CE" w:rsidRDefault="00000000">
      <w:pPr>
        <w:numPr>
          <w:ilvl w:val="0"/>
          <w:numId w:val="1"/>
        </w:numPr>
      </w:pPr>
      <w:r>
        <w:t>Now</w:t>
      </w:r>
      <w:r w:rsidR="006445F9">
        <w:t>,</w:t>
      </w:r>
      <w:r>
        <w:t xml:space="preserve"> try to use the “Data Table” widget to select instances of only two classes. </w:t>
      </w:r>
    </w:p>
    <w:p w14:paraId="72F55B24" w14:textId="77777777" w:rsidR="00C629CE" w:rsidRDefault="00C629CE">
      <w:pPr>
        <w:jc w:val="center"/>
      </w:pPr>
    </w:p>
    <w:p w14:paraId="72F55B25" w14:textId="77777777" w:rsidR="00C629CE" w:rsidRDefault="00000000">
      <w:pPr>
        <w:rPr>
          <w:b/>
        </w:rPr>
      </w:pPr>
      <w:r>
        <w:rPr>
          <w:b/>
        </w:rPr>
        <w:t xml:space="preserve">Part II: </w:t>
      </w:r>
      <w:hyperlink r:id="rId10">
        <w:r>
          <w:rPr>
            <w:color w:val="0000EE"/>
            <w:u w:val="single"/>
          </w:rPr>
          <w:t>Getting Started with Orange 02: Data Workflows</w:t>
        </w:r>
      </w:hyperlink>
    </w:p>
    <w:p w14:paraId="72F55B26" w14:textId="58066600" w:rsidR="00C629CE" w:rsidRDefault="00000000">
      <w:r>
        <w:t>This second video is very similar to the first one</w:t>
      </w:r>
      <w:r w:rsidR="001E4811">
        <w:t>, but it is best if you open a new file. This way, you can keep your exercise tidy in different files. As in the first exercise, we are going to use a file and a data table. The exercise will</w:t>
      </w:r>
      <w:r>
        <w:t xml:space="preserve"> allow you to inspect the different attributes of the dataset.</w:t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72F55B46" wp14:editId="72F55B47">
            <wp:simplePos x="0" y="0"/>
            <wp:positionH relativeFrom="column">
              <wp:posOffset>292425</wp:posOffset>
            </wp:positionH>
            <wp:positionV relativeFrom="paragraph">
              <wp:posOffset>771525</wp:posOffset>
            </wp:positionV>
            <wp:extent cx="5434013" cy="2491341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4913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F55B27" w14:textId="77777777" w:rsidR="00C629CE" w:rsidRDefault="00C629CE"/>
    <w:p w14:paraId="72F55B28" w14:textId="77777777" w:rsidR="00C629CE" w:rsidRDefault="00C629CE"/>
    <w:p w14:paraId="72F55B29" w14:textId="77777777" w:rsidR="00C629CE" w:rsidRDefault="00C629CE"/>
    <w:p w14:paraId="72F55B2A" w14:textId="77777777" w:rsidR="00C629CE" w:rsidRDefault="00C629CE"/>
    <w:p w14:paraId="72F55B2B" w14:textId="77777777" w:rsidR="00C629CE" w:rsidRDefault="00C629CE"/>
    <w:p w14:paraId="72F55B2C" w14:textId="77777777" w:rsidR="00C629CE" w:rsidRDefault="00C629CE"/>
    <w:p w14:paraId="72F55B2D" w14:textId="77777777" w:rsidR="00C629CE" w:rsidRDefault="00C629CE"/>
    <w:p w14:paraId="72F55B2E" w14:textId="77777777" w:rsidR="00C629CE" w:rsidRDefault="00C629CE"/>
    <w:p w14:paraId="72F55B2F" w14:textId="77777777" w:rsidR="00C629CE" w:rsidRDefault="00C629CE"/>
    <w:p w14:paraId="72F55B30" w14:textId="77777777" w:rsidR="00C629CE" w:rsidRDefault="00C629CE"/>
    <w:p w14:paraId="72F55B31" w14:textId="77777777" w:rsidR="00C629CE" w:rsidRDefault="00C629CE"/>
    <w:p w14:paraId="72F55B32" w14:textId="77777777" w:rsidR="00C629CE" w:rsidRDefault="00C629CE"/>
    <w:p w14:paraId="72F55B33" w14:textId="77777777" w:rsidR="00C629CE" w:rsidRDefault="00C629CE"/>
    <w:p w14:paraId="72F55B34" w14:textId="77777777" w:rsidR="00C629CE" w:rsidRDefault="00C629CE"/>
    <w:p w14:paraId="72F55B35" w14:textId="77777777" w:rsidR="00C629CE" w:rsidRDefault="00C629CE"/>
    <w:p w14:paraId="72F55B36" w14:textId="77777777" w:rsidR="00C629CE" w:rsidRDefault="00C629CE"/>
    <w:p w14:paraId="72F55B37" w14:textId="77777777" w:rsidR="00C629CE" w:rsidRDefault="00C629CE"/>
    <w:p w14:paraId="72F55B38" w14:textId="77777777" w:rsidR="00C629CE" w:rsidRDefault="00C629CE"/>
    <w:p w14:paraId="72F55B39" w14:textId="77777777" w:rsidR="00C629CE" w:rsidRDefault="00C629CE"/>
    <w:p w14:paraId="72F55B3A" w14:textId="77777777" w:rsidR="00C629CE" w:rsidRDefault="00C629CE"/>
    <w:p w14:paraId="72F55B3B" w14:textId="77777777" w:rsidR="00C629CE" w:rsidRDefault="00000000">
      <w:pPr>
        <w:rPr>
          <w:b/>
        </w:rPr>
      </w:pPr>
      <w:r>
        <w:rPr>
          <w:b/>
        </w:rPr>
        <w:t xml:space="preserve">Part III: </w:t>
      </w:r>
      <w:hyperlink r:id="rId12">
        <w:r>
          <w:rPr>
            <w:color w:val="0000EE"/>
            <w:u w:val="single"/>
          </w:rPr>
          <w:t>Getting Started with Orange 03: Widgets and Channels</w:t>
        </w:r>
      </w:hyperlink>
    </w:p>
    <w:p w14:paraId="72F55B3C" w14:textId="0BA235F4" w:rsidR="00C629CE" w:rsidRDefault="00000000">
      <w:r>
        <w:t>This exercise is about visuali</w:t>
      </w:r>
      <w:r w:rsidR="006445F9">
        <w:t>s</w:t>
      </w:r>
      <w:r>
        <w:t xml:space="preserve">ing subsegments of the </w:t>
      </w:r>
    </w:p>
    <w:p w14:paraId="72F55B3D" w14:textId="77777777" w:rsidR="00C629CE" w:rsidRDefault="00C629CE"/>
    <w:p w14:paraId="72F55B3E" w14:textId="77777777" w:rsidR="00C629CE" w:rsidRDefault="00000000">
      <w:pPr>
        <w:jc w:val="center"/>
      </w:pPr>
      <w:r>
        <w:rPr>
          <w:noProof/>
        </w:rPr>
        <w:drawing>
          <wp:inline distT="114300" distB="114300" distL="114300" distR="114300" wp14:anchorId="72F55B48" wp14:editId="72F55B49">
            <wp:extent cx="4486275" cy="99824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t="16843" b="2178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98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55B3F" w14:textId="77777777" w:rsidR="00C629CE" w:rsidRDefault="00000000">
      <w:r>
        <w:rPr>
          <w:b/>
        </w:rPr>
        <w:t>Part IV:</w:t>
      </w:r>
      <w:r>
        <w:t xml:space="preserve"> </w:t>
      </w:r>
      <w:hyperlink r:id="rId14">
        <w:r>
          <w:rPr>
            <w:color w:val="0000EE"/>
            <w:u w:val="single"/>
          </w:rPr>
          <w:t>Getting Started with Orange 04: Loading Your Data</w:t>
        </w:r>
      </w:hyperlink>
    </w:p>
    <w:p w14:paraId="72F55B40" w14:textId="63258834" w:rsidR="00C629CE" w:rsidRDefault="00000000">
      <w:r>
        <w:t xml:space="preserve">This is about the </w:t>
      </w:r>
      <w:r w:rsidR="006445F9">
        <w:t>dataset forma</w:t>
      </w:r>
      <w:r>
        <w:t>t that can be used to integrate databases with Orange.</w:t>
      </w:r>
    </w:p>
    <w:p w14:paraId="72F55B41" w14:textId="77777777" w:rsidR="00C629CE" w:rsidRDefault="00C629CE"/>
    <w:p w14:paraId="72F55B42" w14:textId="774EACF9" w:rsidR="00C629CE" w:rsidRDefault="00000000">
      <w:pPr>
        <w:rPr>
          <w:b/>
        </w:rPr>
      </w:pPr>
      <w:r>
        <w:rPr>
          <w:b/>
        </w:rPr>
        <w:t xml:space="preserve">Part V: </w:t>
      </w:r>
      <w:hyperlink r:id="rId15">
        <w:r>
          <w:rPr>
            <w:color w:val="0000EE"/>
            <w:u w:val="single"/>
          </w:rPr>
          <w:t xml:space="preserve">Getting Started </w:t>
        </w:r>
        <w:r w:rsidR="001E4811">
          <w:rPr>
            <w:color w:val="0000EE"/>
            <w:u w:val="single"/>
          </w:rPr>
          <w:t>with</w:t>
        </w:r>
        <w:r>
          <w:rPr>
            <w:color w:val="0000EE"/>
            <w:u w:val="single"/>
          </w:rPr>
          <w:t xml:space="preserve"> Orange 05: Hierarchical Clustering</w:t>
        </w:r>
      </w:hyperlink>
    </w:p>
    <w:p w14:paraId="72F55B43" w14:textId="204EBC54" w:rsidR="00C629CE" w:rsidRDefault="00000000">
      <w:r>
        <w:t xml:space="preserve">In this exercise, we </w:t>
      </w:r>
      <w:r w:rsidR="006445F9">
        <w:t>will examine hierarchical clustering, which groups objects according to similarity. First, we will use the Euclidian distance to determine how close one object is to the other. Then,</w:t>
      </w:r>
      <w:r>
        <w:t xml:space="preserve"> we will plot a dendrogram and see if the elements of </w:t>
      </w:r>
      <w:r w:rsidR="006445F9">
        <w:t>a</w:t>
      </w:r>
      <w:r>
        <w:t xml:space="preserve"> similar class are in the same group.</w:t>
      </w:r>
    </w:p>
    <w:sectPr w:rsidR="00C629CE">
      <w:pgSz w:w="11909" w:h="16834"/>
      <w:pgMar w:top="56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B20723"/>
    <w:multiLevelType w:val="multilevel"/>
    <w:tmpl w:val="FDFA04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41075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9CE"/>
    <w:rsid w:val="001E4811"/>
    <w:rsid w:val="006445F9"/>
    <w:rsid w:val="00C629CE"/>
    <w:rsid w:val="00F55702"/>
    <w:rsid w:val="00FB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55B11"/>
  <w15:docId w15:val="{B417D38A-C1C1-7A4F-AB05-A728A2CD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XjnDIgGDuI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youtu.be/HXjnDIgGDuI" TargetMode="External"/><Relationship Id="rId12" Type="http://schemas.openxmlformats.org/officeDocument/2006/relationships/hyperlink" Target="https://youtu.be/2xS6QjnG71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rangedatamining.com/download/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hyperlink" Target="https://youtu.be/dJ5z2SRwzgs" TargetMode="External"/><Relationship Id="rId10" Type="http://schemas.openxmlformats.org/officeDocument/2006/relationships/hyperlink" Target="https://youtu.be/lb-x36xqJ-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uciml/iris" TargetMode="External"/><Relationship Id="rId14" Type="http://schemas.openxmlformats.org/officeDocument/2006/relationships/hyperlink" Target="https://youtu.be/MHcGdQeYC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Miralles</cp:lastModifiedBy>
  <cp:revision>4</cp:revision>
  <dcterms:created xsi:type="dcterms:W3CDTF">2024-09-18T16:55:00Z</dcterms:created>
  <dcterms:modified xsi:type="dcterms:W3CDTF">2024-09-18T20:01:00Z</dcterms:modified>
</cp:coreProperties>
</file>