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1107E" w14:textId="77777777" w:rsidR="000965F2" w:rsidRDefault="00000000">
      <w:pPr>
        <w:pStyle w:val="Title"/>
        <w:keepNext w:val="0"/>
        <w:keepLines w:val="0"/>
        <w:spacing w:before="320" w:after="0" w:line="240" w:lineRule="auto"/>
        <w:rPr>
          <w:rFonts w:ascii="Proxima Nova" w:eastAsia="Proxima Nova" w:hAnsi="Proxima Nova" w:cs="Proxima Nova"/>
          <w:b/>
          <w:color w:val="4A86E8"/>
          <w:sz w:val="58"/>
          <w:szCs w:val="58"/>
        </w:rPr>
      </w:pPr>
      <w:bookmarkStart w:id="0" w:name="_5x0d5h95i329" w:colFirst="0" w:colLast="0"/>
      <w:bookmarkEnd w:id="0"/>
      <w:r>
        <w:rPr>
          <w:rFonts w:ascii="Google Sans" w:eastAsia="Google Sans" w:hAnsi="Google Sans" w:cs="Google Sans"/>
          <w:b/>
          <w:color w:val="4A86E8"/>
          <w:sz w:val="58"/>
          <w:szCs w:val="58"/>
        </w:rPr>
        <w:t>Vulnerability Assessment Report</w:t>
      </w:r>
    </w:p>
    <w:p w14:paraId="3D228A6A" w14:textId="77777777" w:rsidR="000965F2" w:rsidRDefault="00000000">
      <w:pPr>
        <w:pStyle w:val="Subtitle"/>
        <w:keepNext w:val="0"/>
        <w:keepLines w:val="0"/>
        <w:spacing w:after="0" w:line="240" w:lineRule="auto"/>
        <w:rPr>
          <w:rFonts w:ascii="Google Sans" w:eastAsia="Google Sans" w:hAnsi="Google Sans" w:cs="Google Sans"/>
          <w:b/>
          <w:sz w:val="28"/>
          <w:szCs w:val="28"/>
        </w:rPr>
      </w:pPr>
      <w:bookmarkStart w:id="1" w:name="_af80tl7prv5v" w:colFirst="0" w:colLast="0"/>
      <w:bookmarkEnd w:id="1"/>
      <w:r>
        <w:rPr>
          <w:rFonts w:ascii="Google Sans" w:eastAsia="Google Sans" w:hAnsi="Google Sans" w:cs="Google Sans"/>
          <w:b/>
          <w:sz w:val="28"/>
          <w:szCs w:val="28"/>
        </w:rPr>
        <w:t>1</w:t>
      </w:r>
      <w:r>
        <w:rPr>
          <w:rFonts w:ascii="Google Sans" w:eastAsia="Google Sans" w:hAnsi="Google Sans" w:cs="Google Sans"/>
          <w:b/>
          <w:sz w:val="28"/>
          <w:szCs w:val="28"/>
          <w:vertAlign w:val="superscript"/>
        </w:rPr>
        <w:t>st</w:t>
      </w:r>
      <w:r>
        <w:rPr>
          <w:rFonts w:ascii="Google Sans" w:eastAsia="Google Sans" w:hAnsi="Google Sans" w:cs="Google Sans"/>
          <w:b/>
          <w:sz w:val="28"/>
          <w:szCs w:val="28"/>
        </w:rPr>
        <w:t xml:space="preserve"> January 20XX</w:t>
      </w:r>
    </w:p>
    <w:p w14:paraId="7124D9C6" w14:textId="77777777" w:rsidR="000965F2" w:rsidRDefault="00000000">
      <w:pPr>
        <w:pStyle w:val="Subtitle"/>
        <w:keepNext w:val="0"/>
        <w:keepLines w:val="0"/>
        <w:spacing w:after="0" w:line="240" w:lineRule="auto"/>
        <w:rPr>
          <w:rFonts w:ascii="Google Sans" w:eastAsia="Google Sans" w:hAnsi="Google Sans" w:cs="Google Sans"/>
          <w:b/>
          <w:sz w:val="28"/>
          <w:szCs w:val="28"/>
        </w:rPr>
      </w:pPr>
      <w:bookmarkStart w:id="2" w:name="_nhcy8rpxthcf" w:colFirst="0" w:colLast="0"/>
      <w:bookmarkEnd w:id="2"/>
      <w:r>
        <w:pict w14:anchorId="0D56FDE0">
          <v:rect id="_x0000_i1025" style="width:0;height:1.5pt" o:hralign="center" o:hrstd="t" o:hr="t" fillcolor="#a0a0a0" stroked="f"/>
        </w:pict>
      </w:r>
    </w:p>
    <w:p w14:paraId="2DC375E5" w14:textId="77777777" w:rsidR="000965F2"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buc6q0k08dmn" w:colFirst="0" w:colLast="0"/>
      <w:bookmarkEnd w:id="3"/>
      <w:r>
        <w:rPr>
          <w:rFonts w:ascii="Proxima Nova" w:eastAsia="Proxima Nova" w:hAnsi="Proxima Nova" w:cs="Proxima Nova"/>
          <w:b/>
          <w:color w:val="353744"/>
          <w:sz w:val="28"/>
          <w:szCs w:val="28"/>
        </w:rPr>
        <w:t>System Description</w:t>
      </w:r>
    </w:p>
    <w:p w14:paraId="3E8E9A7F" w14:textId="77777777" w:rsidR="000965F2"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7FC9DED6" w14:textId="77777777" w:rsidR="000965F2"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e64wndl8jmz1" w:colFirst="0" w:colLast="0"/>
      <w:bookmarkEnd w:id="4"/>
      <w:r>
        <w:rPr>
          <w:rFonts w:ascii="Proxima Nova" w:eastAsia="Proxima Nova" w:hAnsi="Proxima Nova" w:cs="Proxima Nova"/>
          <w:b/>
          <w:color w:val="353744"/>
          <w:sz w:val="28"/>
          <w:szCs w:val="28"/>
        </w:rPr>
        <w:t>Scope</w:t>
      </w:r>
    </w:p>
    <w:p w14:paraId="7E76BCBD" w14:textId="77777777" w:rsidR="000965F2"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 xml:space="preserve">The scope of this vulnerability assessment relates to the current access controls of the system. The assessment will cover a period of three months, from June 20XX to August 20XX. </w:t>
      </w:r>
      <w:hyperlink r:id="rId5" w:anchor="heading=h.hvbcmqwzo9do">
        <w:r>
          <w:rPr>
            <w:rFonts w:ascii="Google Sans" w:eastAsia="Google Sans" w:hAnsi="Google Sans" w:cs="Google Sans"/>
            <w:color w:val="1155CC"/>
            <w:u w:val="single"/>
          </w:rPr>
          <w:t>NIST SP 800-30 Rev. 1</w:t>
        </w:r>
      </w:hyperlink>
      <w:r>
        <w:rPr>
          <w:rFonts w:ascii="Google Sans" w:eastAsia="Google Sans" w:hAnsi="Google Sans" w:cs="Google Sans"/>
          <w:color w:val="353744"/>
        </w:rPr>
        <w:t xml:space="preserve"> is used to guide the risk analysis of the information system.</w:t>
      </w:r>
    </w:p>
    <w:p w14:paraId="0B069A08" w14:textId="78F634FB" w:rsidR="00E92BBA" w:rsidRPr="00E92BBA" w:rsidRDefault="00000000" w:rsidP="00E92BBA">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oymnw3nlvwib" w:colFirst="0" w:colLast="0"/>
      <w:bookmarkEnd w:id="5"/>
      <w:r>
        <w:rPr>
          <w:rFonts w:ascii="Proxima Nova" w:eastAsia="Proxima Nova" w:hAnsi="Proxima Nova" w:cs="Proxima Nova"/>
          <w:b/>
          <w:color w:val="353744"/>
          <w:sz w:val="28"/>
          <w:szCs w:val="28"/>
        </w:rPr>
        <w:t>Purpose</w:t>
      </w:r>
    </w:p>
    <w:p w14:paraId="40025B96" w14:textId="0FD2312E" w:rsidR="00E92BBA" w:rsidRDefault="00E92BBA" w:rsidP="00E92BBA">
      <w:pPr>
        <w:spacing w:before="200" w:after="200"/>
        <w:rPr>
          <w:rFonts w:ascii="Google Sans" w:eastAsia="Google Sans" w:hAnsi="Google Sans" w:cs="Google Sans"/>
          <w:color w:val="353744"/>
        </w:rPr>
      </w:pPr>
      <w:r>
        <w:rPr>
          <w:rFonts w:ascii="Google Sans" w:eastAsia="Google Sans" w:hAnsi="Google Sans" w:cs="Google Sans"/>
          <w:color w:val="353744"/>
        </w:rPr>
        <w:t>Since many of the employees at this company work remotely from locations all around the world, the database server is essential to maintaining daily operations. It’s important to secure the data on this server to continue the regular flow of business and to protect the integrity and privacy of their internal data. If the server were disabled unit intentionally or maliciously, there will certainly be extreme financial and legal consequences for the company.</w:t>
      </w:r>
      <w:bookmarkStart w:id="6" w:name="_i2ip4lwifo50" w:colFirst="0" w:colLast="0"/>
      <w:bookmarkEnd w:id="6"/>
    </w:p>
    <w:p w14:paraId="77D0C309" w14:textId="7C6EC181" w:rsidR="000965F2" w:rsidRPr="00E92BBA" w:rsidRDefault="00000000" w:rsidP="00E92BBA">
      <w:pPr>
        <w:spacing w:before="200" w:after="200"/>
        <w:rPr>
          <w:rFonts w:ascii="Google Sans" w:eastAsia="Google Sans" w:hAnsi="Google Sans" w:cs="Google Sans"/>
          <w:color w:val="353744"/>
        </w:rPr>
      </w:pPr>
      <w:r>
        <w:rPr>
          <w:rFonts w:ascii="Proxima Nova" w:eastAsia="Proxima Nova" w:hAnsi="Proxima Nova" w:cs="Proxima Nova"/>
          <w:b/>
          <w:color w:val="353744"/>
          <w:sz w:val="28"/>
          <w:szCs w:val="28"/>
        </w:rPr>
        <w:t>Risk Assessment</w:t>
      </w:r>
    </w:p>
    <w:p w14:paraId="1ED73066" w14:textId="77777777" w:rsidR="000965F2" w:rsidRDefault="000965F2">
      <w:pPr>
        <w:spacing w:line="312" w:lineRule="auto"/>
        <w:rPr>
          <w:rFonts w:ascii="Google Sans" w:eastAsia="Google Sans" w:hAnsi="Google Sans" w:cs="Google Sans"/>
          <w:color w:val="353744"/>
        </w:rP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0965F2" w14:paraId="36CDD9B9" w14:textId="77777777">
        <w:tc>
          <w:tcPr>
            <w:tcW w:w="1860" w:type="dxa"/>
            <w:shd w:val="clear" w:color="auto" w:fill="C9DAF8"/>
            <w:tcMar>
              <w:top w:w="100" w:type="dxa"/>
              <w:left w:w="100" w:type="dxa"/>
              <w:bottom w:w="100" w:type="dxa"/>
              <w:right w:w="100" w:type="dxa"/>
            </w:tcMar>
          </w:tcPr>
          <w:p w14:paraId="406883E9" w14:textId="77777777" w:rsidR="000965F2"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Threat source</w:t>
            </w:r>
          </w:p>
        </w:tc>
        <w:tc>
          <w:tcPr>
            <w:tcW w:w="3615" w:type="dxa"/>
            <w:shd w:val="clear" w:color="auto" w:fill="C9DAF8"/>
            <w:tcMar>
              <w:top w:w="100" w:type="dxa"/>
              <w:left w:w="100" w:type="dxa"/>
              <w:bottom w:w="100" w:type="dxa"/>
              <w:right w:w="100" w:type="dxa"/>
            </w:tcMar>
          </w:tcPr>
          <w:p w14:paraId="049946BB" w14:textId="77777777" w:rsidR="000965F2"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Threat event</w:t>
            </w:r>
          </w:p>
        </w:tc>
        <w:tc>
          <w:tcPr>
            <w:tcW w:w="1395" w:type="dxa"/>
            <w:shd w:val="clear" w:color="auto" w:fill="C9DAF8"/>
            <w:tcMar>
              <w:top w:w="100" w:type="dxa"/>
              <w:left w:w="100" w:type="dxa"/>
              <w:bottom w:w="100" w:type="dxa"/>
              <w:right w:w="100" w:type="dxa"/>
            </w:tcMar>
          </w:tcPr>
          <w:p w14:paraId="073B398C" w14:textId="77777777" w:rsidR="000965F2"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Likelihood</w:t>
            </w:r>
          </w:p>
        </w:tc>
        <w:tc>
          <w:tcPr>
            <w:tcW w:w="1320" w:type="dxa"/>
            <w:shd w:val="clear" w:color="auto" w:fill="C9DAF8"/>
            <w:tcMar>
              <w:top w:w="100" w:type="dxa"/>
              <w:left w:w="100" w:type="dxa"/>
              <w:bottom w:w="100" w:type="dxa"/>
              <w:right w:w="100" w:type="dxa"/>
            </w:tcMar>
          </w:tcPr>
          <w:p w14:paraId="061B5986" w14:textId="77777777" w:rsidR="000965F2"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Severity</w:t>
            </w:r>
          </w:p>
        </w:tc>
        <w:tc>
          <w:tcPr>
            <w:tcW w:w="1110" w:type="dxa"/>
            <w:shd w:val="clear" w:color="auto" w:fill="C9DAF8"/>
            <w:tcMar>
              <w:top w:w="100" w:type="dxa"/>
              <w:left w:w="100" w:type="dxa"/>
              <w:bottom w:w="100" w:type="dxa"/>
              <w:right w:w="100" w:type="dxa"/>
            </w:tcMar>
          </w:tcPr>
          <w:p w14:paraId="62461CDB" w14:textId="77777777" w:rsidR="000965F2" w:rsidRDefault="00000000">
            <w:pPr>
              <w:widowControl w:val="0"/>
              <w:spacing w:line="240" w:lineRule="auto"/>
              <w:rPr>
                <w:rFonts w:ascii="Google Sans" w:eastAsia="Google Sans" w:hAnsi="Google Sans" w:cs="Google Sans"/>
                <w:b/>
                <w:color w:val="353744"/>
              </w:rPr>
            </w:pPr>
            <w:r>
              <w:rPr>
                <w:rFonts w:ascii="Google Sans" w:eastAsia="Google Sans" w:hAnsi="Google Sans" w:cs="Google Sans"/>
                <w:b/>
                <w:color w:val="353744"/>
              </w:rPr>
              <w:t>Risk</w:t>
            </w:r>
          </w:p>
        </w:tc>
      </w:tr>
      <w:tr w:rsidR="000965F2" w14:paraId="5C76F5BC" w14:textId="77777777">
        <w:tc>
          <w:tcPr>
            <w:tcW w:w="1860" w:type="dxa"/>
            <w:shd w:val="clear" w:color="auto" w:fill="auto"/>
            <w:tcMar>
              <w:top w:w="100" w:type="dxa"/>
              <w:left w:w="100" w:type="dxa"/>
              <w:bottom w:w="100" w:type="dxa"/>
              <w:right w:w="100" w:type="dxa"/>
            </w:tcMar>
          </w:tcPr>
          <w:p w14:paraId="122651B8" w14:textId="5B77C702" w:rsidR="000965F2"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Competitor</w:t>
            </w:r>
          </w:p>
        </w:tc>
        <w:tc>
          <w:tcPr>
            <w:tcW w:w="3615" w:type="dxa"/>
            <w:shd w:val="clear" w:color="auto" w:fill="auto"/>
            <w:tcMar>
              <w:top w:w="100" w:type="dxa"/>
              <w:left w:w="100" w:type="dxa"/>
              <w:bottom w:w="100" w:type="dxa"/>
              <w:right w:w="100" w:type="dxa"/>
            </w:tcMar>
          </w:tcPr>
          <w:p w14:paraId="6319CC92" w14:textId="77777777" w:rsidR="000965F2"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Obtain sensitive information via exfiltration</w:t>
            </w:r>
          </w:p>
        </w:tc>
        <w:tc>
          <w:tcPr>
            <w:tcW w:w="1395" w:type="dxa"/>
            <w:shd w:val="clear" w:color="auto" w:fill="auto"/>
            <w:tcMar>
              <w:top w:w="100" w:type="dxa"/>
              <w:left w:w="100" w:type="dxa"/>
              <w:bottom w:w="100" w:type="dxa"/>
              <w:right w:w="100" w:type="dxa"/>
            </w:tcMar>
          </w:tcPr>
          <w:p w14:paraId="6FC9D6E0" w14:textId="77777777" w:rsidR="000965F2"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320" w:type="dxa"/>
            <w:shd w:val="clear" w:color="auto" w:fill="auto"/>
            <w:tcMar>
              <w:top w:w="100" w:type="dxa"/>
              <w:left w:w="100" w:type="dxa"/>
              <w:bottom w:w="100" w:type="dxa"/>
              <w:right w:w="100" w:type="dxa"/>
            </w:tcMar>
          </w:tcPr>
          <w:p w14:paraId="2D454769" w14:textId="77777777" w:rsidR="000965F2"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14:paraId="55D160AF" w14:textId="77777777" w:rsidR="000965F2" w:rsidRDefault="00000000">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9</w:t>
            </w:r>
          </w:p>
        </w:tc>
      </w:tr>
      <w:tr w:rsidR="000965F2" w14:paraId="2ECC3263" w14:textId="77777777">
        <w:tc>
          <w:tcPr>
            <w:tcW w:w="1860" w:type="dxa"/>
            <w:shd w:val="clear" w:color="auto" w:fill="auto"/>
            <w:tcMar>
              <w:top w:w="100" w:type="dxa"/>
              <w:left w:w="100" w:type="dxa"/>
              <w:bottom w:w="100" w:type="dxa"/>
              <w:right w:w="100" w:type="dxa"/>
            </w:tcMar>
          </w:tcPr>
          <w:p w14:paraId="5ABE172B" w14:textId="5CC58C7F" w:rsidR="000965F2" w:rsidRDefault="00E92BB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Hacker</w:t>
            </w:r>
          </w:p>
        </w:tc>
        <w:tc>
          <w:tcPr>
            <w:tcW w:w="3615" w:type="dxa"/>
            <w:shd w:val="clear" w:color="auto" w:fill="auto"/>
            <w:tcMar>
              <w:top w:w="100" w:type="dxa"/>
              <w:left w:w="100" w:type="dxa"/>
              <w:bottom w:w="100" w:type="dxa"/>
              <w:right w:w="100" w:type="dxa"/>
            </w:tcMar>
          </w:tcPr>
          <w:p w14:paraId="498BBFB6" w14:textId="64B01148" w:rsidR="000965F2" w:rsidRDefault="00E92BB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Alter/Delete critical information</w:t>
            </w:r>
          </w:p>
        </w:tc>
        <w:tc>
          <w:tcPr>
            <w:tcW w:w="1395" w:type="dxa"/>
            <w:shd w:val="clear" w:color="auto" w:fill="auto"/>
            <w:tcMar>
              <w:top w:w="100" w:type="dxa"/>
              <w:left w:w="100" w:type="dxa"/>
              <w:bottom w:w="100" w:type="dxa"/>
              <w:right w:w="100" w:type="dxa"/>
            </w:tcMar>
          </w:tcPr>
          <w:p w14:paraId="114682F6" w14:textId="5193DE55" w:rsidR="000965F2" w:rsidRDefault="00E92BB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320" w:type="dxa"/>
            <w:shd w:val="clear" w:color="auto" w:fill="auto"/>
            <w:tcMar>
              <w:top w:w="100" w:type="dxa"/>
              <w:left w:w="100" w:type="dxa"/>
              <w:bottom w:w="100" w:type="dxa"/>
              <w:right w:w="100" w:type="dxa"/>
            </w:tcMar>
          </w:tcPr>
          <w:p w14:paraId="591AC2AD" w14:textId="30C5414A" w:rsidR="000965F2" w:rsidRDefault="00E92BB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110" w:type="dxa"/>
            <w:shd w:val="clear" w:color="auto" w:fill="auto"/>
            <w:tcMar>
              <w:top w:w="100" w:type="dxa"/>
              <w:left w:w="100" w:type="dxa"/>
              <w:bottom w:w="100" w:type="dxa"/>
              <w:right w:w="100" w:type="dxa"/>
            </w:tcMar>
          </w:tcPr>
          <w:p w14:paraId="72AB403C" w14:textId="1A6688A1" w:rsidR="000965F2" w:rsidRDefault="00E92BB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9</w:t>
            </w:r>
          </w:p>
        </w:tc>
      </w:tr>
      <w:tr w:rsidR="000965F2" w14:paraId="6094BE4E" w14:textId="77777777">
        <w:tc>
          <w:tcPr>
            <w:tcW w:w="1860" w:type="dxa"/>
            <w:shd w:val="clear" w:color="auto" w:fill="auto"/>
            <w:tcMar>
              <w:top w:w="100" w:type="dxa"/>
              <w:left w:w="100" w:type="dxa"/>
              <w:bottom w:w="100" w:type="dxa"/>
              <w:right w:w="100" w:type="dxa"/>
            </w:tcMar>
          </w:tcPr>
          <w:p w14:paraId="6AB5CBB7" w14:textId="05E2F3EE" w:rsidR="000965F2" w:rsidRDefault="00E92BB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Hacker</w:t>
            </w:r>
          </w:p>
        </w:tc>
        <w:tc>
          <w:tcPr>
            <w:tcW w:w="3615" w:type="dxa"/>
            <w:shd w:val="clear" w:color="auto" w:fill="auto"/>
            <w:tcMar>
              <w:top w:w="100" w:type="dxa"/>
              <w:left w:w="100" w:type="dxa"/>
              <w:bottom w:w="100" w:type="dxa"/>
              <w:right w:w="100" w:type="dxa"/>
            </w:tcMar>
          </w:tcPr>
          <w:p w14:paraId="5B551DD2" w14:textId="1142C0D3" w:rsidR="000965F2" w:rsidRDefault="00E92BBA">
            <w:pPr>
              <w:widowControl w:val="0"/>
              <w:spacing w:line="240" w:lineRule="auto"/>
              <w:rPr>
                <w:rFonts w:ascii="Google Sans" w:eastAsia="Google Sans" w:hAnsi="Google Sans" w:cs="Google Sans"/>
                <w:i/>
                <w:color w:val="353744"/>
              </w:rPr>
            </w:pPr>
            <w:r>
              <w:rPr>
                <w:color w:val="000000"/>
              </w:rPr>
              <w:t>Perform reconnaissance and surveillance of organization</w:t>
            </w:r>
          </w:p>
        </w:tc>
        <w:tc>
          <w:tcPr>
            <w:tcW w:w="1395" w:type="dxa"/>
            <w:shd w:val="clear" w:color="auto" w:fill="auto"/>
            <w:tcMar>
              <w:top w:w="100" w:type="dxa"/>
              <w:left w:w="100" w:type="dxa"/>
              <w:bottom w:w="100" w:type="dxa"/>
              <w:right w:w="100" w:type="dxa"/>
            </w:tcMar>
          </w:tcPr>
          <w:p w14:paraId="6B65E22B" w14:textId="43931131" w:rsidR="000965F2" w:rsidRDefault="00E92BB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3</w:t>
            </w:r>
          </w:p>
        </w:tc>
        <w:tc>
          <w:tcPr>
            <w:tcW w:w="1320" w:type="dxa"/>
            <w:shd w:val="clear" w:color="auto" w:fill="auto"/>
            <w:tcMar>
              <w:top w:w="100" w:type="dxa"/>
              <w:left w:w="100" w:type="dxa"/>
              <w:bottom w:w="100" w:type="dxa"/>
              <w:right w:w="100" w:type="dxa"/>
            </w:tcMar>
          </w:tcPr>
          <w:p w14:paraId="3EA28681" w14:textId="7C075844" w:rsidR="000965F2" w:rsidRDefault="00E92BB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2</w:t>
            </w:r>
          </w:p>
        </w:tc>
        <w:tc>
          <w:tcPr>
            <w:tcW w:w="1110" w:type="dxa"/>
            <w:shd w:val="clear" w:color="auto" w:fill="auto"/>
            <w:tcMar>
              <w:top w:w="100" w:type="dxa"/>
              <w:left w:w="100" w:type="dxa"/>
              <w:bottom w:w="100" w:type="dxa"/>
              <w:right w:w="100" w:type="dxa"/>
            </w:tcMar>
          </w:tcPr>
          <w:p w14:paraId="7C0ED881" w14:textId="40D2363E" w:rsidR="000965F2" w:rsidRDefault="00E92BBA">
            <w:pPr>
              <w:widowControl w:val="0"/>
              <w:spacing w:line="240" w:lineRule="auto"/>
              <w:rPr>
                <w:rFonts w:ascii="Google Sans" w:eastAsia="Google Sans" w:hAnsi="Google Sans" w:cs="Google Sans"/>
                <w:i/>
                <w:color w:val="353744"/>
              </w:rPr>
            </w:pPr>
            <w:r>
              <w:rPr>
                <w:rFonts w:ascii="Google Sans" w:eastAsia="Google Sans" w:hAnsi="Google Sans" w:cs="Google Sans"/>
                <w:i/>
                <w:color w:val="353744"/>
              </w:rPr>
              <w:t>5</w:t>
            </w:r>
          </w:p>
        </w:tc>
      </w:tr>
    </w:tbl>
    <w:p w14:paraId="4555907A" w14:textId="77777777" w:rsidR="000965F2"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7" w:name="_a9ivkvfuz16w" w:colFirst="0" w:colLast="0"/>
      <w:bookmarkEnd w:id="7"/>
      <w:r>
        <w:rPr>
          <w:rFonts w:ascii="Proxima Nova" w:eastAsia="Proxima Nova" w:hAnsi="Proxima Nova" w:cs="Proxima Nova"/>
          <w:b/>
          <w:color w:val="353744"/>
          <w:sz w:val="28"/>
          <w:szCs w:val="28"/>
        </w:rPr>
        <w:lastRenderedPageBreak/>
        <w:t>Approach</w:t>
      </w:r>
    </w:p>
    <w:p w14:paraId="10E18F5A" w14:textId="0757DBD0" w:rsidR="00E92BBA" w:rsidRPr="00CA1CCC" w:rsidRDefault="00E92BBA" w:rsidP="00CA1CCC">
      <w:pPr>
        <w:spacing w:before="200" w:line="312" w:lineRule="auto"/>
        <w:rPr>
          <w:rFonts w:ascii="Google Sans" w:eastAsia="Google Sans" w:hAnsi="Google Sans" w:cs="Google Sans"/>
          <w:i/>
          <w:color w:val="353744"/>
        </w:rPr>
      </w:pPr>
      <w:r>
        <w:rPr>
          <w:rFonts w:ascii="Google Sans" w:eastAsia="Google Sans" w:hAnsi="Google Sans" w:cs="Google Sans"/>
          <w:iCs/>
          <w:color w:val="353744"/>
        </w:rPr>
        <w:t>When selecting the risks, I considered the most possible threat sources that would be interested in infiltrating an organization, and I chose the threat events whose purpose was the interaction or reconnaissance of data. The rationale for deriving the same likelihood score across the board was due to the public nature of the vulnerability, and the severity was determined due to the scope of the organization’s data that was affected (</w:t>
      </w:r>
      <w:proofErr w:type="gramStart"/>
      <w:r>
        <w:rPr>
          <w:rFonts w:ascii="Google Sans" w:eastAsia="Google Sans" w:hAnsi="Google Sans" w:cs="Google Sans"/>
          <w:iCs/>
          <w:color w:val="353744"/>
        </w:rPr>
        <w:t>all of</w:t>
      </w:r>
      <w:proofErr w:type="gramEnd"/>
      <w:r>
        <w:rPr>
          <w:rFonts w:ascii="Google Sans" w:eastAsia="Google Sans" w:hAnsi="Google Sans" w:cs="Google Sans"/>
          <w:iCs/>
          <w:color w:val="353744"/>
        </w:rPr>
        <w:t xml:space="preserve"> the internal data). </w:t>
      </w:r>
      <w:r w:rsidR="00CA1CCC">
        <w:rPr>
          <w:rFonts w:ascii="Google Sans" w:eastAsia="Google Sans" w:hAnsi="Google Sans" w:cs="Google Sans"/>
          <w:iCs/>
          <w:color w:val="353744"/>
        </w:rPr>
        <w:t>The urgency can be disputed, but given the severity of this vulnerability, the utmost priority should be taken to remediate this vulnerability.</w:t>
      </w:r>
    </w:p>
    <w:p w14:paraId="2952FD76" w14:textId="77777777" w:rsidR="000965F2" w:rsidRDefault="00000000">
      <w:pPr>
        <w:pStyle w:val="Heading1"/>
        <w:keepNext w:val="0"/>
        <w:keepLines w:val="0"/>
        <w:spacing w:before="480" w:after="0" w:line="240" w:lineRule="auto"/>
        <w:rPr>
          <w:rFonts w:ascii="Proxima Nova" w:eastAsia="Proxima Nova" w:hAnsi="Proxima Nova" w:cs="Proxima Nova"/>
          <w:b/>
          <w:color w:val="353744"/>
          <w:sz w:val="28"/>
          <w:szCs w:val="28"/>
        </w:rPr>
      </w:pPr>
      <w:bookmarkStart w:id="8" w:name="_vf6vykh0xvv7" w:colFirst="0" w:colLast="0"/>
      <w:bookmarkEnd w:id="8"/>
      <w:r>
        <w:rPr>
          <w:rFonts w:ascii="Proxima Nova" w:eastAsia="Proxima Nova" w:hAnsi="Proxima Nova" w:cs="Proxima Nova"/>
          <w:b/>
          <w:color w:val="353744"/>
          <w:sz w:val="28"/>
          <w:szCs w:val="28"/>
        </w:rPr>
        <w:t>Remediation Strategy</w:t>
      </w:r>
    </w:p>
    <w:p w14:paraId="6FD26F28" w14:textId="77777777" w:rsidR="000965F2"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This section provides specific and actionable recommendations to remediate or mitigate the risks that were assessed. Any recommendations that you make should be realistic and achievable. Overall, the remediation section of a vulnerability assessment report helps to ensure that risks are addressed in a timely and effective manner.</w:t>
      </w:r>
    </w:p>
    <w:p w14:paraId="76FF42D2" w14:textId="77777777" w:rsidR="000965F2" w:rsidRDefault="00000000">
      <w:pPr>
        <w:spacing w:before="200" w:line="312" w:lineRule="auto"/>
        <w:rPr>
          <w:rFonts w:ascii="Google Sans" w:eastAsia="Google Sans" w:hAnsi="Google Sans" w:cs="Google Sans"/>
          <w:color w:val="353744"/>
        </w:rPr>
      </w:pPr>
      <w:r>
        <w:rPr>
          <w:rFonts w:ascii="Google Sans" w:eastAsia="Google Sans" w:hAnsi="Google Sans" w:cs="Google Sans"/>
          <w:color w:val="353744"/>
        </w:rPr>
        <w:t>Consider the following questions to help you write a remediation strategy:</w:t>
      </w:r>
    </w:p>
    <w:p w14:paraId="39B364B5" w14:textId="77777777" w:rsidR="000965F2" w:rsidRDefault="00000000">
      <w:pPr>
        <w:numPr>
          <w:ilvl w:val="0"/>
          <w:numId w:val="2"/>
        </w:numPr>
        <w:spacing w:before="200"/>
        <w:rPr>
          <w:rFonts w:ascii="Google Sans" w:eastAsia="Google Sans" w:hAnsi="Google Sans" w:cs="Google Sans"/>
          <w:i/>
          <w:color w:val="353744"/>
        </w:rPr>
      </w:pPr>
      <w:r>
        <w:rPr>
          <w:rFonts w:ascii="Google Sans" w:eastAsia="Google Sans" w:hAnsi="Google Sans" w:cs="Google Sans"/>
          <w:i/>
          <w:color w:val="353744"/>
        </w:rPr>
        <w:t>Which technical, operational, or managerial controls are currently implemented to secure the system?</w:t>
      </w:r>
    </w:p>
    <w:p w14:paraId="322B3551" w14:textId="77777777" w:rsidR="000965F2" w:rsidRDefault="00000000">
      <w:pPr>
        <w:numPr>
          <w:ilvl w:val="0"/>
          <w:numId w:val="2"/>
        </w:numPr>
        <w:rPr>
          <w:rFonts w:ascii="Google Sans" w:eastAsia="Google Sans" w:hAnsi="Google Sans" w:cs="Google Sans"/>
          <w:i/>
          <w:color w:val="353744"/>
        </w:rPr>
      </w:pPr>
      <w:r>
        <w:rPr>
          <w:rFonts w:ascii="Google Sans" w:eastAsia="Google Sans" w:hAnsi="Google Sans" w:cs="Google Sans"/>
          <w:i/>
          <w:color w:val="353744"/>
        </w:rPr>
        <w:t>Are there security controls that can reduce the risks you evaluated? What are those controls and how would they remediate the risks?</w:t>
      </w:r>
    </w:p>
    <w:p w14:paraId="3EA93BCB" w14:textId="77777777" w:rsidR="000965F2" w:rsidRDefault="00000000">
      <w:pPr>
        <w:numPr>
          <w:ilvl w:val="0"/>
          <w:numId w:val="2"/>
        </w:numPr>
        <w:rPr>
          <w:rFonts w:ascii="Google Sans" w:eastAsia="Google Sans" w:hAnsi="Google Sans" w:cs="Google Sans"/>
          <w:i/>
          <w:color w:val="353744"/>
        </w:rPr>
      </w:pPr>
      <w:r>
        <w:rPr>
          <w:rFonts w:ascii="Google Sans" w:eastAsia="Google Sans" w:hAnsi="Google Sans" w:cs="Google Sans"/>
          <w:i/>
          <w:color w:val="353744"/>
        </w:rPr>
        <w:t>How will the results of the assessment improve the overall security of the system?</w:t>
      </w:r>
    </w:p>
    <w:p w14:paraId="7D67ACA4" w14:textId="77777777" w:rsidR="000965F2" w:rsidRDefault="000965F2"/>
    <w:p w14:paraId="02BC8791" w14:textId="392C2DDE" w:rsidR="00CA1CCC" w:rsidRDefault="00CA1CCC">
      <w:r>
        <w:t>Currently, there are no controls in place to prevent the public from looking at and interacting with the internal database. To remediate this, here are a few suggestions; Consider a defense-in-depth strategy, securing each layer individually to prevent unwanted access to the system. Additionally, implement stricter access controls requirements, like authenticated sessions or MFA to access the database. Ensure that those with access to the database only have access to the data they require for their job function.</w:t>
      </w:r>
    </w:p>
    <w:sectPr w:rsidR="00CA1C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charset w:val="00"/>
    <w:family w:val="auto"/>
    <w:pitch w:val="default"/>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E84"/>
    <w:multiLevelType w:val="multilevel"/>
    <w:tmpl w:val="2B84C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5367EB"/>
    <w:multiLevelType w:val="multilevel"/>
    <w:tmpl w:val="FBA20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B73C4D"/>
    <w:multiLevelType w:val="multilevel"/>
    <w:tmpl w:val="516E7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2483126">
    <w:abstractNumId w:val="0"/>
  </w:num>
  <w:num w:numId="2" w16cid:durableId="1932352085">
    <w:abstractNumId w:val="2"/>
  </w:num>
  <w:num w:numId="3" w16cid:durableId="102998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5F2"/>
    <w:rsid w:val="000965F2"/>
    <w:rsid w:val="00780E88"/>
    <w:rsid w:val="00CA1CCC"/>
    <w:rsid w:val="00E92B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DEA0B"/>
  <w15:docId w15:val="{9F3B1FFB-7992-4F15-88BC-BF8CA8A4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Fc4L2azQlnUM-8r43PU9mYlT30BnxTwdjAMqpT7JeZk/edit?resourcekey=0-Q-XglnC3Li7JPK2hIvMkV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Eamon Ryan</dc:creator>
  <cp:lastModifiedBy>Eamon</cp:lastModifiedBy>
  <cp:revision>2</cp:revision>
  <dcterms:created xsi:type="dcterms:W3CDTF">2024-02-12T23:13:00Z</dcterms:created>
  <dcterms:modified xsi:type="dcterms:W3CDTF">2024-02-12T23:13:00Z</dcterms:modified>
</cp:coreProperties>
</file>