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Контекстная обработка данных социальных сетей.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Аннотация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ageBreakBefore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Введение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left="0" w:right="0" w:hanging="0"/>
        <w:jc w:val="both"/>
        <w:rPr>
          <w:rFonts w:eastAsia="Droid Sans Fallback" w:cs="FreeSans"/>
          <w:color w:val="00000A"/>
          <w:sz w:val="28"/>
          <w:szCs w:val="28"/>
          <w:lang w:val="ru-RU" w:eastAsia="zh-CN" w:bidi="hi-IN"/>
        </w:rPr>
      </w:pPr>
      <w:r>
        <w:rPr>
          <w:sz w:val="28"/>
          <w:szCs w:val="28"/>
        </w:rPr>
        <w:t xml:space="preserve">В настоящее время явление социальных сетей достаточно распространено. Социальные сети уверенно вошли в жизнь современного человека и занимают в ней значимую часть. Главным образом они оказывают влияние на поведение, предубеждения, ценности и намерения человека, что отражается во всех сферах его деятельности. Оказываемое влияние, быстрый рост популярности и открытый доступ к контенту привлекли к социальным сетям внимание  правительства, финансовых организации и исследователей. Преобразование контента социальных сетей в текстовую информацию и выделение ключевых концепций стало важным условием для порождения знаний и формулирования стратегий.  Анализ полученной информации помогает исследователям улучшить понимание об информационных потоках, о формировании и распространении мнений, о связи ценностей и предубеждений пользователя и генерируемого им контента. Тем не менее число качественных и количественных исследований в данной области слишком мало. Самый значительный барьер при использовании социальных сетей - это отсутствие методологии для выбора, сбора, обработки и анализа информации, полученной с сайтов социальных сетей. </w:t>
      </w:r>
      <w:r>
        <w:rPr>
          <w:rFonts w:eastAsia="Droid Sans Fallback" w:cs="FreeSans"/>
          <w:color w:val="00000A"/>
          <w:sz w:val="28"/>
          <w:szCs w:val="28"/>
          <w:lang w:val="ru-RU" w:eastAsia="zh-CN" w:bidi="hi-IN"/>
        </w:rPr>
        <w:t>Однако, существуют компании по производству программного обеспечения, разработавшие проприетарные системы сбора информации для визуализации данных, и исследователи, разработавшие экспертные системы для анализа настроений[1].</w:t>
      </w:r>
    </w:p>
    <w:p>
      <w:pPr>
        <w:pStyle w:val="Normal"/>
        <w:spacing w:lineRule="auto" w:line="36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Пользователи социальных сетей активно публикуют данные о своей ежедневной активности, чувствах и мыслях, выражая свое мнение и позицию. Благодаря этому в социальных сетях образуются группы пользователей (сообщества), имеющих общие интересы. Для выявления ключевых концепций и тематик присущих группе пользователей  используется контекстная обработка данных, генерируемых участниками группы. В данной работе контекстная обработка данных основана на идеях и принципах тематического моделирования. Результаты такой обработки данных могут использоваться для мониторинга заболеваний, например гриппа [2], или для предсказания поведения рынка. </w:t>
      </w:r>
    </w:p>
    <w:p>
      <w:pPr>
        <w:pStyle w:val="Normal"/>
        <w:spacing w:lineRule="auto" w:line="360"/>
        <w:ind w:left="0" w:right="0" w:hanging="0"/>
        <w:jc w:val="both"/>
        <w:rPr>
          <w:b/>
          <w:bCs/>
        </w:rPr>
      </w:pPr>
      <w:r>
        <w:rPr>
          <w:b/>
          <w:bCs/>
          <w:sz w:val="28"/>
          <w:szCs w:val="28"/>
        </w:rPr>
        <w:t>/</w:t>
      </w:r>
      <w:r>
        <w:rPr>
          <w:b/>
          <w:bCs/>
        </w:rPr>
        <w:t xml:space="preserve">/ Возможно стоит добавить про тематическо моделирование (во введении не нужно) </w:t>
      </w:r>
    </w:p>
    <w:p>
      <w:pPr>
        <w:pStyle w:val="Normal"/>
        <w:spacing w:lineRule="auto" w:line="360"/>
        <w:ind w:left="0" w:right="0" w:hanging="0"/>
        <w:jc w:val="both"/>
        <w:rPr>
          <w:rFonts w:ascii="Arial" w:hAnsi="Arial"/>
          <w:b/>
          <w:bCs/>
          <w:sz w:val="28"/>
          <w:szCs w:val="28"/>
        </w:rPr>
      </w:pPr>
      <w:r>
        <w:rPr>
          <w:b/>
          <w:bCs/>
        </w:rPr>
        <w:t xml:space="preserve">// Примеры социальны сетей </w:t>
      </w:r>
      <w:r>
        <w:rPr>
          <w:rFonts w:ascii="Arial" w:hAnsi="Arial"/>
          <w:b/>
          <w:bCs/>
          <w:sz w:val="28"/>
          <w:szCs w:val="28"/>
        </w:rPr>
        <w:t>Twitter, Facebook, VK, mail.ru, livejournal — можно добавить графики — популярность сетей и количество активных пользователей с 2000 — 2016 года.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pageBreakBefore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</w:p>
    <w:p>
      <w:pPr>
        <w:pStyle w:val="Normal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работы является изучение методов контекстной обработки данных, полученных из социальных сетей, основываясь на принципах и идеях тематического моделирования. Для того чтобы достичь поставленной цели предлагается </w:t>
      </w:r>
      <w:r>
        <w:rPr>
          <w:sz w:val="28"/>
          <w:szCs w:val="28"/>
        </w:rPr>
        <w:t>выполнить ряд задач, связанных с анализом данных и реализацией программных модулей. Ставятся следующие задачи: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Анализ предметной области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Сравнительный анализ социальных сетей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Выбор социальной сети в качестве источника данных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Выбор данных в социальной сети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Реализация программного модуля для сбора данных из социальной сети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Анализ и выбор технологий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 xml:space="preserve"> </w:t>
      </w:r>
      <w:r>
        <w:rPr/>
        <w:t>Реализация программного модуля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Выбор тематической модели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Обзор по тематическом моделированию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Сравнительный анализ тематических моделей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Выбор тематической модели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Реализация программного модуля для предобработки данных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Анализ и выбор технологий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Определение основных этапов предобработки данных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Реализация программного модуля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Реализация и обучение тематической модели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Анализ и выбор технологий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Выбор способа обучения тематической модели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Реализация программного модуля, реализующего выбранную тематическую модель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Обучение тематической модели на имеющихся данных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/>
        <w:t>Анализ полученных результатов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Определение качества тематической модели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/>
      </w:pPr>
      <w:r>
        <w:rPr/>
        <w:t>Сравнительный анализ с другими тематическими моделями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Обзор литературы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rFonts w:ascii="LM Mono 10" w:hAnsi="LM Mono 10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     </w:t>
      </w:r>
      <w:r>
        <w:rPr>
          <w:rFonts w:ascii="LM Mono 10" w:hAnsi="LM Mono 10"/>
          <w:b/>
          <w:bCs/>
          <w:sz w:val="28"/>
          <w:szCs w:val="28"/>
        </w:rPr>
        <w:t xml:space="preserve"> </w:t>
      </w:r>
    </w:p>
    <w:p>
      <w:pPr>
        <w:pStyle w:val="Normal"/>
        <w:widowControl w:val="false"/>
        <w:suppressAutoHyphens w:val="true"/>
        <w:bidi w:val="0"/>
        <w:ind w:left="1134" w:right="794" w:hang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ind w:left="1134" w:right="794" w:hang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ind w:left="1134" w:right="794" w:hang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ind w:left="1134" w:right="794" w:hang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ind w:left="1134" w:right="794" w:hang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ind w:left="1134" w:right="794" w:hang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ind w:left="1134" w:right="794" w:hang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pageBreakBefore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Выводы(Результаты)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>
      <w:pPr>
        <w:pStyle w:val="Normal"/>
        <w:jc w:val="both"/>
        <w:rPr/>
      </w:pPr>
      <w:r>
        <w:rPr/>
      </w:r>
    </w:p>
    <w:p>
      <w:pPr>
        <w:pStyle w:val="Normal"/>
        <w:pageBreakBefore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литературы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ru-RU" w:eastAsia="zh-CN" w:bidi="hi-IN"/>
        </w:rPr>
      </w:pPr>
      <w:r>
        <w:rPr>
          <w:rFonts w:eastAsia="Droid Sans Fallback" w:cs="FreeSans"/>
          <w:b w:val="false"/>
          <w:bCs w:val="false"/>
          <w:color w:val="00000A"/>
          <w:sz w:val="24"/>
          <w:szCs w:val="24"/>
          <w:lang w:val="ru-RU" w:eastAsia="zh-CN" w:bidi="hi-IN"/>
        </w:rPr>
        <w:t xml:space="preserve">1.  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ru-RU" w:eastAsia="zh-CN" w:bidi="hi-IN"/>
        </w:rPr>
        <w:t>Arturas Kaklauskas. Biometric and Intelligent Decision Making Support // Springer, 2015. 220 p.</w:t>
      </w:r>
    </w:p>
    <w:p>
      <w:pPr>
        <w:pStyle w:val="Normal"/>
        <w:jc w:val="both"/>
        <w:rPr/>
      </w:pPr>
      <w:r>
        <w:rPr>
          <w:rFonts w:eastAsia="Droid Sans Fallback" w:cs="Free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ru-RU" w:eastAsia="zh-CN" w:bidi="hi-IN"/>
        </w:rPr>
        <w:t xml:space="preserve">2.  </w:t>
      </w:r>
      <w:r>
        <w:rPr/>
        <w:t xml:space="preserve">Paul, MJ. and M. Dredze. 2011. You Are What You Tweet: Analyzing Twitter for Public Health. In Proc. of the 5th International AAAI Conference on Weblogs and Social Media (ICWSM). </w:t>
      </w:r>
    </w:p>
    <w:p>
      <w:pPr>
        <w:pStyle w:val="Normal"/>
        <w:jc w:val="both"/>
        <w:rPr>
          <w:rFonts w:eastAsia="Droid Sans Fallback" w:cs="FreeSans"/>
          <w:color w:val="00000A"/>
          <w:sz w:val="24"/>
          <w:szCs w:val="24"/>
          <w:lang w:val="ru-R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ru-RU" w:eastAsia="zh-CN" w:bidi="hi-IN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M Mono 10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Style15"/>
    <w:pPr/>
    <w:rPr/>
  </w:style>
  <w:style w:type="character" w:styleId="Style13">
    <w:name w:val="Символ нумерации"/>
    <w:rPr/>
  </w:style>
  <w:style w:type="character" w:styleId="Style14">
    <w:name w:val="Выделение жирным"/>
    <w:rPr>
      <w:b/>
      <w:bCs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Текст в заданном формате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2016-04-13T16:46:41Z</dcterms:created>
  <dc:language>ru-RU</dc:language>
  <cp:revision>0</cp:revision>
</cp:coreProperties>
</file>