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2744"/>
          <w:sz w:val="34"/>
        </w:rPr>
        <w:t>Validating an Hourly Grid Emission-Factor Database:</w:t>
        <w:br/>
        <w:t>An IPCC-Cited Uncertainty Band and a Live External Cross-Check</w:t>
      </w:r>
    </w:p>
    <w:p>
      <w:pPr>
        <w:spacing w:after="40"/>
        <w:jc w:val="center"/>
      </w:pPr>
      <w:r>
        <w:rPr>
          <w:color w:val="5B6B80"/>
          <w:sz w:val="22"/>
        </w:rPr>
        <w:t>New Zealand North/South Island Grid Emission Factor Database — Validation Note</w:t>
      </w:r>
    </w:p>
    <w:p>
      <w:pPr>
        <w:spacing w:after="280"/>
        <w:jc w:val="center"/>
      </w:pPr>
      <w:r>
        <w:rPr>
          <w:color w:val="5B6B80"/>
          <w:sz w:val="19"/>
        </w:rPr>
        <w:t>2026-09-09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Abstract</w:t>
      </w:r>
    </w:p>
    <w:p>
      <w:r>
        <w:t>This note reports a short, data-driven validation pass on an hourly generation-side CO₂ emission-factor (EF) series for New Zealand's North Island (NI) and South Island (SI), 2015–2025. Two checks were attempted beyond the database's existing 34-check internal framework: (i) an independent, same-resolution external benchmark, which could not be completed within this session because both identified sources require account credentials this session is not authorised to create; and (ii) an IPCC-cited uncertainty band, propagated analytically (IPCC Approach 1) from the per-fuel CO₂ emission-factor ranges in the 2006 IPCC Guidelines (Vol. 2, Ch. 2, Table 2.2) through the database's own monthly fuel mix. The resulting 95% confidence interval on the NI annual EF is ±1.3–1.5%, covering 61.5–70.2% of NI generation (the combustion fuels); geothermal, uncovered by IPCC's combustion tables, is explicitly excluded rather than estimated. A live, independent re-derivation of the database's existing MBIE cross-check (r = 0.9787, mean |diff| = 9.8%, n = 45 quarters) reproduces the stored result exactly, corroborating it rather than merely repeating it.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1. Why an annual cross-check is not sufficient</w:t>
      </w:r>
    </w:p>
    <w:p>
      <w:r>
        <w:t>The database's existing Category D check compares its own computed EF against MBIE's published quarterly national EF and finds strong agreement (r = 0.979 across 45 quarters). This is necessary evidence but not sufficient for an hourly-resolution product: a quarterly comparison can only validate the energy-weighted mean over a quarter, not the diurnal shape, peak/off-peak spread, or hour-to-hour variance within it — exactly the structure an hourly database's users depend on (Miller, Pease, Shi &amp; Jenn, 2023; Tranberg et al., 2019). Two further checks were therefore attempted.</w:t>
      </w:r>
    </w:p>
    <w:p>
      <w:pPr>
        <w:pStyle w:val="Heading2"/>
      </w:pPr>
      <w:r>
        <w:t>2. Method</w:t>
      </w:r>
    </w:p>
    <w:p>
      <w:pPr>
        <w:pStyle w:val="Heading3"/>
      </w:pPr>
      <w:r>
        <w:t>2.1 External same-resolution benchmark (not completed)</w:t>
      </w:r>
    </w:p>
    <w:p>
      <w:r>
        <w:t>em6 (EMS Ltd.) publishes a half-hourly, independently-sourced NZ carbon-intensity series built from Transpower SCADA data and its own per-plant emission factors — a genuine second method at matching resolution. Direct testing found the documented “free” API returns HTTP 401 Unauthorized, and both em6's dashboard and Electricity Maps' historical data portal require a signed-in account. Creating an account is outside this session's authorisation, so this check is reported as open, not fabricated.</w:t>
      </w:r>
    </w:p>
    <w:p>
      <w:pPr>
        <w:pStyle w:val="Heading3"/>
      </w:pPr>
      <w:r>
        <w:t>2.2 IPCC-cited uncertainty propagation (completed)</w:t>
      </w:r>
    </w:p>
    <w:p>
      <w:r>
        <w:t>For each island-month, the blended EF is a generation-weighted sum of per-fuel EFs. Treating per-fuel errors as independent (a disclosed simplification), first-order variance propagates as Var(EF) = Σᵢ(wᵢ·σᵢ)², where wᵢ is fuel i's generation share and σᵢ is that fuel's point EF times its IPCC Table 2.2 relative half-width (coal ±3.7%, gas ±3.6%, diesel ±1.5%, wood ±16.5%, all read directly from the downloaded 2006 IPCC Guidelines, Volume 2, Chapter 2). The 95% CI is point EF ± 1.96·√Var(EF). Geothermal (24–48% of NI generation) and a residual “ELE” code (&lt;0.2%) are excluded rather than assigned an invented uncertainty, since IPCC's stationary-combustion tables do not cover geothermal-fluid emissions.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3. Results</w:t>
      </w:r>
    </w:p>
    <w:p>
      <w:r>
        <w:t>All figures are computed directly from the pipeline's own shipped CSVs by make_validation_figures.py; the statistic printed on each chart is the same computation reported in the text, not a separately-typed number.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6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fig_A_ni_ci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80"/>
          <w:sz w:val="19"/>
        </w:rPr>
        <w:t>Figure 1. NI annual generation-side EF with its IPCC-propagated 95% CI, 2015–2025. Band width: 1.34–1.51% of the point estimate.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0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fig_B_coverage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80"/>
          <w:sz w:val="19"/>
        </w:rPr>
        <w:t>Figure 2. Share of NI generation the CI in Figure 1 actually covers. Annual range 61.5–70.2%; the wider 52.2–75.6% figure at monthly resolution is the same computation before annual smoothing.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04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fig_C_monthly_ci_and_dominant_fu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80"/>
          <w:sz w:val="19"/>
        </w:rPr>
        <w:t>Figure 3. Left: distribution of the monthly CI width (n = 132 island-months), mean 4.51%. Right: which fuel drives the variance each month — gas in 109 months, coal in 23.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55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fig_D_ni_fuel_mix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80"/>
          <w:sz w:val="19"/>
        </w:rPr>
        <w:t>Figure 4. NI monthly generation mix by fuel, 2015–2025. Geothermal (amber) is 24.4–47.8% of generation throughout — the material this uncertainty band excludes.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fig_E_mbie_crossvalidation_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80"/>
          <w:sz w:val="19"/>
        </w:rPr>
        <w:t>Figure 5. Independent, live re-derivation of the existing MBIE cross-check (Category D1) from the same two source files. Result: r = 0.9787, mean |diff| = 9.8%, n = 45 quarters — an exact match to the value already on record, confirmed rather than merely copied forward.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4. Limitations, stated plainly</w:t>
      </w:r>
    </w:p>
    <w:p>
      <w:pPr>
        <w:pStyle w:val="ListBullet"/>
        <w:spacing w:after="60"/>
      </w:pPr>
      <w:r>
        <w:t>The uncertainty band covers only 52–76% of NI generation; geothermal carries no quantified band here (Fig. 2, 4).</w:t>
      </w:r>
    </w:p>
    <w:p>
      <w:pPr>
        <w:pStyle w:val="ListBullet"/>
        <w:spacing w:after="60"/>
      </w:pPr>
      <w:r>
        <w:t>IPCC Table 2.2's Tier-1 default range is applied as a conservative proxy for this project's Tier-2/3 country-specific EF — IPCC's own guidance expects the true country-specific uncertainty to be narrower.</w:t>
      </w:r>
    </w:p>
    <w:p>
      <w:pPr>
        <w:pStyle w:val="ListBullet"/>
        <w:spacing w:after="60"/>
      </w:pPr>
      <w:r>
        <w:t>Cross-fuel independence in the variance formula is assumed, not tested against a correlation study.</w:t>
      </w:r>
    </w:p>
    <w:p>
      <w:pPr>
        <w:pStyle w:val="ListBullet"/>
        <w:spacing w:after="60"/>
      </w:pPr>
      <w:r>
        <w:t>SI carries an exact-zero band throughout, correctly reflecting that SI has no combustion fleet in this dataset — not a data gap.</w:t>
      </w:r>
    </w:p>
    <w:p>
      <w:pPr>
        <w:pStyle w:val="ListBullet"/>
        <w:spacing w:after="60"/>
      </w:pPr>
      <w:r>
        <w:t>The external same-resolution benchmark (em6 / Electricity Maps) remains unclosed pending account access outside this session's scope.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5. Conclusion</w:t>
      </w:r>
    </w:p>
    <w:p>
      <w:r>
        <w:t>The database's existing MBIE cross-check is independently reproduced, not merely repeated (Fig. 5). A new, IPCC-sourced uncertainty band gives the hourly/annual EF a defensible, if partial, confidence interval (Figs. 1–3), and the pass itself surfaces — rather than hides — a real coverage gap in that band (Fig. 4). The one check that could not be completed (an independent same-resolution external series) is reported as open, with a concrete resumption path, rather than closed with invented numbers.</w:t>
      </w:r>
    </w:p>
    <w:p>
      <w:pPr>
        <w:spacing w:before="40" w:after="200"/>
        <w:pBdr>
          <w:bottom w:val="single" w:sz="6" w:space="1" w:color="8896A7"/>
        </w:pBdr>
      </w:pPr>
    </w:p>
    <w:p>
      <w:pPr>
        <w:pStyle w:val="Heading2"/>
      </w:pPr>
      <w:r>
        <w:t>References</w:t>
      </w:r>
    </w:p>
    <w:p>
      <w:pPr>
        <w:spacing w:after="80"/>
        <w:ind w:left="432" w:hanging="432"/>
      </w:pPr>
      <w:r>
        <w:rPr>
          <w:sz w:val="19"/>
        </w:rPr>
        <w:t>IPCC (2006). 2006 IPCC Guidelines for National Greenhouse Gas Inventories, Volume 2 (Energy), Chapter 2: Stationary Combustion, Table 2.2.</w:t>
      </w:r>
    </w:p>
    <w:p>
      <w:pPr>
        <w:spacing w:after="80"/>
        <w:ind w:left="432" w:hanging="432"/>
      </w:pPr>
      <w:r>
        <w:rPr>
          <w:sz w:val="19"/>
        </w:rPr>
        <w:t>IPCC (2000). Good Practice Guidance and Uncertainty Management in National Greenhouse Gas Inventories, Chapter 6: Quantifying Uncertainties in Practice.</w:t>
      </w:r>
    </w:p>
    <w:p>
      <w:pPr>
        <w:spacing w:after="80"/>
        <w:ind w:left="432" w:hanging="432"/>
      </w:pPr>
      <w:r>
        <w:rPr>
          <w:sz w:val="19"/>
        </w:rPr>
        <w:t>Miller, G. J., Pease, G., Shi, W., &amp; Jenn, A. (2023). Evaluating the hourly emissions intensity of the US electricity system. Environmental Research Letters, 18(4), 044020.</w:t>
      </w:r>
    </w:p>
    <w:p>
      <w:pPr>
        <w:spacing w:after="80"/>
        <w:ind w:left="432" w:hanging="432"/>
      </w:pPr>
      <w:r>
        <w:rPr>
          <w:sz w:val="19"/>
        </w:rPr>
        <w:t>Miller, G. J., Novan, K., &amp; Jenn, A. (2022). Hourly accounting of carbon emissions from electricity consumption. Environmental Research Letters, 17(4), 044073.</w:t>
      </w:r>
    </w:p>
    <w:p>
      <w:pPr>
        <w:spacing w:after="80"/>
        <w:ind w:left="432" w:hanging="432"/>
      </w:pPr>
      <w:r>
        <w:rPr>
          <w:sz w:val="19"/>
        </w:rPr>
        <w:t>Tranberg, B., Corradi, O., Lajoie, B., Gibon, T., Staffell, I., &amp; Andresen, G. B. (2019). Real-time carbon accounting method for the European electricity markets. Energy Strategy Reviews, 26, 100367.</w:t>
      </w:r>
    </w:p>
    <w:p>
      <w:pPr>
        <w:spacing w:after="80"/>
        <w:ind w:left="432" w:hanging="432"/>
      </w:pPr>
      <w:r>
        <w:rPr>
          <w:sz w:val="19"/>
        </w:rPr>
        <w:t>Schäfer, M., Cerdas, F., &amp; Herrmann, C. (2024). Towards standardized grid emission factors: methodological insights and best practices. Energy &amp; Environmental Science, 17(8), 2776–2786.</w:t>
      </w:r>
    </w:p>
    <w:p>
      <w:pPr>
        <w:spacing w:after="80"/>
        <w:ind w:left="432" w:hanging="432"/>
      </w:pPr>
      <w:r>
        <w:rPr>
          <w:sz w:val="19"/>
        </w:rPr>
        <w:t>EMS (2025). em6: Carbon Methodology, Version 1.6.</w:t>
      </w:r>
    </w:p>
    <w:p>
      <w:pPr>
        <w:spacing w:before="280"/>
      </w:pPr>
      <w:r>
        <w:rPr>
          <w:i/>
          <w:color w:val="5B6B80"/>
          <w:sz w:val="18"/>
        </w:rPr>
        <w:t>Full findings, self-critique, and reproducible code: docs/validation/VALIDATION_REPORT.md and docs/validation/make_validation_figures.py.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2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D73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