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rPr>
                <w:rtl/>
                <w:lang w:val="en-US" w:bidi="ar-SA"/>
              </w:rPr>
            </w:pPr>
            <w:r/>
            <w:r>
              <w:rPr>
                <w:rFonts w:ascii="Times New Roman" w:hAnsi="Times New Roman" w:cs="Times New Roman"/>
                <w:b w:val="0"/>
                <w:sz w:val="28"/>
                <w:rtl/>
                <w:lang w:val="en-US" w:bidi="ar-SA"/>
              </w:rPr>
              <w:t>الروابط الكيميائية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الوحدة</w:t>
            </w:r>
          </w:p>
        </w:tc>
      </w:tr>
      <w:tr>
        <w:tc>
          <w:tcPr>
            <w:tcW w:type="dxa" w:w="7087"/>
          </w:tcPr>
          <w:p>
            <w:pPr>
              <w:bidi/>
              <w:rPr>
                <w:rtl/>
                <w:lang w:val="en-US" w:bidi="ar-SA"/>
              </w:rPr>
            </w:pPr>
            <w:r/>
            <w:r>
              <w:rPr>
                <w:rFonts w:ascii="Times New Roman" w:hAnsi="Times New Roman" w:cs="Times New Roman"/>
                <w:b w:val="0"/>
                <w:sz w:val="28"/>
                <w:rtl/>
                <w:lang w:val="en-US" w:bidi="ar-SA"/>
              </w:rPr>
              <w:t>الرابطة الأيونية والمركبات الأيونية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الفصل</w:t>
            </w:r>
          </w:p>
        </w:tc>
      </w:tr>
      <w:tr>
        <w:tc>
          <w:tcPr>
            <w:tcW w:type="dxa" w:w="7087"/>
          </w:tcPr>
          <w:p>
            <w:pPr>
              <w:bidi/>
              <w:rPr>
                <w:rtl/>
                <w:lang w:val="en-US" w:bidi="ar-SA"/>
              </w:rPr>
            </w:pPr>
            <w:r/>
            <w:r>
              <w:rPr>
                <w:rFonts w:ascii="Times New Roman" w:hAnsi="Times New Roman" w:cs="Times New Roman"/>
                <w:b w:val="0"/>
                <w:sz w:val="28"/>
                <w:rtl/>
                <w:lang w:val="en-US" w:bidi="ar-SA"/>
              </w:rPr>
              <w:t>الترتيب الإلكتروني (إلكترونات التكافؤ)</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الدرس</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rPr>
                <w:rtl/>
                <w:lang w:val="en-US" w:bidi="ar-SA"/>
              </w:rPr>
            </w:pPr>
            <w:r/>
            <w:r>
              <w:rPr>
                <w:rFonts w:ascii="Times New Roman" w:hAnsi="Times New Roman" w:cs="Times New Roman"/>
                <w:b/>
                <w:sz w:val="28"/>
                <w:rtl/>
                <w:lang w:val="en-US" w:bidi="ar-SA"/>
              </w:rPr>
              <w:t>بعد الانتهاء من الدرس ستكون المتعلمة قادرة على أن:</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السلوكية:</w:t>
            </w:r>
          </w:p>
        </w:tc>
      </w:tr>
      <w:tr>
        <w:tc>
          <w:tcPr>
            <w:tcW w:type="dxa" w:w="7370"/>
          </w:tcPr>
          <w:p>
            <w:pPr>
              <w:bidi/>
              <w:rPr>
                <w:rtl/>
                <w:lang w:val="en-US" w:bidi="ar-SA"/>
              </w:rPr>
            </w:pPr>
            <w:r/>
            <w:r>
              <w:rPr>
                <w:rFonts w:ascii="Times New Roman" w:hAnsi="Times New Roman" w:cs="Times New Roman"/>
                <w:b w:val="0"/>
                <w:sz w:val="28"/>
                <w:rtl/>
                <w:lang w:val="en-US" w:bidi="ar-SA"/>
              </w:rPr>
              <w:t>١. تعرّف مفهوم التكافؤ وإلكترونات التكافؤ تعريفًا علميًا دقيقًا.</w:t>
            </w:r>
          </w:p>
          <w:p>
            <w:pPr>
              <w:bidi/>
              <w:rPr>
                <w:rtl/>
                <w:lang w:val="en-US" w:bidi="ar-SA"/>
              </w:rPr>
            </w:pPr>
            <w:r>
              <w:rPr>
                <w:rFonts w:ascii="Times New Roman" w:hAnsi="Times New Roman" w:cs="Times New Roman"/>
                <w:b w:val="0"/>
                <w:sz w:val="28"/>
                <w:rtl/>
                <w:lang w:val="en-US" w:bidi="ar-SA"/>
              </w:rPr>
              <w:t>٢. تحدد عدد إلكترونات التكافؤ للذرة من توزيعها الإلكتروني حسب مستويات الطاقة الرئيسية.</w:t>
            </w:r>
          </w:p>
          <w:p>
            <w:pPr>
              <w:bidi/>
              <w:rPr>
                <w:rtl/>
                <w:lang w:val="en-US" w:bidi="ar-SA"/>
              </w:rPr>
            </w:pPr>
            <w:r>
              <w:rPr>
                <w:rFonts w:ascii="Times New Roman" w:hAnsi="Times New Roman" w:cs="Times New Roman"/>
                <w:b w:val="0"/>
                <w:sz w:val="28"/>
                <w:rtl/>
                <w:lang w:val="en-US" w:bidi="ar-SA"/>
              </w:rPr>
              <w:t>٣. تستنتج عدد إلكترونات التكافؤ لعناصر المجموعات الممثلة من رقم المجموعة.</w:t>
            </w:r>
          </w:p>
          <w:p>
            <w:pPr>
              <w:bidi/>
              <w:rPr>
                <w:rtl/>
                <w:lang w:val="en-US" w:bidi="ar-SA"/>
              </w:rPr>
            </w:pPr>
            <w:r>
              <w:rPr>
                <w:rFonts w:ascii="Times New Roman" w:hAnsi="Times New Roman" w:cs="Times New Roman"/>
                <w:b w:val="0"/>
                <w:sz w:val="28"/>
                <w:rtl/>
                <w:lang w:val="en-US" w:bidi="ar-SA"/>
              </w:rPr>
              <w:t>٤. تعلل عدم ذكر تكافؤ عناصر المجموعة 14 وعناصر المجموعة 18.</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المعرفية:</w:t>
            </w:r>
          </w:p>
        </w:tc>
      </w:tr>
      <w:tr>
        <w:tc>
          <w:tcPr>
            <w:tcW w:type="dxa" w:w="7370"/>
          </w:tcPr>
          <w:p>
            <w:pPr>
              <w:bidi/>
              <w:rPr>
                <w:rtl/>
                <w:lang w:val="en-US" w:bidi="ar-SA"/>
              </w:rPr>
            </w:pPr>
            <w:r/>
            <w:r>
              <w:rPr>
                <w:rFonts w:ascii="Times New Roman" w:hAnsi="Times New Roman" w:cs="Times New Roman"/>
                <w:b w:val="0"/>
                <w:sz w:val="28"/>
                <w:rtl/>
                <w:lang w:val="en-US" w:bidi="ar-SA"/>
              </w:rPr>
              <w:t>١. تحدد إلكترونات التكافؤ والتكافؤ لعناصر الدورة الثانية (Li – F) من توزيعها الإلكتروني.</w:t>
            </w:r>
          </w:p>
          <w:p>
            <w:pPr>
              <w:bidi/>
              <w:rPr>
                <w:rtl/>
                <w:lang w:val="en-US" w:bidi="ar-SA"/>
              </w:rPr>
            </w:pPr>
            <w:r>
              <w:rPr>
                <w:rFonts w:ascii="Times New Roman" w:hAnsi="Times New Roman" w:cs="Times New Roman"/>
                <w:b w:val="0"/>
                <w:sz w:val="28"/>
                <w:rtl/>
                <w:lang w:val="en-US" w:bidi="ar-SA"/>
              </w:rPr>
              <w:t>٢. تمثل إلكترونات التكافؤ فقط بالترتيب النقطي لعناصر الدورة الثالثة (P، Si، S) باستخدام ورقة النشاط.</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المهارية:</w:t>
            </w:r>
          </w:p>
        </w:tc>
      </w:tr>
      <w:tr>
        <w:tc>
          <w:tcPr>
            <w:tcW w:type="dxa" w:w="7370"/>
          </w:tcPr>
          <w:p>
            <w:pPr>
              <w:bidi/>
              <w:rPr>
                <w:rtl/>
                <w:lang w:val="en-US" w:bidi="ar-SA"/>
              </w:rPr>
            </w:pPr>
            <w:r/>
            <w:r>
              <w:rPr>
                <w:rFonts w:ascii="Times New Roman" w:hAnsi="Times New Roman" w:cs="Times New Roman"/>
                <w:b w:val="0"/>
                <w:sz w:val="28"/>
                <w:rtl/>
                <w:lang w:val="en-US" w:bidi="ar-SA"/>
              </w:rPr>
              <w:t>١. تقدّر دقة التنظيم العلمي لعناصر الجدول الدوري.</w:t>
            </w:r>
          </w:p>
          <w:p>
            <w:pPr>
              <w:bidi/>
              <w:rPr>
                <w:rtl/>
                <w:lang w:val="en-US" w:bidi="ar-SA"/>
              </w:rPr>
            </w:pPr>
            <w:r>
              <w:rPr>
                <w:rFonts w:ascii="Times New Roman" w:hAnsi="Times New Roman" w:cs="Times New Roman"/>
                <w:b w:val="0"/>
                <w:sz w:val="28"/>
                <w:rtl/>
                <w:lang w:val="en-US" w:bidi="ar-SA"/>
              </w:rPr>
              <w:t>٢. تشارك زميلاتها في النشاط اليدوي والمناقشة بروح الفريق.</w:t>
            </w:r>
          </w:p>
          <w:p>
            <w:pPr>
              <w:bidi/>
              <w:rPr>
                <w:rtl/>
                <w:lang w:val="en-US" w:bidi="ar-SA"/>
              </w:rPr>
            </w:pPr>
            <w:r>
              <w:rPr>
                <w:rFonts w:ascii="Times New Roman" w:hAnsi="Times New Roman" w:cs="Times New Roman"/>
                <w:b w:val="0"/>
                <w:sz w:val="28"/>
                <w:rtl/>
                <w:lang w:val="en-US" w:bidi="ar-SA"/>
              </w:rPr>
              <w:t>٣. تقدّر جهود العالم جلبرت لويس في تطوير مفهوم التكافؤ.</w:t>
            </w:r>
          </w:p>
        </w:tc>
        <w:tc>
          <w:tcPr>
            <w:tcW w:type="dxa" w:w="1984"/>
            <w:shd w:val="clear" w:color="auto" w:fill="FAE2D5"/>
          </w:tcPr>
          <w:p>
            <w:pPr>
              <w:bidi/>
              <w:rPr>
                <w:rtl/>
                <w:lang w:val="en-US" w:bidi="ar-SA"/>
              </w:rPr>
            </w:pPr>
            <w:r/>
            <w:r>
              <w:rPr>
                <w:rFonts w:ascii="Times New Roman" w:hAnsi="Times New Roman" w:cs="Times New Roman"/>
                <w:b/>
                <w:sz w:val="28"/>
                <w:rtl/>
                <w:lang w:val="en-US" w:bidi="ar-SA"/>
              </w:rPr>
              <w:t>الأهداف الوجدانية:</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rPr>
                <w:rtl/>
                <w:lang w:val="en-US" w:bidi="ar-SA"/>
              </w:rPr>
            </w:pPr>
            <w:r/>
            <w:r>
              <w:rPr>
                <w:rFonts w:ascii="Times New Roman" w:hAnsi="Times New Roman" w:cs="Times New Roman"/>
                <w:b w:val="0"/>
                <w:sz w:val="28"/>
                <w:rtl/>
                <w:lang w:val="en-US" w:bidi="ar-SA"/>
              </w:rPr>
              <w:t>الكتاب المدرسي – البطاقات التشجيعية – الشاشة الذكية – الجدول الدوري – الكتاب الحي ثلاثي الأبعاد (index.html) + مقطع مرئي عن إلكترونات التكافؤ + أوراق نشاط الفصفصة (A4) + ملصقات دائرية وورق لاصق (ستيكي نوت)</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الوسائل التعليمية:</w:t>
            </w:r>
          </w:p>
        </w:tc>
      </w:tr>
      <w:tr>
        <w:tc>
          <w:tcPr>
            <w:tcW w:type="dxa" w:w="7087"/>
          </w:tcPr>
          <w:p>
            <w:pPr>
              <w:bidi/>
              <w:rPr>
                <w:rtl/>
                <w:lang w:val="en-US" w:bidi="ar-SA"/>
              </w:rPr>
            </w:pPr>
            <w:r/>
            <w:r>
              <w:rPr>
                <w:rFonts w:ascii="Times New Roman" w:hAnsi="Times New Roman" w:cs="Times New Roman"/>
                <w:b w:val="0"/>
                <w:sz w:val="28"/>
                <w:rtl/>
                <w:lang w:val="en-US" w:bidi="ar-SA"/>
              </w:rPr>
              <w:t>مجموعات من 4-5 متعلمات على شكل حرف U</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نظام الجلسة:</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الأولى: التقديم والتحفيز</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نقرة تكشف السر</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1</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(الاستكشاف الموجّه)</w:t>
            </w:r>
          </w:p>
          <w:p>
            <w:pPr>
              <w:bidi/>
              <w:rPr>
                <w:rtl/>
                <w:lang w:val="en-US" w:bidi="ar-SA"/>
              </w:rPr>
            </w:pPr>
            <w:r>
              <w:rPr>
                <w:rFonts w:ascii="Times New Roman" w:hAnsi="Times New Roman" w:cs="Times New Roman"/>
                <w:b w:val="0"/>
                <w:sz w:val="28"/>
                <w:rtl/>
                <w:lang w:val="en-US" w:bidi="ar-SA"/>
              </w:rPr>
              <w:t xml:space="preserve">يحقق الهدف المعرفي 1          5د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أطلب من الطالبات استكشاف العناصر في الجدول الدوري عن طريق النقر عليها داخل الكتاب الحي ثلاثي الأبعاد، وملاحظة ما يظهر لكل عنصر من نقاط حول رمز الذرة.</w:t>
            </w:r>
          </w:p>
          <w:p>
            <w:pPr>
              <w:bidi/>
              <w:rPr>
                <w:rtl/>
                <w:lang w:val="en-US" w:bidi="ar-SA"/>
              </w:rPr>
            </w:pPr>
            <w:r>
              <w:rPr>
                <w:rFonts w:ascii="Times New Roman" w:hAnsi="Times New Roman" w:cs="Times New Roman"/>
                <w:b w:val="0"/>
                <w:sz w:val="28"/>
                <w:rtl/>
                <w:lang w:val="en-US" w:bidi="ar-SA"/>
              </w:rPr>
              <w:t>أطرح السؤال: تأملن هذه النقاط حول العناصر، ماذا تمثل هذه النقاط؟ وكيف نستطيع استنتاجها؟ أستمع إلى إجابات الطالبات دون تصحيح مباشر، ثم أوضح أن هذه النقاط تمثل إلكترونات التكافؤ.</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الثانية: الاستكشاف والتعلم</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بنّاؤو الاستقرار</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2</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(المقارنة والاستنتاج)</w:t>
            </w:r>
          </w:p>
          <w:p>
            <w:pPr>
              <w:bidi/>
              <w:rPr>
                <w:rtl/>
                <w:lang w:val="en-US" w:bidi="ar-SA"/>
              </w:rPr>
            </w:pPr>
            <w:r>
              <w:rPr>
                <w:rFonts w:ascii="Times New Roman" w:hAnsi="Times New Roman" w:cs="Times New Roman"/>
                <w:b w:val="0"/>
                <w:sz w:val="28"/>
                <w:rtl/>
                <w:lang w:val="en-US" w:bidi="ar-SA"/>
              </w:rPr>
              <w:t xml:space="preserve">يحقق الهدف المعرفي 1، 4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أعرض صورتي بنائين، أحدهما مكتمل والآخر غير مكتمل، ثم أطرح السؤال: أي البنائين يبدو أكثر استقرارًا؟ وماذا يحتاج المبنى غير المكتمل ليصبح مستقرًا؟ وتستكشف الطالبات الفرق بين البنائين من خلال صفحة «الاستقرار يبدأ من المستوى الخارجي» في الكتاب الحي.</w:t>
            </w:r>
          </w:p>
          <w:p>
            <w:pPr>
              <w:bidi/>
              <w:rPr>
                <w:rtl/>
                <w:lang w:val="en-US" w:bidi="ar-SA"/>
              </w:rPr>
            </w:pPr>
            <w:r>
              <w:rPr>
                <w:rFonts w:ascii="Times New Roman" w:hAnsi="Times New Roman" w:cs="Times New Roman"/>
                <w:b w:val="0"/>
                <w:sz w:val="28"/>
                <w:rtl/>
                <w:lang w:val="en-US" w:bidi="ar-SA"/>
              </w:rPr>
              <w:t>الربط العلمي: أوضح للطالبات أن الذرات، مثل الأبنية، تميل للاستقرار، وأن ذرات المجموعة 18 (الغازات النبيلة) تتمتع بترتيب إلكتروني يجعلها مستقرة جدًا. ثم أوجّه الطالبات إلى تحديد ما ينقص الذرة غير المستقرة (الإلكترونات في مستوى التكافؤ)، وربطه بالترتيب الإلكتروني: ما الذي يجعل العنصر مستقرًا؟ وما الذي يجعله غير مستقر؟</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من الشاشة إلى الورقة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3</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(التعلم بالفيديو والتمثيل اليدوي)</w:t>
            </w:r>
          </w:p>
          <w:p>
            <w:pPr>
              <w:bidi/>
              <w:rPr>
                <w:rtl/>
                <w:lang w:val="en-US" w:bidi="ar-SA"/>
              </w:rPr>
            </w:pPr>
            <w:r>
              <w:rPr>
                <w:rFonts w:ascii="Times New Roman" w:hAnsi="Times New Roman" w:cs="Times New Roman"/>
                <w:b w:val="0"/>
                <w:sz w:val="28"/>
                <w:rtl/>
                <w:lang w:val="en-US" w:bidi="ar-SA"/>
              </w:rPr>
              <w:t xml:space="preserve">يحقق الهدف المهاري 1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(3 دقائق) أعرض المقطع المرئي، وأوجّه الطالبات لاستخلاص المعرفة: ما إلكترونات التكافؤ؟ وأين توجد في الذرة؟ وكيف نحدد عددها؟</w:t>
            </w:r>
          </w:p>
          <w:p>
            <w:pPr>
              <w:bidi/>
              <w:rPr>
                <w:rtl/>
                <w:lang w:val="en-US" w:bidi="ar-SA"/>
              </w:rPr>
            </w:pPr>
            <w:r>
              <w:rPr>
                <w:rFonts w:ascii="Times New Roman" w:hAnsi="Times New Roman" w:cs="Times New Roman"/>
                <w:b w:val="0"/>
                <w:sz w:val="28"/>
                <w:rtl/>
                <w:lang w:val="en-US" w:bidi="ar-SA"/>
              </w:rPr>
              <w:t>(7 دقائق) أعطي كل مجموعة ورقة نشاط الفصفصة، وأحدد لها ثلاثة عناصر: الفسفور (P)، والسيليكون (Si)، والكبريت (S). تمثل المجموعة إلكترونات التكافؤ فقط لكل عنصر بالملصقات الدائرية، ثم ترسم الترتيب الإلكتروني النقطي وتكتب عددها.</w:t>
            </w:r>
          </w:p>
        </w:tc>
      </w:tr>
    </w:tbl>
    <w:p>
      <w:pPr>
        <w:bidi/>
        <w:rPr>
          <w:rtl/>
          <w:lang w:val="en-US" w:bidi="ar-SA"/>
        </w:rPr>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rPr>
                <w:rtl/>
                <w:lang w:val="en-US" w:bidi="ar-SA"/>
              </w:rPr>
            </w:pPr>
            <w:r/>
            <w:r>
              <w:rPr>
                <w:rFonts w:ascii="Times New Roman" w:hAnsi="Times New Roman" w:cs="Times New Roman"/>
                <w:b/>
                <w:sz w:val="28"/>
                <w:rtl/>
                <w:lang w:val="en-US" w:bidi="ar-SA"/>
              </w:rPr>
              <w:t>مهندسات الجدول الصغيرة</w:t>
            </w:r>
          </w:p>
        </w:tc>
        <w:tc>
          <w:tcPr>
            <w:tcW w:type="dxa" w:w="2268"/>
            <w:shd w:val="clear" w:color="auto" w:fill="FAE2D5"/>
          </w:tcPr>
          <w:p>
            <w:pPr>
              <w:bidi/>
              <w:rPr>
                <w:rtl/>
                <w:lang w:val="en-US" w:bidi="ar-SA"/>
              </w:rPr>
            </w:pPr>
            <w:r/>
            <w:r>
              <w:rPr>
                <w:rFonts w:ascii="Times New Roman" w:hAnsi="Times New Roman" w:cs="Times New Roman"/>
                <w:b/>
                <w:sz w:val="28"/>
                <w:rtl/>
                <w:lang w:val="en-US" w:bidi="ar-SA"/>
              </w:rPr>
              <w:t>النشاط رقم 4</w:t>
            </w:r>
          </w:p>
        </w:tc>
      </w:tr>
      <w:tr>
        <w:tc>
          <w:tcPr>
            <w:tcW w:type="dxa" w:w="9355"/>
            <w:gridSpan w:val="2"/>
          </w:tcPr>
          <w:p>
            <w:pPr>
              <w:bidi/>
              <w:rPr>
                <w:rtl/>
                <w:lang w:val="en-US" w:bidi="ar-SA"/>
              </w:rPr>
            </w:pPr>
            <w:r/>
            <w:r>
              <w:rPr>
                <w:rFonts w:ascii="Times New Roman" w:hAnsi="Times New Roman" w:cs="Times New Roman"/>
                <w:b w:val="0"/>
                <w:sz w:val="28"/>
                <w:rtl/>
                <w:lang w:val="en-US" w:bidi="ar-SA"/>
              </w:rPr>
              <w:t>استراتيجية: (فكّر - زاوِج - شارِك)</w:t>
            </w:r>
          </w:p>
          <w:p>
            <w:pPr>
              <w:bidi/>
              <w:rPr>
                <w:rtl/>
                <w:lang w:val="en-US" w:bidi="ar-SA"/>
              </w:rPr>
            </w:pPr>
            <w:r>
              <w:rPr>
                <w:rFonts w:ascii="Times New Roman" w:hAnsi="Times New Roman" w:cs="Times New Roman"/>
                <w:b w:val="0"/>
                <w:sz w:val="28"/>
                <w:rtl/>
                <w:lang w:val="en-US" w:bidi="ar-SA"/>
              </w:rPr>
              <w:t xml:space="preserve">يحقق الهدف المهاري 1، 2 والهدف الوجداني 2          10د   </w:t>
            </w:r>
            <w:r>
              <w:rPr>
                <w:rFonts w:asciiTheme="majorBidi" w:hAnsiTheme="majorBidi" w:cstheme="majorBidi"/>
                <w:noProof/>
                <w:color w:val="000000" w:themeColor="text1"/>
                <w:sz w:val="28"/>
                <w:szCs w:val="28"/>
                <w:lang w:val="en-GB"/>
              </w:rPr>
              <w:drawing>
                <wp:inline distT="0" distB="0" distL="0" distR="0" wp14:anchorId="5E5A22F3" wp14:editId="42FBB173">
                  <wp:extent cx="281940" cy="402771"/>
                  <wp:effectExtent l="38100" t="38100" r="41910" b="35560"/>
                  <wp:docPr id="65031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18088" name=""/>
                          <pic:cNvPicPr/>
                        </pic:nvPicPr>
                        <pic:blipFill>
                          <a:blip r:embed="rId10"/>
                          <a:stretch>
                            <a:fillRect/>
                          </a:stretch>
                        </pic:blipFill>
                        <pic:spPr>
                          <a:xfrm rot="20991639">
                            <a:off x="0" y="0"/>
                            <a:ext cx="282091" cy="402987"/>
                          </a:xfrm>
                          <a:prstGeom prst="rect">
                            <a:avLst/>
                          </a:prstGeom>
                        </pic:spPr>
                      </pic:pic>
                    </a:graphicData>
                  </a:graphic>
                </wp:inline>
              </w:drawing>
            </w:r>
          </w:p>
        </w:tc>
      </w:tr>
      <w:tr>
        <w:tc>
          <w:tcPr>
            <w:tcW w:type="dxa" w:w="9355"/>
            <w:gridSpan w:val="2"/>
          </w:tcPr>
          <w:p>
            <w:pPr>
              <w:bidi/>
              <w:rPr>
                <w:rtl/>
                <w:lang w:val="en-US" w:bidi="ar-SA"/>
              </w:rPr>
            </w:pPr>
            <w:r/>
            <w:r>
              <w:rPr>
                <w:rFonts w:ascii="Times New Roman" w:hAnsi="Times New Roman" w:cs="Times New Roman"/>
                <w:b w:val="0"/>
                <w:sz w:val="28"/>
                <w:rtl/>
                <w:lang w:val="en-US" w:bidi="ar-SA"/>
              </w:rPr>
              <w:t>أطلب من كل طالبة حل تمرين (1) صفحة 107 بشكل فردي عن طريق الكتاب الحي، فتكتب التوزيع الإلكتروني وإلكترونات التكافؤ والتكافؤ لعناصر Li وBe وB وN وO وF.</w:t>
            </w:r>
          </w:p>
          <w:p>
            <w:pPr>
              <w:bidi/>
              <w:rPr>
                <w:rtl/>
                <w:lang w:val="en-US" w:bidi="ar-SA"/>
              </w:rPr>
            </w:pPr>
            <w:r>
              <w:rPr>
                <w:rFonts w:ascii="Times New Roman" w:hAnsi="Times New Roman" w:cs="Times New Roman"/>
                <w:b w:val="0"/>
                <w:sz w:val="28"/>
                <w:rtl/>
                <w:lang w:val="en-US" w:bidi="ar-SA"/>
              </w:rPr>
              <w:t>ثم أوجّه الطالبات للعمل مزدوجًا، فتتبادل كل طالبة إجاباتها مع زميلتها وتناقش الفروق بينهما، ثم أصحح الإجابات معهن على الشاشة الذكية، مع التأكيد أن التكافؤ يساوي 8 − إلكترونات التكافؤ عندما تكون أكبر من 4.</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المرحلة الثالثة: التعمق والتقييم</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 xml:space="preserve">التقويم الصفي: </w:t>
            </w:r>
          </w:p>
        </w:tc>
      </w:tr>
      <w:tr>
        <w:tc>
          <w:tcPr>
            <w:tcW w:type="dxa" w:w="9354"/>
          </w:tcPr>
          <w:p>
            <w:pPr>
              <w:bidi/>
              <w:rPr>
                <w:rtl/>
                <w:lang w:val="en-US" w:bidi="ar-SA"/>
              </w:rPr>
            </w:pPr>
            <w:r/>
            <w:r>
              <w:rPr>
                <w:rFonts w:ascii="Times New Roman" w:hAnsi="Times New Roman" w:cs="Times New Roman"/>
                <w:b w:val="0"/>
                <w:sz w:val="28"/>
                <w:rtl/>
                <w:lang w:val="en-US" w:bidi="ar-SA"/>
              </w:rPr>
              <w:t>الزمن: 5 د</w:t>
            </w:r>
          </w:p>
          <w:p>
            <w:pPr>
              <w:bidi/>
              <w:rPr>
                <w:rtl/>
                <w:lang w:val="en-US" w:bidi="ar-SA"/>
              </w:rPr>
            </w:pPr>
            <w:r>
              <w:rPr>
                <w:rFonts w:ascii="Times New Roman" w:hAnsi="Times New Roman" w:cs="Times New Roman"/>
                <w:b w:val="0"/>
                <w:sz w:val="28"/>
                <w:rtl/>
                <w:lang w:val="en-US" w:bidi="ar-SA"/>
              </w:rPr>
              <w:t>تذكرة خروج: باستخدام الورقة اللاصقة (الستيكي نوت) مثّلي الترتيب الإلكتروني النقطي لعنصر النيون (Ne).</w:t>
            </w:r>
          </w:p>
          <w:p>
            <w:pPr>
              <w:bidi/>
              <w:rPr>
                <w:rtl/>
                <w:lang w:val="en-US" w:bidi="ar-SA"/>
              </w:rPr>
            </w:pPr>
            <w:r>
              <w:rPr>
                <w:rFonts w:ascii="Times New Roman" w:hAnsi="Times New Roman" w:cs="Times New Roman"/>
                <w:b w:val="0"/>
                <w:sz w:val="28"/>
                <w:rtl/>
                <w:lang w:val="en-US" w:bidi="ar-SA"/>
              </w:rPr>
              <w:t>عدد إلكترونات التكافؤ لغاز النيون: ...........</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tcPr>
          <w:p>
            <w:pPr>
              <w:bidi/>
              <w:rPr>
                <w:rtl/>
                <w:lang w:val="en-US" w:bidi="ar-SA"/>
              </w:rPr>
            </w:pPr>
            <w:r/>
            <w:r>
              <w:rPr>
                <w:rFonts w:ascii="Times New Roman" w:hAnsi="Times New Roman" w:cs="Times New Roman"/>
                <w:b w:val="0"/>
                <w:sz w:val="28"/>
                <w:rtl/>
                <w:lang w:val="en-US" w:bidi="ar-SA"/>
              </w:rPr>
              <w:t>التقويم اللاصفي: حل السؤال الثاني صفحة 111 (اختيار الإجابة الصحيحة) ومراجعة الإجابات.</w:t>
            </w:r>
          </w:p>
        </w:tc>
      </w:tr>
    </w:tbl>
    <w:p>
      <w:pPr>
        <w:bidi/>
        <w:rPr>
          <w:rtl/>
          <w:lang w:val="en-US" w:bidi="ar-SA"/>
        </w:rPr>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rPr>
                <w:rtl/>
                <w:lang w:val="en-US" w:bidi="ar-SA"/>
              </w:rPr>
            </w:pPr>
            <w:r/>
            <w:r>
              <w:rPr>
                <w:rFonts w:ascii="Times New Roman" w:hAnsi="Times New Roman" w:cs="Times New Roman"/>
                <w:b/>
                <w:sz w:val="28"/>
                <w:rtl/>
                <w:lang w:val="en-US" w:bidi="ar-SA"/>
              </w:rPr>
              <w:t>التأمل الانعكاسي</w:t>
            </w:r>
          </w:p>
        </w:tc>
      </w:tr>
    </w:tbl>
    <w:p>
      <w:pPr>
        <w:bidi/>
        <w:rPr>
          <w:rtl/>
          <w:lang w:val="en-US" w:bidi="ar-SA"/>
        </w:rPr>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إعدادي الكتابي</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أدائي داخل الحصة</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مدى تنوع الأنشطة</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تفاعل المتعلمات</w:t>
            </w:r>
          </w:p>
        </w:tc>
      </w:tr>
      <w:tr>
        <w:tc>
          <w:tcPr>
            <w:tcW w:type="dxa" w:w="3969"/>
          </w:tcPr>
          <w:p>
            <w:pPr>
              <w:bidi/>
              <w:rPr>
                <w:rtl/>
                <w:lang w:val="en-US" w:bidi="ar-SA"/>
              </w:rPr>
            </w:pPr>
            <w:r/>
            <w:r>
              <w:rPr>
                <w:rFonts w:ascii="Times New Roman" w:hAnsi="Times New Roman" w:cs="Times New Roman"/>
                <w:b w:val="0"/>
                <w:sz w:val="28"/>
                <w:rtl/>
                <w:lang w:val="en-US" w:bidi="ar-SA"/>
              </w:rPr>
              <w:t>ملاحظات...............................</w:t>
            </w:r>
          </w:p>
        </w:tc>
        <w:tc>
          <w:tcPr>
            <w:tcW w:type="dxa" w:w="2268"/>
          </w:tcPr>
          <w:p>
            <w:pPr>
              <w:bidi/>
              <w:rPr>
                <w:rtl/>
                <w:lang w:val="en-US" w:bidi="ar-SA"/>
              </w:rPr>
            </w:pPr>
            <w:r/>
            <w:r>
              <w:rPr>
                <w:rFonts w:ascii="Times New Roman" w:hAnsi="Times New Roman" w:cs="Times New Roman"/>
                <w:b w:val="0"/>
                <w:sz w:val="28"/>
                <w:rtl/>
                <w:lang w:val="en-US" w:bidi="ar-SA"/>
              </w:rPr>
              <w:t>☆ ☆ ☆ ☆ ☆</w:t>
            </w:r>
          </w:p>
        </w:tc>
        <w:tc>
          <w:tcPr>
            <w:tcW w:type="dxa" w:w="3118"/>
            <w:shd w:val="clear" w:color="auto" w:fill="FAE2D5"/>
          </w:tcPr>
          <w:p>
            <w:pPr>
              <w:bidi/>
              <w:rPr>
                <w:rtl/>
                <w:lang w:val="en-US" w:bidi="ar-SA"/>
              </w:rPr>
            </w:pPr>
            <w:r/>
            <w:r>
              <w:rPr>
                <w:rFonts w:ascii="Times New Roman" w:hAnsi="Times New Roman" w:cs="Times New Roman"/>
                <w:b/>
                <w:sz w:val="28"/>
                <w:rtl/>
                <w:lang w:val="en-US" w:bidi="ar-SA"/>
              </w:rPr>
              <w:t>تطبيق التقويم</w:t>
            </w:r>
          </w:p>
        </w:tc>
      </w:tr>
    </w:tbl>
    <w:p>
      <w:pPr>
        <w:bidi/>
        <w:rPr>
          <w:rtl/>
          <w:lang w:val="en-US" w:bidi="ar-SA"/>
        </w:rPr>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ar-SA"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