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خواص 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تعرّف الشبكة البلورية بأنها مصفوفة ثلاثية الأبعاد ممتدة من الكاتيونات والأنيونات في المركبات الأيونية.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تفسّر ارتفاع درجات الانصهار والغليان للمركبات الأيونية بقوة التجاذب الكهروستاتيكي.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تفسّر عدم توصيل المركب الأيوني الصلب للتيار الكهربائي، وتوصيله في حالة المصهور أو المحلول.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٤. تستنتج قوة الخاصية الأيونية بناءً على الفرق في السالبية الكهربائية (أكبر من أو يساوي 1.7 بمقياس باولنج).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تحلل قيم السالبية الكهربائية (جدول 13) لترتيب المركبات الأيونية حسب خاصيتها الأيونية.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تحلل بيانات درجات الانصهار والغليان (جدول 14) لاستنتاج علاقتها بقوة التجاذب.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تقدّر دقة العلماء في قياس السالبية الكهربائية (العالم باولنج).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تشارك زميلاتها في الحوار العلمي.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تقدّر أهمية ملح الطعام في نقل الإشارات العصبية.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الوجدانية: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الكتاب المدرسي – البطاقات التشجيعية – الشاشة الذكية – الجدول الدوري – الكتاب الحي (index.html) على أجهزة الطالبات أو الشاشة الذكية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ماذا يخبئ كأس الماء؟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(التعلم بالاستقصاء والتساؤل)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كأسان (ماء مقطر وماء فيه ملح) ودائرة كهربائية بمصباح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3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أعرض كأسين: ماء مقطر وماء فيه ملح، وأوصل كل منهما بدائرة كهربائية بمصباح، وأطلب من الطالبات توقع ما يحدث.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ثم أطرح: لماذا لا يضيء المصباح مع الماء المقطر؟ ولماذا يضيء مع الملح؟ ولماذا لا يوصل الملح الصلب الكهرباء؟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رحلة داخل البلورة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(النمذجة، التعلم الذاتي الرقمي)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الكتاب الحي (index.html) – صفحات: الشبكة البلورية لكلوريد الصوديوم، لماذا ترتفع درجة الانصهار؟، من يحمل التيار؟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1، 2، 3 والهدف المهاري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تتابع كل طالبة الشبكة البلورية لكلوريد الصوديوم، وتجيب عن أسئلة الصفحة: لماذا يكون المركب صلبًا عند درجة حرارة الغرفة؟ ولماذا ترتفع درجة انصهاره؟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ثم تتابع صفحة «من يحمل التيار؟» وتفسر لماذا يوصل المصهور والمحلول الكهرباء، ولا يوصلها الصلب. أوجّه الطالبات لكتابة التفسير بكلماتهن.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حكم الأرقام: الانصهار والغليان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(تحليل البيانات)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جدول (14) درجات الانصهار والغليان في الكتاب المدرسي صفحة 122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المهاري 2 والهدف المعرفي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أعرض جدول (14) لدرجات الانصهار والغليان لـ NaCl (801، 1413) وMgO (2852، 3600)، وأطلب من المجموعات مقارنة النتائج وتفسيرها.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أوجّه الطالبات لملاحظة أن شحنة الأيونات في MgO أكبر (±2)، فتزداد قوة التجاذب وترتفع درجتا الانصهار والغليان.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قاضي الخاصية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(المحقق العلمي، تحليل البيانات)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جدول (13) قيم السالبية الكهربائية، الكتاب المدرسي صفحة 115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4 والهدف المهاري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أوضح حساب الفرق: LiCl = 3.0 − 1.0 = 2.0، MgO = 3.5 − 1.2 = 2.3، NaF = 4.0 − 0.9 = 3.1، ثم نرتب المركبات تنازليًا: NaF &gt; MgO &gt; LiCl.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أوجّه المجموعات لحل تمرين صفحة 125 (السؤال الثاني) وتمرين صفحة 126 (السؤال الرابع: مقارنة البوتاسيوم والفلور). أوضح أن الفرق الأكبر من أو يساوي 1.7 يعني رابطة أيونية.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التقويم الصفي: تحديد المركب ذي أعلى خاصية أيونية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كل مجموعة الإجابة عن: أي المركبات التالية له أعلى خاصية أيونية: LiF، MgF₂، K₂O، NaCl؟ بالاعتماد على جدول (13)، ثم تقارن المجموعات إجاباتها.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الزمن: 5 د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تذكرة خروج: لماذا لا يوصل كلوريد الصوديوم الصلب الكهرباء؟ (أيوناته مقيدة الحركة في الشبكة البلورية)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التقويم اللاصفي: حل السؤال الثاني صفحة 125 ومراجعة الترتيب الصحيح للمركبات.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