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14:paraId="4258CA1F" w14:textId="69919B13" w:rsidTr="001008CD">
        <w:tc>
          <w:tcPr>
            <w:tcW w:w="1885" w:type="dxa"/>
            <w:shd w:val="clear" w:color="auto" w:fill="FAE2D5" w:themeFill="accent2" w:themeFillTint="33"/>
          </w:tcPr>
          <w:p w14:paraId="2CF5ECDD" w14:textId="77777777" w:rsidR="001008CD" w:rsidRDefault="001008CD" w:rsidP="000D3E5D">
            <w:pPr>
              <w:bidi/>
              <w:jc w:val="center"/>
            </w:pPr>
            <w:proofErr w:type="spellStart"/>
            <w:r>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718C9DDE" w14:textId="77777777" w:rsidR="001008CD" w:rsidRDefault="001008CD" w:rsidP="000D3E5D">
            <w:pPr>
              <w:bidi/>
              <w:jc w:val="center"/>
            </w:pPr>
            <w:proofErr w:type="spellStart"/>
            <w:r>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3A9147B5" w14:textId="77777777" w:rsidR="001008CD" w:rsidRDefault="001008CD" w:rsidP="000D3E5D">
            <w:pPr>
              <w:bidi/>
              <w:jc w:val="center"/>
            </w:pPr>
            <w:r>
              <w:rPr>
                <w:rFonts w:asciiTheme="majorBidi" w:hAnsiTheme="majorBidi" w:cstheme="majorBidi"/>
                <w:b/>
                <w:color w:val="000000" w:themeColor="text1"/>
                <w:sz w:val="28"/>
                <w:szCs w:val="28"/>
              </w:rPr>
              <w:t xml:space="preserve">  </w:t>
            </w:r>
            <w:proofErr w:type="spellStart"/>
            <w:r>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7278C08B" w14:textId="77777777" w:rsidR="001008CD" w:rsidRDefault="001008CD" w:rsidP="000D3E5D">
            <w:pPr>
              <w:bidi/>
              <w:jc w:val="center"/>
            </w:pPr>
            <w:proofErr w:type="spellStart"/>
            <w:r>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1D7F93E0" w14:textId="11155CBE" w:rsidR="001008CD" w:rsidRDefault="001008CD" w:rsidP="000D3E5D">
            <w:pPr>
              <w:bidi/>
              <w:jc w:val="center"/>
            </w:pPr>
            <w:proofErr w:type="spellStart"/>
            <w:r>
              <w:rPr>
                <w:rFonts w:asciiTheme="majorBidi" w:hAnsiTheme="majorBidi" w:cstheme="majorBidi"/>
                <w:b/>
                <w:color w:val="000000" w:themeColor="text1"/>
                <w:sz w:val="28"/>
                <w:szCs w:val="28"/>
              </w:rPr>
              <w:t>الصف</w:t>
            </w:r>
            <w:proofErr w:type="spellEnd"/>
            <w:r>
              <w:rPr>
                <w:rFonts w:asciiTheme="majorBidi" w:hAnsiTheme="majorBidi" w:cstheme="majorBidi"/>
                <w:b/>
                <w:color w:val="000000" w:themeColor="text1"/>
                <w:sz w:val="28"/>
                <w:szCs w:val="28"/>
              </w:rPr>
              <w:t xml:space="preserve">        </w:t>
            </w:r>
            <w:r>
              <w:t xml:space="preserve">   </w:t>
            </w:r>
          </w:p>
        </w:tc>
      </w:tr>
      <w:tr w:rsidR="001008CD" w14:paraId="6F210ECE" w14:textId="6D4062A5" w:rsidTr="001008CD">
        <w:tc>
          <w:tcPr>
            <w:tcW w:w="1885" w:type="dxa"/>
          </w:tcPr>
          <w:p w14:paraId="634EE79E" w14:textId="31AD2F89" w:rsidR="001008CD" w:rsidRPr="00FB63ED" w:rsidRDefault="001008CD" w:rsidP="000D3E5D">
            <w:pPr>
              <w:bidi/>
              <w:rPr>
                <w:sz w:val="28"/>
                <w:szCs w:val="28"/>
              </w:rPr>
            </w:pPr>
            <w:r>
              <w:rPr>
                <w:sz w:val="28"/>
                <w:szCs w:val="28"/>
              </w:rPr>
              <w:t xml:space="preserve"> </w:t>
            </w:r>
          </w:p>
        </w:tc>
        <w:tc>
          <w:tcPr>
            <w:tcW w:w="1800" w:type="dxa"/>
          </w:tcPr>
          <w:p w14:paraId="651888DD" w14:textId="62DECC23" w:rsidR="001008CD" w:rsidRPr="00FB63ED" w:rsidRDefault="001008CD" w:rsidP="000D3E5D">
            <w:pPr>
              <w:bidi/>
              <w:jc w:val="right"/>
              <w:rPr>
                <w:sz w:val="28"/>
                <w:szCs w:val="28"/>
              </w:rPr>
            </w:pPr>
          </w:p>
        </w:tc>
        <w:tc>
          <w:tcPr>
            <w:tcW w:w="2070" w:type="dxa"/>
          </w:tcPr>
          <w:p w14:paraId="794778C6" w14:textId="61583A28" w:rsidR="001008CD" w:rsidRPr="00FB63ED" w:rsidRDefault="001008CD" w:rsidP="000D3E5D">
            <w:pPr>
              <w:bidi/>
              <w:jc w:val="right"/>
              <w:rPr>
                <w:sz w:val="28"/>
                <w:szCs w:val="28"/>
              </w:rPr>
            </w:pPr>
          </w:p>
        </w:tc>
        <w:tc>
          <w:tcPr>
            <w:tcW w:w="1530" w:type="dxa"/>
          </w:tcPr>
          <w:p w14:paraId="45F132C0" w14:textId="0BA2EF66" w:rsidR="001008CD" w:rsidRPr="00FB63ED" w:rsidRDefault="001008CD" w:rsidP="000D3E5D">
            <w:pPr>
              <w:bidi/>
              <w:jc w:val="right"/>
              <w:rPr>
                <w:sz w:val="28"/>
                <w:szCs w:val="28"/>
              </w:rPr>
            </w:pPr>
          </w:p>
        </w:tc>
        <w:tc>
          <w:tcPr>
            <w:tcW w:w="1800" w:type="dxa"/>
          </w:tcPr>
          <w:p w14:paraId="5134BC1A" w14:textId="77777777" w:rsidR="001008CD" w:rsidRPr="00FB63ED" w:rsidRDefault="001008CD" w:rsidP="000D3E5D">
            <w:pPr>
              <w:bidi/>
              <w:jc w:val="right"/>
              <w:rPr>
                <w:sz w:val="28"/>
                <w:szCs w:val="28"/>
              </w:rPr>
            </w:pPr>
          </w:p>
        </w:tc>
      </w:tr>
    </w:tbl>
    <w:p w14:paraId="6A4F1280" w14:textId="5C056E63" w:rsidR="00206672" w:rsidRDefault="001008CD" w:rsidP="000D3E5D">
      <w:pPr>
        <w:bidi/>
        <w:rPr>
          <w:noProof/>
          <w:rtl/>
        </w:rPr>
      </w:pPr>
      <w:r>
        <w:rPr>
          <w:noProof/>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w:t xml:space="preserve">    </w:t>
      </w: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rPr>
                <w:rtl/>
                <w:lang w:val="en-US" w:bidi="ar-SA"/>
              </w:rPr>
            </w:pPr>
            <w:r/>
            <w:r>
              <w:rPr>
                <w:rFonts w:ascii="Times New Roman" w:hAnsi="Times New Roman" w:cs="Times New Roman"/>
                <w:b w:val="0"/>
                <w:sz w:val="28"/>
                <w:rtl/>
                <w:lang w:val="en-US" w:bidi="ar-SA"/>
              </w:rPr>
              <w:t>الروابط الكيميائية</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الوحدة</w:t>
            </w:r>
          </w:p>
        </w:tc>
      </w:tr>
      <w:tr>
        <w:tc>
          <w:tcPr>
            <w:tcW w:type="dxa" w:w="7087"/>
          </w:tcPr>
          <w:p>
            <w:pPr>
              <w:bidi/>
              <w:rPr>
                <w:rtl/>
                <w:lang w:val="en-US" w:bidi="ar-SA"/>
              </w:rPr>
            </w:pPr>
            <w:r/>
            <w:r>
              <w:rPr>
                <w:rFonts w:ascii="Times New Roman" w:hAnsi="Times New Roman" w:cs="Times New Roman"/>
                <w:b w:val="0"/>
                <w:sz w:val="28"/>
                <w:rtl/>
                <w:lang w:val="en-US" w:bidi="ar-SA"/>
              </w:rPr>
              <w:t>الرابطة الأيونية والمركبات الأيونية</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الفصل</w:t>
            </w:r>
          </w:p>
        </w:tc>
      </w:tr>
      <w:tr>
        <w:tc>
          <w:tcPr>
            <w:tcW w:type="dxa" w:w="7087"/>
          </w:tcPr>
          <w:p>
            <w:pPr>
              <w:bidi/>
              <w:rPr>
                <w:rtl/>
                <w:lang w:val="en-US" w:bidi="ar-SA"/>
              </w:rPr>
            </w:pPr>
            <w:r/>
            <w:r>
              <w:rPr>
                <w:rFonts w:ascii="Times New Roman" w:hAnsi="Times New Roman" w:cs="Times New Roman"/>
                <w:b w:val="0"/>
                <w:sz w:val="28"/>
                <w:rtl/>
                <w:lang w:val="en-US" w:bidi="ar-SA"/>
              </w:rPr>
              <w:t>الترتيب الإلكتروني (إلكترونات التكافؤ)</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الدرس</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370"/>
            <w:shd w:val="clear" w:color="auto" w:fill="FAE2D5"/>
          </w:tcPr>
          <w:p>
            <w:pPr>
              <w:bidi/>
              <w:rPr>
                <w:rtl/>
                <w:lang w:val="en-US" w:bidi="ar-SA"/>
              </w:rPr>
            </w:pPr>
            <w:r/>
            <w:r>
              <w:rPr>
                <w:rFonts w:ascii="Times New Roman" w:hAnsi="Times New Roman" w:cs="Times New Roman"/>
                <w:b/>
                <w:sz w:val="28"/>
                <w:rtl/>
                <w:lang w:val="en-US" w:bidi="ar-SA"/>
              </w:rPr>
              <w:t>بعد الانتهاء من الدرس ستكون المتعلمة قادرة على أن:</w:t>
            </w:r>
          </w:p>
        </w:tc>
        <w:tc>
          <w:tcPr>
            <w:tcW w:type="dxa" w:w="1984"/>
            <w:shd w:val="clear" w:color="auto" w:fill="FAE2D5"/>
          </w:tcPr>
          <w:p>
            <w:pPr>
              <w:bidi/>
              <w:rPr>
                <w:rtl/>
                <w:lang w:val="en-US" w:bidi="ar-SA"/>
              </w:rPr>
            </w:pPr>
            <w:r/>
            <w:r>
              <w:rPr>
                <w:rFonts w:ascii="Times New Roman" w:hAnsi="Times New Roman" w:cs="Times New Roman"/>
                <w:b/>
                <w:sz w:val="28"/>
                <w:rtl/>
                <w:lang w:val="en-US" w:bidi="ar-SA"/>
              </w:rPr>
              <w:t>الأهداف السلوكية:</w:t>
            </w:r>
          </w:p>
        </w:tc>
      </w:tr>
      <w:tr>
        <w:tc>
          <w:tcPr>
            <w:tcW w:type="dxa" w:w="7370"/>
          </w:tcPr>
          <w:p>
            <w:pPr>
              <w:bidi/>
              <w:rPr>
                <w:rtl/>
                <w:lang w:val="en-US" w:bidi="ar-SA"/>
              </w:rPr>
            </w:pPr>
            <w:r/>
            <w:r>
              <w:rPr>
                <w:rFonts w:ascii="Times New Roman" w:hAnsi="Times New Roman" w:cs="Times New Roman"/>
                <w:b w:val="0"/>
                <w:sz w:val="28"/>
                <w:rtl/>
                <w:lang w:val="en-US" w:bidi="ar-SA"/>
              </w:rPr>
              <w:t>١. تعرّف مفهوم التكافؤ وإلكترونات التكافؤ تعريفًا علميًا دقيقًا.</w:t>
            </w:r>
          </w:p>
          <w:p>
            <w:pPr>
              <w:bidi/>
              <w:rPr>
                <w:rtl/>
                <w:lang w:val="en-US" w:bidi="ar-SA"/>
              </w:rPr>
            </w:pPr>
            <w:r>
              <w:rPr>
                <w:rFonts w:ascii="Times New Roman" w:hAnsi="Times New Roman" w:cs="Times New Roman"/>
                <w:b w:val="0"/>
                <w:sz w:val="28"/>
                <w:rtl/>
                <w:lang w:val="en-US" w:bidi="ar-SA"/>
              </w:rPr>
              <w:t>٢. تحدد عدد إلكترونات التكافؤ للذرة من توزيعها الإلكتروني حسب مستويات الطاقة الرئيسية.</w:t>
            </w:r>
          </w:p>
          <w:p>
            <w:pPr>
              <w:bidi/>
              <w:rPr>
                <w:rtl/>
                <w:lang w:val="en-US" w:bidi="ar-SA"/>
              </w:rPr>
            </w:pPr>
            <w:r>
              <w:rPr>
                <w:rFonts w:ascii="Times New Roman" w:hAnsi="Times New Roman" w:cs="Times New Roman"/>
                <w:b w:val="0"/>
                <w:sz w:val="28"/>
                <w:rtl/>
                <w:lang w:val="en-US" w:bidi="ar-SA"/>
              </w:rPr>
              <w:t>٣. تستنتج عدد إلكترونات التكافؤ لعناصر المجموعات الممثلة من رقم المجموعة.</w:t>
            </w:r>
          </w:p>
          <w:p>
            <w:pPr>
              <w:bidi/>
              <w:rPr>
                <w:rtl/>
                <w:lang w:val="en-US" w:bidi="ar-SA"/>
              </w:rPr>
            </w:pPr>
            <w:r>
              <w:rPr>
                <w:rFonts w:ascii="Times New Roman" w:hAnsi="Times New Roman" w:cs="Times New Roman"/>
                <w:b w:val="0"/>
                <w:sz w:val="28"/>
                <w:rtl/>
                <w:lang w:val="en-US" w:bidi="ar-SA"/>
              </w:rPr>
              <w:t>٤. تعلل عدم ذكر تكافؤ عناصر المجموعة 14 وعناصر المجموعة 18.</w:t>
            </w:r>
          </w:p>
        </w:tc>
        <w:tc>
          <w:tcPr>
            <w:tcW w:type="dxa" w:w="1984"/>
            <w:shd w:val="clear" w:color="auto" w:fill="FAE2D5"/>
          </w:tcPr>
          <w:p>
            <w:pPr>
              <w:bidi/>
              <w:rPr>
                <w:rtl/>
                <w:lang w:val="en-US" w:bidi="ar-SA"/>
              </w:rPr>
            </w:pPr>
            <w:r/>
            <w:r>
              <w:rPr>
                <w:rFonts w:ascii="Times New Roman" w:hAnsi="Times New Roman" w:cs="Times New Roman"/>
                <w:b/>
                <w:sz w:val="28"/>
                <w:rtl/>
                <w:lang w:val="en-US" w:bidi="ar-SA"/>
              </w:rPr>
              <w:t>الأهداف المعرفية:</w:t>
            </w:r>
          </w:p>
        </w:tc>
      </w:tr>
      <w:tr>
        <w:tc>
          <w:tcPr>
            <w:tcW w:type="dxa" w:w="7370"/>
          </w:tcPr>
          <w:p>
            <w:pPr>
              <w:bidi/>
              <w:rPr>
                <w:rtl/>
                <w:lang w:val="en-US" w:bidi="ar-SA"/>
              </w:rPr>
            </w:pPr>
            <w:r/>
            <w:r>
              <w:rPr>
                <w:rFonts w:ascii="Times New Roman" w:hAnsi="Times New Roman" w:cs="Times New Roman"/>
                <w:b w:val="0"/>
                <w:sz w:val="28"/>
                <w:rtl/>
                <w:lang w:val="en-US" w:bidi="ar-SA"/>
              </w:rPr>
              <w:t>١. تحدد إلكترونات التكافؤ والتكافؤ لعناصر الدورة الثانية (Li – F) من توزيعها الإلكتروني.</w:t>
            </w:r>
          </w:p>
          <w:p>
            <w:pPr>
              <w:bidi/>
              <w:rPr>
                <w:rtl/>
                <w:lang w:val="en-US" w:bidi="ar-SA"/>
              </w:rPr>
            </w:pPr>
            <w:r>
              <w:rPr>
                <w:rFonts w:ascii="Times New Roman" w:hAnsi="Times New Roman" w:cs="Times New Roman"/>
                <w:b w:val="0"/>
                <w:sz w:val="28"/>
                <w:rtl/>
                <w:lang w:val="en-US" w:bidi="ar-SA"/>
              </w:rPr>
              <w:t>٢. تمثل إلكترونات التكافؤ فقط بالترتيب النقطي لعناصر الدورة الثالثة (P، Si، S) باستخدام ورقة النشاط.</w:t>
            </w:r>
          </w:p>
        </w:tc>
        <w:tc>
          <w:tcPr>
            <w:tcW w:type="dxa" w:w="1984"/>
            <w:shd w:val="clear" w:color="auto" w:fill="FAE2D5"/>
          </w:tcPr>
          <w:p>
            <w:pPr>
              <w:bidi/>
              <w:rPr>
                <w:rtl/>
                <w:lang w:val="en-US" w:bidi="ar-SA"/>
              </w:rPr>
            </w:pPr>
            <w:r/>
            <w:r>
              <w:rPr>
                <w:rFonts w:ascii="Times New Roman" w:hAnsi="Times New Roman" w:cs="Times New Roman"/>
                <w:b/>
                <w:sz w:val="28"/>
                <w:rtl/>
                <w:lang w:val="en-US" w:bidi="ar-SA"/>
              </w:rPr>
              <w:t>الأهداف المهارية:</w:t>
            </w:r>
          </w:p>
        </w:tc>
      </w:tr>
      <w:tr>
        <w:tc>
          <w:tcPr>
            <w:tcW w:type="dxa" w:w="7370"/>
          </w:tcPr>
          <w:p>
            <w:pPr>
              <w:bidi/>
              <w:rPr>
                <w:rtl/>
                <w:lang w:val="en-US" w:bidi="ar-SA"/>
              </w:rPr>
            </w:pPr>
            <w:r/>
            <w:r>
              <w:rPr>
                <w:rFonts w:ascii="Times New Roman" w:hAnsi="Times New Roman" w:cs="Times New Roman"/>
                <w:b w:val="0"/>
                <w:sz w:val="28"/>
                <w:rtl/>
                <w:lang w:val="en-US" w:bidi="ar-SA"/>
              </w:rPr>
              <w:t>١. تقدّر دقة التنظيم العلمي لعناصر الجدول الدوري.</w:t>
            </w:r>
          </w:p>
          <w:p>
            <w:pPr>
              <w:bidi/>
              <w:rPr>
                <w:rtl/>
                <w:lang w:val="en-US" w:bidi="ar-SA"/>
              </w:rPr>
            </w:pPr>
            <w:r>
              <w:rPr>
                <w:rFonts w:ascii="Times New Roman" w:hAnsi="Times New Roman" w:cs="Times New Roman"/>
                <w:b w:val="0"/>
                <w:sz w:val="28"/>
                <w:rtl/>
                <w:lang w:val="en-US" w:bidi="ar-SA"/>
              </w:rPr>
              <w:t>٢. تشارك زميلاتها في النشاط اليدوي والمناقشة بروح الفريق.</w:t>
            </w:r>
          </w:p>
          <w:p>
            <w:pPr>
              <w:bidi/>
              <w:rPr>
                <w:rtl/>
                <w:lang w:val="en-US" w:bidi="ar-SA"/>
              </w:rPr>
            </w:pPr>
            <w:r>
              <w:rPr>
                <w:rFonts w:ascii="Times New Roman" w:hAnsi="Times New Roman" w:cs="Times New Roman"/>
                <w:b w:val="0"/>
                <w:sz w:val="28"/>
                <w:rtl/>
                <w:lang w:val="en-US" w:bidi="ar-SA"/>
              </w:rPr>
              <w:t>٣. تقدّر جهود العالم جلبرت لويس في تطوير مفهوم التكافؤ.</w:t>
            </w:r>
          </w:p>
        </w:tc>
        <w:tc>
          <w:tcPr>
            <w:tcW w:type="dxa" w:w="1984"/>
            <w:shd w:val="clear" w:color="auto" w:fill="FAE2D5"/>
          </w:tcPr>
          <w:p>
            <w:pPr>
              <w:bidi/>
              <w:rPr>
                <w:rtl/>
                <w:lang w:val="en-US" w:bidi="ar-SA"/>
              </w:rPr>
            </w:pPr>
            <w:r/>
            <w:r>
              <w:rPr>
                <w:rFonts w:ascii="Times New Roman" w:hAnsi="Times New Roman" w:cs="Times New Roman"/>
                <w:b/>
                <w:sz w:val="28"/>
                <w:rtl/>
                <w:lang w:val="en-US" w:bidi="ar-SA"/>
              </w:rPr>
              <w:t>الأهداف الوجدانية:</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rPr>
                <w:rtl/>
                <w:lang w:val="en-US" w:bidi="ar-SA"/>
              </w:rPr>
            </w:pPr>
            <w:r/>
            <w:r>
              <w:rPr>
                <w:rFonts w:ascii="Times New Roman" w:hAnsi="Times New Roman" w:cs="Times New Roman"/>
                <w:b w:val="0"/>
                <w:sz w:val="28"/>
                <w:rtl/>
                <w:lang w:val="en-US" w:bidi="ar-SA"/>
              </w:rPr>
              <w:t>الكتاب المدرسي – البطاقات التشجيعية – الشاشة الذكية – الكتاب ثلاثي الأبعاد</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الوسائل التعليمية:</w:t>
            </w:r>
          </w:p>
        </w:tc>
      </w:tr>
      <w:tr>
        <w:tc>
          <w:tcPr>
            <w:tcW w:type="dxa" w:w="7087"/>
          </w:tcPr>
          <w:p>
            <w:pPr>
              <w:bidi/>
              <w:rPr>
                <w:rtl/>
                <w:lang w:val="en-US" w:bidi="ar-SA"/>
              </w:rPr>
            </w:pPr>
            <w:r/>
            <w:r>
              <w:rPr>
                <w:rFonts w:ascii="Times New Roman" w:hAnsi="Times New Roman" w:cs="Times New Roman"/>
                <w:b w:val="0"/>
                <w:sz w:val="28"/>
                <w:rtl/>
                <w:lang w:val="en-US" w:bidi="ar-SA"/>
              </w:rPr>
              <w:t>مجموعات من 4 إلى 5 متعلمات على شكل حرف U</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نظام الجلسة:</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المرحلة الأولى: التقديم والتحفيز</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rPr>
                <w:rtl/>
                <w:lang w:val="en-US" w:bidi="ar-SA"/>
              </w:rPr>
            </w:pPr>
            <w:r/>
            <w:r>
              <w:rPr>
                <w:rFonts w:ascii="Times New Roman" w:hAnsi="Times New Roman" w:cs="Times New Roman"/>
                <w:b/>
                <w:sz w:val="28"/>
                <w:rtl/>
                <w:lang w:val="en-US" w:bidi="ar-SA"/>
              </w:rPr>
              <w:t>نقرة تكشف السر</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النشاط رقم 1</w:t>
            </w:r>
          </w:p>
        </w:tc>
      </w:tr>
      <w:tr>
        <w:tc>
          <w:tcPr>
            <w:tcW w:type="dxa" w:w="9355"/>
            <w:gridSpan w:val="2"/>
          </w:tcPr>
          <w:p>
            <w:pPr>
              <w:bidi/>
              <w:rPr>
                <w:rtl/>
                <w:lang w:val="en-US" w:bidi="ar-SA"/>
              </w:rPr>
            </w:pPr>
            <w:r/>
            <w:r>
              <w:rPr>
                <w:rFonts w:ascii="Times New Roman" w:hAnsi="Times New Roman" w:cs="Times New Roman"/>
                <w:b w:val="0"/>
                <w:sz w:val="28"/>
                <w:rtl/>
                <w:lang w:val="en-US" w:bidi="ar-SA"/>
              </w:rPr>
              <w:t>استراتيجية: (الاستكشاف الموجّه)</w:t>
            </w:r>
          </w:p>
          <w:p>
            <w:pPr>
              <w:bidi/>
              <w:rPr>
                <w:rtl/>
                <w:lang w:val="en-US" w:bidi="ar-SA"/>
              </w:rPr>
            </w:pPr>
            <w:r>
              <w:rPr>
                <w:rFonts w:ascii="Times New Roman" w:hAnsi="Times New Roman" w:cs="Times New Roman"/>
                <w:b w:val="0"/>
                <w:sz w:val="28"/>
                <w:rtl/>
                <w:lang w:val="en-US" w:bidi="ar-SA"/>
              </w:rPr>
              <w:t xml:space="preserve">يحقق الهدف المعرفي 1          5د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rPr>
                <w:rtl/>
                <w:lang w:val="en-US" w:bidi="ar-SA"/>
              </w:rPr>
            </w:pPr>
            <w:r/>
            <w:r>
              <w:rPr>
                <w:rFonts w:ascii="Times New Roman" w:hAnsi="Times New Roman" w:cs="Times New Roman"/>
                <w:b w:val="0"/>
                <w:sz w:val="28"/>
                <w:rtl/>
                <w:lang w:val="en-US" w:bidi="ar-SA"/>
              </w:rPr>
              <w:t>أطلب من الطالبات استكشاف العناصر في الجدول الدوري عن طريق النقر عليها من خلال النسخة الإلكترونية من الكتاب ثلاثي الأبعاد، وملاحظة ما يظهر لكل عنصر من نقاط حول رمز العنصر.</w:t>
            </w:r>
          </w:p>
          <w:p>
            <w:pPr>
              <w:bidi/>
              <w:rPr>
                <w:rtl/>
                <w:lang w:val="en-US" w:bidi="ar-SA"/>
              </w:rPr>
            </w:pPr>
            <w:r>
              <w:rPr>
                <w:rFonts w:ascii="Times New Roman" w:hAnsi="Times New Roman" w:cs="Times New Roman"/>
                <w:b w:val="0"/>
                <w:sz w:val="28"/>
                <w:rtl/>
                <w:lang w:val="en-US" w:bidi="ar-SA"/>
              </w:rPr>
              <w:t>ثم أطرح السؤال: تأملن هذه النقاط حول العناصر، ماذا تمثل هذه النقاط؟ وكيف نستطيع استنتاجها؟ ومن العالم الذي ابتكر هذه الطريقة؟ أستمع إلى إجابات الطالبات دون تصحيح مباشر، ثم أوضح أن هذه النقاط تمثل إلكترونات التكافؤ.</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المرحلة الثانية: الاستكشاف والتعلم</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rPr>
                <w:rtl/>
                <w:lang w:val="en-US" w:bidi="ar-SA"/>
              </w:rPr>
            </w:pPr>
            <w:r/>
            <w:r>
              <w:rPr>
                <w:rFonts w:ascii="Times New Roman" w:hAnsi="Times New Roman" w:cs="Times New Roman"/>
                <w:b/>
                <w:sz w:val="28"/>
                <w:rtl/>
                <w:lang w:val="en-US" w:bidi="ar-SA"/>
              </w:rPr>
              <w:t>بناء الاستقرار</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النشاط رقم 2</w:t>
            </w:r>
          </w:p>
        </w:tc>
      </w:tr>
      <w:tr>
        <w:tc>
          <w:tcPr>
            <w:tcW w:type="dxa" w:w="9355"/>
            <w:gridSpan w:val="2"/>
          </w:tcPr>
          <w:p>
            <w:pPr>
              <w:bidi/>
              <w:rPr>
                <w:rtl/>
                <w:lang w:val="en-US" w:bidi="ar-SA"/>
              </w:rPr>
            </w:pPr>
            <w:r/>
            <w:r>
              <w:rPr>
                <w:rFonts w:ascii="Times New Roman" w:hAnsi="Times New Roman" w:cs="Times New Roman"/>
                <w:b w:val="0"/>
                <w:sz w:val="28"/>
                <w:rtl/>
                <w:lang w:val="en-US" w:bidi="ar-SA"/>
              </w:rPr>
              <w:t>استراتيجية: (المقارنة والاستنتاج)</w:t>
            </w:r>
          </w:p>
          <w:p>
            <w:pPr>
              <w:bidi/>
              <w:rPr>
                <w:rtl/>
                <w:lang w:val="en-US" w:bidi="ar-SA"/>
              </w:rPr>
            </w:pPr>
            <w:r>
              <w:rPr>
                <w:rFonts w:ascii="Times New Roman" w:hAnsi="Times New Roman" w:cs="Times New Roman"/>
                <w:b w:val="0"/>
                <w:sz w:val="28"/>
                <w:rtl/>
                <w:lang w:val="en-US" w:bidi="ar-SA"/>
              </w:rPr>
              <w:t xml:space="preserve">يحقق الهدف المعرفي 1، 4          10د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rPr>
                <w:rtl/>
                <w:lang w:val="en-US" w:bidi="ar-SA"/>
              </w:rPr>
            </w:pPr>
            <w:r/>
            <w:r>
              <w:rPr>
                <w:rFonts w:ascii="Times New Roman" w:hAnsi="Times New Roman" w:cs="Times New Roman"/>
                <w:b w:val="0"/>
                <w:sz w:val="28"/>
                <w:rtl/>
                <w:lang w:val="en-US" w:bidi="ar-SA"/>
              </w:rPr>
              <w:t>أعرض صورتي بناءين، أحدهما مكتمل والآخر غير مكتمل، ثم أطرح السؤال: أي البناءين يبدو أكثر استقرارًا؟ وماذا يحتاج المبنى غير المكتمل ليصبح مستقرًا؟ وتستكشف الطالبات الفرق بين البناءين من خلال النسخة الإلكترونية من الكتاب ثلاثي الأبعاد.</w:t>
            </w:r>
          </w:p>
          <w:p>
            <w:pPr>
              <w:bidi/>
              <w:rPr>
                <w:rtl/>
                <w:lang w:val="en-US" w:bidi="ar-SA"/>
              </w:rPr>
            </w:pPr>
            <w:r>
              <w:rPr>
                <w:rFonts w:ascii="Times New Roman" w:hAnsi="Times New Roman" w:cs="Times New Roman"/>
                <w:b w:val="0"/>
                <w:sz w:val="28"/>
                <w:rtl/>
                <w:lang w:val="en-US" w:bidi="ar-SA"/>
              </w:rPr>
              <w:t>ثم تستكشف الطالبات أن الذرات، مثل الأبنية، تميل للاستقرار، وأن ذرات المجموعة 18 (الغازات النبيلة) تتمتع بترتيب إلكتروني يجعلها مستقرة جدًا. ثم أوجّه الطالبات إلى تحديد ما ينقص الذرة غير المستقرة، وهو الإلكترونات في مستوى التكافؤ، وربطه بالترتيب الإلكتروني: ما الذي يجعل العنصر مستقرًا؟ وما الذي يجعل العنصر غير مستقر؟</w:t>
            </w:r>
          </w:p>
          <w:p>
            <w:pPr>
              <w:bidi/>
              <w:rPr>
                <w:rtl/>
                <w:lang w:val="en-US" w:bidi="ar-SA"/>
              </w:rPr>
            </w:pPr>
            <w:r>
              <w:rPr>
                <w:rFonts w:ascii="Times New Roman" w:hAnsi="Times New Roman" w:cs="Times New Roman"/>
                <w:b w:val="0"/>
                <w:sz w:val="28"/>
                <w:rtl/>
                <w:lang w:val="en-US" w:bidi="ar-SA"/>
              </w:rPr>
              <w:t>تتتبع الطالبات خطوات النشاط من خلال الكتاب ثلاثي الأبعاد، ثم أربط بين أعمدة البناء وإلكترونات التكافؤ، وأربط بين أعمدة البناء التي تجعل البناء مستقرًا والإلكترونات الثمانية التي تجعل العنصر مستقرًا.</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rPr>
                <w:rtl/>
                <w:lang w:val="en-US" w:bidi="ar-SA"/>
              </w:rPr>
            </w:pPr>
            <w:r/>
            <w:r>
              <w:rPr>
                <w:rFonts w:ascii="Times New Roman" w:hAnsi="Times New Roman" w:cs="Times New Roman"/>
                <w:b/>
                <w:sz w:val="28"/>
                <w:rtl/>
                <w:lang w:val="en-US" w:bidi="ar-SA"/>
              </w:rPr>
              <w:t>من الشاشة إلى الورقة</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النشاط رقم 3</w:t>
            </w:r>
          </w:p>
        </w:tc>
      </w:tr>
      <w:tr>
        <w:tc>
          <w:tcPr>
            <w:tcW w:type="dxa" w:w="9355"/>
            <w:gridSpan w:val="2"/>
          </w:tcPr>
          <w:p>
            <w:pPr>
              <w:bidi/>
              <w:rPr>
                <w:rtl/>
                <w:lang w:val="en-US" w:bidi="ar-SA"/>
              </w:rPr>
            </w:pPr>
            <w:r/>
            <w:r>
              <w:rPr>
                <w:rFonts w:ascii="Times New Roman" w:hAnsi="Times New Roman" w:cs="Times New Roman"/>
                <w:b w:val="0"/>
                <w:sz w:val="28"/>
                <w:rtl/>
                <w:lang w:val="en-US" w:bidi="ar-SA"/>
              </w:rPr>
              <w:t>استراتيجية: (التعلم البصري والنمذجة)</w:t>
            </w:r>
          </w:p>
          <w:p>
            <w:pPr>
              <w:bidi/>
              <w:rPr>
                <w:rtl/>
                <w:lang w:val="en-US" w:bidi="ar-SA"/>
              </w:rPr>
            </w:pPr>
            <w:r>
              <w:rPr>
                <w:rFonts w:ascii="Times New Roman" w:hAnsi="Times New Roman" w:cs="Times New Roman"/>
                <w:b w:val="0"/>
                <w:sz w:val="28"/>
                <w:rtl/>
                <w:lang w:val="en-US" w:bidi="ar-SA"/>
              </w:rPr>
              <w:t xml:space="preserve">يحقق الهدف المهاري 1 والهدف الوجداني 2          10د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rPr>
                <w:rtl/>
                <w:lang w:val="en-US" w:bidi="ar-SA"/>
              </w:rPr>
            </w:pPr>
            <w:r/>
            <w:r>
              <w:rPr>
                <w:rFonts w:ascii="Times New Roman" w:hAnsi="Times New Roman" w:cs="Times New Roman"/>
                <w:b w:val="0"/>
                <w:sz w:val="28"/>
                <w:rtl/>
                <w:lang w:val="en-US" w:bidi="ar-SA"/>
              </w:rPr>
              <w:t>أعرض مقطعًا مرئيًا للطالبات، وأوجّههن لاستخلاص المعرفة: ما إلكترونات التكافؤ؟ وما مستوى التكافؤ؟ وما التكافؤ؟ وتسجل الطالبات ملاحظاتهن، وتستنتج كل منها مفهوم كل مصطلح.</w:t>
            </w:r>
          </w:p>
          <w:p>
            <w:pPr>
              <w:bidi/>
              <w:rPr>
                <w:rtl/>
                <w:lang w:val="en-US" w:bidi="ar-SA"/>
              </w:rPr>
            </w:pPr>
            <w:r>
              <w:rPr>
                <w:rFonts w:ascii="Times New Roman" w:hAnsi="Times New Roman" w:cs="Times New Roman"/>
                <w:b w:val="0"/>
                <w:sz w:val="28"/>
                <w:rtl/>
                <w:lang w:val="en-US" w:bidi="ar-SA"/>
              </w:rPr>
              <w:t>ثم أعطي كل مجموعة ورقة نشاط الفصفصة، وأحدد لها ثلاثة عناصر: الفسفور (P) والسيليكون (Si) والكبريت (S). تتبع المجموعة الملاحظات، وتمثل إلكترونات التكافؤ باستخدام قطع الكريستال لهذه العناصر.</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rPr>
                <w:rtl/>
                <w:lang w:val="en-US" w:bidi="ar-SA"/>
              </w:rPr>
            </w:pPr>
            <w:r/>
            <w:r>
              <w:rPr>
                <w:rFonts w:ascii="Times New Roman" w:hAnsi="Times New Roman" w:cs="Times New Roman"/>
                <w:b/>
                <w:sz w:val="28"/>
                <w:rtl/>
                <w:lang w:val="en-US" w:bidi="ar-SA"/>
              </w:rPr>
              <w:t>مهندسات الجدول الصغيرة</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النشاط رقم 4</w:t>
            </w:r>
          </w:p>
        </w:tc>
      </w:tr>
      <w:tr>
        <w:tc>
          <w:tcPr>
            <w:tcW w:type="dxa" w:w="9355"/>
            <w:gridSpan w:val="2"/>
          </w:tcPr>
          <w:p>
            <w:pPr>
              <w:bidi/>
              <w:rPr>
                <w:rtl/>
                <w:lang w:val="en-US" w:bidi="ar-SA"/>
              </w:rPr>
            </w:pPr>
            <w:r/>
            <w:r>
              <w:rPr>
                <w:rFonts w:ascii="Times New Roman" w:hAnsi="Times New Roman" w:cs="Times New Roman"/>
                <w:b w:val="0"/>
                <w:sz w:val="28"/>
                <w:rtl/>
                <w:lang w:val="en-US" w:bidi="ar-SA"/>
              </w:rPr>
              <w:t>استراتيجية: (فكّر - زاوِج - شارِك)</w:t>
            </w:r>
          </w:p>
          <w:p>
            <w:pPr>
              <w:bidi/>
              <w:rPr>
                <w:rtl/>
                <w:lang w:val="en-US" w:bidi="ar-SA"/>
              </w:rPr>
            </w:pPr>
            <w:r>
              <w:rPr>
                <w:rFonts w:ascii="Times New Roman" w:hAnsi="Times New Roman" w:cs="Times New Roman"/>
                <w:b w:val="0"/>
                <w:sz w:val="28"/>
                <w:rtl/>
                <w:lang w:val="en-US" w:bidi="ar-SA"/>
              </w:rPr>
              <w:t xml:space="preserve">يحقق الهدف المهاري 1، 2 والهدف الوجداني 2          10د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rPr>
                <w:rtl/>
                <w:lang w:val="en-US" w:bidi="ar-SA"/>
              </w:rPr>
            </w:pPr>
            <w:r/>
            <w:r>
              <w:rPr>
                <w:rFonts w:ascii="Times New Roman" w:hAnsi="Times New Roman" w:cs="Times New Roman"/>
                <w:b w:val="0"/>
                <w:sz w:val="28"/>
                <w:rtl/>
                <w:lang w:val="en-US" w:bidi="ar-SA"/>
              </w:rPr>
              <w:t>أخلي الطالبات يستكشفن التمرين من خلال النسخة الإلكترونية من الكتاب ثلاثي الأبعاد، وتتعاون الطالبات في الفصل على إيجاد الترتيب الإلكتروني وإلكترونات التكافؤ والتكافؤ للعناصر المطلوبة في الكتاب.</w:t>
            </w:r>
          </w:p>
          <w:p>
            <w:pPr>
              <w:bidi/>
              <w:rPr>
                <w:rtl/>
                <w:lang w:val="en-US" w:bidi="ar-SA"/>
              </w:rPr>
            </w:pPr>
            <w:r>
              <w:rPr>
                <w:rFonts w:ascii="Times New Roman" w:hAnsi="Times New Roman" w:cs="Times New Roman"/>
                <w:b w:val="0"/>
                <w:sz w:val="28"/>
                <w:rtl/>
                <w:lang w:val="en-US" w:bidi="ar-SA"/>
              </w:rPr>
              <w:t>ثم أوجّه الطالبات إلى حل تمرين (1) صفحة 107 من الكتاب المدرسي بشكل فردي، ثم مشاركة الحل، فتشارك كل طالبة الحل مع زميلتها. ثم أناقش معهن الإجابات، وأصحح الإجابات عند الحاجة.</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المرحلة الثالثة: التعمق والتقييم</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 xml:space="preserve">التقويم الصفي: </w:t>
            </w:r>
          </w:p>
        </w:tc>
      </w:tr>
      <w:tr>
        <w:tc>
          <w:tcPr>
            <w:tcW w:type="dxa" w:w="9354"/>
          </w:tcPr>
          <w:p>
            <w:pPr>
              <w:bidi/>
              <w:rPr>
                <w:rtl/>
                <w:lang w:val="en-US" w:bidi="ar-SA"/>
              </w:rPr>
            </w:pPr>
            <w:r/>
            <w:r>
              <w:rPr>
                <w:rFonts w:ascii="Times New Roman" w:hAnsi="Times New Roman" w:cs="Times New Roman"/>
                <w:b w:val="0"/>
                <w:sz w:val="28"/>
                <w:rtl/>
                <w:lang w:val="en-US" w:bidi="ar-SA"/>
              </w:rPr>
              <w:t>الزمن: 5 د</w:t>
            </w:r>
          </w:p>
          <w:p>
            <w:pPr>
              <w:bidi/>
              <w:rPr>
                <w:rtl/>
                <w:lang w:val="en-US" w:bidi="ar-SA"/>
              </w:rPr>
            </w:pPr>
            <w:r>
              <w:rPr>
                <w:rFonts w:ascii="Times New Roman" w:hAnsi="Times New Roman" w:cs="Times New Roman"/>
                <w:b w:val="0"/>
                <w:sz w:val="28"/>
                <w:rtl/>
                <w:lang w:val="en-US" w:bidi="ar-SA"/>
              </w:rPr>
              <w:t>تذكرة خروج: باستخدام الورقة اللاصقة (الستيكي نوت) مثّلي الترتيب الإلكتروني النقطي لعنصر النيون (Ne).</w:t>
            </w:r>
          </w:p>
          <w:p>
            <w:pPr>
              <w:bidi/>
              <w:rPr>
                <w:rtl/>
                <w:lang w:val="en-US" w:bidi="ar-SA"/>
              </w:rPr>
            </w:pPr>
            <w:r>
              <w:rPr>
                <w:rFonts w:ascii="Times New Roman" w:hAnsi="Times New Roman" w:cs="Times New Roman"/>
                <w:b w:val="0"/>
                <w:sz w:val="28"/>
                <w:rtl/>
                <w:lang w:val="en-US" w:bidi="ar-SA"/>
              </w:rPr>
              <w:t>عدد إلكترونات التكافؤ لغاز النيون: ...........</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tcPr>
          <w:p>
            <w:pPr>
              <w:bidi/>
              <w:rPr>
                <w:rtl/>
                <w:lang w:val="en-US" w:bidi="ar-SA"/>
              </w:rPr>
            </w:pPr>
            <w:r/>
            <w:r>
              <w:rPr>
                <w:rFonts w:ascii="Times New Roman" w:hAnsi="Times New Roman" w:cs="Times New Roman"/>
                <w:b w:val="0"/>
                <w:sz w:val="28"/>
                <w:rtl/>
                <w:lang w:val="en-US" w:bidi="ar-SA"/>
              </w:rPr>
              <w:t>التقويم اللاصفي: حل السؤال الثاني صفحة 111 (اختيار الإجابة الصحيحة) ومراجعة الإجابات.</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التأمل الانعكاسي</w:t>
            </w:r>
          </w:p>
        </w:tc>
      </w:tr>
    </w:tbl>
    <w:p>
      <w:pPr>
        <w:bidi/>
        <w:rPr>
          <w:rtl/>
          <w:lang w:val="en-US" w:bidi="ar-SA"/>
        </w:rPr>
      </w:pPr>
    </w:p>
    <w:tbl>
      <w:tblPr>
        <w:tblStyle w:val="TableGrid"/>
        <w:tblW w:type="auto" w:w="0"/>
        <w:tblLayout w:type="fixed"/>
        <w:tblLook w:firstColumn="1" w:firstRow="1" w:lastColumn="0" w:lastRow="0" w:noHBand="0" w:noVBand="1" w:val="04A0"/>
      </w:tblPr>
      <w:tblGrid>
        <w:gridCol w:w="3009"/>
        <w:gridCol w:w="3009"/>
        <w:gridCol w:w="3009"/>
      </w:tblGrid>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إعدادي الكتابي</w:t>
            </w:r>
          </w:p>
        </w:tc>
      </w:tr>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أدائي داخل الحصة</w:t>
            </w:r>
          </w:p>
        </w:tc>
      </w:tr>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مدى تنوع الأنشطة</w:t>
            </w:r>
          </w:p>
        </w:tc>
      </w:tr>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تفاعل المتعلمات</w:t>
            </w:r>
          </w:p>
        </w:tc>
      </w:tr>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تطبيق التقويم</w:t>
            </w:r>
          </w:p>
        </w:tc>
      </w:tr>
    </w:tbl>
    <w:p>
      <w:pPr>
        <w:bidi/>
        <w:rPr>
          <w:rtl/>
          <w:lang w:val="en-US" w:bidi="ar-SA"/>
        </w:rPr>
      </w:pPr>
    </w:p>
    <w:sectPr w:rsidR="00422339" w:rsidRPr="00C21488"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D67F" w14:textId="77777777" w:rsidR="0029166A" w:rsidRDefault="0029166A" w:rsidP="00422339">
      <w:pPr>
        <w:spacing w:after="0" w:line="240" w:lineRule="auto"/>
      </w:pPr>
      <w:r>
        <w:separator/>
      </w:r>
    </w:p>
  </w:endnote>
  <w:endnote w:type="continuationSeparator" w:id="0">
    <w:p w14:paraId="04A7DF15" w14:textId="77777777" w:rsidR="0029166A" w:rsidRDefault="0029166A"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 Tarikh">
    <w:altName w:val="Arial"/>
    <w:charset w:val="B2"/>
    <w:family w:val="auto"/>
    <w:pitch w:val="variable"/>
    <w:sig w:usb0="00002003" w:usb1="00000000" w:usb2="00000000" w:usb3="00000000" w:csb0="00000041"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2DD485BE" w14:textId="2623F8C6"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0D174A"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E9F9" w14:textId="77777777" w:rsidR="0029166A" w:rsidRDefault="0029166A" w:rsidP="00422339">
      <w:pPr>
        <w:spacing w:after="0" w:line="240" w:lineRule="auto"/>
      </w:pPr>
      <w:r>
        <w:separator/>
      </w:r>
    </w:p>
  </w:footnote>
  <w:footnote w:type="continuationSeparator" w:id="0">
    <w:p w14:paraId="2D781D9F" w14:textId="77777777" w:rsidR="0029166A" w:rsidRDefault="0029166A"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85pt;height:198.4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8"/>
  </w:num>
  <w:num w:numId="2" w16cid:durableId="709456558">
    <w:abstractNumId w:val="17"/>
  </w:num>
  <w:num w:numId="3" w16cid:durableId="148136507">
    <w:abstractNumId w:val="11"/>
  </w:num>
  <w:num w:numId="4" w16cid:durableId="629214181">
    <w:abstractNumId w:val="0"/>
  </w:num>
  <w:num w:numId="5" w16cid:durableId="187330438">
    <w:abstractNumId w:val="12"/>
  </w:num>
  <w:num w:numId="6" w16cid:durableId="1856797484">
    <w:abstractNumId w:val="9"/>
  </w:num>
  <w:num w:numId="7" w16cid:durableId="1080559213">
    <w:abstractNumId w:val="13"/>
  </w:num>
  <w:num w:numId="8" w16cid:durableId="1055814652">
    <w:abstractNumId w:val="20"/>
  </w:num>
  <w:num w:numId="9" w16cid:durableId="1866365180">
    <w:abstractNumId w:val="7"/>
  </w:num>
  <w:num w:numId="10" w16cid:durableId="63601679">
    <w:abstractNumId w:val="24"/>
  </w:num>
  <w:num w:numId="11" w16cid:durableId="1480269788">
    <w:abstractNumId w:val="19"/>
  </w:num>
  <w:num w:numId="12" w16cid:durableId="1542546263">
    <w:abstractNumId w:val="15"/>
  </w:num>
  <w:num w:numId="13" w16cid:durableId="1921669584">
    <w:abstractNumId w:val="10"/>
  </w:num>
  <w:num w:numId="14" w16cid:durableId="536623804">
    <w:abstractNumId w:val="23"/>
  </w:num>
  <w:num w:numId="15" w16cid:durableId="278608838">
    <w:abstractNumId w:val="14"/>
  </w:num>
  <w:num w:numId="16" w16cid:durableId="1136994492">
    <w:abstractNumId w:val="18"/>
  </w:num>
  <w:num w:numId="17" w16cid:durableId="1683819292">
    <w:abstractNumId w:val="16"/>
  </w:num>
  <w:num w:numId="18" w16cid:durableId="1707831977">
    <w:abstractNumId w:val="6"/>
  </w:num>
  <w:num w:numId="19" w16cid:durableId="4135625">
    <w:abstractNumId w:val="22"/>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1"/>
  </w:num>
  <w:num w:numId="25" w16cid:durableId="599487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7B33"/>
    <w:rsid w:val="0070412F"/>
    <w:rsid w:val="00711E14"/>
    <w:rsid w:val="00713B8E"/>
    <w:rsid w:val="00716AA2"/>
    <w:rsid w:val="00717B05"/>
    <w:rsid w:val="00736AE3"/>
    <w:rsid w:val="007378C2"/>
    <w:rsid w:val="007405E6"/>
    <w:rsid w:val="00756938"/>
    <w:rsid w:val="00762328"/>
    <w:rsid w:val="007843FD"/>
    <w:rsid w:val="00787F4E"/>
    <w:rsid w:val="0079264E"/>
    <w:rsid w:val="007A2B2A"/>
    <w:rsid w:val="007A4391"/>
    <w:rsid w:val="007A4642"/>
    <w:rsid w:val="007B23F9"/>
    <w:rsid w:val="007E5271"/>
    <w:rsid w:val="007F342B"/>
    <w:rsid w:val="007F355A"/>
    <w:rsid w:val="00802B3D"/>
    <w:rsid w:val="00824CC5"/>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C3E8E"/>
    <w:rsid w:val="00DC6566"/>
    <w:rsid w:val="00DD3A2C"/>
    <w:rsid w:val="00DD733F"/>
    <w:rsid w:val="00DE7D9E"/>
    <w:rsid w:val="00DF6802"/>
    <w:rsid w:val="00DF7695"/>
    <w:rsid w:val="00E067F6"/>
    <w:rsid w:val="00E10D0F"/>
    <w:rsid w:val="00E10E19"/>
    <w:rsid w:val="00E15108"/>
    <w:rsid w:val="00E156DA"/>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ar-SA"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04F328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1198</Words>
  <Characters>6834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2026-10-21T18:08:00Z</cp:lastPrinted>
  <dcterms:created xsi:type="dcterms:W3CDTF">2026-10-28T18:23:00Z</dcterms:created>
  <dcterms:modified xsi:type="dcterms:W3CDTF">2026-10-28T18:23:00Z</dcterms:modified>
</cp:coreProperties>
</file>