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auto" w:fill="FAE2D5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  <w:proofErr w:type="spellEnd"/>
          </w:p>
        </w:tc>
        <w:tc>
          <w:tcPr>
            <w:tcW w:w="2070" w:type="dxa"/>
            <w:shd w:val="clear" w:color="auto" w:fill="FAE2D5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التاريخ</w:t>
            </w:r>
            <w:proofErr w:type="spellEnd"/>
          </w:p>
        </w:tc>
        <w:tc>
          <w:tcPr>
            <w:tcW w:w="1530" w:type="dxa"/>
            <w:shd w:val="clear" w:color="auto" w:fill="FAE2D5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الصف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الروابط الكيميائية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الوحدة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الرابطة الأيونية والمركبات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الفصل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خواص 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الدرس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السلوكية:</w:t>
            </w:r>
          </w:p>
        </w:tc>
        <w:tc>
          <w:tcPr>
            <w:tcW w:type="dxa" w:w="7370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بعد الانتهاء من الدرس ستكون المتعلمة قادرة على أن: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المعرفية: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1. تعرّف الشبكة البلورية بأنها مصفوفة ثلاثية الأبعاد ممتدة من الكاتيونات والأنيونات في المركبات الأيونية.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2. تفسّر ارتفاع درجات الانصهار والغليان للمركبات الأيونية بقوة التجاذب الكهروستاتيكي.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3. تفسّر عدم توصيل المركب الأيوني الصلب للتيار الكهربائي، وتوصيله في حالة المصهور أو المحلول.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4. تستنتج قوة الخاصية الأيونية بناءً على الفرق في السالبية الكهربائية (أكبر من أو يساوي 1.7 بمقياس باولنج).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المهارية: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1. تحلل قيم السالبية الكهربائية (جدول 13) لترتيب المركبات الأيونية حسب خاصيتها الأيونية.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2. تحلل بيانات درجات الانصهار والغليان (جدول 14) لاستنتاج علاقتها بقوة التجاذب.</w:t>
            </w:r>
          </w:p>
        </w:tc>
      </w:tr>
      <w:tr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الأهداف الوجدانية:</w:t>
            </w:r>
          </w:p>
        </w:tc>
        <w:tc>
          <w:tcPr>
            <w:tcW w:type="dxa" w:w="7370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1. تقدّر دقة العلماء في قياس السالبية الكهربائية (العالم باولنج).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2. تشارك زميلاتها في الحوار العلمي.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3. تقدّر أهمية ملح الطعام في نقل الإشارات العصبية.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الكتاب المدرسي – البطاقات التشجيعية – الشاشة الذكية – الجدول الدوري – الكتاب الحي (index.html) على أجهزة الطالبات أو الشاشة الذكية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الوسائل التعليمية: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مجموعات من 4-5 متعلمات على شكل حرف U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نظام الجلسة: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المرحلة الأولى: التقديم والتحفيز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ماذا يخبئ كأس الماء؟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1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(التعلم بالاستقصاء والتساؤل)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الأداة: كأسان (ماء مقطر وماء فيه ملح) ودائرة كهربائية بمصباح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3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أعرض كأسين: ماء مقطر وماء فيه ملح، وأوصل كل منهما بدائرة كهربائية بمصباح، وأطلب من الطالبات توقع ما يحدث.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ثم أطرح: لماذا لا يضيء المصباح مع الماء المقطر؟ ولماذا يضيء مع الملح؟ ولماذا لا يوصل الملح الصلب الكهرباء؟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المرحلة الثانية: الاستكشاف والتعلم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رحلة داخل البلورة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2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(النمذجة، التعلم الذاتي الرقمي)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الأداة: الكتاب الحي (index.html) – صفحات: الشبكة البلورية لكلوريد الصوديوم، لماذا ترتفع درجة الانصهار؟، من يحمل التيار؟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1، 2، 3 والهدف المهاري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تتابع كل طالبة الشبكة البلورية لكلوريد الصوديوم، وتجيب عن أسئلة الصفحة: لماذا يكون المركب صلبًا عند درجة حرارة الغرفة؟ ولماذا ترتفع درجة انصهاره؟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ثم تتابع صفحة «من يحمل التيار؟» وتفسر لماذا يوصل المصهور والمحلول الكهرباء، ولا يوصلها الصلب. أوجّه الطالبات لكتابة التفسير بكلماتهن.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حكم الأرقام: الانصهار والغليان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3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(تحليل البيانات)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الأداة: جدول (14) درجات الانصهار والغليان في الكتاب المدرسي صفحة 122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المهاري 2 والهدف المعرفي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أعرض جدول (14) لدرجات الانصهار والغليان لـ NaCl (801، 1413) وMgO (2852، 3600)، وأطلب من المجموعات مقارنة النتائج وتفسيرها.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أوجّه الطالبات لملاحظة أن شحنة الأيونات في MgO أكبر (±2)، فتزداد قوة التجاذب وترتفع درجتا الانصهار والغليان.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قاضي الخاصية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النشاط رقم 4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استراتيجية: (المحقق العلمي، تحليل البيانات)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الأداة: جدول (13) قيم السالبية الكهربائية، الكتاب المدرسي صفحة 115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يحقق الهدف المعرفي 4 والهدف المهاري 2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أوضح حساب الفرق: LiCl = 3.0 − 1.0 = 2.0، MgO = 3.5 − 1.2 = 2.3، NaF = 4.0 − 0.9 = 3.1، ثم نرتب المركبات تنازليًا: NaF &gt; MgO &gt; LiCl.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أوجّه المجموعات لحل تمرين صفحة 125 (السؤال الثاني) وتمرين صفحة 126 (السؤال الرابع: مقارنة البوتاسيوم والفلور). أوضح أن الفرق الأكبر من أو يساوي 1.7 يعني رابطة أيونية.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المرحلة الثالثة: التعمق والتقييم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التقويم الصفي: تحديد المركب ذي أعلى خاصية أيونية</w:t>
            </w:r>
          </w:p>
        </w:tc>
      </w:tr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أطلب من كل مجموعة الإجابة عن: أي المركبات التالية له أعلى خاصية أيونية: LiF، MgF₂، K₂O، NaCl؟ بالاعتماد على جدول (13)، ثم تقارن المجموعات إجاباتها.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الزمن: 5 د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6"/>
              </w:rPr>
              <w:t>تذكرة خروج: لماذا لا يوصل كلوريد الصوديوم الصلب الكهرباء؟ (أيوناته مقيدة الحركة في الشبكة البلورية)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التقويم اللاصفي: حل السؤال الثاني صفحة 125 ومراجعة الترتيب الصحيح للمركبات.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8"/>
              </w:rPr>
              <w:t>التأمل الانعكاسي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إعدادي الكتابي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أدائي داخل الحصة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مدى تنوع الأنشطة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تفاعل المتعلمات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Arial" w:hAnsi="Arial" w:cs="Arial"/>
                <w:b w:val="0"/>
                <w:sz w:val="26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Arial" w:hAnsi="Arial" w:cs="Arial"/>
                <w:b/>
                <w:sz w:val="26"/>
              </w:rPr>
              <w:t>تطبيق التقويم</w:t>
            </w:r>
          </w:p>
        </w:tc>
      </w:tr>
    </w:tbl>
    <w:p>
      <w:pPr>
        <w:bidi/>
      </w:pPr>
    </w:p>
    <w:sectPr w:rsidR="00422339" w:rsidRPr="00C21488" w:rsidSect="00206672">
      <w:footerReference w:type="default" r:id="rId1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D67F" w14:textId="77777777" w:rsidR="0029166A" w:rsidRDefault="0029166A" w:rsidP="00422339">
      <w:pPr>
        <w:spacing w:after="0" w:line="240" w:lineRule="auto"/>
      </w:pPr>
      <w:r>
        <w:separator/>
      </w:r>
    </w:p>
  </w:endnote>
  <w:endnote w:type="continuationSeparator" w:id="0">
    <w:p w14:paraId="04A7DF15" w14:textId="77777777" w:rsidR="0029166A" w:rsidRDefault="0029166A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E9F9" w14:textId="77777777" w:rsidR="0029166A" w:rsidRDefault="0029166A" w:rsidP="00422339">
      <w:pPr>
        <w:spacing w:after="0" w:line="240" w:lineRule="auto"/>
      </w:pPr>
      <w:r>
        <w:separator/>
      </w:r>
    </w:p>
  </w:footnote>
  <w:footnote w:type="continuationSeparator" w:id="0">
    <w:p w14:paraId="2D781D9F" w14:textId="77777777" w:rsidR="0029166A" w:rsidRDefault="0029166A" w:rsidP="0042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85pt;height:198.45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66A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1F66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11EB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926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649BD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15115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2B3C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3B39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انوار صالح عبدالله خزار</cp:lastModifiedBy>
  <cp:revision>2</cp:revision>
  <cp:lastPrinted>2026-10-21T18:08:00Z</cp:lastPrinted>
  <dcterms:created xsi:type="dcterms:W3CDTF">2026-10-28T18:23:00Z</dcterms:created>
  <dcterms:modified xsi:type="dcterms:W3CDTF">2026-10-28T18:23:00Z</dcterms:modified>
</cp:coreProperties>
</file>