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383"/>
        <w:tblW w:w="9085" w:type="dxa"/>
        <w:tblLook w:val="04A0" w:firstRow="1" w:lastRow="0" w:firstColumn="1" w:lastColumn="0" w:noHBand="0" w:noVBand="1"/>
      </w:tblPr>
      <w:tblGrid>
        <w:gridCol w:w="1885"/>
        <w:gridCol w:w="1800"/>
        <w:gridCol w:w="2070"/>
        <w:gridCol w:w="1530"/>
        <w:gridCol w:w="1800"/>
      </w:tblGrid>
      <w:tr w:rsidR="001008CD" w14:paraId="4258CA1F" w14:textId="69919B13" w:rsidTr="001008CD">
        <w:tc>
          <w:tcPr>
            <w:tcW w:w="1885" w:type="dxa"/>
            <w:shd w:val="clear" w:color="auto" w:fill="FAE2D5" w:themeFill="accent2" w:themeFillTint="33"/>
          </w:tcPr>
          <w:p w14:paraId="2CF5ECDD" w14:textId="77777777" w:rsidR="001008CD" w:rsidRDefault="001008CD" w:rsidP="000D3E5D">
            <w:pPr>
              <w:bidi/>
              <w:jc w:val="center"/>
            </w:pPr>
            <w:proofErr w:type="spellStart"/>
            <w:r>
              <w:rPr>
                <w:rFonts w:asciiTheme="majorBidi" w:hAnsiTheme="majorBidi" w:cstheme="majorBidi"/>
                <w:b/>
                <w:color w:val="000000" w:themeColor="text1"/>
                <w:sz w:val="28"/>
                <w:szCs w:val="28"/>
              </w:rPr>
              <w:t>المكان</w:t>
            </w:r>
            <w:proofErr w:type="spellEnd"/>
          </w:p>
        </w:tc>
        <w:tc>
          <w:tcPr>
            <w:tcW w:w="1800" w:type="dxa"/>
            <w:shd w:val="clear" w:color="auto" w:fill="FAE2D5" w:themeFill="accent2" w:themeFillTint="33"/>
          </w:tcPr>
          <w:p w14:paraId="718C9DDE" w14:textId="77777777" w:rsidR="001008CD" w:rsidRDefault="001008CD" w:rsidP="000D3E5D">
            <w:pPr>
              <w:bidi/>
              <w:jc w:val="center"/>
            </w:pPr>
            <w:proofErr w:type="spellStart"/>
            <w:r>
              <w:rPr>
                <w:rFonts w:asciiTheme="majorBidi" w:hAnsiTheme="majorBidi" w:cstheme="majorBidi"/>
                <w:b/>
                <w:color w:val="000000" w:themeColor="text1"/>
                <w:sz w:val="28"/>
                <w:szCs w:val="28"/>
              </w:rPr>
              <w:t>الحصة</w:t>
            </w:r>
            <w:proofErr w:type="spellEnd"/>
          </w:p>
        </w:tc>
        <w:tc>
          <w:tcPr>
            <w:tcW w:w="2070" w:type="dxa"/>
            <w:shd w:val="clear" w:color="auto" w:fill="FAE2D5" w:themeFill="accent2" w:themeFillTint="33"/>
          </w:tcPr>
          <w:p w14:paraId="3A9147B5" w14:textId="77777777" w:rsidR="001008CD" w:rsidRDefault="001008CD" w:rsidP="000D3E5D">
            <w:pPr>
              <w:bidi/>
              <w:jc w:val="center"/>
            </w:pPr>
            <w:r>
              <w:rPr>
                <w:rFonts w:asciiTheme="majorBidi" w:hAnsiTheme="majorBidi" w:cstheme="majorBidi"/>
                <w:b/>
                <w:color w:val="000000" w:themeColor="text1"/>
                <w:sz w:val="28"/>
                <w:szCs w:val="28"/>
              </w:rPr>
              <w:t xml:space="preserve">  </w:t>
            </w:r>
            <w:proofErr w:type="spellStart"/>
            <w:r>
              <w:rPr>
                <w:rFonts w:asciiTheme="majorBidi" w:hAnsiTheme="majorBidi" w:cstheme="majorBidi"/>
                <w:b/>
                <w:color w:val="000000" w:themeColor="text1"/>
                <w:sz w:val="28"/>
                <w:szCs w:val="28"/>
              </w:rPr>
              <w:t>التاريخ</w:t>
            </w:r>
            <w:proofErr w:type="spellEnd"/>
          </w:p>
        </w:tc>
        <w:tc>
          <w:tcPr>
            <w:tcW w:w="1530" w:type="dxa"/>
            <w:shd w:val="clear" w:color="auto" w:fill="FAE2D5" w:themeFill="accent2" w:themeFillTint="33"/>
          </w:tcPr>
          <w:p w14:paraId="7278C08B" w14:textId="77777777" w:rsidR="001008CD" w:rsidRDefault="001008CD" w:rsidP="000D3E5D">
            <w:pPr>
              <w:bidi/>
              <w:jc w:val="center"/>
            </w:pPr>
            <w:proofErr w:type="spellStart"/>
            <w:r>
              <w:rPr>
                <w:rFonts w:asciiTheme="majorBidi" w:hAnsiTheme="majorBidi" w:cstheme="majorBidi"/>
                <w:b/>
                <w:color w:val="000000" w:themeColor="text1"/>
                <w:sz w:val="28"/>
                <w:szCs w:val="28"/>
              </w:rPr>
              <w:t>اليوم</w:t>
            </w:r>
            <w:proofErr w:type="spellEnd"/>
          </w:p>
        </w:tc>
        <w:tc>
          <w:tcPr>
            <w:tcW w:w="1800" w:type="dxa"/>
            <w:shd w:val="clear" w:color="auto" w:fill="FAE2D5" w:themeFill="accent2" w:themeFillTint="33"/>
          </w:tcPr>
          <w:p w14:paraId="1D7F93E0" w14:textId="11155CBE" w:rsidR="001008CD" w:rsidRDefault="001008CD" w:rsidP="000D3E5D">
            <w:pPr>
              <w:bidi/>
              <w:jc w:val="center"/>
            </w:pPr>
            <w:proofErr w:type="spellStart"/>
            <w:r>
              <w:rPr>
                <w:rFonts w:asciiTheme="majorBidi" w:hAnsiTheme="majorBidi" w:cstheme="majorBidi"/>
                <w:b/>
                <w:color w:val="000000" w:themeColor="text1"/>
                <w:sz w:val="28"/>
                <w:szCs w:val="28"/>
              </w:rPr>
              <w:t>الصف</w:t>
            </w:r>
            <w:proofErr w:type="spellEnd"/>
            <w:r>
              <w:rPr>
                <w:rFonts w:asciiTheme="majorBidi" w:hAnsiTheme="majorBidi" w:cstheme="majorBidi"/>
                <w:b/>
                <w:color w:val="000000" w:themeColor="text1"/>
                <w:sz w:val="28"/>
                <w:szCs w:val="28"/>
              </w:rPr>
              <w:t xml:space="preserve">        </w:t>
            </w:r>
            <w:r>
              <w:t xml:space="preserve">   </w:t>
            </w:r>
          </w:p>
        </w:tc>
      </w:tr>
      <w:tr w:rsidR="001008CD" w14:paraId="6F210ECE" w14:textId="6D4062A5" w:rsidTr="001008CD">
        <w:tc>
          <w:tcPr>
            <w:tcW w:w="1885" w:type="dxa"/>
          </w:tcPr>
          <w:p w14:paraId="634EE79E" w14:textId="31AD2F89" w:rsidR="001008CD" w:rsidRPr="00FB63ED" w:rsidRDefault="001008CD" w:rsidP="000D3E5D">
            <w:pPr>
              <w:bidi/>
              <w:rPr>
                <w:sz w:val="28"/>
                <w:szCs w:val="28"/>
              </w:rPr>
            </w:pPr>
            <w:r>
              <w:rPr>
                <w:sz w:val="28"/>
                <w:szCs w:val="28"/>
              </w:rPr>
              <w:t xml:space="preserve"> </w:t>
            </w:r>
          </w:p>
        </w:tc>
        <w:tc>
          <w:tcPr>
            <w:tcW w:w="1800" w:type="dxa"/>
          </w:tcPr>
          <w:p w14:paraId="651888DD" w14:textId="62DECC23" w:rsidR="001008CD" w:rsidRPr="00FB63ED" w:rsidRDefault="001008CD" w:rsidP="000D3E5D">
            <w:pPr>
              <w:bidi/>
              <w:jc w:val="right"/>
              <w:rPr>
                <w:sz w:val="28"/>
                <w:szCs w:val="28"/>
              </w:rPr>
            </w:pPr>
          </w:p>
        </w:tc>
        <w:tc>
          <w:tcPr>
            <w:tcW w:w="2070" w:type="dxa"/>
          </w:tcPr>
          <w:p w14:paraId="794778C6" w14:textId="61583A28" w:rsidR="001008CD" w:rsidRPr="00FB63ED" w:rsidRDefault="001008CD" w:rsidP="000D3E5D">
            <w:pPr>
              <w:bidi/>
              <w:jc w:val="right"/>
              <w:rPr>
                <w:sz w:val="28"/>
                <w:szCs w:val="28"/>
              </w:rPr>
            </w:pPr>
          </w:p>
        </w:tc>
        <w:tc>
          <w:tcPr>
            <w:tcW w:w="1530" w:type="dxa"/>
          </w:tcPr>
          <w:p w14:paraId="45F132C0" w14:textId="0BA2EF66" w:rsidR="001008CD" w:rsidRPr="00FB63ED" w:rsidRDefault="001008CD" w:rsidP="000D3E5D">
            <w:pPr>
              <w:bidi/>
              <w:jc w:val="right"/>
              <w:rPr>
                <w:sz w:val="28"/>
                <w:szCs w:val="28"/>
              </w:rPr>
            </w:pPr>
          </w:p>
        </w:tc>
        <w:tc>
          <w:tcPr>
            <w:tcW w:w="1800" w:type="dxa"/>
          </w:tcPr>
          <w:p w14:paraId="5134BC1A" w14:textId="77777777" w:rsidR="001008CD" w:rsidRPr="00FB63ED" w:rsidRDefault="001008CD" w:rsidP="000D3E5D">
            <w:pPr>
              <w:bidi/>
              <w:jc w:val="right"/>
              <w:rPr>
                <w:sz w:val="28"/>
                <w:szCs w:val="28"/>
              </w:rPr>
            </w:pPr>
          </w:p>
        </w:tc>
      </w:tr>
    </w:tbl>
    <w:p w14:paraId="6A4F1280" w14:textId="5C056E63" w:rsidR="00206672" w:rsidRDefault="001008CD" w:rsidP="000D3E5D">
      <w:pPr>
        <w:bidi/>
        <w:rPr>
          <w:noProof/>
          <w:rtl/>
        </w:rPr>
      </w:pPr>
      <w:r>
        <w:rPr>
          <w:noProof/>
        </w:rPr>
        <mc:AlternateContent>
          <mc:Choice Requires="wps">
            <w:drawing>
              <wp:anchor distT="0" distB="0" distL="114300" distR="114300" simplePos="0" relativeHeight="251693056" behindDoc="0" locked="0" layoutInCell="1" allowOverlap="1" wp14:anchorId="17A25A38" wp14:editId="54EBD808">
                <wp:simplePos x="0" y="0"/>
                <wp:positionH relativeFrom="column">
                  <wp:posOffset>-621031</wp:posOffset>
                </wp:positionH>
                <wp:positionV relativeFrom="paragraph">
                  <wp:posOffset>-188596</wp:posOffset>
                </wp:positionV>
                <wp:extent cx="579120" cy="617220"/>
                <wp:effectExtent l="19050" t="38100" r="0" b="49530"/>
                <wp:wrapNone/>
                <wp:docPr id="674554220" name="Text Box 1"/>
                <wp:cNvGraphicFramePr/>
                <a:graphic xmlns:a="http://schemas.openxmlformats.org/drawingml/2006/main">
                  <a:graphicData uri="http://schemas.microsoft.com/office/word/2010/wordprocessingShape">
                    <wps:wsp>
                      <wps:cNvSpPr txBox="1"/>
                      <wps:spPr>
                        <a:xfrm rot="20523525">
                          <a:off x="0" y="0"/>
                          <a:ext cx="579120" cy="617220"/>
                        </a:xfrm>
                        <a:prstGeom prst="rect">
                          <a:avLst/>
                        </a:prstGeom>
                        <a:noFill/>
                        <a:ln>
                          <a:noFill/>
                        </a:ln>
                      </wps:spPr>
                      <wps:txbx>
                        <w:txbxContent>
                          <w:p w14:paraId="23D31C77" w14:textId="77777777" w:rsidR="001008CD" w:rsidRPr="00C32CDC" w:rsidRDefault="001008CD" w:rsidP="001008CD">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74F7D1ED" wp14:editId="623D62FD">
                                  <wp:extent cx="396240" cy="489920"/>
                                  <wp:effectExtent l="0" t="0" r="3810" b="5715"/>
                                  <wp:docPr id="101713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A25A38" id="_x0000_t202" coordsize="21600,21600" o:spt="202" path="m,l,21600r21600,l21600,xe">
                <v:stroke joinstyle="miter"/>
                <v:path gradientshapeok="t" o:connecttype="rect"/>
              </v:shapetype>
              <v:shape id="Text Box 1" o:spid="_x0000_s1026" type="#_x0000_t202" style="position:absolute;left:0;text-align:left;margin-left:-48.9pt;margin-top:-14.85pt;width:45.6pt;height:48.6pt;rotation:-1175798fd;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Mo+wsZAgAAOwQAAA4AAABkcnMvZTJvRG9jLnhtbKxTTW/bMAy9D9h/EHRfnHhJP4w4RdYi&#13;&#10;w4CgLZAOPSuyFBuwRU1iYme/fpQcN1m307CLQPERT3yP1Pyua2p2UM5XYHI+GY05U0ZCUZldzr+/&#13;&#10;rD7dcOZRmELUYFTOj8rzu8XHD/PWZiqFEupCOUYkxmetzXmJaLMk8bJUjfAjsMoQqME1Aunqdknh&#13;&#10;REvsTZ2k4/FV0oIrrAOpvKfsQw/yReTXWkl80torZHXOqTeMp4vnNp7JYi6ynRO2rOSpD/EPbTSi&#13;&#10;MvTqG9WDQMH2rvqDqqmkAw8aRxKaBLSupIoiSM5k/E7OphRWRTHkjrdvPvn/RysfDxv77Bh2X6Cj&#13;&#10;CXJGjrTWZ56yQVCnXcMckHPpeJZ+nqWzqJM6Z1RPnh7PPqoOmaTs7Pp2khIkCbuaXKchJtqkZwus&#13;&#10;1nn8qqBhIci5o0FFWnFYezzVDjWh3sCqqusAiKw2v2eINqSSc9chwm7bDVq2UBxJY1RBrXgrVxW9&#13;&#10;uxYen4WjeVOSlhif6NA1tDmHU8RZCe7n3/KhnsZAKGct7U/O/Y+9cIqz+puhAd1OplOixXiZzq6D&#13;&#10;B+4S2V4iZt/cA+0o+U/dxTDUYz1ktYPmlXZ9GV4lSBhJb+cch/Ae+7WmvyLVchmLaMWswLXZWBmo&#13;&#10;B+Nfulfh7Ml6pKE9wrBpIns/gb64d3y5R9BVP5/gce/ryXpa0Dji02cKP+DyHqvOf37xCwAA//8D&#13;&#10;AFBLAwQUAAYACAAAACEAZGwJAeUAAAAPAQAADwAAAGRycy9kb3ducmV2LnhtbEyPT0/DMAzF70h8&#13;&#10;h8hI3LqUSqRr13QCBhIXpDG2A7escf9Ak1RN1hU+PeYEF8uW7fd+r1jPpmcTjr5zVsLNIgaGtnK6&#13;&#10;s42E/dtTtATmg7Ja9c6ihC/0sC4vLwqVa3e2rzjtQsNIxPpcSWhDGHLOfdWiUX7hBrS0q91oVKBx&#13;&#10;bLge1ZnETc+TOBbcqM6SQ6sGfGix+tydjISDyPjLsn6/3yab70c1OVfjx7OU11fzZkXlbgUs4Bz+&#13;&#10;PuA3A/FDSWBHd7Las15ClKXEH6hJshQYXURCADtKEOktMF4W/H+O8gcAAP//AwBQSwECLQAUAAYA&#13;&#10;CAAAACEAWiKTo/8AAADlAQAAEwAAAAAAAAAAAAAAAAAAAAAAW0NvbnRlbnRfVHlwZXNdLnhtbFBL&#13;&#10;AQItABQABgAIAAAAIQCnSs841wAAAJYBAAALAAAAAAAAAAAAAAAAADABAABfcmVscy8ucmVsc1BL&#13;&#10;AQItABQABgAIAAAAIQBTKPsLGQIAADsEAAAOAAAAAAAAAAAAAAAAADACAABkcnMvZTJvRG9jLnht&#13;&#10;bFBLAQItABQABgAIAAAAIQBkbAkB5QAAAA8BAAAPAAAAAAAAAAAAAAAAAHUEAABkcnMvZG93bnJl&#13;&#10;di54bWxQSwUGAAAAAAQABADzAAAAhwUAAAAA&#13;&#10;" filled="f" stroked="f">
                <v:textbox>
                  <w:txbxContent>
                    <w:p w14:paraId="23D31C77" w14:textId="77777777" w:rsidR="001008CD" w:rsidRPr="00C32CDC" w:rsidRDefault="001008CD" w:rsidP="001008CD">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74F7D1ED" wp14:editId="623D62FD">
                            <wp:extent cx="396240" cy="489920"/>
                            <wp:effectExtent l="0" t="0" r="3810" b="5715"/>
                            <wp:docPr id="101713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408B67CD" wp14:editId="0761F285">
                <wp:simplePos x="0" y="0"/>
                <wp:positionH relativeFrom="column">
                  <wp:posOffset>5782944</wp:posOffset>
                </wp:positionH>
                <wp:positionV relativeFrom="paragraph">
                  <wp:posOffset>-172085</wp:posOffset>
                </wp:positionV>
                <wp:extent cx="579120" cy="617220"/>
                <wp:effectExtent l="19050" t="38100" r="0" b="49530"/>
                <wp:wrapNone/>
                <wp:docPr id="2010568431" name="Text Box 1"/>
                <wp:cNvGraphicFramePr/>
                <a:graphic xmlns:a="http://schemas.openxmlformats.org/drawingml/2006/main">
                  <a:graphicData uri="http://schemas.microsoft.com/office/word/2010/wordprocessingShape">
                    <wps:wsp>
                      <wps:cNvSpPr txBox="1"/>
                      <wps:spPr>
                        <a:xfrm rot="20523525">
                          <a:off x="0" y="0"/>
                          <a:ext cx="579120" cy="617220"/>
                        </a:xfrm>
                        <a:prstGeom prst="rect">
                          <a:avLst/>
                        </a:prstGeom>
                        <a:noFill/>
                        <a:ln>
                          <a:noFill/>
                        </a:ln>
                      </wps:spPr>
                      <wps:txbx>
                        <w:txbxContent>
                          <w:p w14:paraId="10033ABB" w14:textId="4E72AE58" w:rsidR="00C32CDC" w:rsidRPr="00C32CDC" w:rsidRDefault="001008CD" w:rsidP="00C32CDC">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20974F18" wp14:editId="73BC5951">
                                  <wp:extent cx="396240" cy="489920"/>
                                  <wp:effectExtent l="0" t="0" r="3810" b="5715"/>
                                  <wp:docPr id="1254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8B67CD" id="_x0000_s1027" type="#_x0000_t202" style="position:absolute;left:0;text-align:left;margin-left:455.35pt;margin-top:-13.55pt;width:45.6pt;height:48.6pt;rotation:-1175798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W5SIcAgAAQgQAAA4AAABkcnMvZTJvRG9jLnhtbKxTTW/bMAy9D9h/EHRfnHhJP4w4RdYi&#13;&#10;w4CgLZAOPSuyFBuwRU1iYme/fpTsNFm307CLQJEPT+R71Pyua2p2UM5XYHI+GY05U0ZCUZldzr+/&#13;&#10;rD7dcOZRmELUYFTOj8rzu8XHD/PWZiqFEupCOUYkxmetzXmJaLMk8bJUjfAjsMpQUYNrBNLV7ZLC&#13;&#10;iZbYmzpJx+OrpAVXWAdSeU/Zh77IF5FfayXxSWuvkNU5p94wni6e23gmi7nIdk7YspJDH+If2mhE&#13;&#10;ZejVN6oHgYLtXfUHVVNJBx40jiQ0CWhdSRWHoHEm43fjbEphVRyG1PH2TSf//2jl42Fjnx3D7gt0&#13;&#10;5CBnpEhrfeYpGwbqtGuYA1IuHc/Sz7N0FuekzhnhSdPjWUfVIZOUnV3fTlIqSapdTa7TEBNt0rMF&#13;&#10;Vus8flXQsBDk3JFRkVYc1h4H7AkT8AZWVV2Hgshq83uGaEMqOXcdIuy2HauKy5G2UBxp1DgMdeSt&#13;&#10;XFX0/Fp4fBaObKck7TI+0aFraHMOQ8RZCe7n3/IBT25QlbOW1ijn/sdeOMVZ/c2QT7eT6ZRoMV6m&#13;&#10;s+sghbusbC8rZt/cA60q2UDdxTDgsT5ltYPmlVZ+GV6lkjCS3s45nsJ77LebvoxUy2UE0aZZgWuz&#13;&#10;sTJQn/R/6V6Fs4MDSN49wmnhRPbeiB7cC7/cI+iqtylI3es6OEB7Gp0e/lT4CJf3iDp//cUvAAAA&#13;&#10;//8DAFBLAwQUAAYACAAAACEAhUUMueQAAAARAQAADwAAAGRycy9kb3ducmV2LnhtbExPPU/DMBDd&#13;&#10;kfgP1iGxtXYyNE2aSwUUJBYkKDCwucnlA+JzFLtp4NfjTrCcdPfevY98O5teTDS6zjJCtFQgiEtb&#13;&#10;ddwgvL0+LNYgnNdc6d4yIXyTg21xeZHrrLInfqFp7xsRRNhlGqH1fsikdGVLRrulHYgDVtvRaB/W&#13;&#10;sZHVqE9B3PQyVmolje44OLR6oLuWyq/90SC8r1L5tK4/bp/j3c+9nqyt6fMR8fpq3m3CuNmA8DT7&#13;&#10;vw84dwj5oQjBDvbIlRM9QhqpJFARFnESgTgzlIpSEAeERIWLLHL5v0nxCwAA//8DAFBLAQItABQA&#13;&#10;BgAIAAAAIQBaIpOj/wAAAOUBAAATAAAAAAAAAAAAAAAAAAAAAABbQ29udGVudF9UeXBlc10ueG1s&#13;&#10;UEsBAi0AFAAGAAgAAAAhAKdKzzjXAAAAlgEAAAsAAAAAAAAAAAAAAAAAMAEAAF9yZWxzLy5yZWxz&#13;&#10;UEsBAi0AFAAGAAgAAAAhAF+W5SIcAgAAQgQAAA4AAAAAAAAAAAAAAAAAMAIAAGRycy9lMm9Eb2Mu&#13;&#10;eG1sUEsBAi0AFAAGAAgAAAAhAIVFDLnkAAAAEQEAAA8AAAAAAAAAAAAAAAAAeAQAAGRycy9kb3du&#13;&#10;cmV2LnhtbFBLBQYAAAAABAAEAPMAAACJBQAAAAA=&#13;&#10;" filled="f" stroked="f">
                <v:textbox>
                  <w:txbxContent>
                    <w:p w14:paraId="10033ABB" w14:textId="4E72AE58" w:rsidR="00C32CDC" w:rsidRPr="00C32CDC" w:rsidRDefault="001008CD" w:rsidP="00C32CDC">
                      <w:pPr>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14:ligatures w14:val="standardContextual"/>
                        </w:rPr>
                        <w:drawing>
                          <wp:inline distT="0" distB="0" distL="0" distR="0" wp14:anchorId="20974F18" wp14:editId="73BC5951">
                            <wp:extent cx="396240" cy="489920"/>
                            <wp:effectExtent l="0" t="0" r="3810" b="5715"/>
                            <wp:docPr id="1254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0997" name=""/>
                                    <pic:cNvPicPr/>
                                  </pic:nvPicPr>
                                  <pic:blipFill>
                                    <a:blip r:embed="rId8"/>
                                    <a:stretch>
                                      <a:fillRect/>
                                    </a:stretch>
                                  </pic:blipFill>
                                  <pic:spPr>
                                    <a:xfrm>
                                      <a:off x="0" y="0"/>
                                      <a:ext cx="396240" cy="489920"/>
                                    </a:xfrm>
                                    <a:prstGeom prst="rect">
                                      <a:avLst/>
                                    </a:prstGeom>
                                  </pic:spPr>
                                </pic:pic>
                              </a:graphicData>
                            </a:graphic>
                          </wp:inline>
                        </w:drawing>
                      </w:r>
                    </w:p>
                  </w:txbxContent>
                </v:textbox>
              </v:shape>
            </w:pict>
          </mc:Fallback>
        </mc:AlternateContent>
      </w:r>
      <w:r>
        <w:rPr>
          <w:noProof/>
        </w:rPr>
        <w:t xml:space="preserve">    </w:t>
      </w:r>
    </w:p>
    <w:tbl>
      <w:tblPr>
        <w:tblStyle w:val="TableGrid"/>
        <w:tblW w:type="auto" w:w="0"/>
        <w:tblLayout w:type="fixed"/>
        <w:tblLook w:firstColumn="1" w:firstRow="1" w:lastColumn="0" w:lastRow="0" w:noHBand="0" w:noVBand="1" w:val="04A0"/>
        <w:bidiVisual/>
      </w:tblPr>
      <w:tblGrid>
        <w:gridCol w:w="4513"/>
        <w:gridCol w:w="4513"/>
      </w:tblGrid>
      <w:tr>
        <w:tc>
          <w:tcPr>
            <w:tcW w:type="dxa" w:w="7087"/>
          </w:tcPr>
          <w:p>
            <w:pPr>
              <w:bidi/>
            </w:pPr>
            <w:r/>
            <w:r>
              <w:rPr>
                <w:rFonts w:ascii="Arial" w:hAnsi="Arial" w:cs="Arial"/>
                <w:b w:val="0"/>
                <w:sz w:val="26"/>
              </w:rPr>
              <w:t>الروابط الكيميائية</w:t>
            </w:r>
          </w:p>
        </w:tc>
        <w:tc>
          <w:tcPr>
            <w:tcW w:type="dxa" w:w="2268"/>
            <w:shd w:val="clear" w:color="auto" w:fill="FAE2D5"/>
          </w:tcPr>
          <w:p>
            <w:pPr>
              <w:bidi/>
            </w:pPr>
            <w:r/>
            <w:r>
              <w:rPr>
                <w:rFonts w:ascii="Arial" w:hAnsi="Arial" w:cs="Arial"/>
                <w:b/>
                <w:sz w:val="26"/>
              </w:rPr>
              <w:t>الوحدة</w:t>
            </w:r>
          </w:p>
        </w:tc>
      </w:tr>
      <w:tr>
        <w:tc>
          <w:tcPr>
            <w:tcW w:type="dxa" w:w="7087"/>
          </w:tcPr>
          <w:p>
            <w:pPr>
              <w:bidi/>
            </w:pPr>
            <w:r/>
            <w:r>
              <w:rPr>
                <w:rFonts w:ascii="Arial" w:hAnsi="Arial" w:cs="Arial"/>
                <w:b w:val="0"/>
                <w:sz w:val="26"/>
              </w:rPr>
              <w:t>الرابطة الأيونية والمركبات الأيونية</w:t>
            </w:r>
          </w:p>
        </w:tc>
        <w:tc>
          <w:tcPr>
            <w:tcW w:type="dxa" w:w="2268"/>
            <w:shd w:val="clear" w:color="auto" w:fill="FAE2D5"/>
          </w:tcPr>
          <w:p>
            <w:pPr>
              <w:bidi/>
            </w:pPr>
            <w:r/>
            <w:r>
              <w:rPr>
                <w:rFonts w:ascii="Arial" w:hAnsi="Arial" w:cs="Arial"/>
                <w:b/>
                <w:sz w:val="26"/>
              </w:rPr>
              <w:t>الفصل</w:t>
            </w:r>
          </w:p>
        </w:tc>
      </w:tr>
      <w:tr>
        <w:tc>
          <w:tcPr>
            <w:tcW w:type="dxa" w:w="7087"/>
          </w:tcPr>
          <w:p>
            <w:pPr>
              <w:bidi/>
            </w:pPr>
            <w:r/>
            <w:r>
              <w:rPr>
                <w:rFonts w:ascii="Arial" w:hAnsi="Arial" w:cs="Arial"/>
                <w:b w:val="0"/>
                <w:sz w:val="26"/>
              </w:rPr>
              <w:t>الترتيب الإلكتروني (إلكترونات التكافؤ)</w:t>
            </w:r>
          </w:p>
        </w:tc>
        <w:tc>
          <w:tcPr>
            <w:tcW w:type="dxa" w:w="2268"/>
            <w:shd w:val="clear" w:color="auto" w:fill="FAE2D5"/>
          </w:tcPr>
          <w:p>
            <w:pPr>
              <w:bidi/>
            </w:pPr>
            <w:r/>
            <w:r>
              <w:rPr>
                <w:rFonts w:ascii="Arial" w:hAnsi="Arial" w:cs="Arial"/>
                <w:b/>
                <w:sz w:val="26"/>
              </w:rPr>
              <w:t>الدرس</w:t>
            </w:r>
          </w:p>
        </w:tc>
      </w:tr>
    </w:tbl>
    <w:p>
      <w:pPr>
        <w:bidi/>
      </w:pPr>
    </w:p>
    <w:tbl>
      <w:tblPr>
        <w:tblStyle w:val="TableGrid"/>
        <w:tblW w:type="auto" w:w="0"/>
        <w:tblLayout w:type="fixed"/>
        <w:tblLook w:firstColumn="1" w:firstRow="1" w:lastColumn="0" w:lastRow="0" w:noHBand="0" w:noVBand="1" w:val="04A0"/>
        <w:bidiVisual/>
      </w:tblPr>
      <w:tblGrid>
        <w:gridCol w:w="4513"/>
        <w:gridCol w:w="4513"/>
      </w:tblGrid>
      <w:tr>
        <w:tc>
          <w:tcPr>
            <w:tcW w:type="dxa" w:w="1984"/>
            <w:shd w:val="clear" w:color="auto" w:fill="FAE2D5"/>
          </w:tcPr>
          <w:p>
            <w:pPr>
              <w:bidi/>
            </w:pPr>
            <w:r/>
            <w:r>
              <w:rPr>
                <w:rFonts w:ascii="Arial" w:hAnsi="Arial" w:cs="Arial"/>
                <w:b/>
                <w:sz w:val="26"/>
              </w:rPr>
              <w:t>الأهداف السلوكية:</w:t>
            </w:r>
          </w:p>
        </w:tc>
        <w:tc>
          <w:tcPr>
            <w:tcW w:type="dxa" w:w="7370"/>
            <w:shd w:val="clear" w:color="auto" w:fill="FAE2D5"/>
          </w:tcPr>
          <w:p>
            <w:pPr>
              <w:bidi/>
            </w:pPr>
            <w:r/>
            <w:r>
              <w:rPr>
                <w:rFonts w:ascii="Arial" w:hAnsi="Arial" w:cs="Arial"/>
                <w:b/>
                <w:sz w:val="26"/>
              </w:rPr>
              <w:t>بعد الانتهاء من الدرس ستكون المتعلمة قادرة على أن:</w:t>
            </w:r>
          </w:p>
        </w:tc>
      </w:tr>
      <w:tr>
        <w:tc>
          <w:tcPr>
            <w:tcW w:type="dxa" w:w="1984"/>
            <w:shd w:val="clear" w:color="auto" w:fill="FAE2D5"/>
          </w:tcPr>
          <w:p>
            <w:pPr>
              <w:bidi/>
            </w:pPr>
            <w:r/>
            <w:r>
              <w:rPr>
                <w:rFonts w:ascii="Arial" w:hAnsi="Arial" w:cs="Arial"/>
                <w:b/>
                <w:sz w:val="26"/>
              </w:rPr>
              <w:t>الأهداف المعرفية:</w:t>
            </w:r>
          </w:p>
        </w:tc>
        <w:tc>
          <w:tcPr>
            <w:tcW w:type="dxa" w:w="7370"/>
          </w:tcPr>
          <w:p>
            <w:pPr>
              <w:bidi/>
            </w:pPr>
            <w:r/>
            <w:r>
              <w:rPr>
                <w:rFonts w:ascii="Arial" w:hAnsi="Arial" w:cs="Arial"/>
                <w:b w:val="0"/>
                <w:sz w:val="26"/>
              </w:rPr>
              <w:t>1. تعرّف مفهوم التكافؤ وإلكترونات التكافؤ تعريفًا علميًا دقيقًا.</w:t>
            </w:r>
          </w:p>
          <w:p>
            <w:pPr>
              <w:bidi/>
            </w:pPr>
            <w:r>
              <w:rPr>
                <w:rFonts w:ascii="Arial" w:hAnsi="Arial" w:cs="Arial"/>
                <w:b w:val="0"/>
                <w:sz w:val="26"/>
              </w:rPr>
              <w:t>2. تحدد عدد إلكترونات التكافؤ للذرة من توزيعها الإلكتروني حسب مستويات الطاقة الرئيسية.</w:t>
            </w:r>
          </w:p>
          <w:p>
            <w:pPr>
              <w:bidi/>
            </w:pPr>
            <w:r>
              <w:rPr>
                <w:rFonts w:ascii="Arial" w:hAnsi="Arial" w:cs="Arial"/>
                <w:b w:val="0"/>
                <w:sz w:val="26"/>
              </w:rPr>
              <w:t>3. تستنتج عدد إلكترونات التكافؤ لعناصر المجموعات الممثلة من رقم المجموعة.</w:t>
            </w:r>
          </w:p>
          <w:p>
            <w:pPr>
              <w:bidi/>
            </w:pPr>
            <w:r>
              <w:rPr>
                <w:rFonts w:ascii="Arial" w:hAnsi="Arial" w:cs="Arial"/>
                <w:b w:val="0"/>
                <w:sz w:val="26"/>
              </w:rPr>
              <w:t>4. تعلل عدم ذكر تكافؤ عناصر المجموعة 14 وعناصر المجموعة 18.</w:t>
            </w:r>
          </w:p>
        </w:tc>
      </w:tr>
      <w:tr>
        <w:tc>
          <w:tcPr>
            <w:tcW w:type="dxa" w:w="1984"/>
            <w:shd w:val="clear" w:color="auto" w:fill="FAE2D5"/>
          </w:tcPr>
          <w:p>
            <w:pPr>
              <w:bidi/>
            </w:pPr>
            <w:r/>
            <w:r>
              <w:rPr>
                <w:rFonts w:ascii="Arial" w:hAnsi="Arial" w:cs="Arial"/>
                <w:b/>
                <w:sz w:val="26"/>
              </w:rPr>
              <w:t>الأهداف المهارية:</w:t>
            </w:r>
          </w:p>
        </w:tc>
        <w:tc>
          <w:tcPr>
            <w:tcW w:type="dxa" w:w="7370"/>
          </w:tcPr>
          <w:p>
            <w:pPr>
              <w:bidi/>
            </w:pPr>
            <w:r/>
            <w:r>
              <w:rPr>
                <w:rFonts w:ascii="Arial" w:hAnsi="Arial" w:cs="Arial"/>
                <w:b w:val="0"/>
                <w:sz w:val="26"/>
              </w:rPr>
              <w:t>1. تحدد إلكترونات التكافؤ والتكافؤ لعناصر الدورة الثانية (Li – F) من توزيعها الإلكتروني.</w:t>
            </w:r>
          </w:p>
          <w:p>
            <w:pPr>
              <w:bidi/>
            </w:pPr>
            <w:r>
              <w:rPr>
                <w:rFonts w:ascii="Arial" w:hAnsi="Arial" w:cs="Arial"/>
                <w:b w:val="0"/>
                <w:sz w:val="26"/>
              </w:rPr>
              <w:t>2. تفرّق بين إلكترونات التكافؤ والتكافؤ في الجدول المعطى.</w:t>
            </w:r>
          </w:p>
        </w:tc>
      </w:tr>
      <w:tr>
        <w:tc>
          <w:tcPr>
            <w:tcW w:type="dxa" w:w="1984"/>
            <w:shd w:val="clear" w:color="auto" w:fill="FAE2D5"/>
          </w:tcPr>
          <w:p>
            <w:pPr>
              <w:bidi/>
            </w:pPr>
            <w:r/>
            <w:r>
              <w:rPr>
                <w:rFonts w:ascii="Arial" w:hAnsi="Arial" w:cs="Arial"/>
                <w:b/>
                <w:sz w:val="26"/>
              </w:rPr>
              <w:t>الأهداف الوجدانية:</w:t>
            </w:r>
          </w:p>
        </w:tc>
        <w:tc>
          <w:tcPr>
            <w:tcW w:type="dxa" w:w="7370"/>
          </w:tcPr>
          <w:p>
            <w:pPr>
              <w:bidi/>
            </w:pPr>
            <w:r/>
            <w:r>
              <w:rPr>
                <w:rFonts w:ascii="Arial" w:hAnsi="Arial" w:cs="Arial"/>
                <w:b w:val="0"/>
                <w:sz w:val="26"/>
              </w:rPr>
              <w:t>1. تقدّر دقة التنظيم العلمي لعناصر الجدول الدوري.</w:t>
            </w:r>
          </w:p>
          <w:p>
            <w:pPr>
              <w:bidi/>
            </w:pPr>
            <w:r>
              <w:rPr>
                <w:rFonts w:ascii="Arial" w:hAnsi="Arial" w:cs="Arial"/>
                <w:b w:val="0"/>
                <w:sz w:val="26"/>
              </w:rPr>
              <w:t>2. تشارك زميلاتها الأنشطة بروح الفريق والتعاون.</w:t>
            </w:r>
          </w:p>
          <w:p>
            <w:pPr>
              <w:bidi/>
            </w:pPr>
            <w:r>
              <w:rPr>
                <w:rFonts w:ascii="Arial" w:hAnsi="Arial" w:cs="Arial"/>
                <w:b w:val="0"/>
                <w:sz w:val="26"/>
              </w:rPr>
              <w:t>3. تقدّر جهود العلماء في تطوير مفهوم التكافؤ.</w:t>
            </w:r>
          </w:p>
        </w:tc>
      </w:tr>
    </w:tbl>
    <w:p>
      <w:pPr>
        <w:bidi/>
      </w:pPr>
    </w:p>
    <w:tbl>
      <w:tblPr>
        <w:tblStyle w:val="TableGrid"/>
        <w:tblW w:type="auto" w:w="0"/>
        <w:tblLayout w:type="fixed"/>
        <w:tblLook w:firstColumn="1" w:firstRow="1" w:lastColumn="0" w:lastRow="0" w:noHBand="0" w:noVBand="1" w:val="04A0"/>
        <w:bidiVisual/>
      </w:tblPr>
      <w:tblGrid>
        <w:gridCol w:w="4513"/>
        <w:gridCol w:w="4513"/>
      </w:tblGrid>
      <w:tr>
        <w:tc>
          <w:tcPr>
            <w:tcW w:type="dxa" w:w="7087"/>
          </w:tcPr>
          <w:p>
            <w:pPr>
              <w:bidi/>
            </w:pPr>
            <w:r/>
            <w:r>
              <w:rPr>
                <w:rFonts w:ascii="Arial" w:hAnsi="Arial" w:cs="Arial"/>
                <w:b w:val="0"/>
                <w:sz w:val="26"/>
              </w:rPr>
              <w:t>الكتاب المدرسي – البطاقات التشجيعية – الشاشة الذكية – الجدول الدوري</w:t>
            </w:r>
          </w:p>
        </w:tc>
        <w:tc>
          <w:tcPr>
            <w:tcW w:type="dxa" w:w="2268"/>
            <w:shd w:val="clear" w:color="auto" w:fill="FAE2D5"/>
          </w:tcPr>
          <w:p>
            <w:pPr>
              <w:bidi/>
            </w:pPr>
            <w:r/>
            <w:r>
              <w:rPr>
                <w:rFonts w:ascii="Arial" w:hAnsi="Arial" w:cs="Arial"/>
                <w:b/>
                <w:sz w:val="26"/>
              </w:rPr>
              <w:t>الوسائل التعليمية:</w:t>
            </w:r>
          </w:p>
        </w:tc>
      </w:tr>
      <w:tr>
        <w:tc>
          <w:tcPr>
            <w:tcW w:type="dxa" w:w="7087"/>
          </w:tcPr>
          <w:p>
            <w:pPr>
              <w:bidi/>
            </w:pPr>
            <w:r/>
            <w:r>
              <w:rPr>
                <w:rFonts w:ascii="Arial" w:hAnsi="Arial" w:cs="Arial"/>
                <w:b w:val="0"/>
                <w:sz w:val="26"/>
              </w:rPr>
              <w:t>مجموعات من 4-5 متعلمات على شكل حرف U</w:t>
            </w:r>
          </w:p>
        </w:tc>
        <w:tc>
          <w:tcPr>
            <w:tcW w:type="dxa" w:w="2268"/>
            <w:shd w:val="clear" w:color="auto" w:fill="FAE2D5"/>
          </w:tcPr>
          <w:p>
            <w:pPr>
              <w:bidi/>
            </w:pPr>
            <w:r/>
            <w:r>
              <w:rPr>
                <w:rFonts w:ascii="Arial" w:hAnsi="Arial" w:cs="Arial"/>
                <w:b/>
                <w:sz w:val="26"/>
              </w:rPr>
              <w:t>نظام الجلسة:</w:t>
            </w:r>
          </w:p>
        </w:tc>
      </w:tr>
    </w:tbl>
    <w:p>
      <w:pPr>
        <w:bidi/>
      </w:pPr>
    </w:p>
    <w:tbl>
      <w:tblPr>
        <w:tblStyle w:val="TableGrid"/>
        <w:tblW w:type="auto" w:w="0"/>
        <w:tblLayout w:type="fixed"/>
        <w:tblLook w:firstColumn="1" w:firstRow="1" w:lastColumn="0" w:lastRow="0" w:noHBand="0" w:noVBand="1" w:val="04A0"/>
        <w:bidiVisual/>
      </w:tblPr>
      <w:tblGrid>
        <w:gridCol w:w="9026"/>
      </w:tblGrid>
      <w:tr>
        <w:tc>
          <w:tcPr>
            <w:tcW w:type="dxa" w:w="9354"/>
            <w:shd w:val="clear" w:color="auto" w:fill="FAE2D5"/>
          </w:tcPr>
          <w:p>
            <w:pPr>
              <w:bidi/>
            </w:pPr>
            <w:r/>
            <w:r>
              <w:rPr>
                <w:rFonts w:ascii="Arial" w:hAnsi="Arial" w:cs="Arial"/>
                <w:b/>
                <w:sz w:val="28"/>
              </w:rPr>
              <w:t>المرحلة الأولى: التقديم والتحفيز</w:t>
            </w:r>
          </w:p>
        </w:tc>
      </w:tr>
    </w:tbl>
    <w:p>
      <w:pPr>
        <w:bidi/>
      </w:pPr>
    </w:p>
    <w:tbl>
      <w:tblPr>
        <w:tblStyle w:val="TableGrid"/>
        <w:tblW w:type="auto" w:w="0"/>
        <w:tblLayout w:type="fixed"/>
        <w:tblLook w:firstColumn="1" w:firstRow="1" w:lastColumn="0" w:lastRow="0" w:noHBand="0" w:noVBand="1" w:val="04A0"/>
        <w:bidiVisual/>
      </w:tblPr>
      <w:tblGrid>
        <w:gridCol w:w="4513"/>
        <w:gridCol w:w="4513"/>
      </w:tblGrid>
      <w:tr>
        <w:tc>
          <w:tcPr>
            <w:tcW w:type="dxa" w:w="7087"/>
            <w:shd w:val="clear" w:color="auto" w:fill="FAE2D5"/>
          </w:tcPr>
          <w:p>
            <w:pPr>
              <w:bidi/>
            </w:pPr>
            <w:r/>
            <w:r>
              <w:rPr>
                <w:rFonts w:ascii="Arial" w:hAnsi="Arial" w:cs="Arial"/>
                <w:b/>
                <w:sz w:val="26"/>
              </w:rPr>
              <w:t>تأمل الصورة الافتتاحية: نقاط حول رموز العناصر</w:t>
            </w:r>
          </w:p>
        </w:tc>
        <w:tc>
          <w:tcPr>
            <w:tcW w:type="dxa" w:w="2268"/>
            <w:shd w:val="clear" w:color="auto" w:fill="FAE2D5"/>
          </w:tcPr>
          <w:p>
            <w:pPr>
              <w:bidi/>
            </w:pPr>
            <w:r/>
            <w:r>
              <w:rPr>
                <w:rFonts w:ascii="Arial" w:hAnsi="Arial" w:cs="Arial"/>
                <w:b/>
                <w:sz w:val="26"/>
              </w:rPr>
              <w:t>النشاط رقم 1</w:t>
            </w:r>
          </w:p>
        </w:tc>
      </w:tr>
      <w:tr>
        <w:tc>
          <w:tcPr>
            <w:tcW w:type="dxa" w:w="9355"/>
            <w:gridSpan w:val="2"/>
          </w:tcPr>
          <w:p>
            <w:pPr>
              <w:bidi/>
            </w:pPr>
            <w:r/>
            <w:r>
              <w:rPr>
                <w:rFonts w:ascii="Arial" w:hAnsi="Arial" w:cs="Arial"/>
                <w:b w:val="0"/>
                <w:sz w:val="26"/>
              </w:rPr>
              <w:t>استراتيجية: (العدسة السحرية والتساؤل)</w:t>
            </w:r>
          </w:p>
          <w:p>
            <w:pPr>
              <w:bidi/>
            </w:pPr>
            <w:r>
              <w:rPr>
                <w:rFonts w:ascii="Arial" w:hAnsi="Arial" w:cs="Arial"/>
                <w:b w:val="0"/>
                <w:sz w:val="26"/>
              </w:rPr>
              <w:t>يحقق الهدف المعرفي 1          الزمن: 5 د</w:t>
            </w:r>
          </w:p>
        </w:tc>
      </w:tr>
      <w:tr>
        <w:tc>
          <w:tcPr>
            <w:tcW w:type="dxa" w:w="9355"/>
            <w:gridSpan w:val="2"/>
          </w:tcPr>
          <w:p>
            <w:pPr>
              <w:bidi/>
            </w:pPr>
            <w:r/>
            <w:r>
              <w:rPr>
                <w:rFonts w:ascii="Arial" w:hAnsi="Arial" w:cs="Arial"/>
                <w:b w:val="0"/>
                <w:sz w:val="26"/>
              </w:rPr>
              <w:t>أعرض الصورة الافتتاحية للدرس (الجدول الدوري وعليه نقاط حول رموز العناصر)، ثم أطرح الأسئلة الاستقصائية التالية: ماذا تمثل هذه النقاط؟ وكيف نستطيع استنتاجها؟ ومن العالم الذي ابتكر هذه الطريقة؟</w:t>
            </w:r>
          </w:p>
          <w:p>
            <w:pPr>
              <w:bidi/>
            </w:pPr>
            <w:r>
              <w:rPr>
                <w:rFonts w:ascii="Arial" w:hAnsi="Arial" w:cs="Arial"/>
                <w:b w:val="0"/>
                <w:sz w:val="26"/>
              </w:rPr>
              <w:t>والسؤال الأهم: كيف سنستفيد منها في دراستنا للروابط الكيميائية؟ أناقش إجابات الطالبات، ثم أوضح أن هذه النقاط تمثل إلكترونات التكافؤ.</w:t>
            </w:r>
          </w:p>
        </w:tc>
      </w:tr>
    </w:tbl>
    <w:p>
      <w:pPr>
        <w:bidi/>
      </w:pPr>
    </w:p>
    <w:tbl>
      <w:tblPr>
        <w:tblStyle w:val="TableGrid"/>
        <w:tblW w:type="auto" w:w="0"/>
        <w:tblLayout w:type="fixed"/>
        <w:tblLook w:firstColumn="1" w:firstRow="1" w:lastColumn="0" w:lastRow="0" w:noHBand="0" w:noVBand="1" w:val="04A0"/>
        <w:bidiVisual/>
      </w:tblPr>
      <w:tblGrid>
        <w:gridCol w:w="9026"/>
      </w:tblGrid>
      <w:tr>
        <w:tc>
          <w:tcPr>
            <w:tcW w:type="dxa" w:w="9354"/>
            <w:shd w:val="clear" w:color="auto" w:fill="FAE2D5"/>
          </w:tcPr>
          <w:p>
            <w:pPr>
              <w:bidi/>
            </w:pPr>
            <w:r/>
            <w:r>
              <w:rPr>
                <w:rFonts w:ascii="Arial" w:hAnsi="Arial" w:cs="Arial"/>
                <w:b/>
                <w:sz w:val="28"/>
              </w:rPr>
              <w:t>المرحلة الثانية: الاستكشاف والتعلم</w:t>
            </w:r>
          </w:p>
        </w:tc>
      </w:tr>
    </w:tbl>
    <w:p>
      <w:pPr>
        <w:bidi/>
      </w:pPr>
    </w:p>
    <w:tbl>
      <w:tblPr>
        <w:tblStyle w:val="TableGrid"/>
        <w:tblW w:type="auto" w:w="0"/>
        <w:tblLayout w:type="fixed"/>
        <w:tblLook w:firstColumn="1" w:firstRow="1" w:lastColumn="0" w:lastRow="0" w:noHBand="0" w:noVBand="1" w:val="04A0"/>
        <w:bidiVisual/>
      </w:tblPr>
      <w:tblGrid>
        <w:gridCol w:w="4513"/>
        <w:gridCol w:w="4513"/>
      </w:tblGrid>
      <w:tr>
        <w:tc>
          <w:tcPr>
            <w:tcW w:type="dxa" w:w="7087"/>
            <w:shd w:val="clear" w:color="auto" w:fill="FAE2D5"/>
          </w:tcPr>
          <w:p>
            <w:pPr>
              <w:bidi/>
            </w:pPr>
            <w:r/>
            <w:r>
              <w:rPr>
                <w:rFonts w:ascii="Arial" w:hAnsi="Arial" w:cs="Arial"/>
                <w:b/>
                <w:sz w:val="26"/>
              </w:rPr>
              <w:t>إلكترونات التكافؤ والتكافؤ</w:t>
            </w:r>
          </w:p>
        </w:tc>
        <w:tc>
          <w:tcPr>
            <w:tcW w:type="dxa" w:w="2268"/>
            <w:shd w:val="clear" w:color="auto" w:fill="FAE2D5"/>
          </w:tcPr>
          <w:p>
            <w:pPr>
              <w:bidi/>
            </w:pPr>
            <w:r/>
            <w:r>
              <w:rPr>
                <w:rFonts w:ascii="Arial" w:hAnsi="Arial" w:cs="Arial"/>
                <w:b/>
                <w:sz w:val="26"/>
              </w:rPr>
              <w:t>النشاط رقم 2</w:t>
            </w:r>
          </w:p>
        </w:tc>
      </w:tr>
      <w:tr>
        <w:tc>
          <w:tcPr>
            <w:tcW w:type="dxa" w:w="9355"/>
            <w:gridSpan w:val="2"/>
          </w:tcPr>
          <w:p>
            <w:pPr>
              <w:bidi/>
            </w:pPr>
            <w:r/>
            <w:r>
              <w:rPr>
                <w:rFonts w:ascii="Arial" w:hAnsi="Arial" w:cs="Arial"/>
                <w:b w:val="0"/>
                <w:sz w:val="26"/>
              </w:rPr>
              <w:t>استراتيجية: (التعلم بالاستقصاء، المحقق العلمي)</w:t>
            </w:r>
          </w:p>
          <w:p>
            <w:pPr>
              <w:bidi/>
            </w:pPr>
            <w:r>
              <w:rPr>
                <w:rFonts w:ascii="Arial" w:hAnsi="Arial" w:cs="Arial"/>
                <w:b w:val="0"/>
                <w:sz w:val="26"/>
              </w:rPr>
              <w:t>يحقق الهدف المعرفي 1، 2 والهدف المهاري 1          الزمن: 10 د</w:t>
            </w:r>
          </w:p>
        </w:tc>
      </w:tr>
      <w:tr>
        <w:tc>
          <w:tcPr>
            <w:tcW w:type="dxa" w:w="9355"/>
            <w:gridSpan w:val="2"/>
          </w:tcPr>
          <w:p>
            <w:pPr>
              <w:bidi/>
            </w:pPr>
            <w:r/>
            <w:r>
              <w:rPr>
                <w:rFonts w:ascii="Arial" w:hAnsi="Arial" w:cs="Arial"/>
                <w:b w:val="0"/>
                <w:sz w:val="26"/>
              </w:rPr>
              <w:t>أعرض شكل (24) وأوجّه الطالبات لاستنتاج أن مستوى التكافؤ هو أعلى مستوى طاقة رئيسي تمتلئ فيه إلكترونات الذرة، وأن إلكترونات التكافؤ هي الإلكترونات الموجودة فيه، وهي المستخدمة في التفاعل والارتباط.</w:t>
            </w:r>
          </w:p>
          <w:p>
            <w:pPr>
              <w:bidi/>
            </w:pPr>
            <w:r>
              <w:rPr>
                <w:rFonts w:ascii="Arial" w:hAnsi="Arial" w:cs="Arial"/>
                <w:b w:val="0"/>
                <w:sz w:val="26"/>
              </w:rPr>
              <w:t>ثم أوجّههن لاستنتاج أن التكافؤ هو عدد الإلكترونات التي تفقدها الذرة أو تكتسبها أو تشارك بها للوصول إلى الاستقرار. وأطلب من كل مجموعة كتابة التوزيع الإلكتروني لعنصر الليثيوم (2,1) وتحديد إلكترونات التكافؤ فيه.</w:t>
            </w:r>
          </w:p>
        </w:tc>
      </w:tr>
    </w:tbl>
    <w:p>
      <w:pPr>
        <w:bidi/>
      </w:pPr>
    </w:p>
    <w:tbl>
      <w:tblPr>
        <w:tblStyle w:val="TableGrid"/>
        <w:tblW w:type="auto" w:w="0"/>
        <w:tblLayout w:type="fixed"/>
        <w:tblLook w:firstColumn="1" w:firstRow="1" w:lastColumn="0" w:lastRow="0" w:noHBand="0" w:noVBand="1" w:val="04A0"/>
        <w:bidiVisual/>
      </w:tblPr>
      <w:tblGrid>
        <w:gridCol w:w="4513"/>
        <w:gridCol w:w="4513"/>
      </w:tblGrid>
      <w:tr>
        <w:tc>
          <w:tcPr>
            <w:tcW w:type="dxa" w:w="7087"/>
            <w:shd w:val="clear" w:color="auto" w:fill="FAE2D5"/>
          </w:tcPr>
          <w:p>
            <w:pPr>
              <w:bidi/>
            </w:pPr>
            <w:r/>
            <w:r>
              <w:rPr>
                <w:rFonts w:ascii="Arial" w:hAnsi="Arial" w:cs="Arial"/>
                <w:b/>
                <w:sz w:val="26"/>
              </w:rPr>
              <w:t>إكمال جدول التكافؤ لعناصر الدورة الثانية</w:t>
            </w:r>
          </w:p>
        </w:tc>
        <w:tc>
          <w:tcPr>
            <w:tcW w:type="dxa" w:w="2268"/>
            <w:shd w:val="clear" w:color="auto" w:fill="FAE2D5"/>
          </w:tcPr>
          <w:p>
            <w:pPr>
              <w:bidi/>
            </w:pPr>
            <w:r/>
            <w:r>
              <w:rPr>
                <w:rFonts w:ascii="Arial" w:hAnsi="Arial" w:cs="Arial"/>
                <w:b/>
                <w:sz w:val="26"/>
              </w:rPr>
              <w:t>النشاط رقم 3</w:t>
            </w:r>
          </w:p>
        </w:tc>
      </w:tr>
      <w:tr>
        <w:tc>
          <w:tcPr>
            <w:tcW w:type="dxa" w:w="9355"/>
            <w:gridSpan w:val="2"/>
          </w:tcPr>
          <w:p>
            <w:pPr>
              <w:bidi/>
            </w:pPr>
            <w:r/>
            <w:r>
              <w:rPr>
                <w:rFonts w:ascii="Arial" w:hAnsi="Arial" w:cs="Arial"/>
                <w:b w:val="0"/>
                <w:sz w:val="26"/>
              </w:rPr>
              <w:t>استراتيجية: (تحليل البيانات، التعلم التعاوني)</w:t>
            </w:r>
          </w:p>
          <w:p>
            <w:pPr>
              <w:bidi/>
            </w:pPr>
            <w:r>
              <w:rPr>
                <w:rFonts w:ascii="Arial" w:hAnsi="Arial" w:cs="Arial"/>
                <w:b w:val="0"/>
                <w:sz w:val="26"/>
              </w:rPr>
              <w:t>يحقق الهدف المهاري 1، 2 والهدف الوجداني 2          الزمن: 10 د</w:t>
            </w:r>
          </w:p>
        </w:tc>
      </w:tr>
      <w:tr>
        <w:tc>
          <w:tcPr>
            <w:tcW w:type="dxa" w:w="9355"/>
            <w:gridSpan w:val="2"/>
          </w:tcPr>
          <w:p>
            <w:pPr>
              <w:bidi/>
            </w:pPr>
            <w:r/>
            <w:r>
              <w:rPr>
                <w:rFonts w:ascii="Arial" w:hAnsi="Arial" w:cs="Arial"/>
                <w:b w:val="0"/>
                <w:sz w:val="26"/>
              </w:rPr>
              <w:t>أطلب من المجموعات إكمال جدول (تمرين 1) للعناصر Li، Be، B، N، O، F بكتابة التوزيع الإلكتروني حسب مستويات الطاقة الرئيسية، ثم تحديد إلكترونات التكافؤ، ثم التكافؤ.</w:t>
            </w:r>
          </w:p>
          <w:p>
            <w:pPr>
              <w:bidi/>
            </w:pPr>
            <w:r>
              <w:rPr>
                <w:rFonts w:ascii="Arial" w:hAnsi="Arial" w:cs="Arial"/>
                <w:b w:val="0"/>
                <w:sz w:val="26"/>
              </w:rPr>
              <w:t>أوجّه الطالبات لملاحظة أن التكافؤ يساوي إلكترونات التكافؤ إذا كانت أقل من أو تساوي 4، وأنه يساوي 8 − إلكترونات التكافؤ إذا كانت أكبر من 4 (النيتروجين 5 ← 3، الأكسجين 6 ← 2، الفلور 7 ← 1). أناقش الحلول، ثم أطرح: ما العلاقة بين رقم المجموعة وعدد إلكترونات التكافؤ؟</w:t>
            </w:r>
          </w:p>
        </w:tc>
      </w:tr>
    </w:tbl>
    <w:p>
      <w:pPr>
        <w:bidi/>
      </w:pPr>
    </w:p>
    <w:tbl>
      <w:tblPr>
        <w:tblStyle w:val="TableGrid"/>
        <w:tblW w:type="auto" w:w="0"/>
        <w:tblLayout w:type="fixed"/>
        <w:tblLook w:firstColumn="1" w:firstRow="1" w:lastColumn="0" w:lastRow="0" w:noHBand="0" w:noVBand="1" w:val="04A0"/>
        <w:bidiVisual/>
      </w:tblPr>
      <w:tblGrid>
        <w:gridCol w:w="4513"/>
        <w:gridCol w:w="4513"/>
      </w:tblGrid>
      <w:tr>
        <w:tc>
          <w:tcPr>
            <w:tcW w:type="dxa" w:w="7087"/>
            <w:shd w:val="clear" w:color="auto" w:fill="FAE2D5"/>
          </w:tcPr>
          <w:p>
            <w:pPr>
              <w:bidi/>
            </w:pPr>
            <w:r/>
            <w:r>
              <w:rPr>
                <w:rFonts w:ascii="Arial" w:hAnsi="Arial" w:cs="Arial"/>
                <w:b/>
                <w:sz w:val="26"/>
              </w:rPr>
              <w:t>لغز المجموعتين 14 و18</w:t>
            </w:r>
          </w:p>
        </w:tc>
        <w:tc>
          <w:tcPr>
            <w:tcW w:type="dxa" w:w="2268"/>
            <w:shd w:val="clear" w:color="auto" w:fill="FAE2D5"/>
          </w:tcPr>
          <w:p>
            <w:pPr>
              <w:bidi/>
            </w:pPr>
            <w:r/>
            <w:r>
              <w:rPr>
                <w:rFonts w:ascii="Arial" w:hAnsi="Arial" w:cs="Arial"/>
                <w:b/>
                <w:sz w:val="26"/>
              </w:rPr>
              <w:t>النشاط رقم 4</w:t>
            </w:r>
          </w:p>
        </w:tc>
      </w:tr>
      <w:tr>
        <w:tc>
          <w:tcPr>
            <w:tcW w:type="dxa" w:w="9355"/>
            <w:gridSpan w:val="2"/>
          </w:tcPr>
          <w:p>
            <w:pPr>
              <w:bidi/>
            </w:pPr>
            <w:r/>
            <w:r>
              <w:rPr>
                <w:rFonts w:ascii="Arial" w:hAnsi="Arial" w:cs="Arial"/>
                <w:b w:val="0"/>
                <w:sz w:val="26"/>
              </w:rPr>
              <w:t>استراتيجية: (النمذجة، السبب والنتيجة)</w:t>
            </w:r>
          </w:p>
          <w:p>
            <w:pPr>
              <w:bidi/>
            </w:pPr>
            <w:r>
              <w:rPr>
                <w:rFonts w:ascii="Arial" w:hAnsi="Arial" w:cs="Arial"/>
                <w:b w:val="0"/>
                <w:sz w:val="26"/>
              </w:rPr>
              <w:t>يحقق الهدف المعرفي 3، 4 والهدف الوجداني 2          الزمن: 10 د</w:t>
            </w:r>
          </w:p>
        </w:tc>
      </w:tr>
      <w:tr>
        <w:tc>
          <w:tcPr>
            <w:tcW w:type="dxa" w:w="9355"/>
            <w:gridSpan w:val="2"/>
          </w:tcPr>
          <w:p>
            <w:pPr>
              <w:bidi/>
            </w:pPr>
            <w:r/>
            <w:r>
              <w:rPr>
                <w:rFonts w:ascii="Arial" w:hAnsi="Arial" w:cs="Arial"/>
                <w:b w:val="0"/>
                <w:sz w:val="26"/>
              </w:rPr>
              <w:t>أوضح للطالبات أن عناصر المجموعة 14 (الكربون، السيليكون، الجرمانيوم، القصدير، الرصاص) لا يُذكر لها تكافؤ ثابت لأنها متغيرة وليس ثابتة.</w:t>
            </w:r>
          </w:p>
          <w:p>
            <w:pPr>
              <w:bidi/>
            </w:pPr>
            <w:r>
              <w:rPr>
                <w:rFonts w:ascii="Arial" w:hAnsi="Arial" w:cs="Arial"/>
                <w:b w:val="0"/>
                <w:sz w:val="26"/>
              </w:rPr>
              <w:t>وأن عناصر المجموعة 18 (الهيليوم، النيون، الأرجون، الكريبتون، الزينون، الرادون) لا يُذكر لها تكافؤ لأن مستوى طاقتها الرئيسي الخارجي ممتلئ ومستقر، فلا تميل إلى فقد أو اكتساب أو مشاركة الإلكترونات. أستخدم نماذج الذرات المحسوسة للتوضيح، ثم أناقش الفرق بين إلكترونات التكافؤ والتكافؤ.</w:t>
            </w:r>
          </w:p>
        </w:tc>
      </w:tr>
    </w:tbl>
    <w:p>
      <w:pPr>
        <w:bidi/>
      </w:pPr>
    </w:p>
    <w:tbl>
      <w:tblPr>
        <w:tblStyle w:val="TableGrid"/>
        <w:tblW w:type="auto" w:w="0"/>
        <w:tblLayout w:type="fixed"/>
        <w:tblLook w:firstColumn="1" w:firstRow="1" w:lastColumn="0" w:lastRow="0" w:noHBand="0" w:noVBand="1" w:val="04A0"/>
        <w:bidiVisual/>
      </w:tblPr>
      <w:tblGrid>
        <w:gridCol w:w="9026"/>
      </w:tblGrid>
      <w:tr>
        <w:tc>
          <w:tcPr>
            <w:tcW w:type="dxa" w:w="9354"/>
            <w:shd w:val="clear" w:color="auto" w:fill="FAE2D5"/>
          </w:tcPr>
          <w:p>
            <w:pPr>
              <w:bidi/>
            </w:pPr>
            <w:r/>
            <w:r>
              <w:rPr>
                <w:rFonts w:ascii="Arial" w:hAnsi="Arial" w:cs="Arial"/>
                <w:b/>
                <w:sz w:val="28"/>
              </w:rPr>
              <w:t>المرحلة الثالثة: التعمق والتقييم</w:t>
            </w:r>
          </w:p>
        </w:tc>
      </w:tr>
    </w:tbl>
    <w:p>
      <w:pPr>
        <w:bidi/>
      </w:pPr>
    </w:p>
    <w:tbl>
      <w:tblPr>
        <w:tblStyle w:val="TableGrid"/>
        <w:tblW w:type="auto" w:w="0"/>
        <w:tblLayout w:type="fixed"/>
        <w:tblLook w:firstColumn="1" w:firstRow="1" w:lastColumn="0" w:lastRow="0" w:noHBand="0" w:noVBand="1" w:val="04A0"/>
        <w:bidiVisual/>
      </w:tblPr>
      <w:tblGrid>
        <w:gridCol w:w="9026"/>
      </w:tblGrid>
      <w:tr>
        <w:tc>
          <w:tcPr>
            <w:tcW w:type="dxa" w:w="9354"/>
            <w:shd w:val="clear" w:color="auto" w:fill="FAE2D5"/>
          </w:tcPr>
          <w:p>
            <w:pPr>
              <w:bidi/>
            </w:pPr>
            <w:r/>
            <w:r>
              <w:rPr>
                <w:rFonts w:ascii="Arial" w:hAnsi="Arial" w:cs="Arial"/>
                <w:b/>
                <w:sz w:val="26"/>
              </w:rPr>
              <w:t>التقويم الصفي: تحديد إلكترونات التكافؤ والتكافؤ</w:t>
            </w:r>
          </w:p>
        </w:tc>
      </w:tr>
      <w:tr>
        <w:tc>
          <w:tcPr>
            <w:tcW w:type="dxa" w:w="9354"/>
          </w:tcPr>
          <w:p>
            <w:pPr>
              <w:bidi/>
            </w:pPr>
            <w:r/>
            <w:r>
              <w:rPr>
                <w:rFonts w:ascii="Arial" w:hAnsi="Arial" w:cs="Arial"/>
                <w:b w:val="0"/>
                <w:sz w:val="26"/>
              </w:rPr>
              <w:t>أطلب من كل مجموعة تحديد إلكترونات التكافؤ والتكافؤ للعنصرين Cl (2,8,7) وMg (2,8,2)، وتعليل ثبات تكافؤ عناصر المجموعة 14.</w:t>
            </w:r>
          </w:p>
          <w:p>
            <w:pPr>
              <w:bidi/>
            </w:pPr>
            <w:r>
              <w:rPr>
                <w:rFonts w:ascii="Arial" w:hAnsi="Arial" w:cs="Arial"/>
                <w:b w:val="0"/>
                <w:sz w:val="26"/>
              </w:rPr>
              <w:t>ثم تحل الطالبات السؤال الأول صفحة 111 من كتاب الطالب بصورة فردية.</w:t>
            </w:r>
          </w:p>
          <w:p>
            <w:pPr>
              <w:bidi/>
            </w:pPr>
            <w:r>
              <w:rPr>
                <w:rFonts w:ascii="Arial" w:hAnsi="Arial" w:cs="Arial"/>
                <w:b w:val="0"/>
                <w:sz w:val="26"/>
              </w:rPr>
              <w:t>الزمن: 5 د</w:t>
            </w:r>
          </w:p>
          <w:p>
            <w:pPr>
              <w:bidi/>
            </w:pPr>
            <w:r>
              <w:rPr>
                <w:rFonts w:ascii="Arial" w:hAnsi="Arial" w:cs="Arial"/>
                <w:b w:val="0"/>
                <w:sz w:val="26"/>
              </w:rPr>
              <w:t>تذكرة خروج: ما الفرق بين إلكترونات التكافؤ والتكافؤ لعنصر النيتروجين؟ (5 إلكترونات تكافؤ، وتكافؤه 3)</w:t>
            </w:r>
          </w:p>
        </w:tc>
      </w:tr>
    </w:tbl>
    <w:p>
      <w:pPr>
        <w:bidi/>
      </w:pPr>
    </w:p>
    <w:tbl>
      <w:tblPr>
        <w:tblStyle w:val="TableGrid"/>
        <w:tblW w:type="auto" w:w="0"/>
        <w:tblLayout w:type="fixed"/>
        <w:tblLook w:firstColumn="1" w:firstRow="1" w:lastColumn="0" w:lastRow="0" w:noHBand="0" w:noVBand="1" w:val="04A0"/>
        <w:bidiVisual/>
      </w:tblPr>
      <w:tblGrid>
        <w:gridCol w:w="9026"/>
      </w:tblGrid>
      <w:tr>
        <w:tc>
          <w:tcPr>
            <w:tcW w:type="dxa" w:w="9354"/>
          </w:tcPr>
          <w:p>
            <w:pPr>
              <w:bidi/>
            </w:pPr>
            <w:r/>
            <w:r>
              <w:rPr>
                <w:rFonts w:ascii="Arial" w:hAnsi="Arial" w:cs="Arial"/>
                <w:b w:val="0"/>
                <w:sz w:val="26"/>
              </w:rPr>
              <w:t>التقويم اللاصفي: حل السؤال الثاني صفحة 111 (اختيار الإجابة الصحيحة) ومراجعة الإجابات.</w:t>
            </w:r>
          </w:p>
        </w:tc>
      </w:tr>
    </w:tbl>
    <w:p>
      <w:pPr>
        <w:bidi/>
      </w:pPr>
    </w:p>
    <w:tbl>
      <w:tblPr>
        <w:tblStyle w:val="TableGrid"/>
        <w:tblW w:type="auto" w:w="0"/>
        <w:tblLayout w:type="fixed"/>
        <w:tblLook w:firstColumn="1" w:firstRow="1" w:lastColumn="0" w:lastRow="0" w:noHBand="0" w:noVBand="1" w:val="04A0"/>
        <w:bidiVisual/>
      </w:tblPr>
      <w:tblGrid>
        <w:gridCol w:w="9026"/>
      </w:tblGrid>
      <w:tr>
        <w:tc>
          <w:tcPr>
            <w:tcW w:type="dxa" w:w="9354"/>
            <w:shd w:val="clear" w:color="auto" w:fill="FAE2D5"/>
          </w:tcPr>
          <w:p>
            <w:pPr>
              <w:bidi/>
            </w:pPr>
            <w:r/>
            <w:r>
              <w:rPr>
                <w:rFonts w:ascii="Arial" w:hAnsi="Arial" w:cs="Arial"/>
                <w:b/>
                <w:sz w:val="28"/>
              </w:rPr>
              <w:t>التأمل الانعكاسي</w:t>
            </w:r>
          </w:p>
        </w:tc>
      </w:tr>
    </w:tbl>
    <w:p>
      <w:pPr>
        <w:bidi/>
      </w:pPr>
    </w:p>
    <w:tbl>
      <w:tblPr>
        <w:tblStyle w:val="TableGrid"/>
        <w:tblW w:type="auto" w:w="0"/>
        <w:tblLayout w:type="fixed"/>
        <w:tblLook w:firstColumn="1" w:firstRow="1" w:lastColumn="0" w:lastRow="0" w:noHBand="0" w:noVBand="1" w:val="04A0"/>
        <w:bidiVisual/>
      </w:tblPr>
      <w:tblGrid>
        <w:gridCol w:w="3009"/>
        <w:gridCol w:w="3009"/>
        <w:gridCol w:w="3009"/>
      </w:tblGrid>
      <w:tr>
        <w:tc>
          <w:tcPr>
            <w:tcW w:type="dxa" w:w="3969"/>
          </w:tcPr>
          <w:p>
            <w:pPr>
              <w:bidi/>
            </w:pPr>
            <w:r/>
            <w:r>
              <w:rPr>
                <w:rFonts w:ascii="Arial" w:hAnsi="Arial" w:cs="Arial"/>
                <w:b w:val="0"/>
                <w:sz w:val="26"/>
              </w:rPr>
              <w:t>ملاحظات...............................</w:t>
            </w:r>
          </w:p>
        </w:tc>
        <w:tc>
          <w:tcPr>
            <w:tcW w:type="dxa" w:w="2268"/>
          </w:tcPr>
          <w:p>
            <w:pPr>
              <w:bidi/>
            </w:pPr>
            <w:r/>
            <w:r>
              <w:rPr>
                <w:rFonts w:ascii="Arial" w:hAnsi="Arial" w:cs="Arial"/>
                <w:b w:val="0"/>
                <w:sz w:val="26"/>
              </w:rPr>
              <w:t>☆ ☆ ☆ ☆ ☆</w:t>
            </w:r>
          </w:p>
        </w:tc>
        <w:tc>
          <w:tcPr>
            <w:tcW w:type="dxa" w:w="3118"/>
            <w:shd w:val="clear" w:color="auto" w:fill="FAE2D5"/>
          </w:tcPr>
          <w:p>
            <w:pPr>
              <w:bidi/>
            </w:pPr>
            <w:r/>
            <w:r>
              <w:rPr>
                <w:rFonts w:ascii="Arial" w:hAnsi="Arial" w:cs="Arial"/>
                <w:b/>
                <w:sz w:val="26"/>
              </w:rPr>
              <w:t>إعدادي الكتابي</w:t>
            </w:r>
          </w:p>
        </w:tc>
      </w:tr>
      <w:tr>
        <w:tc>
          <w:tcPr>
            <w:tcW w:type="dxa" w:w="3969"/>
          </w:tcPr>
          <w:p>
            <w:pPr>
              <w:bidi/>
            </w:pPr>
            <w:r/>
            <w:r>
              <w:rPr>
                <w:rFonts w:ascii="Arial" w:hAnsi="Arial" w:cs="Arial"/>
                <w:b w:val="0"/>
                <w:sz w:val="26"/>
              </w:rPr>
              <w:t>ملاحظات...............................</w:t>
            </w:r>
          </w:p>
        </w:tc>
        <w:tc>
          <w:tcPr>
            <w:tcW w:type="dxa" w:w="2268"/>
          </w:tcPr>
          <w:p>
            <w:pPr>
              <w:bidi/>
            </w:pPr>
            <w:r/>
            <w:r>
              <w:rPr>
                <w:rFonts w:ascii="Arial" w:hAnsi="Arial" w:cs="Arial"/>
                <w:b w:val="0"/>
                <w:sz w:val="26"/>
              </w:rPr>
              <w:t>☆ ☆ ☆ ☆ ☆</w:t>
            </w:r>
          </w:p>
        </w:tc>
        <w:tc>
          <w:tcPr>
            <w:tcW w:type="dxa" w:w="3118"/>
            <w:shd w:val="clear" w:color="auto" w:fill="FAE2D5"/>
          </w:tcPr>
          <w:p>
            <w:pPr>
              <w:bidi/>
            </w:pPr>
            <w:r/>
            <w:r>
              <w:rPr>
                <w:rFonts w:ascii="Arial" w:hAnsi="Arial" w:cs="Arial"/>
                <w:b/>
                <w:sz w:val="26"/>
              </w:rPr>
              <w:t>أدائي داخل الحصة</w:t>
            </w:r>
          </w:p>
        </w:tc>
      </w:tr>
      <w:tr>
        <w:tc>
          <w:tcPr>
            <w:tcW w:type="dxa" w:w="3969"/>
          </w:tcPr>
          <w:p>
            <w:pPr>
              <w:bidi/>
            </w:pPr>
            <w:r/>
            <w:r>
              <w:rPr>
                <w:rFonts w:ascii="Arial" w:hAnsi="Arial" w:cs="Arial"/>
                <w:b w:val="0"/>
                <w:sz w:val="26"/>
              </w:rPr>
              <w:t>ملاحظات...............................</w:t>
            </w:r>
          </w:p>
        </w:tc>
        <w:tc>
          <w:tcPr>
            <w:tcW w:type="dxa" w:w="2268"/>
          </w:tcPr>
          <w:p>
            <w:pPr>
              <w:bidi/>
            </w:pPr>
            <w:r/>
            <w:r>
              <w:rPr>
                <w:rFonts w:ascii="Arial" w:hAnsi="Arial" w:cs="Arial"/>
                <w:b w:val="0"/>
                <w:sz w:val="26"/>
              </w:rPr>
              <w:t>☆ ☆ ☆ ☆ ☆</w:t>
            </w:r>
          </w:p>
        </w:tc>
        <w:tc>
          <w:tcPr>
            <w:tcW w:type="dxa" w:w="3118"/>
            <w:shd w:val="clear" w:color="auto" w:fill="FAE2D5"/>
          </w:tcPr>
          <w:p>
            <w:pPr>
              <w:bidi/>
            </w:pPr>
            <w:r/>
            <w:r>
              <w:rPr>
                <w:rFonts w:ascii="Arial" w:hAnsi="Arial" w:cs="Arial"/>
                <w:b/>
                <w:sz w:val="26"/>
              </w:rPr>
              <w:t>مدى تنوع الأنشطة</w:t>
            </w:r>
          </w:p>
        </w:tc>
      </w:tr>
      <w:tr>
        <w:tc>
          <w:tcPr>
            <w:tcW w:type="dxa" w:w="3969"/>
          </w:tcPr>
          <w:p>
            <w:pPr>
              <w:bidi/>
            </w:pPr>
            <w:r/>
            <w:r>
              <w:rPr>
                <w:rFonts w:ascii="Arial" w:hAnsi="Arial" w:cs="Arial"/>
                <w:b w:val="0"/>
                <w:sz w:val="26"/>
              </w:rPr>
              <w:t>ملاحظات...............................</w:t>
            </w:r>
          </w:p>
        </w:tc>
        <w:tc>
          <w:tcPr>
            <w:tcW w:type="dxa" w:w="2268"/>
          </w:tcPr>
          <w:p>
            <w:pPr>
              <w:bidi/>
            </w:pPr>
            <w:r/>
            <w:r>
              <w:rPr>
                <w:rFonts w:ascii="Arial" w:hAnsi="Arial" w:cs="Arial"/>
                <w:b w:val="0"/>
                <w:sz w:val="26"/>
              </w:rPr>
              <w:t>☆ ☆ ☆ ☆ ☆</w:t>
            </w:r>
          </w:p>
        </w:tc>
        <w:tc>
          <w:tcPr>
            <w:tcW w:type="dxa" w:w="3118"/>
            <w:shd w:val="clear" w:color="auto" w:fill="FAE2D5"/>
          </w:tcPr>
          <w:p>
            <w:pPr>
              <w:bidi/>
            </w:pPr>
            <w:r/>
            <w:r>
              <w:rPr>
                <w:rFonts w:ascii="Arial" w:hAnsi="Arial" w:cs="Arial"/>
                <w:b/>
                <w:sz w:val="26"/>
              </w:rPr>
              <w:t>تفاعل المتعلمات</w:t>
            </w:r>
          </w:p>
        </w:tc>
      </w:tr>
      <w:tr>
        <w:tc>
          <w:tcPr>
            <w:tcW w:type="dxa" w:w="3969"/>
          </w:tcPr>
          <w:p>
            <w:pPr>
              <w:bidi/>
            </w:pPr>
            <w:r/>
            <w:r>
              <w:rPr>
                <w:rFonts w:ascii="Arial" w:hAnsi="Arial" w:cs="Arial"/>
                <w:b w:val="0"/>
                <w:sz w:val="26"/>
              </w:rPr>
              <w:t>ملاحظات...............................</w:t>
            </w:r>
          </w:p>
        </w:tc>
        <w:tc>
          <w:tcPr>
            <w:tcW w:type="dxa" w:w="2268"/>
          </w:tcPr>
          <w:p>
            <w:pPr>
              <w:bidi/>
            </w:pPr>
            <w:r/>
            <w:r>
              <w:rPr>
                <w:rFonts w:ascii="Arial" w:hAnsi="Arial" w:cs="Arial"/>
                <w:b w:val="0"/>
                <w:sz w:val="26"/>
              </w:rPr>
              <w:t>☆ ☆ ☆ ☆ ☆</w:t>
            </w:r>
          </w:p>
        </w:tc>
        <w:tc>
          <w:tcPr>
            <w:tcW w:type="dxa" w:w="3118"/>
            <w:shd w:val="clear" w:color="auto" w:fill="FAE2D5"/>
          </w:tcPr>
          <w:p>
            <w:pPr>
              <w:bidi/>
            </w:pPr>
            <w:r/>
            <w:r>
              <w:rPr>
                <w:rFonts w:ascii="Arial" w:hAnsi="Arial" w:cs="Arial"/>
                <w:b/>
                <w:sz w:val="26"/>
              </w:rPr>
              <w:t>تطبيق التقويم</w:t>
            </w:r>
          </w:p>
        </w:tc>
      </w:tr>
    </w:tbl>
    <w:p>
      <w:pPr>
        <w:bidi/>
      </w:pPr>
    </w:p>
    <w:sectPr w:rsidR="00422339" w:rsidRPr="00C21488" w:rsidSect="00206672">
      <w:footerReference w:type="default" r:id="rId13"/>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8D67F" w14:textId="77777777" w:rsidR="0029166A" w:rsidRDefault="0029166A" w:rsidP="00422339">
      <w:pPr>
        <w:spacing w:after="0" w:line="240" w:lineRule="auto"/>
      </w:pPr>
      <w:r>
        <w:separator/>
      </w:r>
    </w:p>
  </w:endnote>
  <w:endnote w:type="continuationSeparator" w:id="0">
    <w:p w14:paraId="04A7DF15" w14:textId="77777777" w:rsidR="0029166A" w:rsidRDefault="0029166A" w:rsidP="00422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Arial"/>
    <w:panose1 w:val="02020603050405020304"/>
    <w:charset w:val="00"/>
    <w:family w:val="roman"/>
    <w:pitch w:val="variable"/>
    <w:sig w:usb0="00000000"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l Tarikh">
    <w:altName w:val="Arial"/>
    <w:charset w:val="B2"/>
    <w:family w:val="auto"/>
    <w:pitch w:val="variable"/>
    <w:sig w:usb0="00002003" w:usb1="00000000" w:usb2="00000000" w:usb3="00000000" w:csb0="00000041"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369333"/>
      <w:docPartObj>
        <w:docPartGallery w:val="Page Numbers (Bottom of Page)"/>
        <w:docPartUnique/>
      </w:docPartObj>
    </w:sdtPr>
    <w:sdtEndPr/>
    <w:sdtContent>
      <w:p w14:paraId="2DD485BE" w14:textId="2623F8C6" w:rsidR="00422339" w:rsidRDefault="004223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0D174A" w14:textId="77777777" w:rsidR="00422339" w:rsidRDefault="00422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1E9F9" w14:textId="77777777" w:rsidR="0029166A" w:rsidRDefault="0029166A" w:rsidP="00422339">
      <w:pPr>
        <w:spacing w:after="0" w:line="240" w:lineRule="auto"/>
      </w:pPr>
      <w:r>
        <w:separator/>
      </w:r>
    </w:p>
  </w:footnote>
  <w:footnote w:type="continuationSeparator" w:id="0">
    <w:p w14:paraId="2D781D9F" w14:textId="77777777" w:rsidR="0029166A" w:rsidRDefault="0029166A" w:rsidP="00422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47.85pt;height:198.45pt;visibility:visible;mso-wrap-style:square" o:bullet="t">
        <v:imagedata r:id="rId1" o:title=""/>
      </v:shape>
    </w:pict>
  </w:numPicBullet>
  <w:abstractNum w:abstractNumId="0" w15:restartNumberingAfterBreak="0">
    <w:nsid w:val="01B34EF3"/>
    <w:multiLevelType w:val="hybridMultilevel"/>
    <w:tmpl w:val="72CC5EBA"/>
    <w:lvl w:ilvl="0" w:tplc="7A40613C">
      <w:start w:val="1"/>
      <w:numFmt w:val="decimal"/>
      <w:lvlText w:val="%1."/>
      <w:lvlJc w:val="left"/>
      <w:pPr>
        <w:ind w:left="720" w:hanging="360"/>
      </w:pPr>
      <w:rPr>
        <w:color w:val="0B769F" w:themeColor="accent4"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53183"/>
    <w:multiLevelType w:val="multilevel"/>
    <w:tmpl w:val="6E7E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429E8"/>
    <w:multiLevelType w:val="multilevel"/>
    <w:tmpl w:val="D6144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F31F8"/>
    <w:multiLevelType w:val="multilevel"/>
    <w:tmpl w:val="83921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83238"/>
    <w:multiLevelType w:val="hybridMultilevel"/>
    <w:tmpl w:val="52424472"/>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7669E0"/>
    <w:multiLevelType w:val="multilevel"/>
    <w:tmpl w:val="12F2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D8637C"/>
    <w:multiLevelType w:val="hybridMultilevel"/>
    <w:tmpl w:val="2834A35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162661"/>
    <w:multiLevelType w:val="hybridMultilevel"/>
    <w:tmpl w:val="29924564"/>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E07726"/>
    <w:multiLevelType w:val="hybridMultilevel"/>
    <w:tmpl w:val="6BA4FD62"/>
    <w:lvl w:ilvl="0" w:tplc="4EE0561E">
      <w:start w:val="1"/>
      <w:numFmt w:val="bullet"/>
      <w:lvlText w:val=""/>
      <w:lvlPicBulletId w:val="0"/>
      <w:lvlJc w:val="left"/>
      <w:pPr>
        <w:tabs>
          <w:tab w:val="num" w:pos="720"/>
        </w:tabs>
        <w:ind w:left="720" w:hanging="360"/>
      </w:pPr>
      <w:rPr>
        <w:rFonts w:ascii="Symbol" w:hAnsi="Symbol" w:hint="default"/>
      </w:rPr>
    </w:lvl>
    <w:lvl w:ilvl="1" w:tplc="1C02C008" w:tentative="1">
      <w:start w:val="1"/>
      <w:numFmt w:val="bullet"/>
      <w:lvlText w:val=""/>
      <w:lvlJc w:val="left"/>
      <w:pPr>
        <w:tabs>
          <w:tab w:val="num" w:pos="1440"/>
        </w:tabs>
        <w:ind w:left="1440" w:hanging="360"/>
      </w:pPr>
      <w:rPr>
        <w:rFonts w:ascii="Symbol" w:hAnsi="Symbol" w:hint="default"/>
      </w:rPr>
    </w:lvl>
    <w:lvl w:ilvl="2" w:tplc="7D800C8A" w:tentative="1">
      <w:start w:val="1"/>
      <w:numFmt w:val="bullet"/>
      <w:lvlText w:val=""/>
      <w:lvlJc w:val="left"/>
      <w:pPr>
        <w:tabs>
          <w:tab w:val="num" w:pos="2160"/>
        </w:tabs>
        <w:ind w:left="2160" w:hanging="360"/>
      </w:pPr>
      <w:rPr>
        <w:rFonts w:ascii="Symbol" w:hAnsi="Symbol" w:hint="default"/>
      </w:rPr>
    </w:lvl>
    <w:lvl w:ilvl="3" w:tplc="87C87DA8" w:tentative="1">
      <w:start w:val="1"/>
      <w:numFmt w:val="bullet"/>
      <w:lvlText w:val=""/>
      <w:lvlJc w:val="left"/>
      <w:pPr>
        <w:tabs>
          <w:tab w:val="num" w:pos="2880"/>
        </w:tabs>
        <w:ind w:left="2880" w:hanging="360"/>
      </w:pPr>
      <w:rPr>
        <w:rFonts w:ascii="Symbol" w:hAnsi="Symbol" w:hint="default"/>
      </w:rPr>
    </w:lvl>
    <w:lvl w:ilvl="4" w:tplc="F5F677EE" w:tentative="1">
      <w:start w:val="1"/>
      <w:numFmt w:val="bullet"/>
      <w:lvlText w:val=""/>
      <w:lvlJc w:val="left"/>
      <w:pPr>
        <w:tabs>
          <w:tab w:val="num" w:pos="3600"/>
        </w:tabs>
        <w:ind w:left="3600" w:hanging="360"/>
      </w:pPr>
      <w:rPr>
        <w:rFonts w:ascii="Symbol" w:hAnsi="Symbol" w:hint="default"/>
      </w:rPr>
    </w:lvl>
    <w:lvl w:ilvl="5" w:tplc="7D1ABFCE" w:tentative="1">
      <w:start w:val="1"/>
      <w:numFmt w:val="bullet"/>
      <w:lvlText w:val=""/>
      <w:lvlJc w:val="left"/>
      <w:pPr>
        <w:tabs>
          <w:tab w:val="num" w:pos="4320"/>
        </w:tabs>
        <w:ind w:left="4320" w:hanging="360"/>
      </w:pPr>
      <w:rPr>
        <w:rFonts w:ascii="Symbol" w:hAnsi="Symbol" w:hint="default"/>
      </w:rPr>
    </w:lvl>
    <w:lvl w:ilvl="6" w:tplc="FC84DCF8" w:tentative="1">
      <w:start w:val="1"/>
      <w:numFmt w:val="bullet"/>
      <w:lvlText w:val=""/>
      <w:lvlJc w:val="left"/>
      <w:pPr>
        <w:tabs>
          <w:tab w:val="num" w:pos="5040"/>
        </w:tabs>
        <w:ind w:left="5040" w:hanging="360"/>
      </w:pPr>
      <w:rPr>
        <w:rFonts w:ascii="Symbol" w:hAnsi="Symbol" w:hint="default"/>
      </w:rPr>
    </w:lvl>
    <w:lvl w:ilvl="7" w:tplc="DAA8F874" w:tentative="1">
      <w:start w:val="1"/>
      <w:numFmt w:val="bullet"/>
      <w:lvlText w:val=""/>
      <w:lvlJc w:val="left"/>
      <w:pPr>
        <w:tabs>
          <w:tab w:val="num" w:pos="5760"/>
        </w:tabs>
        <w:ind w:left="5760" w:hanging="360"/>
      </w:pPr>
      <w:rPr>
        <w:rFonts w:ascii="Symbol" w:hAnsi="Symbol" w:hint="default"/>
      </w:rPr>
    </w:lvl>
    <w:lvl w:ilvl="8" w:tplc="3E7EB78C"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C5F7F3C"/>
    <w:multiLevelType w:val="hybridMultilevel"/>
    <w:tmpl w:val="F7365E8C"/>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34697"/>
    <w:multiLevelType w:val="hybridMultilevel"/>
    <w:tmpl w:val="A6F485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30914B4"/>
    <w:multiLevelType w:val="hybridMultilevel"/>
    <w:tmpl w:val="EA44B9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E72BBC"/>
    <w:multiLevelType w:val="hybridMultilevel"/>
    <w:tmpl w:val="BFFE10B0"/>
    <w:lvl w:ilvl="0" w:tplc="A4EC9BC2">
      <w:start w:val="1"/>
      <w:numFmt w:val="bullet"/>
      <w:lvlText w:val="o"/>
      <w:lvlJc w:val="left"/>
      <w:pPr>
        <w:ind w:left="720" w:hanging="360"/>
      </w:pPr>
      <w:rPr>
        <w:rFonts w:ascii="Courier New" w:hAnsi="Courier New" w:cs="Courier New"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E57C9B"/>
    <w:multiLevelType w:val="hybridMultilevel"/>
    <w:tmpl w:val="FE024A9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C4379EF"/>
    <w:multiLevelType w:val="hybridMultilevel"/>
    <w:tmpl w:val="475AD9DC"/>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246E68"/>
    <w:multiLevelType w:val="hybridMultilevel"/>
    <w:tmpl w:val="9398C8E0"/>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1974CFA"/>
    <w:multiLevelType w:val="hybridMultilevel"/>
    <w:tmpl w:val="BD669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D3668A"/>
    <w:multiLevelType w:val="hybridMultilevel"/>
    <w:tmpl w:val="337EE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3804C1"/>
    <w:multiLevelType w:val="hybridMultilevel"/>
    <w:tmpl w:val="6936C254"/>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BE4C4F"/>
    <w:multiLevelType w:val="hybridMultilevel"/>
    <w:tmpl w:val="50F6868A"/>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9715FF"/>
    <w:multiLevelType w:val="hybridMultilevel"/>
    <w:tmpl w:val="60DC6850"/>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C75D83"/>
    <w:multiLevelType w:val="multilevel"/>
    <w:tmpl w:val="71CC3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587F1F"/>
    <w:multiLevelType w:val="multilevel"/>
    <w:tmpl w:val="49D8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92A5F"/>
    <w:multiLevelType w:val="hybridMultilevel"/>
    <w:tmpl w:val="5EECDEAE"/>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651688"/>
    <w:multiLevelType w:val="hybridMultilevel"/>
    <w:tmpl w:val="802471E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27417">
    <w:abstractNumId w:val="8"/>
  </w:num>
  <w:num w:numId="2" w16cid:durableId="709456558">
    <w:abstractNumId w:val="17"/>
  </w:num>
  <w:num w:numId="3" w16cid:durableId="148136507">
    <w:abstractNumId w:val="11"/>
  </w:num>
  <w:num w:numId="4" w16cid:durableId="629214181">
    <w:abstractNumId w:val="0"/>
  </w:num>
  <w:num w:numId="5" w16cid:durableId="187330438">
    <w:abstractNumId w:val="12"/>
  </w:num>
  <w:num w:numId="6" w16cid:durableId="1856797484">
    <w:abstractNumId w:val="9"/>
  </w:num>
  <w:num w:numId="7" w16cid:durableId="1080559213">
    <w:abstractNumId w:val="13"/>
  </w:num>
  <w:num w:numId="8" w16cid:durableId="1055814652">
    <w:abstractNumId w:val="20"/>
  </w:num>
  <w:num w:numId="9" w16cid:durableId="1866365180">
    <w:abstractNumId w:val="7"/>
  </w:num>
  <w:num w:numId="10" w16cid:durableId="63601679">
    <w:abstractNumId w:val="24"/>
  </w:num>
  <w:num w:numId="11" w16cid:durableId="1480269788">
    <w:abstractNumId w:val="19"/>
  </w:num>
  <w:num w:numId="12" w16cid:durableId="1542546263">
    <w:abstractNumId w:val="15"/>
  </w:num>
  <w:num w:numId="13" w16cid:durableId="1921669584">
    <w:abstractNumId w:val="10"/>
  </w:num>
  <w:num w:numId="14" w16cid:durableId="536623804">
    <w:abstractNumId w:val="23"/>
  </w:num>
  <w:num w:numId="15" w16cid:durableId="278608838">
    <w:abstractNumId w:val="14"/>
  </w:num>
  <w:num w:numId="16" w16cid:durableId="1136994492">
    <w:abstractNumId w:val="18"/>
  </w:num>
  <w:num w:numId="17" w16cid:durableId="1683819292">
    <w:abstractNumId w:val="16"/>
  </w:num>
  <w:num w:numId="18" w16cid:durableId="1707831977">
    <w:abstractNumId w:val="6"/>
  </w:num>
  <w:num w:numId="19" w16cid:durableId="4135625">
    <w:abstractNumId w:val="22"/>
  </w:num>
  <w:num w:numId="20" w16cid:durableId="2018120310">
    <w:abstractNumId w:val="5"/>
  </w:num>
  <w:num w:numId="21" w16cid:durableId="1840151486">
    <w:abstractNumId w:val="3"/>
  </w:num>
  <w:num w:numId="22" w16cid:durableId="2024699153">
    <w:abstractNumId w:val="2"/>
  </w:num>
  <w:num w:numId="23" w16cid:durableId="527640314">
    <w:abstractNumId w:val="4"/>
  </w:num>
  <w:num w:numId="24" w16cid:durableId="1177303560">
    <w:abstractNumId w:val="21"/>
  </w:num>
  <w:num w:numId="25" w16cid:durableId="599487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83E"/>
    <w:rsid w:val="00001F5A"/>
    <w:rsid w:val="00004F4B"/>
    <w:rsid w:val="0001119C"/>
    <w:rsid w:val="00013FA3"/>
    <w:rsid w:val="000164BE"/>
    <w:rsid w:val="00030359"/>
    <w:rsid w:val="000317B7"/>
    <w:rsid w:val="000426B9"/>
    <w:rsid w:val="00051461"/>
    <w:rsid w:val="000557BE"/>
    <w:rsid w:val="00062E66"/>
    <w:rsid w:val="000655C8"/>
    <w:rsid w:val="00074DCF"/>
    <w:rsid w:val="00091F36"/>
    <w:rsid w:val="0009231D"/>
    <w:rsid w:val="0009630C"/>
    <w:rsid w:val="00096EDF"/>
    <w:rsid w:val="00097ADE"/>
    <w:rsid w:val="000A2B52"/>
    <w:rsid w:val="000C3CD9"/>
    <w:rsid w:val="000C728A"/>
    <w:rsid w:val="000C79E8"/>
    <w:rsid w:val="000D3E5D"/>
    <w:rsid w:val="000D7E2D"/>
    <w:rsid w:val="000D7FCE"/>
    <w:rsid w:val="000E2F7A"/>
    <w:rsid w:val="000E5084"/>
    <w:rsid w:val="000E68FE"/>
    <w:rsid w:val="000E7869"/>
    <w:rsid w:val="000E7D8D"/>
    <w:rsid w:val="000F5A16"/>
    <w:rsid w:val="001008CD"/>
    <w:rsid w:val="001016C7"/>
    <w:rsid w:val="001110FC"/>
    <w:rsid w:val="00116288"/>
    <w:rsid w:val="00121E3D"/>
    <w:rsid w:val="00124F46"/>
    <w:rsid w:val="00141986"/>
    <w:rsid w:val="00143B63"/>
    <w:rsid w:val="001455B8"/>
    <w:rsid w:val="00147090"/>
    <w:rsid w:val="001471D5"/>
    <w:rsid w:val="0015161B"/>
    <w:rsid w:val="0015483E"/>
    <w:rsid w:val="0015577D"/>
    <w:rsid w:val="00157985"/>
    <w:rsid w:val="00163129"/>
    <w:rsid w:val="00172783"/>
    <w:rsid w:val="00175A73"/>
    <w:rsid w:val="00175C63"/>
    <w:rsid w:val="001760B3"/>
    <w:rsid w:val="00177E5A"/>
    <w:rsid w:val="00180458"/>
    <w:rsid w:val="00185F47"/>
    <w:rsid w:val="001878B4"/>
    <w:rsid w:val="001A161B"/>
    <w:rsid w:val="001A38C9"/>
    <w:rsid w:val="001B2CFC"/>
    <w:rsid w:val="001C4DB4"/>
    <w:rsid w:val="001D1068"/>
    <w:rsid w:val="001E0EEC"/>
    <w:rsid w:val="001F7478"/>
    <w:rsid w:val="00204FB7"/>
    <w:rsid w:val="00205B8A"/>
    <w:rsid w:val="00206672"/>
    <w:rsid w:val="002175D5"/>
    <w:rsid w:val="00220BE8"/>
    <w:rsid w:val="0022376F"/>
    <w:rsid w:val="00235AED"/>
    <w:rsid w:val="00240D00"/>
    <w:rsid w:val="00244A22"/>
    <w:rsid w:val="00245932"/>
    <w:rsid w:val="00283B99"/>
    <w:rsid w:val="00287FF1"/>
    <w:rsid w:val="0029166A"/>
    <w:rsid w:val="00291AB4"/>
    <w:rsid w:val="00292088"/>
    <w:rsid w:val="002A33D7"/>
    <w:rsid w:val="002B4F76"/>
    <w:rsid w:val="002B64B8"/>
    <w:rsid w:val="002C5DDE"/>
    <w:rsid w:val="002D2781"/>
    <w:rsid w:val="002E38DD"/>
    <w:rsid w:val="002E3EAA"/>
    <w:rsid w:val="002E6B9B"/>
    <w:rsid w:val="002F0063"/>
    <w:rsid w:val="003039B2"/>
    <w:rsid w:val="0031552A"/>
    <w:rsid w:val="00320EAC"/>
    <w:rsid w:val="00321196"/>
    <w:rsid w:val="00321937"/>
    <w:rsid w:val="003219F8"/>
    <w:rsid w:val="00321F66"/>
    <w:rsid w:val="00324606"/>
    <w:rsid w:val="0033030C"/>
    <w:rsid w:val="00332C60"/>
    <w:rsid w:val="003359DA"/>
    <w:rsid w:val="003433AE"/>
    <w:rsid w:val="003437AB"/>
    <w:rsid w:val="003441F3"/>
    <w:rsid w:val="003577B2"/>
    <w:rsid w:val="0037269D"/>
    <w:rsid w:val="00375C4B"/>
    <w:rsid w:val="00376CC7"/>
    <w:rsid w:val="0037793A"/>
    <w:rsid w:val="003821D4"/>
    <w:rsid w:val="00382931"/>
    <w:rsid w:val="003843B9"/>
    <w:rsid w:val="00385D14"/>
    <w:rsid w:val="00392012"/>
    <w:rsid w:val="00394BF6"/>
    <w:rsid w:val="0039582D"/>
    <w:rsid w:val="003A22E9"/>
    <w:rsid w:val="003A2FFF"/>
    <w:rsid w:val="003E0974"/>
    <w:rsid w:val="003E6E78"/>
    <w:rsid w:val="003F0BFF"/>
    <w:rsid w:val="003F148F"/>
    <w:rsid w:val="0040022E"/>
    <w:rsid w:val="00401BC1"/>
    <w:rsid w:val="0040491B"/>
    <w:rsid w:val="00405CD6"/>
    <w:rsid w:val="0041634B"/>
    <w:rsid w:val="00422339"/>
    <w:rsid w:val="00434CDE"/>
    <w:rsid w:val="004456AF"/>
    <w:rsid w:val="00467447"/>
    <w:rsid w:val="00470316"/>
    <w:rsid w:val="00473C4B"/>
    <w:rsid w:val="00486090"/>
    <w:rsid w:val="00487E09"/>
    <w:rsid w:val="00490CBE"/>
    <w:rsid w:val="0049166E"/>
    <w:rsid w:val="004A626E"/>
    <w:rsid w:val="004C2164"/>
    <w:rsid w:val="004C4BC3"/>
    <w:rsid w:val="004D1EBD"/>
    <w:rsid w:val="004D29BB"/>
    <w:rsid w:val="004D410F"/>
    <w:rsid w:val="004D64BD"/>
    <w:rsid w:val="004E09D6"/>
    <w:rsid w:val="004E185B"/>
    <w:rsid w:val="004E24E9"/>
    <w:rsid w:val="004E2F85"/>
    <w:rsid w:val="004E3D26"/>
    <w:rsid w:val="004E482D"/>
    <w:rsid w:val="004F3A80"/>
    <w:rsid w:val="004F7B68"/>
    <w:rsid w:val="0050061B"/>
    <w:rsid w:val="00503EF6"/>
    <w:rsid w:val="00507872"/>
    <w:rsid w:val="005211EB"/>
    <w:rsid w:val="00522233"/>
    <w:rsid w:val="00522349"/>
    <w:rsid w:val="00532454"/>
    <w:rsid w:val="00535237"/>
    <w:rsid w:val="00537C0A"/>
    <w:rsid w:val="00540E9A"/>
    <w:rsid w:val="00542D69"/>
    <w:rsid w:val="00543B8B"/>
    <w:rsid w:val="00545B0A"/>
    <w:rsid w:val="00547191"/>
    <w:rsid w:val="00547FB4"/>
    <w:rsid w:val="005521DA"/>
    <w:rsid w:val="00555B8B"/>
    <w:rsid w:val="005624F5"/>
    <w:rsid w:val="005857B6"/>
    <w:rsid w:val="00585CFC"/>
    <w:rsid w:val="0059183F"/>
    <w:rsid w:val="005A7688"/>
    <w:rsid w:val="005B3F3B"/>
    <w:rsid w:val="005C502A"/>
    <w:rsid w:val="005D4791"/>
    <w:rsid w:val="005E2EFC"/>
    <w:rsid w:val="0060094F"/>
    <w:rsid w:val="0061083A"/>
    <w:rsid w:val="00632A40"/>
    <w:rsid w:val="00643943"/>
    <w:rsid w:val="006464CF"/>
    <w:rsid w:val="006473A0"/>
    <w:rsid w:val="00647444"/>
    <w:rsid w:val="0065620F"/>
    <w:rsid w:val="006603C3"/>
    <w:rsid w:val="0066050B"/>
    <w:rsid w:val="00670A4E"/>
    <w:rsid w:val="0067162B"/>
    <w:rsid w:val="00673749"/>
    <w:rsid w:val="00682C1F"/>
    <w:rsid w:val="0068437C"/>
    <w:rsid w:val="00692F0D"/>
    <w:rsid w:val="006A17A9"/>
    <w:rsid w:val="006A3536"/>
    <w:rsid w:val="006B1A1F"/>
    <w:rsid w:val="006B1D54"/>
    <w:rsid w:val="006B7B33"/>
    <w:rsid w:val="0070412F"/>
    <w:rsid w:val="00711E14"/>
    <w:rsid w:val="00713B8E"/>
    <w:rsid w:val="00716AA2"/>
    <w:rsid w:val="00717B05"/>
    <w:rsid w:val="00736AE3"/>
    <w:rsid w:val="007378C2"/>
    <w:rsid w:val="007405E6"/>
    <w:rsid w:val="00756938"/>
    <w:rsid w:val="00762328"/>
    <w:rsid w:val="007843FD"/>
    <w:rsid w:val="00787F4E"/>
    <w:rsid w:val="0079264E"/>
    <w:rsid w:val="007A2B2A"/>
    <w:rsid w:val="007A4391"/>
    <w:rsid w:val="007A4642"/>
    <w:rsid w:val="007B23F9"/>
    <w:rsid w:val="007E5271"/>
    <w:rsid w:val="007F342B"/>
    <w:rsid w:val="007F355A"/>
    <w:rsid w:val="00802B3D"/>
    <w:rsid w:val="00824CC5"/>
    <w:rsid w:val="00842EF0"/>
    <w:rsid w:val="0084567E"/>
    <w:rsid w:val="008602F3"/>
    <w:rsid w:val="0086326E"/>
    <w:rsid w:val="0087276F"/>
    <w:rsid w:val="00885490"/>
    <w:rsid w:val="00885840"/>
    <w:rsid w:val="008866F2"/>
    <w:rsid w:val="008B5BEB"/>
    <w:rsid w:val="008B6C0C"/>
    <w:rsid w:val="008D5266"/>
    <w:rsid w:val="008D6E5B"/>
    <w:rsid w:val="008E473C"/>
    <w:rsid w:val="009061F6"/>
    <w:rsid w:val="00907115"/>
    <w:rsid w:val="00930BC0"/>
    <w:rsid w:val="0093150D"/>
    <w:rsid w:val="00931E1F"/>
    <w:rsid w:val="0094618F"/>
    <w:rsid w:val="00957B0C"/>
    <w:rsid w:val="0096245B"/>
    <w:rsid w:val="009649BD"/>
    <w:rsid w:val="009738ED"/>
    <w:rsid w:val="00974633"/>
    <w:rsid w:val="009829FE"/>
    <w:rsid w:val="00983331"/>
    <w:rsid w:val="00992D96"/>
    <w:rsid w:val="009B39AB"/>
    <w:rsid w:val="009C077A"/>
    <w:rsid w:val="009C600C"/>
    <w:rsid w:val="009C7521"/>
    <w:rsid w:val="009E1B0F"/>
    <w:rsid w:val="009E395B"/>
    <w:rsid w:val="009F77DA"/>
    <w:rsid w:val="00A0238B"/>
    <w:rsid w:val="00A15115"/>
    <w:rsid w:val="00A37AA1"/>
    <w:rsid w:val="00A5616C"/>
    <w:rsid w:val="00A635EB"/>
    <w:rsid w:val="00A64080"/>
    <w:rsid w:val="00A64F78"/>
    <w:rsid w:val="00A660E1"/>
    <w:rsid w:val="00A66E47"/>
    <w:rsid w:val="00A851BD"/>
    <w:rsid w:val="00A87C93"/>
    <w:rsid w:val="00A87CA9"/>
    <w:rsid w:val="00A97827"/>
    <w:rsid w:val="00AC176C"/>
    <w:rsid w:val="00AD50C4"/>
    <w:rsid w:val="00AD5893"/>
    <w:rsid w:val="00AF35EF"/>
    <w:rsid w:val="00AF544B"/>
    <w:rsid w:val="00AF7FA3"/>
    <w:rsid w:val="00B02C72"/>
    <w:rsid w:val="00B17B31"/>
    <w:rsid w:val="00B207DD"/>
    <w:rsid w:val="00B4707D"/>
    <w:rsid w:val="00B53A85"/>
    <w:rsid w:val="00B545C6"/>
    <w:rsid w:val="00B55546"/>
    <w:rsid w:val="00B61D12"/>
    <w:rsid w:val="00B64F20"/>
    <w:rsid w:val="00B81172"/>
    <w:rsid w:val="00B816DE"/>
    <w:rsid w:val="00BA0CD0"/>
    <w:rsid w:val="00BB79F7"/>
    <w:rsid w:val="00BC7CF0"/>
    <w:rsid w:val="00BD08B2"/>
    <w:rsid w:val="00BD318F"/>
    <w:rsid w:val="00BE345D"/>
    <w:rsid w:val="00BF0722"/>
    <w:rsid w:val="00BF4550"/>
    <w:rsid w:val="00C12119"/>
    <w:rsid w:val="00C12245"/>
    <w:rsid w:val="00C13A41"/>
    <w:rsid w:val="00C209C3"/>
    <w:rsid w:val="00C21488"/>
    <w:rsid w:val="00C227CA"/>
    <w:rsid w:val="00C271C3"/>
    <w:rsid w:val="00C27C7E"/>
    <w:rsid w:val="00C3024F"/>
    <w:rsid w:val="00C32920"/>
    <w:rsid w:val="00C32CDC"/>
    <w:rsid w:val="00C36D1E"/>
    <w:rsid w:val="00C42404"/>
    <w:rsid w:val="00C46B3D"/>
    <w:rsid w:val="00C52B3C"/>
    <w:rsid w:val="00C53AD1"/>
    <w:rsid w:val="00C65A5D"/>
    <w:rsid w:val="00C67ABC"/>
    <w:rsid w:val="00C75A66"/>
    <w:rsid w:val="00C905AD"/>
    <w:rsid w:val="00C92C78"/>
    <w:rsid w:val="00CA080B"/>
    <w:rsid w:val="00CA1D07"/>
    <w:rsid w:val="00CA72F4"/>
    <w:rsid w:val="00CB1DE3"/>
    <w:rsid w:val="00CB3D8E"/>
    <w:rsid w:val="00CB5243"/>
    <w:rsid w:val="00CB645E"/>
    <w:rsid w:val="00CC7F98"/>
    <w:rsid w:val="00CD1D34"/>
    <w:rsid w:val="00D05A5B"/>
    <w:rsid w:val="00D21BB8"/>
    <w:rsid w:val="00D27CCF"/>
    <w:rsid w:val="00D321A7"/>
    <w:rsid w:val="00D33B39"/>
    <w:rsid w:val="00D34490"/>
    <w:rsid w:val="00D420CC"/>
    <w:rsid w:val="00D51AF7"/>
    <w:rsid w:val="00D51BE2"/>
    <w:rsid w:val="00D55626"/>
    <w:rsid w:val="00D55A3C"/>
    <w:rsid w:val="00D7305E"/>
    <w:rsid w:val="00D82702"/>
    <w:rsid w:val="00D85D9A"/>
    <w:rsid w:val="00D95988"/>
    <w:rsid w:val="00DA0515"/>
    <w:rsid w:val="00DA6873"/>
    <w:rsid w:val="00DA694E"/>
    <w:rsid w:val="00DC3E8E"/>
    <w:rsid w:val="00DC6566"/>
    <w:rsid w:val="00DD3A2C"/>
    <w:rsid w:val="00DD733F"/>
    <w:rsid w:val="00DE7D9E"/>
    <w:rsid w:val="00DF6802"/>
    <w:rsid w:val="00DF7695"/>
    <w:rsid w:val="00E067F6"/>
    <w:rsid w:val="00E10D0F"/>
    <w:rsid w:val="00E10E19"/>
    <w:rsid w:val="00E15108"/>
    <w:rsid w:val="00E156DA"/>
    <w:rsid w:val="00E21698"/>
    <w:rsid w:val="00E2489C"/>
    <w:rsid w:val="00E31E6A"/>
    <w:rsid w:val="00E33735"/>
    <w:rsid w:val="00E447DC"/>
    <w:rsid w:val="00E453F7"/>
    <w:rsid w:val="00E62A36"/>
    <w:rsid w:val="00E80A43"/>
    <w:rsid w:val="00E868DE"/>
    <w:rsid w:val="00EA0DAE"/>
    <w:rsid w:val="00EB76DC"/>
    <w:rsid w:val="00EC6DFE"/>
    <w:rsid w:val="00F249C3"/>
    <w:rsid w:val="00F44EBF"/>
    <w:rsid w:val="00F459B1"/>
    <w:rsid w:val="00F51C96"/>
    <w:rsid w:val="00F52889"/>
    <w:rsid w:val="00F65803"/>
    <w:rsid w:val="00F673D2"/>
    <w:rsid w:val="00F71119"/>
    <w:rsid w:val="00F73AE1"/>
    <w:rsid w:val="00F813EE"/>
    <w:rsid w:val="00F85D3A"/>
    <w:rsid w:val="00F90730"/>
    <w:rsid w:val="00F92B3A"/>
    <w:rsid w:val="00F933B0"/>
    <w:rsid w:val="00FA0834"/>
    <w:rsid w:val="00FA571B"/>
    <w:rsid w:val="00FB63ED"/>
    <w:rsid w:val="00FC0AAF"/>
    <w:rsid w:val="00FD66C3"/>
    <w:rsid w:val="00FD6AEA"/>
    <w:rsid w:val="00FD7835"/>
    <w:rsid w:val="00FE4C88"/>
    <w:rsid w:val="00FE6973"/>
    <w:rsid w:val="00FF1B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04F3281"/>
  <w15:chartTrackingRefBased/>
  <w15:docId w15:val="{154BC71B-9B5E-4B90-BC01-113104323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164"/>
    <w:pPr>
      <w:bidi w:val="0"/>
      <w:spacing w:after="200" w:line="276" w:lineRule="auto"/>
    </w:pPr>
    <w:rPr>
      <w:rFonts w:ascii="Arial" w:eastAsia="Arial" w:hAnsi="Arial"/>
      <w:sz w:val="26"/>
      <w14:ligatures w14:val="none"/>
    </w:rPr>
  </w:style>
  <w:style w:type="paragraph" w:styleId="Heading1">
    <w:name w:val="heading 1"/>
    <w:basedOn w:val="Normal"/>
    <w:next w:val="Normal"/>
    <w:link w:val="Heading1Char"/>
    <w:uiPriority w:val="9"/>
    <w:qFormat/>
    <w:rsid w:val="00154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83E"/>
    <w:rPr>
      <w:rFonts w:eastAsiaTheme="majorEastAsia" w:cstheme="majorBidi"/>
      <w:color w:val="272727" w:themeColor="text1" w:themeTint="D8"/>
    </w:rPr>
  </w:style>
  <w:style w:type="paragraph" w:styleId="Title">
    <w:name w:val="Title"/>
    <w:basedOn w:val="Normal"/>
    <w:next w:val="Normal"/>
    <w:link w:val="TitleChar"/>
    <w:uiPriority w:val="10"/>
    <w:qFormat/>
    <w:rsid w:val="00154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83E"/>
    <w:pPr>
      <w:spacing w:before="160"/>
      <w:jc w:val="center"/>
    </w:pPr>
    <w:rPr>
      <w:i/>
      <w:iCs/>
      <w:color w:val="404040" w:themeColor="text1" w:themeTint="BF"/>
    </w:rPr>
  </w:style>
  <w:style w:type="character" w:customStyle="1" w:styleId="QuoteChar">
    <w:name w:val="Quote Char"/>
    <w:basedOn w:val="DefaultParagraphFont"/>
    <w:link w:val="Quote"/>
    <w:uiPriority w:val="29"/>
    <w:rsid w:val="0015483E"/>
    <w:rPr>
      <w:i/>
      <w:iCs/>
      <w:color w:val="404040" w:themeColor="text1" w:themeTint="BF"/>
    </w:rPr>
  </w:style>
  <w:style w:type="paragraph" w:styleId="ListParagraph">
    <w:name w:val="List Paragraph"/>
    <w:basedOn w:val="Normal"/>
    <w:uiPriority w:val="34"/>
    <w:qFormat/>
    <w:rsid w:val="0015483E"/>
    <w:pPr>
      <w:ind w:left="720"/>
      <w:contextualSpacing/>
    </w:pPr>
  </w:style>
  <w:style w:type="character" w:styleId="IntenseEmphasis">
    <w:name w:val="Intense Emphasis"/>
    <w:basedOn w:val="DefaultParagraphFont"/>
    <w:uiPriority w:val="21"/>
    <w:qFormat/>
    <w:rsid w:val="0015483E"/>
    <w:rPr>
      <w:i/>
      <w:iCs/>
      <w:color w:val="0F4761" w:themeColor="accent1" w:themeShade="BF"/>
    </w:rPr>
  </w:style>
  <w:style w:type="paragraph" w:styleId="IntenseQuote">
    <w:name w:val="Intense Quote"/>
    <w:basedOn w:val="Normal"/>
    <w:next w:val="Normal"/>
    <w:link w:val="IntenseQuoteChar"/>
    <w:uiPriority w:val="30"/>
    <w:qFormat/>
    <w:rsid w:val="00154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83E"/>
    <w:rPr>
      <w:i/>
      <w:iCs/>
      <w:color w:val="0F4761" w:themeColor="accent1" w:themeShade="BF"/>
    </w:rPr>
  </w:style>
  <w:style w:type="character" w:styleId="IntenseReference">
    <w:name w:val="Intense Reference"/>
    <w:basedOn w:val="DefaultParagraphFont"/>
    <w:uiPriority w:val="32"/>
    <w:qFormat/>
    <w:rsid w:val="0015483E"/>
    <w:rPr>
      <w:b/>
      <w:bCs/>
      <w:smallCaps/>
      <w:color w:val="0F4761" w:themeColor="accent1" w:themeShade="BF"/>
      <w:spacing w:val="5"/>
    </w:rPr>
  </w:style>
  <w:style w:type="table" w:styleId="TableGrid">
    <w:name w:val="Table Grid"/>
    <w:basedOn w:val="TableNormal"/>
    <w:uiPriority w:val="39"/>
    <w:rsid w:val="00F711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223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2339"/>
    <w:rPr>
      <w:rFonts w:ascii="Arial" w:eastAsia="Arial" w:hAnsi="Arial"/>
      <w:sz w:val="26"/>
      <w14:ligatures w14:val="none"/>
    </w:rPr>
  </w:style>
  <w:style w:type="paragraph" w:styleId="Footer">
    <w:name w:val="footer"/>
    <w:basedOn w:val="Normal"/>
    <w:link w:val="FooterChar"/>
    <w:uiPriority w:val="99"/>
    <w:unhideWhenUsed/>
    <w:rsid w:val="004223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2339"/>
    <w:rPr>
      <w:rFonts w:ascii="Arial" w:eastAsia="Arial" w:hAnsi="Arial"/>
      <w:sz w:val="26"/>
      <w14:ligatures w14:val="none"/>
    </w:rPr>
  </w:style>
  <w:style w:type="character" w:styleId="Strong">
    <w:name w:val="Strong"/>
    <w:basedOn w:val="DefaultParagraphFont"/>
    <w:uiPriority w:val="22"/>
    <w:qFormat/>
    <w:rsid w:val="005D47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5AB1F1-FF46-41A7-B066-694E1111660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1198</Words>
  <Characters>6834</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Anwar Alfdhli</dc:creator>
  <cp:keywords/>
  <dc:description/>
  <cp:lastModifiedBy>انوار صالح عبدالله خزار</cp:lastModifiedBy>
  <cp:revision>2</cp:revision>
  <cp:lastPrinted>2026-10-21T18:08:00Z</cp:lastPrinted>
  <dcterms:created xsi:type="dcterms:W3CDTF">2026-10-28T18:23:00Z</dcterms:created>
  <dcterms:modified xsi:type="dcterms:W3CDTF">2026-10-28T18:23:00Z</dcterms:modified>
</cp:coreProperties>
</file>