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A0CA" w14:textId="77777777" w:rsidR="005F2A43" w:rsidRPr="000979F6" w:rsidRDefault="00000000">
      <w:pPr>
        <w:spacing w:after="60"/>
        <w:jc w:val="center"/>
        <w:rPr>
          <w:color w:val="538135" w:themeColor="accent6" w:themeShade="BF"/>
        </w:rPr>
      </w:pPr>
      <w:r w:rsidRPr="000979F6">
        <w:rPr>
          <w:b/>
          <w:bCs/>
          <w:color w:val="538135" w:themeColor="accent6" w:themeShade="BF"/>
          <w:sz w:val="40"/>
          <w:szCs w:val="40"/>
        </w:rPr>
        <w:t>Red de Donación de Alimentos</w:t>
      </w:r>
    </w:p>
    <w:p w14:paraId="4FCE551A" w14:textId="77777777" w:rsidR="005F2A43" w:rsidRDefault="00000000">
      <w:pPr>
        <w:spacing w:after="300"/>
        <w:jc w:val="center"/>
      </w:pPr>
      <w:r>
        <w:rPr>
          <w:i/>
          <w:iCs/>
          <w:color w:val="595959"/>
          <w:sz w:val="24"/>
          <w:szCs w:val="24"/>
        </w:rPr>
        <w:t>Informe de Especificación de Diseño, Prototipado y Test de Usabilidad</w:t>
      </w:r>
    </w:p>
    <w:p w14:paraId="39A3999E"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Descripción del proyecto</w:t>
      </w:r>
    </w:p>
    <w:p w14:paraId="54490DB3"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La Red de Donación de Alimentos es una plataforma orientada a mitigar el desperdicio alimentario, facilitando la conexión directa entre donantes —como restaurantes, supermercados y particulares— y entidades receptoras, entre las que se incluyen individuos en situación de vulnerabilidad, </w:t>
      </w:r>
      <w:proofErr w:type="spellStart"/>
      <w:r w:rsidRPr="000979F6">
        <w:rPr>
          <w:rFonts w:ascii="Times New Roman" w:hAnsi="Times New Roman" w:cs="Times New Roman"/>
          <w:sz w:val="20"/>
          <w:szCs w:val="20"/>
        </w:rPr>
        <w:t>ONGs</w:t>
      </w:r>
      <w:proofErr w:type="spellEnd"/>
      <w:r w:rsidRPr="000979F6">
        <w:rPr>
          <w:rFonts w:ascii="Times New Roman" w:hAnsi="Times New Roman" w:cs="Times New Roman"/>
          <w:sz w:val="20"/>
          <w:szCs w:val="20"/>
        </w:rPr>
        <w:t xml:space="preserve"> y Bancos de Alimentos.</w:t>
      </w:r>
    </w:p>
    <w:p w14:paraId="119F7AED"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El núcleo tecnológico del sistema se sustenta sobre una </w:t>
      </w:r>
      <w:r w:rsidRPr="000979F6">
        <w:rPr>
          <w:rFonts w:ascii="Times New Roman" w:hAnsi="Times New Roman" w:cs="Times New Roman"/>
          <w:b/>
          <w:bCs/>
          <w:sz w:val="20"/>
          <w:szCs w:val="20"/>
        </w:rPr>
        <w:t xml:space="preserve">API REST robusta desarrollada con </w:t>
      </w:r>
      <w:proofErr w:type="spellStart"/>
      <w:r w:rsidRPr="000979F6">
        <w:rPr>
          <w:rFonts w:ascii="Times New Roman" w:hAnsi="Times New Roman" w:cs="Times New Roman"/>
          <w:b/>
          <w:bCs/>
          <w:sz w:val="20"/>
          <w:szCs w:val="20"/>
        </w:rPr>
        <w:t>FastAPI</w:t>
      </w:r>
      <w:proofErr w:type="spellEnd"/>
      <w:r w:rsidRPr="000979F6">
        <w:rPr>
          <w:rFonts w:ascii="Times New Roman" w:hAnsi="Times New Roman" w:cs="Times New Roman"/>
          <w:b/>
          <w:bCs/>
          <w:sz w:val="20"/>
          <w:szCs w:val="20"/>
        </w:rPr>
        <w:t xml:space="preserve"> (Python 3.11)</w:t>
      </w:r>
      <w:r w:rsidRPr="000979F6">
        <w:rPr>
          <w:rFonts w:ascii="Times New Roman" w:hAnsi="Times New Roman" w:cs="Times New Roman"/>
          <w:sz w:val="20"/>
          <w:szCs w:val="20"/>
        </w:rPr>
        <w:t xml:space="preserve">. Dicha API sigue los principios de la </w:t>
      </w:r>
      <w:r w:rsidRPr="000979F6">
        <w:rPr>
          <w:rFonts w:ascii="Times New Roman" w:hAnsi="Times New Roman" w:cs="Times New Roman"/>
          <w:b/>
          <w:bCs/>
          <w:sz w:val="20"/>
          <w:szCs w:val="20"/>
        </w:rPr>
        <w:t>arquitectura hexagonal</w:t>
      </w:r>
      <w:r w:rsidRPr="000979F6">
        <w:rPr>
          <w:rFonts w:ascii="Times New Roman" w:hAnsi="Times New Roman" w:cs="Times New Roman"/>
          <w:sz w:val="20"/>
          <w:szCs w:val="20"/>
        </w:rPr>
        <w:t xml:space="preserve">, separando limpiamente el dominio, la aplicación, la infraestructura y la presentación, y emplea una base de datos asíncrona </w:t>
      </w:r>
      <w:r w:rsidRPr="000979F6">
        <w:rPr>
          <w:rFonts w:ascii="Times New Roman" w:hAnsi="Times New Roman" w:cs="Times New Roman"/>
          <w:b/>
          <w:bCs/>
          <w:sz w:val="20"/>
          <w:szCs w:val="20"/>
        </w:rPr>
        <w:t>PostgreSQL</w:t>
      </w:r>
      <w:r w:rsidRPr="000979F6">
        <w:rPr>
          <w:rFonts w:ascii="Times New Roman" w:hAnsi="Times New Roman" w:cs="Times New Roman"/>
          <w:sz w:val="20"/>
          <w:szCs w:val="20"/>
        </w:rPr>
        <w:t xml:space="preserve"> gestionada a través de </w:t>
      </w:r>
      <w:proofErr w:type="spellStart"/>
      <w:r w:rsidRPr="000979F6">
        <w:rPr>
          <w:rFonts w:ascii="Times New Roman" w:hAnsi="Times New Roman" w:cs="Times New Roman"/>
          <w:sz w:val="20"/>
          <w:szCs w:val="20"/>
        </w:rPr>
        <w:t>SQLAlchemy</w:t>
      </w:r>
      <w:proofErr w:type="spellEnd"/>
      <w:r w:rsidRPr="000979F6">
        <w:rPr>
          <w:rFonts w:ascii="Times New Roman" w:hAnsi="Times New Roman" w:cs="Times New Roman"/>
          <w:sz w:val="20"/>
          <w:szCs w:val="20"/>
        </w:rPr>
        <w:t xml:space="preserve"> y </w:t>
      </w:r>
      <w:proofErr w:type="spellStart"/>
      <w:r w:rsidRPr="000979F6">
        <w:rPr>
          <w:rFonts w:ascii="Times New Roman" w:hAnsi="Times New Roman" w:cs="Times New Roman"/>
          <w:sz w:val="20"/>
          <w:szCs w:val="20"/>
        </w:rPr>
        <w:t>asyncpg</w:t>
      </w:r>
      <w:proofErr w:type="spellEnd"/>
      <w:r w:rsidRPr="000979F6">
        <w:rPr>
          <w:rFonts w:ascii="Times New Roman" w:hAnsi="Times New Roman" w:cs="Times New Roman"/>
          <w:sz w:val="20"/>
          <w:szCs w:val="20"/>
        </w:rPr>
        <w:t>. Asimismo, el sistema cuenta con autenticación segura mediante tokens JWT y control de acceso basado en roles (RBAC).</w:t>
      </w:r>
    </w:p>
    <w:p w14:paraId="2E3B82FB" w14:textId="77777777" w:rsidR="005F2A43" w:rsidRPr="000979F6" w:rsidRDefault="00000000">
      <w:pPr>
        <w:pStyle w:val="Ttulo1"/>
        <w:rPr>
          <w:rFonts w:ascii="Times New Roman" w:hAnsi="Times New Roman" w:cs="Times New Roman"/>
          <w:color w:val="auto"/>
          <w:sz w:val="22"/>
          <w:szCs w:val="22"/>
        </w:rPr>
      </w:pPr>
      <w:r w:rsidRPr="000979F6">
        <w:rPr>
          <w:rFonts w:ascii="Times New Roman" w:hAnsi="Times New Roman" w:cs="Times New Roman"/>
          <w:color w:val="auto"/>
          <w:sz w:val="22"/>
          <w:szCs w:val="22"/>
        </w:rPr>
        <w:t>Prototipos de los dos subgrupos: semejanzas, diferencias y justificación según las heurísticas de Nielsen</w:t>
      </w:r>
    </w:p>
    <w:p w14:paraId="3C1CA975"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Los subgrupos del equipo de desarrollo generaron dos variantes de </w:t>
      </w:r>
      <w:proofErr w:type="spellStart"/>
      <w:r w:rsidRPr="000979F6">
        <w:rPr>
          <w:rFonts w:ascii="Times New Roman" w:hAnsi="Times New Roman" w:cs="Times New Roman"/>
          <w:sz w:val="20"/>
          <w:szCs w:val="20"/>
        </w:rPr>
        <w:t>frontend</w:t>
      </w:r>
      <w:proofErr w:type="spellEnd"/>
      <w:r w:rsidRPr="000979F6">
        <w:rPr>
          <w:rFonts w:ascii="Times New Roman" w:hAnsi="Times New Roman" w:cs="Times New Roman"/>
          <w:sz w:val="20"/>
          <w:szCs w:val="20"/>
        </w:rPr>
        <w:t xml:space="preserve">, denominadas </w:t>
      </w:r>
      <w:proofErr w:type="spellStart"/>
      <w:r w:rsidRPr="000979F6">
        <w:rPr>
          <w:rFonts w:ascii="Times New Roman" w:hAnsi="Times New Roman" w:cs="Times New Roman"/>
          <w:sz w:val="20"/>
          <w:szCs w:val="20"/>
        </w:rPr>
        <w:t>FoodDonationA</w:t>
      </w:r>
      <w:proofErr w:type="spellEnd"/>
      <w:r w:rsidRPr="000979F6">
        <w:rPr>
          <w:rFonts w:ascii="Times New Roman" w:hAnsi="Times New Roman" w:cs="Times New Roman"/>
          <w:sz w:val="20"/>
          <w:szCs w:val="20"/>
        </w:rPr>
        <w:t xml:space="preserve"> y </w:t>
      </w:r>
      <w:proofErr w:type="spellStart"/>
      <w:r w:rsidRPr="000979F6">
        <w:rPr>
          <w:rFonts w:ascii="Times New Roman" w:hAnsi="Times New Roman" w:cs="Times New Roman"/>
          <w:sz w:val="20"/>
          <w:szCs w:val="20"/>
        </w:rPr>
        <w:t>FoodDonationB</w:t>
      </w:r>
      <w:proofErr w:type="spellEnd"/>
      <w:r w:rsidRPr="000979F6">
        <w:rPr>
          <w:rFonts w:ascii="Times New Roman" w:hAnsi="Times New Roman" w:cs="Times New Roman"/>
          <w:sz w:val="20"/>
          <w:szCs w:val="20"/>
        </w:rPr>
        <w:t>, mapeadas sobre el mismo ecosistema lógico de la API.</w:t>
      </w:r>
    </w:p>
    <w:p w14:paraId="329DB1EA"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Principales semejanzas</w:t>
      </w:r>
    </w:p>
    <w:p w14:paraId="66BF31A0"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Ambos prototipos comparten un flujo operacional coherente, ya que implementan exactamente el mismo número de tareas clave: registro (</w:t>
      </w:r>
      <w:r w:rsidRPr="000979F6">
        <w:rPr>
          <w:rFonts w:ascii="Times New Roman" w:hAnsi="Times New Roman" w:cs="Times New Roman"/>
          <w:i/>
          <w:iCs/>
          <w:sz w:val="20"/>
          <w:szCs w:val="20"/>
        </w:rPr>
        <w:t>/</w:t>
      </w:r>
      <w:proofErr w:type="spellStart"/>
      <w:r w:rsidRPr="000979F6">
        <w:rPr>
          <w:rFonts w:ascii="Times New Roman" w:hAnsi="Times New Roman" w:cs="Times New Roman"/>
          <w:i/>
          <w:iCs/>
          <w:sz w:val="20"/>
          <w:szCs w:val="20"/>
        </w:rPr>
        <w:t>register</w:t>
      </w:r>
      <w:proofErr w:type="spellEnd"/>
      <w:r w:rsidRPr="000979F6">
        <w:rPr>
          <w:rFonts w:ascii="Times New Roman" w:hAnsi="Times New Roman" w:cs="Times New Roman"/>
          <w:sz w:val="20"/>
          <w:szCs w:val="20"/>
        </w:rPr>
        <w:t>), inicio de sesión (</w:t>
      </w:r>
      <w:r w:rsidRPr="000979F6">
        <w:rPr>
          <w:rFonts w:ascii="Times New Roman" w:hAnsi="Times New Roman" w:cs="Times New Roman"/>
          <w:i/>
          <w:iCs/>
          <w:sz w:val="20"/>
          <w:szCs w:val="20"/>
        </w:rPr>
        <w:t>/</w:t>
      </w:r>
      <w:proofErr w:type="spellStart"/>
      <w:r w:rsidRPr="000979F6">
        <w:rPr>
          <w:rFonts w:ascii="Times New Roman" w:hAnsi="Times New Roman" w:cs="Times New Roman"/>
          <w:i/>
          <w:iCs/>
          <w:sz w:val="20"/>
          <w:szCs w:val="20"/>
        </w:rPr>
        <w:t>login</w:t>
      </w:r>
      <w:proofErr w:type="spellEnd"/>
      <w:r w:rsidRPr="000979F6">
        <w:rPr>
          <w:rFonts w:ascii="Times New Roman" w:hAnsi="Times New Roman" w:cs="Times New Roman"/>
          <w:sz w:val="20"/>
          <w:szCs w:val="20"/>
        </w:rPr>
        <w:t>), visualización del perfil (</w:t>
      </w:r>
      <w:r w:rsidRPr="000979F6">
        <w:rPr>
          <w:rFonts w:ascii="Times New Roman" w:hAnsi="Times New Roman" w:cs="Times New Roman"/>
          <w:i/>
          <w:iCs/>
          <w:sz w:val="20"/>
          <w:szCs w:val="20"/>
        </w:rPr>
        <w:t>/me</w:t>
      </w:r>
      <w:r w:rsidRPr="000979F6">
        <w:rPr>
          <w:rFonts w:ascii="Times New Roman" w:hAnsi="Times New Roman" w:cs="Times New Roman"/>
          <w:sz w:val="20"/>
          <w:szCs w:val="20"/>
        </w:rPr>
        <w:t>), publicación y edición de donaciones (</w:t>
      </w:r>
      <w:r w:rsidRPr="000979F6">
        <w:rPr>
          <w:rFonts w:ascii="Times New Roman" w:hAnsi="Times New Roman" w:cs="Times New Roman"/>
          <w:i/>
          <w:iCs/>
          <w:sz w:val="20"/>
          <w:szCs w:val="20"/>
        </w:rPr>
        <w:t>/</w:t>
      </w:r>
      <w:proofErr w:type="spellStart"/>
      <w:r w:rsidRPr="000979F6">
        <w:rPr>
          <w:rFonts w:ascii="Times New Roman" w:hAnsi="Times New Roman" w:cs="Times New Roman"/>
          <w:i/>
          <w:iCs/>
          <w:sz w:val="20"/>
          <w:szCs w:val="20"/>
        </w:rPr>
        <w:t>donations</w:t>
      </w:r>
      <w:proofErr w:type="spellEnd"/>
      <w:r w:rsidRPr="000979F6">
        <w:rPr>
          <w:rFonts w:ascii="Times New Roman" w:hAnsi="Times New Roman" w:cs="Times New Roman"/>
          <w:sz w:val="20"/>
          <w:szCs w:val="20"/>
        </w:rPr>
        <w:t>) y gestión de solicitudes (</w:t>
      </w:r>
      <w:r w:rsidRPr="000979F6">
        <w:rPr>
          <w:rFonts w:ascii="Times New Roman" w:hAnsi="Times New Roman" w:cs="Times New Roman"/>
          <w:i/>
          <w:iCs/>
          <w:sz w:val="20"/>
          <w:szCs w:val="20"/>
        </w:rPr>
        <w:t>/</w:t>
      </w:r>
      <w:proofErr w:type="spellStart"/>
      <w:r w:rsidRPr="000979F6">
        <w:rPr>
          <w:rFonts w:ascii="Times New Roman" w:hAnsi="Times New Roman" w:cs="Times New Roman"/>
          <w:i/>
          <w:iCs/>
          <w:sz w:val="20"/>
          <w:szCs w:val="20"/>
        </w:rPr>
        <w:t>requests</w:t>
      </w:r>
      <w:proofErr w:type="spellEnd"/>
      <w:r w:rsidRPr="000979F6">
        <w:rPr>
          <w:rFonts w:ascii="Times New Roman" w:hAnsi="Times New Roman" w:cs="Times New Roman"/>
          <w:sz w:val="20"/>
          <w:szCs w:val="20"/>
        </w:rPr>
        <w:t>).</w:t>
      </w:r>
    </w:p>
    <w:p w14:paraId="4FDFBC3D"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Además, los dos modelos cumplen los mismos estándares REST, dependiendo de los mismos códigos de estado: 201 para creaciones, 200 para lecturas o modificaciones exitosas, y esquemas estructurados de error 401/403/422.</w:t>
      </w:r>
    </w:p>
    <w:p w14:paraId="55454654"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Por último, ambas versiones comparten una arquitectura de información base similar, ya que sus paneles principales (</w:t>
      </w:r>
      <w:proofErr w:type="spellStart"/>
      <w:r w:rsidRPr="000979F6">
        <w:rPr>
          <w:rFonts w:ascii="Times New Roman" w:hAnsi="Times New Roman" w:cs="Times New Roman"/>
          <w:sz w:val="20"/>
          <w:szCs w:val="20"/>
        </w:rPr>
        <w:t>dashboards</w:t>
      </w:r>
      <w:proofErr w:type="spellEnd"/>
      <w:r w:rsidRPr="000979F6">
        <w:rPr>
          <w:rFonts w:ascii="Times New Roman" w:hAnsi="Times New Roman" w:cs="Times New Roman"/>
          <w:sz w:val="20"/>
          <w:szCs w:val="20"/>
        </w:rPr>
        <w:t xml:space="preserve">) centran la atención en tres grandes bloques funcionales: un </w:t>
      </w:r>
      <w:proofErr w:type="spellStart"/>
      <w:r w:rsidRPr="000979F6">
        <w:rPr>
          <w:rFonts w:ascii="Times New Roman" w:hAnsi="Times New Roman" w:cs="Times New Roman"/>
          <w:sz w:val="20"/>
          <w:szCs w:val="20"/>
        </w:rPr>
        <w:t>feed</w:t>
      </w:r>
      <w:proofErr w:type="spellEnd"/>
      <w:r w:rsidRPr="000979F6">
        <w:rPr>
          <w:rFonts w:ascii="Times New Roman" w:hAnsi="Times New Roman" w:cs="Times New Roman"/>
          <w:sz w:val="20"/>
          <w:szCs w:val="20"/>
        </w:rPr>
        <w:t xml:space="preserve"> de donaciones disponibles, un histórico de aportaciones realizadas y un listado de solicitudes pendientes.</w:t>
      </w:r>
    </w:p>
    <w:p w14:paraId="5DA7DA02"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Principales diferencias</w:t>
      </w:r>
    </w:p>
    <w:p w14:paraId="0B63623C"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b/>
          <w:bCs/>
          <w:sz w:val="20"/>
          <w:szCs w:val="20"/>
        </w:rPr>
        <w:t xml:space="preserve">Prototipo A — enfoque en eficiencia de pasos: </w:t>
      </w:r>
      <w:r w:rsidRPr="000979F6">
        <w:rPr>
          <w:rFonts w:ascii="Times New Roman" w:hAnsi="Times New Roman" w:cs="Times New Roman"/>
          <w:sz w:val="20"/>
          <w:szCs w:val="20"/>
        </w:rPr>
        <w:t>se diseñó con una interfaz más compacta y densa, priorizando el acceso inmediato a las acciones mediante menús superiores fijos y vistas integradas que agrupan la información con el fin de evitar desplazamientos excesivos.</w:t>
      </w:r>
    </w:p>
    <w:p w14:paraId="7EBC53A9"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b/>
          <w:bCs/>
          <w:sz w:val="20"/>
          <w:szCs w:val="20"/>
        </w:rPr>
        <w:t xml:space="preserve">Prototipo B — enfoque en carga cognitiva reducida: </w:t>
      </w:r>
      <w:r w:rsidRPr="000979F6">
        <w:rPr>
          <w:rFonts w:ascii="Times New Roman" w:hAnsi="Times New Roman" w:cs="Times New Roman"/>
          <w:sz w:val="20"/>
          <w:szCs w:val="20"/>
        </w:rPr>
        <w:t xml:space="preserve">opta por un diseño más limpio y minimalista, distribuyendo la información mediante un menú lateral retráctil y flujos de trabajo segmentados por pasos (asistentes o </w:t>
      </w:r>
      <w:proofErr w:type="spellStart"/>
      <w:r w:rsidRPr="000979F6">
        <w:rPr>
          <w:rFonts w:ascii="Times New Roman" w:hAnsi="Times New Roman" w:cs="Times New Roman"/>
          <w:sz w:val="20"/>
          <w:szCs w:val="20"/>
        </w:rPr>
        <w:t>wizards</w:t>
      </w:r>
      <w:proofErr w:type="spellEnd"/>
      <w:r w:rsidRPr="000979F6">
        <w:rPr>
          <w:rFonts w:ascii="Times New Roman" w:hAnsi="Times New Roman" w:cs="Times New Roman"/>
          <w:sz w:val="20"/>
          <w:szCs w:val="20"/>
        </w:rPr>
        <w:t>), lo que a menudo incrementa el tiempo de exploración pero reduce los errores contextuales en pantallas complejas.</w:t>
      </w:r>
    </w:p>
    <w:p w14:paraId="19E27F9F"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Justificación de los diseños según las heurísticas de Nielsen</w:t>
      </w:r>
    </w:p>
    <w:p w14:paraId="2146A8BE"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Las decisiones de interfaz se soportaron en los artefactos de especificación de diseño (SDD) descritos en GCS08_SDD_Heuristicas.pdf. En cuanto a la </w:t>
      </w:r>
      <w:r w:rsidRPr="000979F6">
        <w:rPr>
          <w:rFonts w:ascii="Times New Roman" w:hAnsi="Times New Roman" w:cs="Times New Roman"/>
          <w:b/>
          <w:bCs/>
          <w:sz w:val="20"/>
          <w:szCs w:val="20"/>
        </w:rPr>
        <w:t>visibilidad del estado del sistema (H1)</w:t>
      </w:r>
      <w:r w:rsidRPr="000979F6">
        <w:rPr>
          <w:rFonts w:ascii="Times New Roman" w:hAnsi="Times New Roman" w:cs="Times New Roman"/>
          <w:sz w:val="20"/>
          <w:szCs w:val="20"/>
        </w:rPr>
        <w:t xml:space="preserve">, al interactuar con los elementos del </w:t>
      </w:r>
      <w:proofErr w:type="spellStart"/>
      <w:r w:rsidRPr="000979F6">
        <w:rPr>
          <w:rFonts w:ascii="Times New Roman" w:hAnsi="Times New Roman" w:cs="Times New Roman"/>
          <w:sz w:val="20"/>
          <w:szCs w:val="20"/>
        </w:rPr>
        <w:t>frontend</w:t>
      </w:r>
      <w:proofErr w:type="spellEnd"/>
      <w:r w:rsidRPr="000979F6">
        <w:rPr>
          <w:rFonts w:ascii="Times New Roman" w:hAnsi="Times New Roman" w:cs="Times New Roman"/>
          <w:sz w:val="20"/>
          <w:szCs w:val="20"/>
        </w:rPr>
        <w:t xml:space="preserve"> —por ejemplo, al aprobar una solicitud mediante </w:t>
      </w:r>
      <w:r w:rsidRPr="000979F6">
        <w:rPr>
          <w:rFonts w:ascii="Times New Roman" w:hAnsi="Times New Roman" w:cs="Times New Roman"/>
          <w:i/>
          <w:iCs/>
          <w:sz w:val="20"/>
          <w:szCs w:val="20"/>
        </w:rPr>
        <w:t>PATCH /</w:t>
      </w:r>
      <w:proofErr w:type="spellStart"/>
      <w:r w:rsidRPr="000979F6">
        <w:rPr>
          <w:rFonts w:ascii="Times New Roman" w:hAnsi="Times New Roman" w:cs="Times New Roman"/>
          <w:i/>
          <w:iCs/>
          <w:sz w:val="20"/>
          <w:szCs w:val="20"/>
        </w:rPr>
        <w:t>requests</w:t>
      </w:r>
      <w:proofErr w:type="spellEnd"/>
      <w:r w:rsidRPr="000979F6">
        <w:rPr>
          <w:rFonts w:ascii="Times New Roman" w:hAnsi="Times New Roman" w:cs="Times New Roman"/>
          <w:i/>
          <w:iCs/>
          <w:sz w:val="20"/>
          <w:szCs w:val="20"/>
        </w:rPr>
        <w:t>/{id}/status</w:t>
      </w:r>
      <w:r w:rsidRPr="000979F6">
        <w:rPr>
          <w:rFonts w:ascii="Times New Roman" w:hAnsi="Times New Roman" w:cs="Times New Roman"/>
          <w:sz w:val="20"/>
          <w:szCs w:val="20"/>
        </w:rPr>
        <w:t xml:space="preserve">— la interfaz responde transformando visualmente las etiquetas de estado (de PENDING a APPROVED), reflejando instantáneamente los cambios procesados en el </w:t>
      </w:r>
      <w:proofErr w:type="spellStart"/>
      <w:r w:rsidRPr="000979F6">
        <w:rPr>
          <w:rFonts w:ascii="Times New Roman" w:hAnsi="Times New Roman" w:cs="Times New Roman"/>
          <w:sz w:val="20"/>
          <w:szCs w:val="20"/>
        </w:rPr>
        <w:t>backend</w:t>
      </w:r>
      <w:proofErr w:type="spellEnd"/>
      <w:r w:rsidRPr="000979F6">
        <w:rPr>
          <w:rFonts w:ascii="Times New Roman" w:hAnsi="Times New Roman" w:cs="Times New Roman"/>
          <w:sz w:val="20"/>
          <w:szCs w:val="20"/>
        </w:rPr>
        <w:t>.</w:t>
      </w:r>
    </w:p>
    <w:p w14:paraId="2EC43A6B"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Respecto a la </w:t>
      </w:r>
      <w:r w:rsidRPr="000979F6">
        <w:rPr>
          <w:rFonts w:ascii="Times New Roman" w:hAnsi="Times New Roman" w:cs="Times New Roman"/>
          <w:b/>
          <w:bCs/>
          <w:sz w:val="20"/>
          <w:szCs w:val="20"/>
        </w:rPr>
        <w:t>consistencia y estándares (H4)</w:t>
      </w:r>
      <w:r w:rsidRPr="000979F6">
        <w:rPr>
          <w:rFonts w:ascii="Times New Roman" w:hAnsi="Times New Roman" w:cs="Times New Roman"/>
          <w:sz w:val="20"/>
          <w:szCs w:val="20"/>
        </w:rPr>
        <w:t xml:space="preserve">, ambos grupos utilizaron elementos de interfaz estandarizados basados en los </w:t>
      </w:r>
      <w:proofErr w:type="spellStart"/>
      <w:r w:rsidRPr="000979F6">
        <w:rPr>
          <w:rFonts w:ascii="Times New Roman" w:hAnsi="Times New Roman" w:cs="Times New Roman"/>
          <w:sz w:val="20"/>
          <w:szCs w:val="20"/>
        </w:rPr>
        <w:t>DTOs</w:t>
      </w:r>
      <w:proofErr w:type="spellEnd"/>
      <w:r w:rsidRPr="000979F6">
        <w:rPr>
          <w:rFonts w:ascii="Times New Roman" w:hAnsi="Times New Roman" w:cs="Times New Roman"/>
          <w:sz w:val="20"/>
          <w:szCs w:val="20"/>
        </w:rPr>
        <w:t xml:space="preserve"> de negocio, de modo que términos fundamentales como AVAILABLE, RESERVED o COMPLETED se mantuvieron idénticos en todas las pantallas.</w:t>
      </w:r>
    </w:p>
    <w:p w14:paraId="3901F9F5"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lastRenderedPageBreak/>
        <w:t xml:space="preserve">Finalmente, en lo que se refiere a la </w:t>
      </w:r>
      <w:r w:rsidRPr="000979F6">
        <w:rPr>
          <w:rFonts w:ascii="Times New Roman" w:hAnsi="Times New Roman" w:cs="Times New Roman"/>
          <w:b/>
          <w:bCs/>
          <w:sz w:val="20"/>
          <w:szCs w:val="20"/>
        </w:rPr>
        <w:t>prevención de errores (H5)</w:t>
      </w:r>
      <w:r w:rsidRPr="000979F6">
        <w:rPr>
          <w:rFonts w:ascii="Times New Roman" w:hAnsi="Times New Roman" w:cs="Times New Roman"/>
          <w:sz w:val="20"/>
          <w:szCs w:val="20"/>
        </w:rPr>
        <w:t xml:space="preserve">, los formularios de inicio de sesión y registro de donaciones cuentan con validaciones nativas antes de enviar la petición, coincidiendo con las restricciones 422 de </w:t>
      </w:r>
      <w:proofErr w:type="spellStart"/>
      <w:r w:rsidRPr="000979F6">
        <w:rPr>
          <w:rFonts w:ascii="Times New Roman" w:hAnsi="Times New Roman" w:cs="Times New Roman"/>
          <w:sz w:val="20"/>
          <w:szCs w:val="20"/>
        </w:rPr>
        <w:t>Pydantic</w:t>
      </w:r>
      <w:proofErr w:type="spellEnd"/>
      <w:r w:rsidRPr="000979F6">
        <w:rPr>
          <w:rFonts w:ascii="Times New Roman" w:hAnsi="Times New Roman" w:cs="Times New Roman"/>
          <w:sz w:val="20"/>
          <w:szCs w:val="20"/>
        </w:rPr>
        <w:t xml:space="preserve"> en la API, lo que impide que campos como la dirección de recogida se transmitan vacíos o incompletos.</w:t>
      </w:r>
    </w:p>
    <w:p w14:paraId="1BDEF2BD" w14:textId="77777777" w:rsidR="005F2A43" w:rsidRPr="000979F6" w:rsidRDefault="00000000" w:rsidP="000979F6">
      <w:pPr>
        <w:pStyle w:val="Ttulo1"/>
        <w:pBdr>
          <w:bottom w:val="single" w:sz="6" w:space="8" w:color="2E75B6"/>
        </w:pBdr>
        <w:rPr>
          <w:rFonts w:ascii="Times New Roman" w:hAnsi="Times New Roman" w:cs="Times New Roman"/>
          <w:color w:val="auto"/>
          <w:sz w:val="22"/>
          <w:szCs w:val="22"/>
        </w:rPr>
      </w:pPr>
      <w:r w:rsidRPr="000979F6">
        <w:rPr>
          <w:rFonts w:ascii="Times New Roman" w:hAnsi="Times New Roman" w:cs="Times New Roman"/>
          <w:color w:val="auto"/>
          <w:sz w:val="22"/>
          <w:szCs w:val="22"/>
        </w:rPr>
        <w:t>Características del test de usuario realizado</w:t>
      </w:r>
    </w:p>
    <w:p w14:paraId="5313021E"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El análisis de la matriz de datos de usabilidad (G8-FoodDonation-DatosProcesados.xlsx) revela las propiedades metodológicas del test. En cuanto a su modalidad de moderación, se trató de un test </w:t>
      </w:r>
      <w:r w:rsidRPr="000979F6">
        <w:rPr>
          <w:rFonts w:ascii="Times New Roman" w:hAnsi="Times New Roman" w:cs="Times New Roman"/>
          <w:b/>
          <w:bCs/>
          <w:sz w:val="20"/>
          <w:szCs w:val="20"/>
        </w:rPr>
        <w:t>no moderado</w:t>
      </w:r>
      <w:r w:rsidRPr="000979F6">
        <w:rPr>
          <w:rFonts w:ascii="Times New Roman" w:hAnsi="Times New Roman" w:cs="Times New Roman"/>
          <w:sz w:val="20"/>
          <w:szCs w:val="20"/>
        </w:rPr>
        <w:t xml:space="preserve">, de modo que los usuarios completaron las tareas de forma autónoma siguiendo las pautas automatizadas de la herramienta de pruebas. En cuanto a su ubicación, fue un test </w:t>
      </w:r>
      <w:r w:rsidRPr="000979F6">
        <w:rPr>
          <w:rFonts w:ascii="Times New Roman" w:hAnsi="Times New Roman" w:cs="Times New Roman"/>
          <w:b/>
          <w:bCs/>
          <w:sz w:val="20"/>
          <w:szCs w:val="20"/>
        </w:rPr>
        <w:t>remoto</w:t>
      </w:r>
      <w:r w:rsidRPr="000979F6">
        <w:rPr>
          <w:rFonts w:ascii="Times New Roman" w:hAnsi="Times New Roman" w:cs="Times New Roman"/>
          <w:sz w:val="20"/>
          <w:szCs w:val="20"/>
        </w:rPr>
        <w:t xml:space="preserve">, implementado mediante la plataforma </w:t>
      </w:r>
      <w:r w:rsidRPr="000979F6">
        <w:rPr>
          <w:rFonts w:ascii="Times New Roman" w:hAnsi="Times New Roman" w:cs="Times New Roman"/>
          <w:b/>
          <w:bCs/>
          <w:sz w:val="20"/>
          <w:szCs w:val="20"/>
        </w:rPr>
        <w:t>Loop11</w:t>
      </w:r>
      <w:r w:rsidRPr="000979F6">
        <w:rPr>
          <w:rFonts w:ascii="Times New Roman" w:hAnsi="Times New Roman" w:cs="Times New Roman"/>
          <w:sz w:val="20"/>
          <w:szCs w:val="20"/>
        </w:rPr>
        <w:t>, lo que permitió a los participantes interactuar con las interfaces desde sus propios entornos y dispositivos habituales, tanto de escritorio como móviles.</w:t>
      </w:r>
    </w:p>
    <w:p w14:paraId="1B45215A"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Persona elegida para realizar el test</w:t>
      </w:r>
    </w:p>
    <w:p w14:paraId="461D351D"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De acuerdo con la naturaleza del proyecto y la distribución demográfica de la muestra, con edades comprendidas entre los 18 y los 50 años, se definieron dos perfiles tipo de usuario (</w:t>
      </w:r>
      <w:proofErr w:type="spellStart"/>
      <w:r w:rsidRPr="000979F6">
        <w:rPr>
          <w:rFonts w:ascii="Times New Roman" w:hAnsi="Times New Roman" w:cs="Times New Roman"/>
          <w:sz w:val="20"/>
          <w:szCs w:val="20"/>
        </w:rPr>
        <w:t>user</w:t>
      </w:r>
      <w:proofErr w:type="spellEnd"/>
      <w:r w:rsidRPr="000979F6">
        <w:rPr>
          <w:rFonts w:ascii="Times New Roman" w:hAnsi="Times New Roman" w:cs="Times New Roman"/>
          <w:sz w:val="20"/>
          <w:szCs w:val="20"/>
        </w:rPr>
        <w:t xml:space="preserve"> personas).</w:t>
      </w:r>
    </w:p>
    <w:p w14:paraId="698B74F2"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Perfil donante: Alejandro Torres, 42 años</w:t>
      </w:r>
    </w:p>
    <w:p w14:paraId="261258D5"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Alejandro es propietario de un restaurante mediano en la ciudad. Tiene un nivel tecnológico medio: utiliza herramientas digitales para la gestión de su negocio, pero dispone de muy poco tiempo libre. Su objetivo principal es registrar los excedentes de comida de su cocina de forma rápida, en menos de dos minutos, antes de cerrar el local por las noches.</w:t>
      </w:r>
    </w:p>
    <w:p w14:paraId="28E6B2F4"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Perfil receptor (ONG): Marta Sanabria, 26 años</w:t>
      </w:r>
    </w:p>
    <w:p w14:paraId="356C10BC"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Marta es coordinadora de voluntariado en un comedor social local. Tiene un nivel tecnológico alto, está habituada al uso de aplicaciones móviles y plataformas web de gestión colectiva, y busca una interfaz clara y limpia que le permita examinar las donaciones disponibles en su zona geográfica sin perderse en menús complejos, maximizando así el impacto de sus recogidas diarias.</w:t>
      </w:r>
    </w:p>
    <w:p w14:paraId="0DCACAD3"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Resultados del test de rendimiento: tiempo</w:t>
      </w:r>
    </w:p>
    <w:p w14:paraId="37D3C1EA"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A partir del procesamiento de datos realizado mediante Python sobre el fichero G8-FoodDonation-DatosProcesados.xlsx, se identificó la tarea con mayor divergencia en tiempos de ejecución entre ambas variantes: la </w:t>
      </w:r>
      <w:r w:rsidRPr="000979F6">
        <w:rPr>
          <w:rFonts w:ascii="Times New Roman" w:hAnsi="Times New Roman" w:cs="Times New Roman"/>
          <w:b/>
          <w:bCs/>
          <w:sz w:val="20"/>
          <w:szCs w:val="20"/>
        </w:rPr>
        <w:t>T2 — Aceptar una solicitud de donación</w:t>
      </w:r>
      <w:r w:rsidRPr="000979F6">
        <w:rPr>
          <w:rFonts w:ascii="Times New Roman" w:hAnsi="Times New Roman" w:cs="Times New Roman"/>
          <w:sz w:val="20"/>
          <w:szCs w:val="20"/>
        </w:rPr>
        <w:t>.</w:t>
      </w:r>
    </w:p>
    <w:p w14:paraId="51C30FDD"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Escenario planteado</w:t>
      </w:r>
    </w:p>
    <w:p w14:paraId="434473AB"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i/>
          <w:iCs/>
          <w:sz w:val="20"/>
          <w:szCs w:val="20"/>
        </w:rPr>
        <w:t>"Imagina que eres Alejandro, el dueño del restaurante. Has publicado una donación de 10 kg de manzanas y la ONG de Marta ha enviado una solicitud para recogerlas. Accede a tus alertas pendientes, revisa la información de la ONG y confirma la asignación aprobando la solicitud."</w:t>
      </w:r>
    </w:p>
    <w:p w14:paraId="34162D8E"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Comparativa analítica de rendimiento para 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5F2A43" w:rsidRPr="000979F6" w14:paraId="0FA86C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DE708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Métrica evaluada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900A5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Prototipo 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E98BE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Prototipo B</w:t>
            </w:r>
          </w:p>
        </w:tc>
      </w:tr>
      <w:tr w:rsidR="005F2A43" w:rsidRPr="000979F6" w14:paraId="3062B1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0FF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Tiempo medio por tarea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D84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66.43 segundos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3788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91.43 segundos</w:t>
            </w:r>
          </w:p>
        </w:tc>
      </w:tr>
      <w:tr w:rsidR="005F2A43" w:rsidRPr="000979F6" w14:paraId="1B9CDE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03DA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Número mínimo de pasos (ideal)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652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3 pasos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13B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3 pasos</w:t>
            </w:r>
          </w:p>
        </w:tc>
      </w:tr>
      <w:tr w:rsidR="005F2A43" w:rsidRPr="000979F6" w14:paraId="25B952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6231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Número medio de pasos reales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441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4.57 pasos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DD1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4.86 pasos</w:t>
            </w:r>
          </w:p>
        </w:tc>
      </w:tr>
      <w:tr w:rsidR="005F2A43" w:rsidRPr="000979F6" w14:paraId="21C961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203C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Porcentaje de compleción (% éxito)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8EDD5"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92.86%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8ED6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78.57%</w:t>
            </w:r>
          </w:p>
        </w:tc>
      </w:tr>
      <w:tr w:rsidR="005F2A43" w:rsidRPr="000979F6" w14:paraId="3B762D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856B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Puntuación media de expectativa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CBB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4.71 /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B743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4.29 / 7</w:t>
            </w:r>
          </w:p>
        </w:tc>
      </w:tr>
      <w:tr w:rsidR="005F2A43" w:rsidRPr="000979F6" w14:paraId="3DFF87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B729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lastRenderedPageBreak/>
              <w:t>Puntuación media de experiencia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7D20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5.43 /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1928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4.21 / 7</w:t>
            </w:r>
          </w:p>
        </w:tc>
      </w:tr>
    </w:tbl>
    <w:p w14:paraId="50E82723"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Gráfico de expectativa vs. experiencia (T2)</w:t>
      </w:r>
    </w:p>
    <w:p w14:paraId="75325216"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Prototipo A: expectativa 4.71, frente a una experiencia de 5.43, lo que supone una diferencia positiva de +0.72 y, por tanto, supera las expectativas iniciales.</w:t>
      </w:r>
    </w:p>
    <w:p w14:paraId="2684172C"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Prototipo B: expectativa 4.29, frente a una experiencia de 4.21, lo que supone una diferencia negativa de -0.08 y refleja una ligera frustración.</w:t>
      </w:r>
    </w:p>
    <w:p w14:paraId="3479AC28"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Explicación de los resultados</w:t>
      </w:r>
    </w:p>
    <w:p w14:paraId="3ACE44B6"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El Prototipo A demostró ser significativamente superior en la tarea de aceptación de solicitudes, completándose 25 segundos más rápido y con una tasa de éxito notablemente mayor, del 92.86% frente al 78.57%.</w:t>
      </w:r>
    </w:p>
    <w:p w14:paraId="162ECD37"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Revisando el diseño de pantallas, el Prototipo A, según la captura Dashboard.png, proporciona un acceso directo a la lista de solicitudes entrantes integrando botones de acción inmediata —aprobar o rechazar— en el propio componente de la fila. Esto cumple la heurística H7 de flexibilidad y eficiencia de uso, permitiendo resolver el flujo en pocos clics.</w:t>
      </w:r>
    </w:p>
    <w:p w14:paraId="1C837B51"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Por el contrario, el Prototipo B oculta la gestión de peticiones dentro de una sección específica y aislada, según se refleja en requests.png, obligando al usuario a navegar por un menú lateral secundario, localizar la donación original y luego abrir una vista modal para cambiar el estado. Esta separación física de los elementos provocó una mayor desorientación, elevando el tiempo medio y reduciendo la percepción de usabilidad, ya que la experiencia real en el Prototipo B cayó por debajo de su expectativa inicial.</w:t>
      </w:r>
    </w:p>
    <w:p w14:paraId="7B1E9F13"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Resultados del test de rendimiento: género</w:t>
      </w:r>
    </w:p>
    <w:p w14:paraId="60C99522"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Al segmentar las métricas de rendimiento por género en los dos sistemas de pruebas, se detectaron brechas de rendimiento considerables debido a decisiones específicas de diseño. La tarea con mayor divergencia por género fue la </w:t>
      </w:r>
      <w:r w:rsidRPr="000979F6">
        <w:rPr>
          <w:rFonts w:ascii="Times New Roman" w:hAnsi="Times New Roman" w:cs="Times New Roman"/>
          <w:b/>
          <w:bCs/>
          <w:sz w:val="20"/>
          <w:szCs w:val="20"/>
        </w:rPr>
        <w:t>T4 — Rechazar una solicitud</w:t>
      </w:r>
      <w:r w:rsidRPr="000979F6">
        <w:rPr>
          <w:rFonts w:ascii="Times New Roman" w:hAnsi="Times New Roman" w:cs="Times New Roman"/>
          <w:sz w:val="20"/>
          <w:szCs w:val="20"/>
        </w:rPr>
        <w:t>, dentro del Prototipo B, con una diferencia neta de tiempo de 32.86 segundos entre hombres y mujeres.</w:t>
      </w:r>
    </w:p>
    <w:p w14:paraId="306B35A9"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Escenario planteado</w:t>
      </w:r>
    </w:p>
    <w:p w14:paraId="1BF654FC"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i/>
          <w:iCs/>
          <w:sz w:val="20"/>
          <w:szCs w:val="20"/>
        </w:rPr>
        <w:t>"Eres un donante y has recibido una solicitud de comida que no puedes atender porque el lote ha caducado. Accede al sistema, localiza la petición pendiente y recházala explicando el motivo en el campo correspondiente."</w:t>
      </w:r>
    </w:p>
    <w:p w14:paraId="5427110D"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Factores críticos de éxito y medidas de ROI</w:t>
      </w:r>
    </w:p>
    <w:p w14:paraId="79C600D4"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Esta tarea mitiga directamente los costes de logística inversa: un rechazo rápido y justificado evita que los voluntarios de la ONG gasten tiempo y recursos desplazándose a un punto de recogida por un lote que ya no está disponible.</w:t>
      </w:r>
    </w:p>
    <w:p w14:paraId="3C1AAE71"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Comparativa analítica por género en T4 (Prototipo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5F2A43" w:rsidRPr="000979F6" w14:paraId="1ED569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2EE6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Métrica evaluada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A0DEF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Usuarios masculinos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601F2"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Usuarios femeninos</w:t>
            </w:r>
          </w:p>
        </w:tc>
      </w:tr>
      <w:tr w:rsidR="005F2A43" w:rsidRPr="000979F6" w14:paraId="068496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B0DA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Tiempo medio por tarea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DEAC"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58.29 segundos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60AA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91.14 segundos</w:t>
            </w:r>
          </w:p>
        </w:tc>
      </w:tr>
      <w:tr w:rsidR="005F2A43" w:rsidRPr="000979F6" w14:paraId="0EDA39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D59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Número mínimo de pasos (ideal)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7BDE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3 pasos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26E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3 pasos</w:t>
            </w:r>
          </w:p>
        </w:tc>
      </w:tr>
      <w:tr w:rsidR="005F2A43" w:rsidRPr="000979F6" w14:paraId="236F2E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E6A3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Número medio de pasos reales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200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5.14 pasos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F175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6.29 pasos</w:t>
            </w:r>
          </w:p>
        </w:tc>
      </w:tr>
      <w:tr w:rsidR="005F2A43" w:rsidRPr="000979F6" w14:paraId="2B7DC2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867D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Porcentaje de compleción (% éxito)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51F0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85.71%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3AA02"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71.43%</w:t>
            </w:r>
          </w:p>
        </w:tc>
      </w:tr>
      <w:tr w:rsidR="005F2A43" w:rsidRPr="000979F6" w14:paraId="7BA2C7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0169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Puntuación media de expectativa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6BB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4.57 /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A69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5.00 / 7</w:t>
            </w:r>
          </w:p>
        </w:tc>
      </w:tr>
      <w:tr w:rsidR="005F2A43" w:rsidRPr="000979F6" w14:paraId="25A481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EEF3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Puntuación media de experiencia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C1F4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4.29 /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8717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3.43 / 7</w:t>
            </w:r>
          </w:p>
        </w:tc>
      </w:tr>
    </w:tbl>
    <w:p w14:paraId="3303EF61" w14:textId="77777777" w:rsidR="005F2A43" w:rsidRPr="000979F6" w:rsidRDefault="005F2A43">
      <w:pPr>
        <w:spacing w:after="160"/>
        <w:rPr>
          <w:rFonts w:ascii="Times New Roman" w:hAnsi="Times New Roman" w:cs="Times New Roman"/>
          <w:sz w:val="20"/>
          <w:szCs w:val="20"/>
        </w:rPr>
      </w:pPr>
    </w:p>
    <w:p w14:paraId="39033C39"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lastRenderedPageBreak/>
        <w:t>Gráfico de expectativa vs. experiencia por género (T4, Prototipo B)</w:t>
      </w:r>
    </w:p>
    <w:p w14:paraId="4C2A2455"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En el caso de los hombres, la expectativa fue de 4.57 frente a una experiencia de 4.29, lo que supone una diferencia de -0.28. En el caso de las mujeres, la expectativa fue de 5.00 frente a una experiencia de 3.43, lo que supone una diferencia de -1.57, reflejando una brecha crítica de frustración.</w:t>
      </w:r>
    </w:p>
    <w:p w14:paraId="07C0B19D"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Explicación de los resultados</w:t>
      </w:r>
    </w:p>
    <w:p w14:paraId="066A9A9F"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En el Prototipo B, el rendimiento de los usuarios masculinos fue notablemente mejor tanto en tiempos —más de medio minuto más rápidos— como en tasa de éxito. La clave explicativa radica en la interacción con el formulario de denegación detallado en requests.png y en las dinámicas registradas durante los </w:t>
      </w:r>
      <w:proofErr w:type="spellStart"/>
      <w:r w:rsidRPr="000979F6">
        <w:rPr>
          <w:rFonts w:ascii="Times New Roman" w:hAnsi="Times New Roman" w:cs="Times New Roman"/>
          <w:sz w:val="20"/>
          <w:szCs w:val="20"/>
        </w:rPr>
        <w:t>tests</w:t>
      </w:r>
      <w:proofErr w:type="spellEnd"/>
      <w:r w:rsidRPr="000979F6">
        <w:rPr>
          <w:rFonts w:ascii="Times New Roman" w:hAnsi="Times New Roman" w:cs="Times New Roman"/>
          <w:sz w:val="20"/>
          <w:szCs w:val="20"/>
        </w:rPr>
        <w:t xml:space="preserve"> no moderados.</w:t>
      </w:r>
    </w:p>
    <w:p w14:paraId="42BA7D49"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El Prototipo B introduce un cuadro de texto obligatorio de tamaño reducido para rellenar los motivos del rechazo antes de habilitar el botón definitivo. El perfil de usuarias femeninas de la muestra, similar al de Marta y muy orientado a objetivos prácticos de gestión en movilidad, mostró una expectativa alta (5.00), pero se topó con un problema de falta de </w:t>
      </w:r>
      <w:proofErr w:type="spellStart"/>
      <w:r w:rsidRPr="000979F6">
        <w:rPr>
          <w:rFonts w:ascii="Times New Roman" w:hAnsi="Times New Roman" w:cs="Times New Roman"/>
          <w:sz w:val="20"/>
          <w:szCs w:val="20"/>
        </w:rPr>
        <w:t>feedback</w:t>
      </w:r>
      <w:proofErr w:type="spellEnd"/>
      <w:r w:rsidRPr="000979F6">
        <w:rPr>
          <w:rFonts w:ascii="Times New Roman" w:hAnsi="Times New Roman" w:cs="Times New Roman"/>
          <w:sz w:val="20"/>
          <w:szCs w:val="20"/>
        </w:rPr>
        <w:t xml:space="preserve"> visual que constituye una violación de la heurística H9 de ayuda para reconocer y recuperarse de errores: el botón permanecía inactivo, en gris, sin indicar claramente que se requería un mínimo de caracteres en el cuadro de comentarios. Esto forzó a las usuarias a dar rodeos por la interfaz, con una media de 6.29 pasos, asumiendo que el sistema se había colgado o que carecían de los permisos del rol, lo que desplomó su experiencia percibida hasta un bajo 3.43.</w:t>
      </w:r>
    </w:p>
    <w:p w14:paraId="076523DA"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Medidas globales: UMUX y NPS</w:t>
      </w:r>
    </w:p>
    <w:p w14:paraId="4E1D1CDD"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Al consolidar los indicadores psicométricos globales de la evaluación, el Prototipo A obtuvo un UMUX medio de 69.05 y un NPS medio de 7.07, mientras que el Prototipo B obtuvo un UMUX medio de 68.15 y un NPS medio de 7.79.</w:t>
      </w:r>
    </w:p>
    <w:p w14:paraId="4DE92CBE"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Estos resultados plantean un escenario de contraste muy interesante. Por un lado, el </w:t>
      </w:r>
      <w:r w:rsidRPr="000979F6">
        <w:rPr>
          <w:rFonts w:ascii="Times New Roman" w:hAnsi="Times New Roman" w:cs="Times New Roman"/>
          <w:b/>
          <w:bCs/>
          <w:sz w:val="20"/>
          <w:szCs w:val="20"/>
        </w:rPr>
        <w:t>Prototipo A gana en usabilidad pura (UMUX)</w:t>
      </w:r>
      <w:r w:rsidRPr="000979F6">
        <w:rPr>
          <w:rFonts w:ascii="Times New Roman" w:hAnsi="Times New Roman" w:cs="Times New Roman"/>
          <w:sz w:val="20"/>
          <w:szCs w:val="20"/>
        </w:rPr>
        <w:t>, ya que su enfoque compacto de accesos directos redujo las fricciones de clics en tareas críticas como la aceptación de donaciones (T2), ofreciendo flujos más naturales y ágiles que se traducen en un índice UMUX superior.</w:t>
      </w:r>
    </w:p>
    <w:p w14:paraId="0566426E"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Por otro lado, el </w:t>
      </w:r>
      <w:r w:rsidRPr="000979F6">
        <w:rPr>
          <w:rFonts w:ascii="Times New Roman" w:hAnsi="Times New Roman" w:cs="Times New Roman"/>
          <w:b/>
          <w:bCs/>
          <w:sz w:val="20"/>
          <w:szCs w:val="20"/>
        </w:rPr>
        <w:t>Prototipo B gana en intención de recomendación (NPS)</w:t>
      </w:r>
      <w:r w:rsidRPr="000979F6">
        <w:rPr>
          <w:rFonts w:ascii="Times New Roman" w:hAnsi="Times New Roman" w:cs="Times New Roman"/>
          <w:sz w:val="20"/>
          <w:szCs w:val="20"/>
        </w:rPr>
        <w:t>. A pesar de los problemas puntuales de navegación que ralentizaron las tareas T2 y T4, su estética general limpia, el uso equilibrado de los espacios en blanco y la estructura visual de pantallas como Dashboard.png e id.png generaron un impacto emocional muy positivo. Los usuarios disculparon las pequeñas trabas operativas debido a una percepción de diseño moderna y profesional, lo que elevó el NPS medio hasta un 7.79.</w:t>
      </w:r>
    </w:p>
    <w:p w14:paraId="3F0F1B6D" w14:textId="77777777" w:rsidR="005F2A43" w:rsidRPr="000979F6" w:rsidRDefault="00000000">
      <w:pPr>
        <w:pStyle w:val="Ttulo1"/>
        <w:rPr>
          <w:rFonts w:ascii="Times New Roman" w:hAnsi="Times New Roman" w:cs="Times New Roman"/>
          <w:color w:val="auto"/>
          <w:sz w:val="22"/>
          <w:szCs w:val="22"/>
        </w:rPr>
      </w:pPr>
      <w:r w:rsidRPr="000979F6">
        <w:rPr>
          <w:rFonts w:ascii="Times New Roman" w:hAnsi="Times New Roman" w:cs="Times New Roman"/>
          <w:color w:val="auto"/>
          <w:sz w:val="22"/>
          <w:szCs w:val="22"/>
        </w:rPr>
        <w:t>Tabla resumen del análisis comparativo realizado con Python</w:t>
      </w:r>
    </w:p>
    <w:p w14:paraId="419BF78B"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A continuación se detalla el comportamiento de éxito y los tiempos para la totalidad de las tareas en ambos entornos.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280"/>
        <w:gridCol w:w="1280"/>
        <w:gridCol w:w="1420"/>
        <w:gridCol w:w="1420"/>
        <w:gridCol w:w="1440"/>
      </w:tblGrid>
      <w:tr w:rsidR="005F2A43" w:rsidRPr="000979F6" w14:paraId="0D9E77A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746C4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Tarea evaluada</w:t>
            </w:r>
          </w:p>
        </w:tc>
        <w:tc>
          <w:tcPr>
            <w:tcW w:w="1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69F4DE"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 Éxito (A)</w:t>
            </w:r>
          </w:p>
        </w:tc>
        <w:tc>
          <w:tcPr>
            <w:tcW w:w="1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3E122"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 Éxito (B)</w:t>
            </w:r>
          </w:p>
        </w:tc>
        <w:tc>
          <w:tcPr>
            <w:tcW w:w="14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0B23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Tiempo medio A (s)</w:t>
            </w:r>
          </w:p>
        </w:tc>
        <w:tc>
          <w:tcPr>
            <w:tcW w:w="14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00B74E"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Tiempo medio B (s)</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84D2F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Divergencia neta</w:t>
            </w:r>
          </w:p>
        </w:tc>
      </w:tr>
      <w:tr w:rsidR="005F2A43" w:rsidRPr="000979F6" w14:paraId="6197710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1B37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T1 (Nueva solicitud)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E95A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100.0%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EFA35"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100.0%</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B05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91.07s</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7322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91.86s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EAB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0.79s (estable)</w:t>
            </w:r>
          </w:p>
        </w:tc>
      </w:tr>
      <w:tr w:rsidR="005F2A43" w:rsidRPr="000979F6" w14:paraId="41D3C20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8D705"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T2 (Aceptar solicitud)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D7F6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92.86%</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9EA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78.57%</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F548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66.43s</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42B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91.43s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3C8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25.00s (favor A)</w:t>
            </w:r>
          </w:p>
        </w:tc>
      </w:tr>
      <w:tr w:rsidR="005F2A43" w:rsidRPr="000979F6" w14:paraId="010C6ED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95D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T3 (Ver solicitud)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8AF25"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100.0%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0312"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100.0%</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6A14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72.93s</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158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74.07s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DC1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1.14s (estable)</w:t>
            </w:r>
          </w:p>
        </w:tc>
      </w:tr>
      <w:tr w:rsidR="005F2A43" w:rsidRPr="000979F6" w14:paraId="77F151E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298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T4 (Rechazar solicitud)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2BE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85.71%</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0ED9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85.71%</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70F5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79.57s</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89CE"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74.71s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529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4.86s (estable)</w:t>
            </w:r>
          </w:p>
        </w:tc>
      </w:tr>
      <w:tr w:rsidR="005F2A43" w:rsidRPr="000979F6" w14:paraId="3C60D6E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F1B9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T5 (Compartir donación)</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CA7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92.86%</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11F0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71.43%</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5927"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61.79s</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C2DAC"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E6B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w:t>
            </w:r>
          </w:p>
        </w:tc>
      </w:tr>
    </w:tbl>
    <w:p w14:paraId="6A210128" w14:textId="77777777" w:rsidR="005F2A43" w:rsidRPr="000979F6" w:rsidRDefault="005F2A43">
      <w:pPr>
        <w:spacing w:after="160"/>
        <w:rPr>
          <w:rFonts w:ascii="Times New Roman" w:hAnsi="Times New Roman" w:cs="Times New Roman"/>
          <w:sz w:val="20"/>
          <w:szCs w:val="20"/>
        </w:rPr>
      </w:pPr>
    </w:p>
    <w:p w14:paraId="0F363FF0" w14:textId="77777777" w:rsidR="005F2A43" w:rsidRPr="000979F6" w:rsidRDefault="00000000">
      <w:pPr>
        <w:pStyle w:val="Ttulo2"/>
        <w:rPr>
          <w:rFonts w:ascii="Times New Roman" w:hAnsi="Times New Roman" w:cs="Times New Roman"/>
          <w:sz w:val="20"/>
          <w:szCs w:val="20"/>
        </w:rPr>
      </w:pPr>
      <w:r w:rsidRPr="000979F6">
        <w:rPr>
          <w:rFonts w:ascii="Times New Roman" w:hAnsi="Times New Roman" w:cs="Times New Roman"/>
          <w:sz w:val="20"/>
          <w:szCs w:val="20"/>
        </w:rPr>
        <w:t>Otros resultados a resaltar</w:t>
      </w:r>
    </w:p>
    <w:p w14:paraId="2F3F9CF3"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lastRenderedPageBreak/>
        <w:t xml:space="preserve">En cuanto a la </w:t>
      </w:r>
      <w:r w:rsidRPr="000979F6">
        <w:rPr>
          <w:rFonts w:ascii="Times New Roman" w:hAnsi="Times New Roman" w:cs="Times New Roman"/>
          <w:b/>
          <w:bCs/>
          <w:sz w:val="20"/>
          <w:szCs w:val="20"/>
        </w:rPr>
        <w:t>T5 — Compartir una donación</w:t>
      </w:r>
      <w:r w:rsidRPr="000979F6">
        <w:rPr>
          <w:rFonts w:ascii="Times New Roman" w:hAnsi="Times New Roman" w:cs="Times New Roman"/>
          <w:sz w:val="20"/>
          <w:szCs w:val="20"/>
        </w:rPr>
        <w:t xml:space="preserve">, se presenta otra divergencia crítica de 24.43 segundos a favor del Prototipo A. En las pantallas del Prototipo B, concretamente en </w:t>
      </w:r>
      <w:proofErr w:type="spellStart"/>
      <w:r w:rsidRPr="000979F6">
        <w:rPr>
          <w:rFonts w:ascii="Times New Roman" w:hAnsi="Times New Roman" w:cs="Times New Roman"/>
          <w:sz w:val="20"/>
          <w:szCs w:val="20"/>
        </w:rPr>
        <w:t>donations</w:t>
      </w:r>
      <w:proofErr w:type="spellEnd"/>
      <w:r w:rsidRPr="000979F6">
        <w:rPr>
          <w:rFonts w:ascii="Times New Roman" w:hAnsi="Times New Roman" w:cs="Times New Roman"/>
          <w:sz w:val="20"/>
          <w:szCs w:val="20"/>
        </w:rPr>
        <w:t xml:space="preserve">/id.png, los elementos de interacción social quedaron relegados a la parte inferior de la vista de detalle, obligando a realizar </w:t>
      </w:r>
      <w:proofErr w:type="spellStart"/>
      <w:r w:rsidRPr="000979F6">
        <w:rPr>
          <w:rFonts w:ascii="Times New Roman" w:hAnsi="Times New Roman" w:cs="Times New Roman"/>
          <w:sz w:val="20"/>
          <w:szCs w:val="20"/>
        </w:rPr>
        <w:t>scroll</w:t>
      </w:r>
      <w:proofErr w:type="spellEnd"/>
      <w:r w:rsidRPr="000979F6">
        <w:rPr>
          <w:rFonts w:ascii="Times New Roman" w:hAnsi="Times New Roman" w:cs="Times New Roman"/>
          <w:sz w:val="20"/>
          <w:szCs w:val="20"/>
        </w:rPr>
        <w:t>, mientras que el Prototipo A los integraba como acciones principales de cabecera.</w:t>
      </w:r>
    </w:p>
    <w:p w14:paraId="3674EA0C"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sz w:val="20"/>
          <w:szCs w:val="20"/>
        </w:rPr>
        <w:t xml:space="preserve">Por su parte, las tareas </w:t>
      </w:r>
      <w:r w:rsidRPr="000979F6">
        <w:rPr>
          <w:rFonts w:ascii="Times New Roman" w:hAnsi="Times New Roman" w:cs="Times New Roman"/>
          <w:b/>
          <w:bCs/>
          <w:sz w:val="20"/>
          <w:szCs w:val="20"/>
        </w:rPr>
        <w:t>T1 y T3 mostraron una estabilidad absoluta</w:t>
      </w:r>
      <w:r w:rsidRPr="000979F6">
        <w:rPr>
          <w:rFonts w:ascii="Times New Roman" w:hAnsi="Times New Roman" w:cs="Times New Roman"/>
          <w:sz w:val="20"/>
          <w:szCs w:val="20"/>
        </w:rPr>
        <w:t xml:space="preserve">: los flujos de creación y lectura simple registraron tasas de éxito idénticas, del 100%, y variaciones de tiempo inferiores a un segundo, lo que confirma que las estructuras de </w:t>
      </w:r>
      <w:proofErr w:type="spellStart"/>
      <w:r w:rsidRPr="000979F6">
        <w:rPr>
          <w:rFonts w:ascii="Times New Roman" w:hAnsi="Times New Roman" w:cs="Times New Roman"/>
          <w:sz w:val="20"/>
          <w:szCs w:val="20"/>
        </w:rPr>
        <w:t>backend</w:t>
      </w:r>
      <w:proofErr w:type="spellEnd"/>
      <w:r w:rsidRPr="000979F6">
        <w:rPr>
          <w:rFonts w:ascii="Times New Roman" w:hAnsi="Times New Roman" w:cs="Times New Roman"/>
          <w:sz w:val="20"/>
          <w:szCs w:val="20"/>
        </w:rPr>
        <w:t xml:space="preserve"> subyacentes eran sólidas y que los problemas detectados eran estrictamente de diseño de interacción superficial.</w:t>
      </w:r>
    </w:p>
    <w:p w14:paraId="3E43AB0C"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Principales problemas detectados, gravedad y solución en el prototipo nativo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1581"/>
        <w:gridCol w:w="1618"/>
        <w:gridCol w:w="1096"/>
        <w:gridCol w:w="1185"/>
        <w:gridCol w:w="2014"/>
      </w:tblGrid>
      <w:tr w:rsidR="005F2A43" w:rsidRPr="000979F6" w14:paraId="2D7ECB8F"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05B94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Componente / ruta</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A1FBC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Problema detectado</w:t>
            </w:r>
          </w:p>
        </w:tc>
        <w:tc>
          <w:tcPr>
            <w:tcW w:w="14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44444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Heurística violada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FD1D5C"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Gravedad</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C0EB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Frecuencia</w:t>
            </w:r>
          </w:p>
        </w:tc>
        <w:tc>
          <w:tcPr>
            <w:tcW w:w="26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AE4AF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b/>
                <w:bCs/>
                <w:sz w:val="20"/>
                <w:szCs w:val="20"/>
              </w:rPr>
              <w:t>Solución en el prototipo nativo final</w:t>
            </w:r>
          </w:p>
        </w:tc>
      </w:tr>
      <w:tr w:rsidR="005F2A43" w:rsidRPr="000979F6" w14:paraId="4DE0DD73"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40104"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PATCH /</w:t>
            </w:r>
            <w:proofErr w:type="spellStart"/>
            <w:r w:rsidRPr="000979F6">
              <w:rPr>
                <w:rFonts w:ascii="Times New Roman" w:hAnsi="Times New Roman" w:cs="Times New Roman"/>
                <w:sz w:val="20"/>
                <w:szCs w:val="20"/>
              </w:rPr>
              <w:t>requests</w:t>
            </w:r>
            <w:proofErr w:type="spellEnd"/>
            <w:r w:rsidRPr="000979F6">
              <w:rPr>
                <w:rFonts w:ascii="Times New Roman" w:hAnsi="Times New Roman" w:cs="Times New Roman"/>
                <w:sz w:val="20"/>
                <w:szCs w:val="20"/>
              </w:rPr>
              <w:t>/{id}/status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EF0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Botón inactivo en el formulario de rechazo sin aviso de validación previa.</w:t>
            </w:r>
          </w:p>
        </w:tc>
        <w:tc>
          <w:tcPr>
            <w:tcW w:w="1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29F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H9 (Reconocer errores)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EDC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Alta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EC218"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Alta</w:t>
            </w:r>
          </w:p>
        </w:tc>
        <w:tc>
          <w:tcPr>
            <w:tcW w:w="2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8C66B"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 xml:space="preserve">Se añadió </w:t>
            </w:r>
            <w:proofErr w:type="spellStart"/>
            <w:r w:rsidRPr="000979F6">
              <w:rPr>
                <w:rFonts w:ascii="Times New Roman" w:hAnsi="Times New Roman" w:cs="Times New Roman"/>
                <w:sz w:val="20"/>
                <w:szCs w:val="20"/>
              </w:rPr>
              <w:t>feedback</w:t>
            </w:r>
            <w:proofErr w:type="spellEnd"/>
            <w:r w:rsidRPr="000979F6">
              <w:rPr>
                <w:rFonts w:ascii="Times New Roman" w:hAnsi="Times New Roman" w:cs="Times New Roman"/>
                <w:sz w:val="20"/>
                <w:szCs w:val="20"/>
              </w:rPr>
              <w:t xml:space="preserve"> en tiempo real que muestra el mensaje "Debe introducir al menos 15 caracteres" e ilumina el botón dinámicamente al cumplirlo.</w:t>
            </w:r>
          </w:p>
        </w:tc>
      </w:tr>
      <w:tr w:rsidR="005F2A43" w:rsidRPr="000979F6" w14:paraId="7DCAEBAA"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C51CE"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w:t>
            </w:r>
            <w:proofErr w:type="spellStart"/>
            <w:r w:rsidRPr="000979F6">
              <w:rPr>
                <w:rFonts w:ascii="Times New Roman" w:hAnsi="Times New Roman" w:cs="Times New Roman"/>
                <w:sz w:val="20"/>
                <w:szCs w:val="20"/>
              </w:rPr>
              <w:t>donations</w:t>
            </w:r>
            <w:proofErr w:type="spellEnd"/>
            <w:r w:rsidRPr="000979F6">
              <w:rPr>
                <w:rFonts w:ascii="Times New Roman" w:hAnsi="Times New Roman" w:cs="Times New Roman"/>
                <w:sz w:val="20"/>
                <w:szCs w:val="20"/>
              </w:rPr>
              <w:t>/new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B1B2F" w14:textId="77777777" w:rsidR="005F2A43" w:rsidRPr="000979F6" w:rsidRDefault="00000000">
            <w:pPr>
              <w:rPr>
                <w:rFonts w:ascii="Times New Roman" w:hAnsi="Times New Roman" w:cs="Times New Roman"/>
                <w:sz w:val="20"/>
                <w:szCs w:val="20"/>
              </w:rPr>
            </w:pPr>
            <w:proofErr w:type="spellStart"/>
            <w:r w:rsidRPr="000979F6">
              <w:rPr>
                <w:rFonts w:ascii="Times New Roman" w:hAnsi="Times New Roman" w:cs="Times New Roman"/>
                <w:sz w:val="20"/>
                <w:szCs w:val="20"/>
              </w:rPr>
              <w:t>Scroll</w:t>
            </w:r>
            <w:proofErr w:type="spellEnd"/>
            <w:r w:rsidRPr="000979F6">
              <w:rPr>
                <w:rFonts w:ascii="Times New Roman" w:hAnsi="Times New Roman" w:cs="Times New Roman"/>
                <w:sz w:val="20"/>
                <w:szCs w:val="20"/>
              </w:rPr>
              <w:t xml:space="preserve"> excesivo para rellenar campos obligatorios de dirección.</w:t>
            </w:r>
          </w:p>
        </w:tc>
        <w:tc>
          <w:tcPr>
            <w:tcW w:w="1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C1A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H7 (Flexibilidad y eficiencia)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F22B"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Media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035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Alta</w:t>
            </w:r>
          </w:p>
        </w:tc>
        <w:tc>
          <w:tcPr>
            <w:tcW w:w="2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B80E"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Reestructuración de campos en dos columnas y uso de autocompletado geográfico mediante API de mapas.</w:t>
            </w:r>
          </w:p>
        </w:tc>
      </w:tr>
      <w:tr w:rsidR="005F2A43" w:rsidRPr="000979F6" w14:paraId="1C7B3F85"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FDF4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w:t>
            </w:r>
            <w:proofErr w:type="spellStart"/>
            <w:r w:rsidRPr="000979F6">
              <w:rPr>
                <w:rFonts w:ascii="Times New Roman" w:hAnsi="Times New Roman" w:cs="Times New Roman"/>
                <w:sz w:val="20"/>
                <w:szCs w:val="20"/>
              </w:rPr>
              <w:t>donations</w:t>
            </w:r>
            <w:proofErr w:type="spellEnd"/>
            <w:r w:rsidRPr="000979F6">
              <w:rPr>
                <w:rFonts w:ascii="Times New Roman" w:hAnsi="Times New Roman" w:cs="Times New Roman"/>
                <w:sz w:val="20"/>
                <w:szCs w:val="20"/>
              </w:rPr>
              <w:t>/{id}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9C41"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 xml:space="preserve">Botón de compartir oculto bajo el pliegue de pantalla en vista </w:t>
            </w:r>
            <w:proofErr w:type="spellStart"/>
            <w:r w:rsidRPr="000979F6">
              <w:rPr>
                <w:rFonts w:ascii="Times New Roman" w:hAnsi="Times New Roman" w:cs="Times New Roman"/>
                <w:sz w:val="20"/>
                <w:szCs w:val="20"/>
              </w:rPr>
              <w:t>mobile</w:t>
            </w:r>
            <w:proofErr w:type="spellEnd"/>
            <w:r w:rsidRPr="000979F6">
              <w:rPr>
                <w:rFonts w:ascii="Times New Roman" w:hAnsi="Times New Roman" w:cs="Times New Roman"/>
                <w:sz w:val="20"/>
                <w:szCs w:val="20"/>
              </w:rPr>
              <w:t>.</w:t>
            </w:r>
          </w:p>
        </w:tc>
        <w:tc>
          <w:tcPr>
            <w:tcW w:w="1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22C9"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H6 (Reconocimiento frente a recuerdo)</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2433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Alta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CE9F"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Media</w:t>
            </w:r>
          </w:p>
        </w:tc>
        <w:tc>
          <w:tcPr>
            <w:tcW w:w="2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947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Se fijó una barra de acciones flotante (</w:t>
            </w:r>
            <w:proofErr w:type="spellStart"/>
            <w:r w:rsidRPr="000979F6">
              <w:rPr>
                <w:rFonts w:ascii="Times New Roman" w:hAnsi="Times New Roman" w:cs="Times New Roman"/>
                <w:sz w:val="20"/>
                <w:szCs w:val="20"/>
              </w:rPr>
              <w:t>floating</w:t>
            </w:r>
            <w:proofErr w:type="spellEnd"/>
            <w:r w:rsidRPr="000979F6">
              <w:rPr>
                <w:rFonts w:ascii="Times New Roman" w:hAnsi="Times New Roman" w:cs="Times New Roman"/>
                <w:sz w:val="20"/>
                <w:szCs w:val="20"/>
              </w:rPr>
              <w:t xml:space="preserve"> </w:t>
            </w:r>
            <w:proofErr w:type="spellStart"/>
            <w:r w:rsidRPr="000979F6">
              <w:rPr>
                <w:rFonts w:ascii="Times New Roman" w:hAnsi="Times New Roman" w:cs="Times New Roman"/>
                <w:sz w:val="20"/>
                <w:szCs w:val="20"/>
              </w:rPr>
              <w:t>action</w:t>
            </w:r>
            <w:proofErr w:type="spellEnd"/>
            <w:r w:rsidRPr="000979F6">
              <w:rPr>
                <w:rFonts w:ascii="Times New Roman" w:hAnsi="Times New Roman" w:cs="Times New Roman"/>
                <w:sz w:val="20"/>
                <w:szCs w:val="20"/>
              </w:rPr>
              <w:t xml:space="preserve"> bar) en la zona inferior de la pantalla de detalle de donación.</w:t>
            </w:r>
          </w:p>
        </w:tc>
      </w:tr>
      <w:tr w:rsidR="005F2A43" w:rsidRPr="000979F6" w14:paraId="797270C9"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0A430"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w:t>
            </w:r>
            <w:proofErr w:type="spellStart"/>
            <w:r w:rsidRPr="000979F6">
              <w:rPr>
                <w:rFonts w:ascii="Times New Roman" w:hAnsi="Times New Roman" w:cs="Times New Roman"/>
                <w:sz w:val="20"/>
                <w:szCs w:val="20"/>
              </w:rPr>
              <w:t>auth</w:t>
            </w:r>
            <w:proofErr w:type="spellEnd"/>
            <w:r w:rsidRPr="000979F6">
              <w:rPr>
                <w:rFonts w:ascii="Times New Roman" w:hAnsi="Times New Roman" w:cs="Times New Roman"/>
                <w:sz w:val="20"/>
                <w:szCs w:val="20"/>
              </w:rPr>
              <w:t>/</w:t>
            </w:r>
            <w:proofErr w:type="spellStart"/>
            <w:r w:rsidRPr="000979F6">
              <w:rPr>
                <w:rFonts w:ascii="Times New Roman" w:hAnsi="Times New Roman" w:cs="Times New Roman"/>
                <w:sz w:val="20"/>
                <w:szCs w:val="20"/>
              </w:rPr>
              <w:t>register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9B3B"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 xml:space="preserve">El formulario permitía enviar contraseñas débiles que el </w:t>
            </w:r>
            <w:proofErr w:type="spellStart"/>
            <w:r w:rsidRPr="000979F6">
              <w:rPr>
                <w:rFonts w:ascii="Times New Roman" w:hAnsi="Times New Roman" w:cs="Times New Roman"/>
                <w:sz w:val="20"/>
                <w:szCs w:val="20"/>
              </w:rPr>
              <w:t>backend</w:t>
            </w:r>
            <w:proofErr w:type="spellEnd"/>
            <w:r w:rsidRPr="000979F6">
              <w:rPr>
                <w:rFonts w:ascii="Times New Roman" w:hAnsi="Times New Roman" w:cs="Times New Roman"/>
                <w:sz w:val="20"/>
                <w:szCs w:val="20"/>
              </w:rPr>
              <w:t xml:space="preserve"> rechazaba con un error crudo.</w:t>
            </w:r>
          </w:p>
        </w:tc>
        <w:tc>
          <w:tcPr>
            <w:tcW w:w="1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AFF73"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H5 (Prevención de errores)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6B086"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Crítica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EE50A"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Baja</w:t>
            </w:r>
          </w:p>
        </w:tc>
        <w:tc>
          <w:tcPr>
            <w:tcW w:w="2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57ABD" w14:textId="77777777" w:rsidR="005F2A43" w:rsidRPr="000979F6" w:rsidRDefault="00000000">
            <w:pPr>
              <w:rPr>
                <w:rFonts w:ascii="Times New Roman" w:hAnsi="Times New Roman" w:cs="Times New Roman"/>
                <w:sz w:val="20"/>
                <w:szCs w:val="20"/>
              </w:rPr>
            </w:pPr>
            <w:r w:rsidRPr="000979F6">
              <w:rPr>
                <w:rFonts w:ascii="Times New Roman" w:hAnsi="Times New Roman" w:cs="Times New Roman"/>
                <w:sz w:val="20"/>
                <w:szCs w:val="20"/>
              </w:rPr>
              <w:t>Incorporación de un validador visual de fortaleza de contraseña (</w:t>
            </w:r>
            <w:proofErr w:type="spellStart"/>
            <w:r w:rsidRPr="000979F6">
              <w:rPr>
                <w:rFonts w:ascii="Times New Roman" w:hAnsi="Times New Roman" w:cs="Times New Roman"/>
                <w:sz w:val="20"/>
                <w:szCs w:val="20"/>
              </w:rPr>
              <w:t>password</w:t>
            </w:r>
            <w:proofErr w:type="spellEnd"/>
            <w:r w:rsidRPr="000979F6">
              <w:rPr>
                <w:rFonts w:ascii="Times New Roman" w:hAnsi="Times New Roman" w:cs="Times New Roman"/>
                <w:sz w:val="20"/>
                <w:szCs w:val="20"/>
              </w:rPr>
              <w:t xml:space="preserve"> meter) integrado directamente en el </w:t>
            </w:r>
            <w:proofErr w:type="spellStart"/>
            <w:r w:rsidRPr="000979F6">
              <w:rPr>
                <w:rFonts w:ascii="Times New Roman" w:hAnsi="Times New Roman" w:cs="Times New Roman"/>
                <w:sz w:val="20"/>
                <w:szCs w:val="20"/>
              </w:rPr>
              <w:t>frontend</w:t>
            </w:r>
            <w:proofErr w:type="spellEnd"/>
            <w:r w:rsidRPr="000979F6">
              <w:rPr>
                <w:rFonts w:ascii="Times New Roman" w:hAnsi="Times New Roman" w:cs="Times New Roman"/>
                <w:sz w:val="20"/>
                <w:szCs w:val="20"/>
              </w:rPr>
              <w:t>.</w:t>
            </w:r>
          </w:p>
        </w:tc>
      </w:tr>
    </w:tbl>
    <w:p w14:paraId="365DBDD7" w14:textId="77777777" w:rsidR="005F2A43" w:rsidRPr="000979F6" w:rsidRDefault="005F2A43">
      <w:pPr>
        <w:spacing w:after="160"/>
        <w:rPr>
          <w:rFonts w:ascii="Times New Roman" w:hAnsi="Times New Roman" w:cs="Times New Roman"/>
          <w:sz w:val="20"/>
          <w:szCs w:val="20"/>
        </w:rPr>
      </w:pPr>
    </w:p>
    <w:p w14:paraId="4548AD75" w14:textId="77777777" w:rsidR="005F2A43" w:rsidRPr="000979F6" w:rsidRDefault="00000000">
      <w:pPr>
        <w:pStyle w:val="Ttulo1"/>
        <w:rPr>
          <w:rFonts w:ascii="Times New Roman" w:hAnsi="Times New Roman" w:cs="Times New Roman"/>
          <w:color w:val="auto"/>
          <w:sz w:val="24"/>
          <w:szCs w:val="24"/>
        </w:rPr>
      </w:pPr>
      <w:r w:rsidRPr="000979F6">
        <w:rPr>
          <w:rFonts w:ascii="Times New Roman" w:hAnsi="Times New Roman" w:cs="Times New Roman"/>
          <w:color w:val="auto"/>
          <w:sz w:val="24"/>
          <w:szCs w:val="24"/>
        </w:rPr>
        <w:t>Reflexiones sobre el test de usabilidad: lecciones aprendidas</w:t>
      </w:r>
    </w:p>
    <w:p w14:paraId="10333EDE"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b/>
          <w:bCs/>
          <w:sz w:val="20"/>
          <w:szCs w:val="20"/>
        </w:rPr>
        <w:t xml:space="preserve">El peligro de los flujos ocultos. </w:t>
      </w:r>
      <w:r w:rsidRPr="000979F6">
        <w:rPr>
          <w:rFonts w:ascii="Times New Roman" w:hAnsi="Times New Roman" w:cs="Times New Roman"/>
          <w:sz w:val="20"/>
          <w:szCs w:val="20"/>
        </w:rPr>
        <w:t>Fragmentar la interfaz para reducir la carga visual, como hizo el subgrupo B, resulta contraproducente si las acciones críticas del día a día exigen clics extra de navegación profunda. La eficiencia operativa en plataformas de gestión logística debe primar sobre el minimalismo extremo.</w:t>
      </w:r>
    </w:p>
    <w:p w14:paraId="18FF8A91"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b/>
          <w:bCs/>
          <w:sz w:val="20"/>
          <w:szCs w:val="20"/>
        </w:rPr>
        <w:lastRenderedPageBreak/>
        <w:t xml:space="preserve">El valor del </w:t>
      </w:r>
      <w:proofErr w:type="spellStart"/>
      <w:r w:rsidRPr="000979F6">
        <w:rPr>
          <w:rFonts w:ascii="Times New Roman" w:hAnsi="Times New Roman" w:cs="Times New Roman"/>
          <w:b/>
          <w:bCs/>
          <w:sz w:val="20"/>
          <w:szCs w:val="20"/>
        </w:rPr>
        <w:t>feedback</w:t>
      </w:r>
      <w:proofErr w:type="spellEnd"/>
      <w:r w:rsidRPr="000979F6">
        <w:rPr>
          <w:rFonts w:ascii="Times New Roman" w:hAnsi="Times New Roman" w:cs="Times New Roman"/>
          <w:b/>
          <w:bCs/>
          <w:sz w:val="20"/>
          <w:szCs w:val="20"/>
        </w:rPr>
        <w:t xml:space="preserve"> temprano (H9). </w:t>
      </w:r>
      <w:r w:rsidRPr="000979F6">
        <w:rPr>
          <w:rFonts w:ascii="Times New Roman" w:hAnsi="Times New Roman" w:cs="Times New Roman"/>
          <w:sz w:val="20"/>
          <w:szCs w:val="20"/>
        </w:rPr>
        <w:t xml:space="preserve">Bloquear componentes de la interfaz sin explicar las razones de la validación rompe la fluidez del usuario y provoca una sensación de bloqueo del sistema. El </w:t>
      </w:r>
      <w:proofErr w:type="spellStart"/>
      <w:r w:rsidRPr="000979F6">
        <w:rPr>
          <w:rFonts w:ascii="Times New Roman" w:hAnsi="Times New Roman" w:cs="Times New Roman"/>
          <w:sz w:val="20"/>
          <w:szCs w:val="20"/>
        </w:rPr>
        <w:t>backend</w:t>
      </w:r>
      <w:proofErr w:type="spellEnd"/>
      <w:r w:rsidRPr="000979F6">
        <w:rPr>
          <w:rFonts w:ascii="Times New Roman" w:hAnsi="Times New Roman" w:cs="Times New Roman"/>
          <w:sz w:val="20"/>
          <w:szCs w:val="20"/>
        </w:rPr>
        <w:t xml:space="preserve"> debe acompañarse de mensajes de error claros y orientados a la acción en el cliente.</w:t>
      </w:r>
    </w:p>
    <w:p w14:paraId="1E738DD5" w14:textId="77777777" w:rsidR="005F2A43" w:rsidRPr="000979F6" w:rsidRDefault="00000000">
      <w:pPr>
        <w:spacing w:after="160"/>
        <w:rPr>
          <w:rFonts w:ascii="Times New Roman" w:hAnsi="Times New Roman" w:cs="Times New Roman"/>
          <w:sz w:val="20"/>
          <w:szCs w:val="20"/>
        </w:rPr>
      </w:pPr>
      <w:r w:rsidRPr="000979F6">
        <w:rPr>
          <w:rFonts w:ascii="Times New Roman" w:hAnsi="Times New Roman" w:cs="Times New Roman"/>
          <w:b/>
          <w:bCs/>
          <w:sz w:val="20"/>
          <w:szCs w:val="20"/>
        </w:rPr>
        <w:t xml:space="preserve">Utilidad de los </w:t>
      </w:r>
      <w:proofErr w:type="spellStart"/>
      <w:r w:rsidRPr="000979F6">
        <w:rPr>
          <w:rFonts w:ascii="Times New Roman" w:hAnsi="Times New Roman" w:cs="Times New Roman"/>
          <w:b/>
          <w:bCs/>
          <w:sz w:val="20"/>
          <w:szCs w:val="20"/>
        </w:rPr>
        <w:t>tests</w:t>
      </w:r>
      <w:proofErr w:type="spellEnd"/>
      <w:r w:rsidRPr="000979F6">
        <w:rPr>
          <w:rFonts w:ascii="Times New Roman" w:hAnsi="Times New Roman" w:cs="Times New Roman"/>
          <w:b/>
          <w:bCs/>
          <w:sz w:val="20"/>
          <w:szCs w:val="20"/>
        </w:rPr>
        <w:t xml:space="preserve"> remotos no moderados. </w:t>
      </w:r>
      <w:r w:rsidRPr="000979F6">
        <w:rPr>
          <w:rFonts w:ascii="Times New Roman" w:hAnsi="Times New Roman" w:cs="Times New Roman"/>
          <w:sz w:val="20"/>
          <w:szCs w:val="20"/>
        </w:rPr>
        <w:t xml:space="preserve">Herramientas como Loop11 son de un valor incalculable para identificar cuellos de botella mediante datos cuantitativos objetivos —pasos reales, tiempos, métricas de pérdida o </w:t>
      </w:r>
      <w:proofErr w:type="spellStart"/>
      <w:r w:rsidRPr="000979F6">
        <w:rPr>
          <w:rFonts w:ascii="Times New Roman" w:hAnsi="Times New Roman" w:cs="Times New Roman"/>
          <w:sz w:val="20"/>
          <w:szCs w:val="20"/>
        </w:rPr>
        <w:t>lostness</w:t>
      </w:r>
      <w:proofErr w:type="spellEnd"/>
      <w:r w:rsidRPr="000979F6">
        <w:rPr>
          <w:rFonts w:ascii="Times New Roman" w:hAnsi="Times New Roman" w:cs="Times New Roman"/>
          <w:sz w:val="20"/>
          <w:szCs w:val="20"/>
        </w:rPr>
        <w:t xml:space="preserve">—, destapando problemas que el equipo de desarrollo suele pasar por alto durante las fases de </w:t>
      </w:r>
      <w:proofErr w:type="spellStart"/>
      <w:r w:rsidRPr="000979F6">
        <w:rPr>
          <w:rFonts w:ascii="Times New Roman" w:hAnsi="Times New Roman" w:cs="Times New Roman"/>
          <w:sz w:val="20"/>
          <w:szCs w:val="20"/>
        </w:rPr>
        <w:t>auto-inspección</w:t>
      </w:r>
      <w:proofErr w:type="spellEnd"/>
      <w:r w:rsidRPr="000979F6">
        <w:rPr>
          <w:rFonts w:ascii="Times New Roman" w:hAnsi="Times New Roman" w:cs="Times New Roman"/>
          <w:sz w:val="20"/>
          <w:szCs w:val="20"/>
        </w:rPr>
        <w:t xml:space="preserve"> interna.</w:t>
      </w:r>
    </w:p>
    <w:sectPr w:rsidR="005F2A43" w:rsidRPr="000979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55B7"/>
    <w:multiLevelType w:val="hybridMultilevel"/>
    <w:tmpl w:val="0F0CC24A"/>
    <w:lvl w:ilvl="0" w:tplc="414C7D8C">
      <w:start w:val="1"/>
      <w:numFmt w:val="bullet"/>
      <w:lvlText w:val="●"/>
      <w:lvlJc w:val="left"/>
      <w:pPr>
        <w:ind w:left="720" w:hanging="360"/>
      </w:pPr>
    </w:lvl>
    <w:lvl w:ilvl="1" w:tplc="E3BA07B6">
      <w:start w:val="1"/>
      <w:numFmt w:val="bullet"/>
      <w:lvlText w:val="○"/>
      <w:lvlJc w:val="left"/>
      <w:pPr>
        <w:ind w:left="1440" w:hanging="360"/>
      </w:pPr>
    </w:lvl>
    <w:lvl w:ilvl="2" w:tplc="4A224FB8">
      <w:start w:val="1"/>
      <w:numFmt w:val="bullet"/>
      <w:lvlText w:val="■"/>
      <w:lvlJc w:val="left"/>
      <w:pPr>
        <w:ind w:left="2160" w:hanging="360"/>
      </w:pPr>
    </w:lvl>
    <w:lvl w:ilvl="3" w:tplc="DC9259E6">
      <w:start w:val="1"/>
      <w:numFmt w:val="bullet"/>
      <w:lvlText w:val="●"/>
      <w:lvlJc w:val="left"/>
      <w:pPr>
        <w:ind w:left="2880" w:hanging="360"/>
      </w:pPr>
    </w:lvl>
    <w:lvl w:ilvl="4" w:tplc="401CEF6A">
      <w:start w:val="1"/>
      <w:numFmt w:val="bullet"/>
      <w:lvlText w:val="○"/>
      <w:lvlJc w:val="left"/>
      <w:pPr>
        <w:ind w:left="3600" w:hanging="360"/>
      </w:pPr>
    </w:lvl>
    <w:lvl w:ilvl="5" w:tplc="51E41C74">
      <w:start w:val="1"/>
      <w:numFmt w:val="bullet"/>
      <w:lvlText w:val="■"/>
      <w:lvlJc w:val="left"/>
      <w:pPr>
        <w:ind w:left="4320" w:hanging="360"/>
      </w:pPr>
    </w:lvl>
    <w:lvl w:ilvl="6" w:tplc="06AE952E">
      <w:start w:val="1"/>
      <w:numFmt w:val="bullet"/>
      <w:lvlText w:val="●"/>
      <w:lvlJc w:val="left"/>
      <w:pPr>
        <w:ind w:left="5040" w:hanging="360"/>
      </w:pPr>
    </w:lvl>
    <w:lvl w:ilvl="7" w:tplc="84D214BA">
      <w:start w:val="1"/>
      <w:numFmt w:val="bullet"/>
      <w:lvlText w:val="●"/>
      <w:lvlJc w:val="left"/>
      <w:pPr>
        <w:ind w:left="5760" w:hanging="360"/>
      </w:pPr>
    </w:lvl>
    <w:lvl w:ilvl="8" w:tplc="6C0C8BCA">
      <w:start w:val="1"/>
      <w:numFmt w:val="bullet"/>
      <w:lvlText w:val="●"/>
      <w:lvlJc w:val="left"/>
      <w:pPr>
        <w:ind w:left="6480" w:hanging="360"/>
      </w:pPr>
    </w:lvl>
  </w:abstractNum>
  <w:num w:numId="1" w16cid:durableId="1879123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A43"/>
    <w:rsid w:val="000979F6"/>
    <w:rsid w:val="00182186"/>
    <w:rsid w:val="005F2A43"/>
    <w:rsid w:val="00642D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9B19"/>
  <w15:docId w15:val="{16846142-2F82-4D9B-BB34-6FF4B77E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280" w:after="160"/>
      <w:outlineLvl w:val="0"/>
    </w:pPr>
    <w:rPr>
      <w:b/>
      <w:bCs/>
      <w:color w:val="2E75B6"/>
      <w:sz w:val="32"/>
      <w:szCs w:val="32"/>
    </w:rPr>
  </w:style>
  <w:style w:type="paragraph" w:styleId="Ttulo2">
    <w:name w:val="heading 2"/>
    <w:uiPriority w:val="9"/>
    <w:unhideWhenUsed/>
    <w:qFormat/>
    <w:pPr>
      <w:spacing w:before="200" w:after="120"/>
      <w:outlineLvl w:val="1"/>
    </w:pPr>
    <w:rPr>
      <w:b/>
      <w:bCs/>
      <w:color w:val="404040"/>
      <w:sz w:val="26"/>
      <w:szCs w:val="26"/>
    </w:rPr>
  </w:style>
  <w:style w:type="paragraph" w:styleId="Ttulo3">
    <w:name w:val="heading 3"/>
    <w:uiPriority w:val="9"/>
    <w:semiHidden/>
    <w:unhideWhenUsed/>
    <w:qFormat/>
    <w:pPr>
      <w:spacing w:before="160" w:after="100"/>
      <w:outlineLvl w:val="2"/>
    </w:pPr>
    <w:rPr>
      <w:b/>
      <w:bCs/>
      <w:i/>
      <w:i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2393</Words>
  <Characters>13162</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Almero mut</cp:lastModifiedBy>
  <cp:revision>3</cp:revision>
  <dcterms:created xsi:type="dcterms:W3CDTF">2026-06-12T10:40:00Z</dcterms:created>
  <dcterms:modified xsi:type="dcterms:W3CDTF">2026-06-12T12:13:00Z</dcterms:modified>
</cp:coreProperties>
</file>