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889" w14:textId="77777777" w:rsidR="00E60BAC" w:rsidRPr="00C947F7" w:rsidRDefault="00E60BAC" w:rsidP="00E60BAC">
      <w:pPr>
        <w:spacing w:line="480" w:lineRule="auto"/>
        <w:rPr>
          <w:b/>
          <w:bCs/>
        </w:rPr>
      </w:pPr>
      <w:r>
        <w:rPr>
          <w:b/>
          <w:bCs/>
        </w:rPr>
        <w:t>Target Journals:</w:t>
      </w:r>
    </w:p>
    <w:p w14:paraId="5045D38B" w14:textId="77777777" w:rsidR="00E60BAC" w:rsidRDefault="00E60BAC" w:rsidP="00E60BAC">
      <w:pPr>
        <w:spacing w:line="480" w:lineRule="auto"/>
        <w:rPr>
          <w:b/>
          <w:bCs/>
        </w:rPr>
      </w:pPr>
    </w:p>
    <w:p w14:paraId="21D148D3" w14:textId="206F0273" w:rsidR="00E60BAC" w:rsidRDefault="00E60BAC" w:rsidP="00E60BAC">
      <w:pPr>
        <w:spacing w:line="480" w:lineRule="auto"/>
        <w:rPr>
          <w:b/>
          <w:bCs/>
        </w:rPr>
      </w:pPr>
      <w:r>
        <w:rPr>
          <w:b/>
          <w:bCs/>
        </w:rPr>
        <w:t>T</w:t>
      </w:r>
      <w:r w:rsidRPr="0070582B">
        <w:rPr>
          <w:b/>
          <w:bCs/>
        </w:rPr>
        <w:t>itle</w:t>
      </w:r>
      <w:r>
        <w:t>:</w:t>
      </w:r>
      <w:r w:rsidRPr="00160CD3">
        <w:rPr>
          <w:b/>
          <w:bCs/>
        </w:rPr>
        <w:t xml:space="preserve"> </w:t>
      </w:r>
    </w:p>
    <w:p w14:paraId="74E38B82" w14:textId="77777777" w:rsidR="00E60BAC" w:rsidRPr="00160CD3" w:rsidRDefault="00E60BAC" w:rsidP="00E60BAC">
      <w:pPr>
        <w:spacing w:line="480" w:lineRule="auto"/>
        <w:rPr>
          <w:b/>
          <w:bCs/>
        </w:rPr>
      </w:pPr>
    </w:p>
    <w:p w14:paraId="586BF7A8" w14:textId="77777777" w:rsidR="00E60BAC" w:rsidRPr="00D71A6E" w:rsidRDefault="00E60BAC" w:rsidP="00E60BAC">
      <w:pPr>
        <w:spacing w:line="480" w:lineRule="auto"/>
      </w:pPr>
      <w:r>
        <w:rPr>
          <w:b/>
          <w:bCs/>
        </w:rPr>
        <w:t>Running Head:</w:t>
      </w:r>
    </w:p>
    <w:p w14:paraId="4108C491" w14:textId="77777777" w:rsidR="00E60BAC" w:rsidRDefault="00E60BAC" w:rsidP="00E60BAC">
      <w:pPr>
        <w:spacing w:line="480" w:lineRule="auto"/>
        <w:rPr>
          <w:b/>
          <w:bCs/>
        </w:rPr>
      </w:pPr>
    </w:p>
    <w:p w14:paraId="0869D508" w14:textId="77777777" w:rsidR="00E60BAC" w:rsidRPr="00AA5310" w:rsidRDefault="00E60BAC" w:rsidP="00E60BAC">
      <w:pPr>
        <w:spacing w:line="480" w:lineRule="auto"/>
      </w:pPr>
      <w:r>
        <w:rPr>
          <w:b/>
          <w:bCs/>
        </w:rPr>
        <w:t>Author List:</w:t>
      </w:r>
      <w:r>
        <w:t xml:space="preserve"> Evan A. Perkowski, Nicholas G. Smith</w:t>
      </w:r>
    </w:p>
    <w:p w14:paraId="5F1E4C07" w14:textId="77777777" w:rsidR="00E60BAC" w:rsidRPr="00182CD2" w:rsidRDefault="00E60BAC" w:rsidP="00E60BAC">
      <w:pPr>
        <w:spacing w:line="480" w:lineRule="auto"/>
      </w:pPr>
      <w:r>
        <w:rPr>
          <w:b/>
          <w:bCs/>
        </w:rPr>
        <w:t>Author Affiliations:</w:t>
      </w:r>
      <w:r>
        <w:t xml:space="preserve"> Department of Biological Sciences, Texas Tech University, Lubbock, TX</w:t>
      </w:r>
    </w:p>
    <w:p w14:paraId="28578442" w14:textId="77777777" w:rsidR="00E60BAC" w:rsidRDefault="00E60BAC" w:rsidP="00E60BAC">
      <w:pPr>
        <w:spacing w:line="480" w:lineRule="auto"/>
        <w:rPr>
          <w:b/>
        </w:rPr>
      </w:pPr>
    </w:p>
    <w:p w14:paraId="4079980A" w14:textId="77777777" w:rsidR="00E60BAC" w:rsidRPr="002F526D" w:rsidRDefault="00E60BAC" w:rsidP="00E60BAC">
      <w:pPr>
        <w:spacing w:line="480" w:lineRule="auto"/>
        <w:rPr>
          <w:b/>
        </w:rPr>
      </w:pPr>
      <w:r>
        <w:rPr>
          <w:b/>
        </w:rPr>
        <w:t>Manuscript compilation details</w:t>
      </w:r>
    </w:p>
    <w:p w14:paraId="13CA9D17" w14:textId="544E0844" w:rsidR="00E60BAC" w:rsidRDefault="00E60BAC" w:rsidP="00E60BAC">
      <w:pPr>
        <w:spacing w:line="480" w:lineRule="auto"/>
        <w:rPr>
          <w:bCs/>
        </w:rPr>
      </w:pPr>
      <w:r w:rsidRPr="00895468">
        <w:rPr>
          <w:b/>
        </w:rPr>
        <w:t>Abstract:</w:t>
      </w:r>
      <w:r>
        <w:rPr>
          <w:bCs/>
        </w:rPr>
        <w:t xml:space="preserve"> XX words</w:t>
      </w:r>
    </w:p>
    <w:p w14:paraId="5EF92C95" w14:textId="7B880982" w:rsidR="00E60BAC" w:rsidRDefault="00E60BAC" w:rsidP="00E60BAC">
      <w:pPr>
        <w:spacing w:line="480" w:lineRule="auto"/>
        <w:rPr>
          <w:bCs/>
        </w:rPr>
      </w:pPr>
      <w:r w:rsidRPr="00006BDD">
        <w:rPr>
          <w:b/>
        </w:rPr>
        <w:t>Main text word count</w:t>
      </w:r>
      <w:r>
        <w:rPr>
          <w:bCs/>
        </w:rPr>
        <w:t xml:space="preserve">: XX words </w:t>
      </w:r>
    </w:p>
    <w:p w14:paraId="183036EF" w14:textId="2CE1C693" w:rsidR="00E60BAC" w:rsidRDefault="00E60BAC" w:rsidP="00E60BAC">
      <w:pPr>
        <w:spacing w:line="480" w:lineRule="auto"/>
        <w:ind w:firstLine="720"/>
        <w:rPr>
          <w:bCs/>
        </w:rPr>
      </w:pPr>
      <w:r>
        <w:rPr>
          <w:bCs/>
        </w:rPr>
        <w:t>Introduction: XX words</w:t>
      </w:r>
    </w:p>
    <w:p w14:paraId="0CB82A65" w14:textId="6C8BC31A" w:rsidR="00E60BAC" w:rsidRDefault="00E60BAC" w:rsidP="00E60BAC">
      <w:pPr>
        <w:spacing w:line="480" w:lineRule="auto"/>
        <w:ind w:firstLine="720"/>
        <w:rPr>
          <w:bCs/>
        </w:rPr>
      </w:pPr>
      <w:r>
        <w:rPr>
          <w:bCs/>
        </w:rPr>
        <w:t>Methods: XX words</w:t>
      </w:r>
    </w:p>
    <w:p w14:paraId="103F27AE" w14:textId="48C8A425" w:rsidR="00E60BAC" w:rsidRDefault="00E60BAC" w:rsidP="00E60BAC">
      <w:pPr>
        <w:spacing w:line="480" w:lineRule="auto"/>
        <w:ind w:firstLine="720"/>
        <w:rPr>
          <w:bCs/>
        </w:rPr>
      </w:pPr>
      <w:r>
        <w:rPr>
          <w:bCs/>
        </w:rPr>
        <w:t>Results: XX words (not including text in figures or tables)</w:t>
      </w:r>
    </w:p>
    <w:p w14:paraId="61E20085" w14:textId="7158ECF9" w:rsidR="00E60BAC" w:rsidRDefault="00E60BAC" w:rsidP="00E60BAC">
      <w:pPr>
        <w:spacing w:line="480" w:lineRule="auto"/>
        <w:ind w:firstLine="720"/>
        <w:rPr>
          <w:bCs/>
        </w:rPr>
      </w:pPr>
      <w:r>
        <w:rPr>
          <w:bCs/>
        </w:rPr>
        <w:t>Discussion: XX words (</w:t>
      </w:r>
      <w:r w:rsidR="005B353A">
        <w:rPr>
          <w:bCs/>
        </w:rPr>
        <w:t>XX</w:t>
      </w:r>
      <w:r>
        <w:rPr>
          <w:bCs/>
        </w:rPr>
        <w:t>% of total word count)</w:t>
      </w:r>
    </w:p>
    <w:p w14:paraId="363AE501" w14:textId="2210960B" w:rsidR="00E60BAC" w:rsidRDefault="00E60BAC" w:rsidP="00E60BAC">
      <w:pPr>
        <w:spacing w:line="480" w:lineRule="auto"/>
        <w:rPr>
          <w:bCs/>
        </w:rPr>
      </w:pPr>
      <w:r w:rsidRPr="00006BDD">
        <w:rPr>
          <w:b/>
        </w:rPr>
        <w:t>References</w:t>
      </w:r>
      <w:r>
        <w:rPr>
          <w:bCs/>
        </w:rPr>
        <w:t>: XX</w:t>
      </w:r>
    </w:p>
    <w:p w14:paraId="0C70266B" w14:textId="46BED57A" w:rsidR="00E60BAC" w:rsidRDefault="00E60BAC" w:rsidP="00E60BAC">
      <w:pPr>
        <w:spacing w:line="480" w:lineRule="auto"/>
        <w:rPr>
          <w:bCs/>
        </w:rPr>
      </w:pPr>
      <w:r>
        <w:rPr>
          <w:b/>
        </w:rPr>
        <w:t>Tables and Figures</w:t>
      </w:r>
      <w:r>
        <w:rPr>
          <w:bCs/>
        </w:rPr>
        <w:t>: XX</w:t>
      </w:r>
    </w:p>
    <w:p w14:paraId="457E7C2F" w14:textId="77777777" w:rsidR="00E60BAC" w:rsidRDefault="00E60BAC" w:rsidP="00E60BAC">
      <w:pPr>
        <w:spacing w:line="480" w:lineRule="auto"/>
        <w:rPr>
          <w:b/>
          <w:bCs/>
        </w:rPr>
      </w:pPr>
      <w:r>
        <w:rPr>
          <w:b/>
        </w:rPr>
        <w:t>Supplemental Information</w:t>
      </w:r>
      <w:r>
        <w:rPr>
          <w:bCs/>
        </w:rPr>
        <w:t>:</w:t>
      </w:r>
    </w:p>
    <w:p w14:paraId="54AE38E9" w14:textId="3ACA2181" w:rsidR="00E60BAC" w:rsidRDefault="00E60BAC" w:rsidP="00E60BAC">
      <w:pPr>
        <w:rPr>
          <w:b/>
          <w:sz w:val="22"/>
          <w:szCs w:val="22"/>
        </w:rPr>
      </w:pPr>
    </w:p>
    <w:p w14:paraId="77742A0D" w14:textId="0FD3B2E3" w:rsidR="00E60BAC" w:rsidRDefault="00E60BAC">
      <w:pPr>
        <w:rPr>
          <w:b/>
          <w:sz w:val="22"/>
          <w:szCs w:val="22"/>
        </w:rPr>
      </w:pPr>
      <w:r>
        <w:rPr>
          <w:b/>
          <w:sz w:val="22"/>
          <w:szCs w:val="22"/>
        </w:rPr>
        <w:br w:type="page"/>
      </w:r>
    </w:p>
    <w:p w14:paraId="02FFD385" w14:textId="082A2A87" w:rsidR="00E60BAC" w:rsidRPr="00E60BAC" w:rsidRDefault="00E60BAC" w:rsidP="00E60BAC">
      <w:pPr>
        <w:spacing w:line="480" w:lineRule="auto"/>
        <w:rPr>
          <w:bCs/>
        </w:rPr>
      </w:pPr>
      <w:r w:rsidRPr="00E60BAC">
        <w:rPr>
          <w:b/>
        </w:rPr>
        <w:lastRenderedPageBreak/>
        <w:t>Abstract</w:t>
      </w:r>
    </w:p>
    <w:p w14:paraId="19782AF3" w14:textId="77777777" w:rsidR="002A1426" w:rsidRDefault="00E60BAC" w:rsidP="00E60BAC">
      <w:pPr>
        <w:spacing w:line="480" w:lineRule="auto"/>
        <w:rPr>
          <w:bCs/>
        </w:rPr>
      </w:pPr>
      <w:r w:rsidRPr="00E60BAC">
        <w:rPr>
          <w:bCs/>
        </w:rPr>
        <w:t>Plants acclimate to increasing CO</w:t>
      </w:r>
      <w:r w:rsidRPr="00E60BAC">
        <w:rPr>
          <w:bCs/>
          <w:vertAlign w:val="subscript"/>
        </w:rPr>
        <w:t>2</w:t>
      </w:r>
      <w:r w:rsidRPr="00E60BAC">
        <w:rPr>
          <w:bCs/>
        </w:rPr>
        <w:t xml:space="preserve"> by reducing leaf nutrient allocation and photosynthetic capacity at the leaf level, a response that often occurs alongside growth stimulation at the whole plant level. Nutrient limitation has been hypothesized to be the primary driver of plant acclimation to CO</w:t>
      </w:r>
      <w:r w:rsidRPr="00E60BAC">
        <w:rPr>
          <w:bCs/>
          <w:vertAlign w:val="subscript"/>
        </w:rPr>
        <w:t>2</w:t>
      </w:r>
      <w:r w:rsidRPr="00E60BAC">
        <w:rPr>
          <w:bCs/>
        </w:rPr>
        <w:t xml:space="preserve">, as nutrient availability commonly limits primary productivity and </w:t>
      </w:r>
      <w:r w:rsidR="00F55823">
        <w:rPr>
          <w:bCs/>
        </w:rPr>
        <w:t xml:space="preserve">may </w:t>
      </w:r>
      <w:r w:rsidRPr="00E60BAC">
        <w:rPr>
          <w:bCs/>
        </w:rPr>
        <w:t>decrease with increasing CO</w:t>
      </w:r>
      <w:r w:rsidRPr="00E60BAC">
        <w:rPr>
          <w:bCs/>
          <w:vertAlign w:val="subscript"/>
        </w:rPr>
        <w:t>2</w:t>
      </w:r>
      <w:r w:rsidRPr="00E60BAC">
        <w:rPr>
          <w:bCs/>
        </w:rP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w:t>
      </w:r>
      <w:r w:rsidR="007954B2">
        <w:rPr>
          <w:bCs/>
        </w:rPr>
        <w:t xml:space="preserve"> To understand whether nutrient limitation or optimal leaf resource investment controls plant acclimation to CO</w:t>
      </w:r>
      <w:r w:rsidR="007954B2">
        <w:rPr>
          <w:bCs/>
          <w:vertAlign w:val="subscript"/>
        </w:rPr>
        <w:t>2</w:t>
      </w:r>
      <w:r w:rsidR="007954B2">
        <w:rPr>
          <w:bCs/>
        </w:rPr>
        <w:t xml:space="preserve"> and how nutrient acquisition strategy modif</w:t>
      </w:r>
      <w:r w:rsidR="002A1426">
        <w:rPr>
          <w:bCs/>
        </w:rPr>
        <w:t>ies</w:t>
      </w:r>
      <w:r w:rsidR="007954B2">
        <w:rPr>
          <w:bCs/>
        </w:rPr>
        <w:t xml:space="preserve"> these responses, </w:t>
      </w:r>
      <w:r w:rsidR="002A1426">
        <w:rPr>
          <w:bCs/>
        </w:rPr>
        <w:t>we grew soybean under two atmospheric CO</w:t>
      </w:r>
      <w:r w:rsidR="002A1426">
        <w:rPr>
          <w:bCs/>
          <w:vertAlign w:val="subscript"/>
        </w:rPr>
        <w:t>2</w:t>
      </w:r>
      <w:r w:rsidR="002A1426">
        <w:rPr>
          <w:bCs/>
        </w:rPr>
        <w:t xml:space="preserve"> levels, two inoculation treatments, and nine soil nitrogen fertilization treatments in a full factorial growth chamber experiment. </w:t>
      </w:r>
    </w:p>
    <w:p w14:paraId="60DDA2B2" w14:textId="7FF27AB5" w:rsidR="002A1426" w:rsidRPr="009D6030" w:rsidRDefault="002A1426" w:rsidP="00E60BAC">
      <w:pPr>
        <w:spacing w:line="480" w:lineRule="auto"/>
        <w:rPr>
          <w:bCs/>
          <w:highlight w:val="yellow"/>
        </w:rPr>
      </w:pPr>
      <w:r w:rsidRPr="009D6030">
        <w:rPr>
          <w:bCs/>
          <w:highlight w:val="yellow"/>
        </w:rPr>
        <w:t xml:space="preserve">We found that … </w:t>
      </w:r>
    </w:p>
    <w:p w14:paraId="2B624306" w14:textId="43201D15" w:rsidR="00E60BAC" w:rsidRPr="00E60BAC" w:rsidRDefault="002A1426" w:rsidP="00E60BAC">
      <w:pPr>
        <w:spacing w:line="480" w:lineRule="auto"/>
        <w:rPr>
          <w:bCs/>
        </w:rPr>
      </w:pPr>
      <w:r w:rsidRPr="009D6030">
        <w:rPr>
          <w:bCs/>
          <w:highlight w:val="yellow"/>
        </w:rPr>
        <w:t>These results suggest that XX is the dominant control of plant acclimation responses to CO</w:t>
      </w:r>
      <w:r w:rsidRPr="009D6030">
        <w:rPr>
          <w:bCs/>
          <w:highlight w:val="yellow"/>
          <w:vertAlign w:val="subscript"/>
        </w:rPr>
        <w:t>2</w:t>
      </w:r>
      <w:r w:rsidRPr="009D6030">
        <w:rPr>
          <w:bCs/>
          <w:highlight w:val="yellow"/>
        </w:rPr>
        <w:t xml:space="preserve">, </w:t>
      </w:r>
      <w:r w:rsidR="00E60BAC" w:rsidRPr="009D6030">
        <w:rPr>
          <w:bCs/>
          <w:highlight w:val="yellow"/>
        </w:rPr>
        <w:t>provid</w:t>
      </w:r>
      <w:r w:rsidRPr="009D6030">
        <w:rPr>
          <w:bCs/>
          <w:highlight w:val="yellow"/>
        </w:rPr>
        <w:t>ing</w:t>
      </w:r>
      <w:r w:rsidR="00E60BAC" w:rsidRPr="009D6030">
        <w:rPr>
          <w:bCs/>
          <w:highlight w:val="yellow"/>
        </w:rPr>
        <w:t xml:space="preserve"> important empirical data needed to refine our understanding of mechanisms driving plant acclimation to CO</w:t>
      </w:r>
      <w:r w:rsidR="00E60BAC" w:rsidRPr="009D6030">
        <w:rPr>
          <w:bCs/>
          <w:highlight w:val="yellow"/>
          <w:vertAlign w:val="subscript"/>
        </w:rPr>
        <w:t>2</w:t>
      </w:r>
      <w:r w:rsidR="00E60BAC" w:rsidRPr="009D6030">
        <w:rPr>
          <w:bCs/>
          <w:highlight w:val="yellow"/>
        </w:rPr>
        <w:t>.</w:t>
      </w:r>
    </w:p>
    <w:p w14:paraId="73B20F60" w14:textId="77777777" w:rsidR="00E60BAC" w:rsidRPr="00E60BAC" w:rsidRDefault="00E60BAC" w:rsidP="00E60BAC">
      <w:pPr>
        <w:rPr>
          <w:b/>
        </w:rPr>
      </w:pPr>
    </w:p>
    <w:p w14:paraId="1104D0B0" w14:textId="77777777" w:rsidR="00E60BAC" w:rsidRPr="00E60BAC" w:rsidRDefault="00E60BAC" w:rsidP="00E60BAC">
      <w:pPr>
        <w:rPr>
          <w:bCs/>
        </w:rPr>
      </w:pPr>
      <w:r w:rsidRPr="00E60BAC">
        <w:rPr>
          <w:b/>
        </w:rPr>
        <w:t>Keywords</w:t>
      </w:r>
    </w:p>
    <w:p w14:paraId="00C69854" w14:textId="77777777" w:rsidR="00E60BAC" w:rsidRPr="00E60BAC" w:rsidRDefault="00E60BAC" w:rsidP="00E60BAC">
      <w:pPr>
        <w:rPr>
          <w:bCs/>
        </w:rPr>
      </w:pPr>
      <w:r w:rsidRPr="00E60BAC">
        <w:rPr>
          <w:bCs/>
        </w:rPr>
        <w:t>photosynthetic acclimation, soil nutrient availability, nutrient acquisition, global change</w:t>
      </w:r>
    </w:p>
    <w:p w14:paraId="5DCE7E52" w14:textId="77777777" w:rsidR="00E60BAC" w:rsidRPr="0033087D" w:rsidRDefault="00E60BAC" w:rsidP="00E60BAC">
      <w:pPr>
        <w:rPr>
          <w:b/>
          <w:sz w:val="10"/>
          <w:szCs w:val="10"/>
        </w:rPr>
      </w:pPr>
    </w:p>
    <w:p w14:paraId="2828FAC8" w14:textId="77777777" w:rsidR="00E60BAC" w:rsidRDefault="00E60BAC" w:rsidP="00E60BAC">
      <w:pPr>
        <w:rPr>
          <w:b/>
          <w:sz w:val="22"/>
          <w:szCs w:val="22"/>
        </w:rPr>
      </w:pPr>
    </w:p>
    <w:p w14:paraId="22BDF7A4" w14:textId="77777777" w:rsidR="00E60BAC" w:rsidRDefault="00E60BAC">
      <w:pPr>
        <w:rPr>
          <w:b/>
          <w:sz w:val="22"/>
          <w:szCs w:val="22"/>
        </w:rPr>
      </w:pPr>
      <w:r>
        <w:rPr>
          <w:b/>
          <w:sz w:val="22"/>
          <w:szCs w:val="22"/>
        </w:rPr>
        <w:br w:type="page"/>
      </w:r>
    </w:p>
    <w:p w14:paraId="43A7A7DC" w14:textId="77777777" w:rsidR="001339A7" w:rsidRPr="00F42BEB" w:rsidRDefault="00E60BAC" w:rsidP="001339A7">
      <w:pPr>
        <w:spacing w:line="480" w:lineRule="auto"/>
        <w:rPr>
          <w:b/>
          <w:bCs/>
        </w:rPr>
      </w:pPr>
      <w:r w:rsidRPr="00F42BEB">
        <w:rPr>
          <w:b/>
          <w:bCs/>
        </w:rPr>
        <w:lastRenderedPageBreak/>
        <w:t>Introduction</w:t>
      </w:r>
    </w:p>
    <w:p w14:paraId="23DE91A3" w14:textId="29247D6C" w:rsidR="001339A7" w:rsidRPr="00F42BEB" w:rsidRDefault="001339A7" w:rsidP="001339A7">
      <w:pPr>
        <w:spacing w:line="480" w:lineRule="auto"/>
        <w:ind w:firstLine="720"/>
        <w:rPr>
          <w:b/>
          <w:bCs/>
        </w:rPr>
      </w:pPr>
      <w:r w:rsidRPr="00F42BEB">
        <w:t>Plants grown under elevated CO</w:t>
      </w:r>
      <w:r w:rsidRPr="00F42BEB">
        <w:rPr>
          <w:vertAlign w:val="subscript"/>
        </w:rPr>
        <w:t>2</w:t>
      </w:r>
      <w:r w:rsidRPr="00F42BEB">
        <w:t xml:space="preserve"> generally have less leaf nutrient content than those grown under ambient CO</w:t>
      </w:r>
      <w:r w:rsidRPr="00F42BEB">
        <w:rPr>
          <w:vertAlign w:val="subscript"/>
        </w:rPr>
        <w:t>2</w:t>
      </w:r>
      <w:r w:rsidRPr="00F42BEB">
        <w:t xml:space="preserve"> </w:t>
      </w:r>
      <w:r w:rsidRPr="00F42BEB">
        <w:fldChar w:fldCharType="begin" w:fldLock="1"/>
      </w:r>
      <w:r w:rsidR="00DD0204">
        <w:instrText>ADDIN CSL_CITATION {"citationItems":[{"id":"ITEM-1","itemData":{"DOI":"10.1111/j.1365-3040.1996.tb00234.x","ISSN":"0140-7791","author":[{"dropping-particle":"","family":"Curtis","given":"Peter S","non-dropping-particle":"","parse-names":false,"suffix":""}],"container-title":"Plant, Cell and Environment","id":"ITEM-1","issue":"2","issued":{"date-parts":[["1996","2"]]},"page":"127-137","title":"A meta-analysis of leaf gas exchange and nitrogen in trees grown under elevated carbon dioxide","type":"article-journal","volume":"19"},"uris":["http://www.mendeley.com/documents/?uuid=9a33c053-d362-45d7-a821-6e32f972601e"]}],"mendeley":{"formattedCitation":"(Curtis, 1996)","plainTextFormattedCitation":"(Curtis, 1996)","previouslyFormattedCitation":"(Curtis, 1996)"},"properties":{"noteIndex":0},"schema":"https://github.com/citation-style-language/schema/raw/master/csl-citation.json"}</w:instrText>
      </w:r>
      <w:r w:rsidRPr="00F42BEB">
        <w:fldChar w:fldCharType="separate"/>
      </w:r>
      <w:r w:rsidRPr="00F42BEB">
        <w:rPr>
          <w:noProof/>
        </w:rPr>
        <w:t>(Curtis, 1996)</w:t>
      </w:r>
      <w:r w:rsidRPr="00F42BEB">
        <w:fldChar w:fldCharType="end"/>
      </w:r>
      <w:r w:rsidRPr="00F42BEB">
        <w:t>. This reduction in leaf nutrient allocation reflects an acclimation response that corresponds with reductions in photosynthetic capacity at the leaf level and occurs alongside biomass stimulation over time at the whole plant level</w:t>
      </w:r>
      <w:r w:rsidRPr="00F42BEB">
        <w:t xml:space="preserve"> </w:t>
      </w:r>
      <w:r w:rsidRPr="00F42BEB">
        <w:fldChar w:fldCharType="begin" w:fldLock="1"/>
      </w:r>
      <w:r w:rsidR="00DD0204">
        <w:instrText>ADDIN CSL_CITATION {"citationItems":[{"id":"ITEM-1","itemData":{"DOI":"10.1104/pp.115.1.199","ISSN":"1532-2548","abstract":"The effects of CO2 enrichment on growth and N allocation of rice (Oryza sativa L.) were examined. The plants were grown hydroponically in growth chambers with a 14-h photoperiod (1000 [mu]mol quanta m-2 s-1) and a day/night temperature of 25/20[deg]C. From the 28th to 70th d after germination, the plants were exposed to two CO2 partial pressures, namely 36 and 100 Pa. The CO2 enrichment increased the final biomass, but this was caused by a stimulation of the growth rate during the first week of the exposure to elevated CO2 partial pressures. The disappearance of the initial stimulation of the growth rate was associated with a decreased leaf area ratio. Furthermore, CO2 enrichment decreased the investment of N in the leaf blades, whereas the N allocation into the leaf sheaths and roots increased. Thus, the decrease in leaf N content by CO2 enrichment was not due to dilution of N caused by a relative increase in the plant biomass but was due to the change in N allocation at the whole-plant level. We conclude that the growth responses of rice to CO2 enrichment are mainly controlled by leaf area expansion and N allocation into leaf blades at the whole-plant level.","author":[{"dropping-particle":"","family":"Makino","given":"Amane","non-dropping-particle":"","parse-names":false,"suffix":""},{"dropping-particle":"","family":"Harada","given":"M","non-dropping-particle":"","parse-names":false,"suffix":""},{"dropping-particle":"","family":"Sato","given":"T","non-dropping-particle":"","parse-names":false,"suffix":""},{"dropping-particle":"","family":"Nakano","given":"H","non-dropping-particle":"","parse-names":false,"suffix":""},{"dropping-particle":"","family":"Mae","given":"T","non-dropping-particle":"","parse-names":false,"suffix":""}],"container-title":"Plant Physiology","id":"ITEM-1","issue":"1","issued":{"date-parts":[["1997","9","1"]]},"page":"199-203","title":"Growth and N Allocation in Rice Plants under CO2 Enrichment","type":"article-journal","volume":"115"},"uris":["http://www.mendeley.com/documents/?uuid=7f71e55c-a3c1-48c1-b965-256a097fcbe9"]}],"mendeley":{"formattedCitation":"(Makino et al., 1997)","plainTextFormattedCitation":"(Makino et al., 1997)","previouslyFormattedCitation":"(Makino et al., 1997)"},"properties":{"noteIndex":0},"schema":"https://github.com/citation-style-language/schema/raw/master/csl-citation.json"}</w:instrText>
      </w:r>
      <w:r w:rsidRPr="00F42BEB">
        <w:fldChar w:fldCharType="separate"/>
      </w:r>
      <w:r w:rsidRPr="00F42BEB">
        <w:rPr>
          <w:noProof/>
        </w:rPr>
        <w:t>(Makino et al., 1997)</w:t>
      </w:r>
      <w:r w:rsidRPr="00F42BEB">
        <w:fldChar w:fldCharType="end"/>
      </w:r>
      <w:r w:rsidRPr="00F42BEB">
        <w:t>. Some have hypothesized that nutrient limitation may be the primary control of plant acclimation to CO</w:t>
      </w:r>
      <w:r w:rsidRPr="00F42BEB">
        <w:rPr>
          <w:vertAlign w:val="subscript"/>
        </w:rPr>
        <w:t>2</w:t>
      </w:r>
      <w:r w:rsidRPr="00F42BEB">
        <w:t>, as nutrient availability commonly limits primary productivity and may decrease over time in elevated CO</w:t>
      </w:r>
      <w:r w:rsidRPr="00F42BEB">
        <w:rPr>
          <w:vertAlign w:val="subscript"/>
        </w:rPr>
        <w:t>2</w:t>
      </w:r>
      <w:r w:rsidRPr="00F42BEB">
        <w:t xml:space="preserve"> environments</w:t>
      </w:r>
      <w:r w:rsidRPr="00F42BEB">
        <w:t xml:space="preserve"> </w:t>
      </w:r>
      <w:r w:rsidRPr="00F42BEB">
        <w:fldChar w:fldCharType="begin" w:fldLock="1"/>
      </w:r>
      <w:r w:rsidR="00DD0204">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Pr="00F42BEB">
        <w:fldChar w:fldCharType="separate"/>
      </w:r>
      <w:r w:rsidRPr="00F42BEB">
        <w:rPr>
          <w:noProof/>
        </w:rPr>
        <w:t>(Fay et al., 2015; LeBauer &amp; Treseder, 2008; Liang et al., 2016; Luo et al., 2004)</w:t>
      </w:r>
      <w:r w:rsidRPr="00F42BEB">
        <w:fldChar w:fldCharType="end"/>
      </w:r>
      <w:r w:rsidRPr="00F42BEB">
        <w:t>. The nutrient limitation hypothesis predicts that plants decrease leaf nutrient allocation and photosynthetic capacity as a direct response to progressive reductions in soil nutrient availability due to elevated CO</w:t>
      </w:r>
      <w:r w:rsidRPr="00F42BEB">
        <w:rPr>
          <w:vertAlign w:val="subscript"/>
        </w:rPr>
        <w:t>2</w:t>
      </w:r>
      <w:r w:rsidRPr="00F42BEB">
        <w:t>. The nutrient limitation hypothesis also predicts an acute stimulation in whole plant growth due to elevated CO</w:t>
      </w:r>
      <w:r w:rsidRPr="00F42BEB">
        <w:rPr>
          <w:vertAlign w:val="subscript"/>
        </w:rPr>
        <w:t>2</w:t>
      </w:r>
      <w:r w:rsidRPr="00F42BEB">
        <w:t xml:space="preserve"> that dampens over time </w:t>
      </w:r>
      <w:r w:rsidR="00F55823" w:rsidRPr="00F42BEB">
        <w:t>because of</w:t>
      </w:r>
      <w:r w:rsidRPr="00F42BEB">
        <w:t xml:space="preserve"> progressive nutrient limitation. An alternative hypothesis to the leaf response, based on photosynthetic least-cost theory</w:t>
      </w:r>
      <w:r w:rsidRPr="00F42BEB">
        <w:t xml:space="preserve"> </w:t>
      </w:r>
      <w:r w:rsidRPr="00F42BEB">
        <w:fldChar w:fldCharType="begin" w:fldLock="1"/>
      </w:r>
      <w:r w:rsidR="00DD0204">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42BEB">
        <w:fldChar w:fldCharType="separate"/>
      </w:r>
      <w:r w:rsidRPr="00F42BEB">
        <w:rPr>
          <w:noProof/>
        </w:rPr>
        <w:t>(Prentice et al., 2014; Wright et al., 2003)</w:t>
      </w:r>
      <w:r w:rsidRPr="00F42BEB">
        <w:fldChar w:fldCharType="end"/>
      </w:r>
      <w:r w:rsidRPr="00F42BEB">
        <w:t xml:space="preserve"> suggests that plants growing under elevated CO</w:t>
      </w:r>
      <w:r w:rsidRPr="00F42BEB">
        <w:rPr>
          <w:vertAlign w:val="subscript"/>
        </w:rPr>
        <w:t>2</w:t>
      </w:r>
      <w:r w:rsidRPr="00F42BEB">
        <w:t xml:space="preserve"> environments instead downregulate nutrient allocation to Rubisco to optimize resource use </w:t>
      </w:r>
      <w:r w:rsidRPr="005B353A">
        <w:t xml:space="preserve">efficiencies at the leaf level, which maximizes resource allocation to whole plant growth. The nutrient limitation and least-cost hypotheses predict similar leaf responses to </w:t>
      </w:r>
      <w:proofErr w:type="gramStart"/>
      <w:r w:rsidRPr="005B353A">
        <w:t>CO</w:t>
      </w:r>
      <w:r w:rsidRPr="005B353A">
        <w:rPr>
          <w:vertAlign w:val="subscript"/>
        </w:rPr>
        <w:t>2</w:t>
      </w:r>
      <w:r w:rsidRPr="005B353A">
        <w:t>, but</w:t>
      </w:r>
      <w:proofErr w:type="gramEnd"/>
      <w:r w:rsidRPr="005B353A">
        <w:t xml:space="preserve"> result in different outcomes at the whole plant level.</w:t>
      </w:r>
    </w:p>
    <w:p w14:paraId="6687869E" w14:textId="1E82C733" w:rsidR="001339A7" w:rsidRPr="00F42BEB" w:rsidRDefault="001339A7" w:rsidP="001339A7">
      <w:pPr>
        <w:spacing w:line="480" w:lineRule="auto"/>
        <w:ind w:firstLine="720"/>
      </w:pPr>
      <w:r w:rsidRPr="00F42BEB">
        <w:t>Nutrient acquisition strategy, or the method in which plants acquire nutrients, may also impact how plants acclimate to CO</w:t>
      </w:r>
      <w:r w:rsidRPr="00F42BEB">
        <w:rPr>
          <w:vertAlign w:val="subscript"/>
        </w:rPr>
        <w:t>2</w:t>
      </w:r>
      <w:r w:rsidRPr="00F42BEB">
        <w:t xml:space="preserve"> </w:t>
      </w:r>
      <w:r w:rsidRPr="00F42BEB">
        <w:rPr>
          <w:vertAlign w:val="subscript"/>
        </w:rPr>
        <w:fldChar w:fldCharType="begin" w:fldLock="1"/>
      </w:r>
      <w:r w:rsidR="00DD0204">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theory","type":"article-journal","volume":"26"},"uris":["http://www.mendeley.com/documents/?uuid=bbe0947b-b3f9-4a9e-999f-3f077c3079d4"]},{"id":"ITEM-2","itemData":{"DOI":"10.1111/nph.14872","ISBN":"7476820487","ISSN":"14698137","abstract":"© 2017 The Authors. New Phytologist © 2017 New Phytologist Trust (Table presented.). Summary: 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ö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Phytologist","id":"ITEM-2","issue":"2","issued":{"date-parts":[["2018"]]},"page":"507-522","title":"Ecosystem responses to elevated CO&lt;sub&gt;2&lt;/sub&gt; governed by plant–soil interactions and the cost of nitrogen acquisition","type":"article-journal","volume":"217"},"uris":["http://www.mendeley.com/documents/?uuid=f5a032e4-11bd-468b-88f1-a7a4ce482036"]}],"mendeley":{"formattedCitation":"(Smith &amp; Keenan, 2020; Terrer et al., 2018)","plainTextFormattedCitation":"(Smith &amp; Keenan, 2020; Terrer et al., 2018)","previouslyFormattedCitation":"(Smith &amp; Keenan, 2020; Terrer et al., 2018)"},"properties":{"noteIndex":0},"schema":"https://github.com/citation-style-language/schema/raw/master/csl-citation.json"}</w:instrText>
      </w:r>
      <w:r w:rsidRPr="00F42BEB">
        <w:rPr>
          <w:vertAlign w:val="subscript"/>
        </w:rPr>
        <w:fldChar w:fldCharType="separate"/>
      </w:r>
      <w:r w:rsidRPr="00F42BEB">
        <w:rPr>
          <w:noProof/>
        </w:rPr>
        <w:t>(Smith &amp; Keenan, 2020; Terrer et al., 2018)</w:t>
      </w:r>
      <w:r w:rsidRPr="00F42BEB">
        <w:rPr>
          <w:vertAlign w:val="subscript"/>
        </w:rPr>
        <w:fldChar w:fldCharType="end"/>
      </w:r>
      <w:r w:rsidRPr="00F42BEB">
        <w:t xml:space="preserve">. Plants acquire nutrients via direct uptake from their rooting systems or through symbiotic associations with mycorrhizal fungi or symbiotic nitrogen-fixing bacteria. In plants that form associations with microbial symbionts, plants allocate recent photosynthate belowground in exchange for nutrients </w:t>
      </w:r>
      <w:r w:rsidRPr="00F42BEB">
        <w:lastRenderedPageBreak/>
        <w:t>acquired by microbial symbionts. However, not all microbial symbioses require the same belowground carbon investments to exchange nutrients. Carbon costs to acquire nitrogen, or the amount of carbon plants allocate belowground per nitrogen acquired, vary across nutrient acquisition strategies and soil nutrient availability thresholds</w:t>
      </w:r>
      <w:r w:rsidRPr="00F42BEB">
        <w:t xml:space="preserve">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42BEB">
        <w:fldChar w:fldCharType="separate"/>
      </w:r>
      <w:r w:rsidRPr="00F42BEB">
        <w:rPr>
          <w:noProof/>
        </w:rPr>
        <w:t>(Perkowski et al., 2021)</w:t>
      </w:r>
      <w:r w:rsidRPr="00F42BEB">
        <w:fldChar w:fldCharType="end"/>
      </w:r>
      <w:r w:rsidRPr="00F42BEB">
        <w:t>. Interestingly, a recent global meta-analysis indicates that carbon costs to acquire nitrogen may modify plant acclimation responses to CO</w:t>
      </w:r>
      <w:r w:rsidRPr="00F42BEB">
        <w:rPr>
          <w:vertAlign w:val="subscript"/>
        </w:rPr>
        <w:t>2</w:t>
      </w:r>
      <w:r w:rsidRPr="00F42BEB">
        <w:t xml:space="preserve"> </w:t>
      </w:r>
      <w:r w:rsidRPr="00F42BEB">
        <w:rPr>
          <w:vertAlign w:val="subscript"/>
        </w:rPr>
        <w:fldChar w:fldCharType="begin" w:fldLock="1"/>
      </w:r>
      <w:r w:rsidR="00DD0204">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effect","type":"article-journal","volume":"353"},"uris":["http://www.mendeley.com/documents/?uuid=e1738a48-9551-40a3-a598-8ed20c8cac64"]},{"id":"ITEM-2","itemData":{"DOI":"10.1111/nph.14872","ISBN":"7476820487","ISSN":"14698137","abstract":"© 2017 The Authors. New Phytologist © 2017 New Phytologist Trust (Table presented.). Summary: 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ö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Phytologist","id":"ITEM-2","issue":"2","issued":{"date-parts":[["2018"]]},"page":"507-522","title":"Ecosystem responses to elevated CO&lt;sub&gt;2&lt;/sub&gt;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42BEB">
        <w:rPr>
          <w:vertAlign w:val="subscript"/>
        </w:rPr>
        <w:fldChar w:fldCharType="separate"/>
      </w:r>
      <w:r w:rsidRPr="00F42BEB">
        <w:rPr>
          <w:noProof/>
        </w:rPr>
        <w:t>(Terrer et al., 2016, 2018)</w:t>
      </w:r>
      <w:r w:rsidRPr="00F42BEB">
        <w:rPr>
          <w:vertAlign w:val="subscript"/>
        </w:rPr>
        <w:fldChar w:fldCharType="end"/>
      </w:r>
      <w:r w:rsidRPr="00F42BEB">
        <w:t>, although manipulation experiments that directly test the mechanisms driving these responses are rare.</w:t>
      </w:r>
    </w:p>
    <w:p w14:paraId="75186AF2" w14:textId="0CC3606C" w:rsidR="00E60BAC" w:rsidRPr="00F42BEB" w:rsidRDefault="001339A7" w:rsidP="00F42BEB">
      <w:pPr>
        <w:spacing w:line="480" w:lineRule="auto"/>
        <w:ind w:firstLine="720"/>
      </w:pPr>
      <w:r w:rsidRPr="00F42BEB">
        <w:t xml:space="preserve">In this study, I will investigate the influence of inoculation with symbiotic nitrogen-fixing bacteria and direct soil nutrient manipulation on soybean </w:t>
      </w:r>
      <w:r w:rsidRPr="00F42BEB">
        <w:rPr>
          <w:bCs/>
        </w:rPr>
        <w:t>(</w:t>
      </w:r>
      <w:r w:rsidRPr="00F42BEB">
        <w:rPr>
          <w:bCs/>
          <w:i/>
          <w:iCs/>
        </w:rPr>
        <w:t>Glycine max</w:t>
      </w:r>
      <w:r w:rsidRPr="00F42BEB">
        <w:rPr>
          <w:bCs/>
        </w:rPr>
        <w:t xml:space="preserve"> L.) acclimation responses to CO</w:t>
      </w:r>
      <w:r w:rsidRPr="00F42BEB">
        <w:rPr>
          <w:bCs/>
          <w:vertAlign w:val="subscript"/>
        </w:rPr>
        <w:t>2</w:t>
      </w:r>
      <w:r w:rsidRPr="00F42BEB">
        <w:rPr>
          <w:bCs/>
        </w:rPr>
        <w:t xml:space="preserve">. This experiment will determine whether </w:t>
      </w:r>
      <w:r w:rsidRPr="00F42BEB">
        <w:t>nutrient limitation or optimal leaf resource investment is the primary driver of plant acclimation to CO</w:t>
      </w:r>
      <w:r w:rsidRPr="00F42BEB">
        <w:rPr>
          <w:vertAlign w:val="subscript"/>
        </w:rPr>
        <w:t>2</w:t>
      </w:r>
      <w:r w:rsidRPr="00F42BEB">
        <w:t xml:space="preserve"> and how nutrient acquisition strategy modifies these responses. I hypothesize that leaf acclimation to CO</w:t>
      </w:r>
      <w:r w:rsidRPr="00F42BEB">
        <w:rPr>
          <w:vertAlign w:val="subscript"/>
        </w:rPr>
        <w:t>2</w:t>
      </w:r>
      <w:r w:rsidRPr="00F42BEB">
        <w:t xml:space="preserve"> will be driven by optimal leaf resource investment, not nutrient limitation. Specifically, I predict that increasing CO</w:t>
      </w:r>
      <w:r w:rsidRPr="00F42BEB">
        <w:rPr>
          <w:vertAlign w:val="subscript"/>
        </w:rPr>
        <w:t>2</w:t>
      </w:r>
      <w:r w:rsidRPr="00F42BEB">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42BEB">
        <w:rPr>
          <w:vertAlign w:val="subscript"/>
        </w:rPr>
        <w:t>2</w:t>
      </w:r>
      <w:r w:rsidRPr="00F42BEB">
        <w:t>, I do expect that soil nutrient availability will increase the positive effect of CO</w:t>
      </w:r>
      <w:r w:rsidRPr="00F42BEB">
        <w:rPr>
          <w:vertAlign w:val="subscript"/>
        </w:rPr>
        <w:t>2</w:t>
      </w:r>
      <w:r w:rsidRPr="00F42BEB">
        <w:t xml:space="preserve"> on whole plant growth. I also predict that inoculation with nitrogen-fixing bacteria will increase whole plant growth responses to CO</w:t>
      </w:r>
      <w:r w:rsidRPr="00F42BEB">
        <w:rPr>
          <w:vertAlign w:val="subscript"/>
        </w:rPr>
        <w:t>2</w:t>
      </w:r>
      <w:r w:rsidRPr="00F42BEB">
        <w:t>. However, I only expect an inoculation effect in low soil nutrient environments, as inoculated individuals should shift away from nitrogen fixation and toward direct uptake with increasing soil nutrient availability</w:t>
      </w:r>
      <w:r w:rsidRPr="00F42BEB">
        <w:t xml:space="preserve">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42BEB">
        <w:fldChar w:fldCharType="separate"/>
      </w:r>
      <w:r w:rsidRPr="00F42BEB">
        <w:rPr>
          <w:noProof/>
        </w:rPr>
        <w:t>(Perkowski et al., 2021; Rastetter et al., 2001)</w:t>
      </w:r>
      <w:r w:rsidRPr="00F42BEB">
        <w:fldChar w:fldCharType="end"/>
      </w:r>
      <w:r w:rsidRPr="00F42BEB">
        <w:t>.</w:t>
      </w:r>
    </w:p>
    <w:p w14:paraId="390B8E5B" w14:textId="17892661" w:rsidR="00E60BAC" w:rsidRPr="00F42BEB" w:rsidRDefault="00E60BAC" w:rsidP="00F42BEB">
      <w:pPr>
        <w:spacing w:line="480" w:lineRule="auto"/>
        <w:rPr>
          <w:bCs/>
        </w:rPr>
      </w:pPr>
    </w:p>
    <w:p w14:paraId="03921B0D" w14:textId="7401A722" w:rsidR="00F42BEB" w:rsidRDefault="00F42BEB" w:rsidP="00F42BEB">
      <w:pPr>
        <w:spacing w:line="480" w:lineRule="auto"/>
        <w:rPr>
          <w:b/>
        </w:rPr>
      </w:pPr>
      <w:r w:rsidRPr="00F42BEB">
        <w:rPr>
          <w:b/>
        </w:rPr>
        <w:lastRenderedPageBreak/>
        <w:t>Methods</w:t>
      </w:r>
    </w:p>
    <w:p w14:paraId="7E75C69F" w14:textId="23A08C5C" w:rsidR="00DD0204" w:rsidRPr="00DD0204" w:rsidRDefault="00DD0204" w:rsidP="00F42BEB">
      <w:pPr>
        <w:spacing w:line="480" w:lineRule="auto"/>
        <w:rPr>
          <w:bCs/>
          <w:i/>
          <w:iCs/>
        </w:rPr>
      </w:pPr>
      <w:r>
        <w:rPr>
          <w:bCs/>
          <w:i/>
          <w:iCs/>
        </w:rPr>
        <w:t>Seed treatments and experimental design</w:t>
      </w:r>
    </w:p>
    <w:p w14:paraId="109D2E5B" w14:textId="4C82C968" w:rsidR="00F42BEB" w:rsidRDefault="00F42BEB" w:rsidP="00F42BEB">
      <w:pPr>
        <w:spacing w:line="480" w:lineRule="auto"/>
      </w:pPr>
      <w:r w:rsidRPr="00F42BEB">
        <w:rPr>
          <w:b/>
        </w:rPr>
        <w:tab/>
      </w:r>
      <w:r w:rsidRPr="00F42BEB">
        <w:rPr>
          <w:bCs/>
          <w:i/>
          <w:iCs/>
        </w:rPr>
        <w:t>Glycine max</w:t>
      </w:r>
      <w:r w:rsidRPr="00F42BEB">
        <w:rPr>
          <w:bCs/>
        </w:rPr>
        <w:t xml:space="preserve"> seeds were planted in 144 6-liter pots (NS-600, Nursery Supplies, Orange, CA, USA) containing a soil</w:t>
      </w:r>
      <w:r w:rsidR="00DD0204">
        <w:rPr>
          <w:bCs/>
        </w:rPr>
        <w:t>-</w:t>
      </w:r>
      <w:r w:rsidRPr="00F42BEB">
        <w:rPr>
          <w:bCs/>
        </w:rPr>
        <w:t xml:space="preserve">less mix containing 70% </w:t>
      </w:r>
      <w:r w:rsidRPr="00F42BEB">
        <w:rPr>
          <w:bCs/>
          <w:i/>
          <w:iCs/>
        </w:rPr>
        <w:t>Sphagnum</w:t>
      </w:r>
      <w:r w:rsidRPr="00F42BEB">
        <w:rPr>
          <w:bCs/>
        </w:rPr>
        <w:t xml:space="preserve"> peat moss and 30% sand by volume.</w:t>
      </w:r>
      <w:r>
        <w:rPr>
          <w:bCs/>
        </w:rPr>
        <w:t xml:space="preserve"> The soil</w:t>
      </w:r>
      <w:r w:rsidR="00DD0204">
        <w:rPr>
          <w:bCs/>
        </w:rPr>
        <w:t>-</w:t>
      </w:r>
      <w:r>
        <w:rPr>
          <w:bCs/>
        </w:rPr>
        <w:t>less mix was steam sterilized at 95</w:t>
      </w:r>
      <w:r w:rsidRPr="00863849">
        <w:rPr>
          <w:rFonts w:ascii="Symbol" w:eastAsia="Symbol" w:hAnsi="Symbol" w:cs="Symbol"/>
          <w:color w:val="000000"/>
        </w:rPr>
        <w:t></w:t>
      </w:r>
      <w:r w:rsidRPr="00863849">
        <w:rPr>
          <w:color w:val="000000"/>
        </w:rPr>
        <w:t>C</w:t>
      </w:r>
      <w:r>
        <w:t xml:space="preserve"> for 4 hours to eliminate any bacterial or fungal growth</w:t>
      </w:r>
      <w:r w:rsidR="000662B7">
        <w:t xml:space="preserve">. Seventy-two pots were randomly selected to be planted with seeds inoculated with </w:t>
      </w:r>
      <w:proofErr w:type="spellStart"/>
      <w:r w:rsidR="000662B7" w:rsidRPr="007B6BD6">
        <w:rPr>
          <w:i/>
          <w:iCs/>
        </w:rPr>
        <w:t>Bradyrhizobium</w:t>
      </w:r>
      <w:proofErr w:type="spellEnd"/>
      <w:r w:rsidR="000662B7" w:rsidRPr="007B6BD6">
        <w:rPr>
          <w:i/>
          <w:iCs/>
        </w:rPr>
        <w:t xml:space="preserve"> japonicum</w:t>
      </w:r>
      <w:r w:rsidR="000662B7" w:rsidRPr="007B6BD6">
        <w:t xml:space="preserve"> (</w:t>
      </w:r>
      <w:proofErr w:type="spellStart"/>
      <w:r w:rsidR="000662B7" w:rsidRPr="007B6BD6">
        <w:t>Verdesian</w:t>
      </w:r>
      <w:proofErr w:type="spellEnd"/>
      <w:r w:rsidR="000662B7" w:rsidRPr="007B6BD6">
        <w:t xml:space="preserve"> N-Dure™ Soybean,</w:t>
      </w:r>
      <w:r w:rsidR="000662B7">
        <w:t xml:space="preserve"> Cary, NC, USA) following a brief surface sterilization in </w:t>
      </w:r>
      <w:r w:rsidR="009D6030">
        <w:t>2</w:t>
      </w:r>
      <w:r w:rsidR="000662B7">
        <w:t>% sodium hypochlorite</w:t>
      </w:r>
      <w:r w:rsidR="000662B7">
        <w:t xml:space="preserve">. The remaining 72 pots were planted with seeds that did not receive any inoculation treatment. Uninoculated seeds were also surface sterilized in </w:t>
      </w:r>
      <w:r w:rsidR="009D6030">
        <w:t>2</w:t>
      </w:r>
      <w:r w:rsidR="000662B7">
        <w:t>% sodium hypochlorite to ensure that the only difference between seed treatments was the inoculation treatment.</w:t>
      </w:r>
    </w:p>
    <w:p w14:paraId="58C66A8A" w14:textId="48E3C042" w:rsidR="001C0D32" w:rsidRDefault="000662B7" w:rsidP="00F42BEB">
      <w:pPr>
        <w:spacing w:line="480" w:lineRule="auto"/>
      </w:pPr>
      <w:r>
        <w:tab/>
        <w:t>Upon planting, 36 pots of each inoculation treatment were randomly placed in one of two atmospheric CO</w:t>
      </w:r>
      <w:r>
        <w:rPr>
          <w:vertAlign w:val="subscript"/>
        </w:rPr>
        <w:t>2</w:t>
      </w:r>
      <w:r>
        <w:t xml:space="preserve"> treatments: 420 and 1000 </w:t>
      </w:r>
      <w:r>
        <w:rPr>
          <w:lang w:val="el-GR"/>
        </w:rPr>
        <w:t>μ</w:t>
      </w:r>
      <w:r>
        <w:t>mol mol</w:t>
      </w:r>
      <w:r>
        <w:rPr>
          <w:vertAlign w:val="superscript"/>
        </w:rPr>
        <w:t>-1</w:t>
      </w:r>
      <w:r>
        <w:t xml:space="preserve"> CO</w:t>
      </w:r>
      <w:r>
        <w:rPr>
          <w:vertAlign w:val="subscript"/>
        </w:rPr>
        <w:t>2</w:t>
      </w:r>
      <w:r w:rsidR="00133763">
        <w:t xml:space="preserve">. </w:t>
      </w:r>
      <w:r>
        <w:t>Pots within each</w:t>
      </w:r>
      <w:r w:rsidR="00C77766">
        <w:t xml:space="preserve"> unique</w:t>
      </w:r>
      <w:r>
        <w:t xml:space="preserve"> CO</w:t>
      </w:r>
      <w:r>
        <w:rPr>
          <w:vertAlign w:val="subscript"/>
        </w:rPr>
        <w:t>2</w:t>
      </w:r>
      <w:r>
        <w:t xml:space="preserve"> and inoculation treatment were randomly selected to receive one of nine nitrogen fertilization treatments </w:t>
      </w:r>
      <w:r w:rsidR="00DD0204">
        <w:t xml:space="preserve">as a modified Hoagland’s solution </w:t>
      </w:r>
      <w:r w:rsidR="00DD0204">
        <w:fldChar w:fldCharType="begin" w:fldLock="1"/>
      </w:r>
      <w:r w:rsidR="00FC6B3C">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DD0204">
        <w:fldChar w:fldCharType="separate"/>
      </w:r>
      <w:r w:rsidR="00DD0204" w:rsidRPr="00DD0204">
        <w:rPr>
          <w:noProof/>
        </w:rPr>
        <w:t>(Hoagland &amp; Arnon, 1950)</w:t>
      </w:r>
      <w:r w:rsidR="00DD0204">
        <w:fldChar w:fldCharType="end"/>
      </w:r>
      <w:r w:rsidR="00DD0204">
        <w:t xml:space="preserve"> equivalent to 0, 35, 70, 105, 140, 210, 280, 350, or 630 ppm N</w:t>
      </w:r>
      <w:r>
        <w:t xml:space="preserve">. </w:t>
      </w:r>
      <w:r w:rsidR="00DD0204">
        <w:t xml:space="preserve">Modified Hoagland’s solutions were designed to keep concentrations of other macronutrients and micronutrients equivalent across treatments (Table S1), and were received as 150 mL as topical agents to the </w:t>
      </w:r>
      <w:r w:rsidR="00DD0204" w:rsidRPr="00DD0204">
        <w:t>soil surface of each pot</w:t>
      </w:r>
      <w:r w:rsidR="00D74B1E" w:rsidRPr="00D74B1E">
        <w:t xml:space="preserve"> </w:t>
      </w:r>
      <w:r w:rsidR="00D74B1E">
        <w:t>twice per week</w:t>
      </w:r>
      <w:r w:rsidR="00DD0204" w:rsidRPr="00DD0204">
        <w:t>.</w:t>
      </w:r>
    </w:p>
    <w:p w14:paraId="74324349" w14:textId="3D37021D" w:rsidR="00DD0204" w:rsidRDefault="00C77766" w:rsidP="00CD368B">
      <w:pPr>
        <w:spacing w:line="480" w:lineRule="auto"/>
      </w:pPr>
      <w:r>
        <w:tab/>
        <w:t xml:space="preserve">All individuals were well watered to minimize chances of water stress. </w:t>
      </w:r>
      <w:r w:rsidR="004B70BE">
        <w:t>We also kept other ancillary chamber climate settings constant across treatment combinations. We simulated daytime environments using a 16-hour photoperiod</w:t>
      </w:r>
      <w:r w:rsidR="00CD368B">
        <w:t>,</w:t>
      </w:r>
      <w:r w:rsidR="004B70BE">
        <w:t xml:space="preserve"> w</w:t>
      </w:r>
      <w:r w:rsidR="00CD368B">
        <w:t>ith</w:t>
      </w:r>
      <w:r w:rsidR="004B70BE">
        <w:t xml:space="preserve"> incoming</w:t>
      </w:r>
      <w:r w:rsidR="00CD368B">
        <w:t xml:space="preserve"> light</w:t>
      </w:r>
      <w:r w:rsidR="004B70BE">
        <w:t xml:space="preserve"> radiation set to </w:t>
      </w:r>
      <w:r w:rsidR="004B70BE" w:rsidRPr="004B70BE">
        <w:rPr>
          <w:highlight w:val="yellow"/>
        </w:rPr>
        <w:t>XX</w:t>
      </w:r>
      <w:r w:rsidR="004B70BE">
        <w:t xml:space="preserve"> </w:t>
      </w:r>
      <w:r w:rsidR="004B70BE">
        <w:rPr>
          <w:lang w:val="el-GR"/>
        </w:rPr>
        <w:t>μ</w:t>
      </w:r>
      <w:r w:rsidR="004B70BE">
        <w:t>mol m</w:t>
      </w:r>
      <w:r w:rsidR="004B70BE">
        <w:rPr>
          <w:vertAlign w:val="superscript"/>
        </w:rPr>
        <w:t>-2</w:t>
      </w:r>
      <w:r w:rsidR="004B70BE" w:rsidRPr="001C0D32">
        <w:t xml:space="preserve"> </w:t>
      </w:r>
      <w:r w:rsidR="004B70BE">
        <w:t>s</w:t>
      </w:r>
      <w:r w:rsidR="004B70BE">
        <w:rPr>
          <w:vertAlign w:val="superscript"/>
        </w:rPr>
        <w:t>-1</w:t>
      </w:r>
      <w:r w:rsidR="004B70BE">
        <w:t>,</w:t>
      </w:r>
      <w:r w:rsidR="004B70BE">
        <w:t xml:space="preserve"> </w:t>
      </w:r>
      <w:r w:rsidR="004B70BE">
        <w:t>temperature set to 25</w:t>
      </w:r>
      <w:r w:rsidR="004B70BE">
        <w:sym w:font="Symbol" w:char="F0B0"/>
      </w:r>
      <w:r w:rsidR="004B70BE">
        <w:t>C</w:t>
      </w:r>
      <w:r w:rsidR="004B70BE">
        <w:t xml:space="preserve">, and relative humidity set to 50%. The remaining </w:t>
      </w:r>
      <w:r w:rsidR="00CD368B">
        <w:t xml:space="preserve">8 hours </w:t>
      </w:r>
      <w:r w:rsidR="00CD368B">
        <w:lastRenderedPageBreak/>
        <w:t>simulated nighttime growing conditions, with incoming light radiation set to 0</w:t>
      </w:r>
      <w:r w:rsidR="00CD368B" w:rsidRPr="00CD368B">
        <w:t xml:space="preserve"> </w:t>
      </w:r>
      <w:r w:rsidR="00CD368B">
        <w:rPr>
          <w:lang w:val="el-GR"/>
        </w:rPr>
        <w:t>μ</w:t>
      </w:r>
      <w:r w:rsidR="00CD368B">
        <w:t>mol m</w:t>
      </w:r>
      <w:r w:rsidR="00CD368B">
        <w:rPr>
          <w:vertAlign w:val="superscript"/>
        </w:rPr>
        <w:t>-2</w:t>
      </w:r>
      <w:r w:rsidR="00CD368B" w:rsidRPr="001C0D32">
        <w:t xml:space="preserve"> </w:t>
      </w:r>
      <w:r w:rsidR="00CD368B">
        <w:t>s</w:t>
      </w:r>
      <w:r w:rsidR="00CD368B">
        <w:rPr>
          <w:vertAlign w:val="superscript"/>
        </w:rPr>
        <w:t>-1</w:t>
      </w:r>
      <w:r w:rsidR="00CD368B">
        <w:t>, temperature set to 17</w:t>
      </w:r>
      <w:r w:rsidR="00CD368B">
        <w:sym w:font="Symbol" w:char="F0B0"/>
      </w:r>
      <w:r w:rsidR="00CD368B">
        <w:t xml:space="preserve">C, and relative humidity </w:t>
      </w:r>
      <w:r w:rsidR="00CD368B">
        <w:t>again</w:t>
      </w:r>
      <w:r w:rsidR="00CD368B">
        <w:t xml:space="preserve"> set to 50%.</w:t>
      </w:r>
      <w:r w:rsidR="00CD368B">
        <w:t xml:space="preserve"> To better represent natural transitions between day and night conditions, we ramped temperature and incoming light radiation from daytime to nighttime or from nighttime to daytime over a two-hour period. </w:t>
      </w:r>
      <w:r w:rsidR="00D74B1E">
        <w:t>All individuals grew under these treatment</w:t>
      </w:r>
      <w:r w:rsidR="00CD368B">
        <w:t xml:space="preserve"> combinations</w:t>
      </w:r>
      <w:r w:rsidR="001C0D32">
        <w:t xml:space="preserve"> and growing conditions</w:t>
      </w:r>
      <w:r w:rsidR="00D74B1E">
        <w:t xml:space="preserve"> for a six-week growth period</w:t>
      </w:r>
      <w:r w:rsidR="001C0D32">
        <w:t xml:space="preserve">. </w:t>
      </w:r>
      <w:r w:rsidR="00DD0204" w:rsidRPr="00DD0204">
        <w:t xml:space="preserve">This treatment setup and sample size </w:t>
      </w:r>
      <w:r w:rsidR="001C0D32">
        <w:t>created</w:t>
      </w:r>
      <w:r w:rsidR="00DD0204" w:rsidRPr="00DD0204">
        <w:t xml:space="preserve"> 4 replicates per treatment combination,</w:t>
      </w:r>
      <w:r w:rsidR="001C0D32">
        <w:t xml:space="preserve"> </w:t>
      </w:r>
      <w:r w:rsidR="00DD0204" w:rsidRPr="00DD0204">
        <w:t>which power analyses suggest yield enough statistical power (</w:t>
      </w:r>
      <w:r w:rsidR="00DD0204" w:rsidRPr="00DD0204">
        <w:rPr>
          <w:lang w:val="el-GR"/>
        </w:rPr>
        <w:t>β</w:t>
      </w:r>
      <w:r w:rsidR="00DD0204" w:rsidRPr="00DD0204">
        <w:t xml:space="preserve">&gt;0.8) to </w:t>
      </w:r>
      <w:r w:rsidR="001C0D32">
        <w:t xml:space="preserve">adequately </w:t>
      </w:r>
      <w:r w:rsidR="00DD0204" w:rsidRPr="00DD0204">
        <w:t>quantify interactions between soil nutrient availability, inoculation status, and CO</w:t>
      </w:r>
      <w:r w:rsidR="00DD0204" w:rsidRPr="00DD0204">
        <w:rPr>
          <w:vertAlign w:val="subscript"/>
        </w:rPr>
        <w:t>2</w:t>
      </w:r>
      <w:r w:rsidR="00DD0204" w:rsidRPr="00DD0204">
        <w:t>.</w:t>
      </w:r>
    </w:p>
    <w:p w14:paraId="0258E39D" w14:textId="27209FAE" w:rsidR="00CD368B" w:rsidRDefault="00CD368B" w:rsidP="00CD368B">
      <w:pPr>
        <w:spacing w:line="480" w:lineRule="auto"/>
      </w:pPr>
    </w:p>
    <w:p w14:paraId="299A9F0C" w14:textId="2FCC7CC2" w:rsidR="00CD368B" w:rsidRDefault="00470A8B" w:rsidP="00CD368B">
      <w:pPr>
        <w:spacing w:line="480" w:lineRule="auto"/>
      </w:pPr>
      <w:r>
        <w:rPr>
          <w:i/>
          <w:iCs/>
        </w:rPr>
        <w:t>Leaf gas exchange</w:t>
      </w:r>
    </w:p>
    <w:p w14:paraId="485F26E6" w14:textId="1D545B63" w:rsidR="009B2B3C" w:rsidRDefault="00CD368B" w:rsidP="00CD368B">
      <w:pPr>
        <w:spacing w:line="480" w:lineRule="auto"/>
      </w:pPr>
      <w:r>
        <w:tab/>
        <w:t>Starting on the fourth week of the experiment, w</w:t>
      </w:r>
      <w:r w:rsidR="00470A8B">
        <w:t xml:space="preserve">e collected </w:t>
      </w:r>
      <w:r w:rsidR="00133763">
        <w:t xml:space="preserve">weekly </w:t>
      </w:r>
      <w:r w:rsidR="00470A8B">
        <w:t xml:space="preserve">gas exchange measurements on the most recent fully expanded leaf. First, we </w:t>
      </w:r>
      <w:r w:rsidR="00133763">
        <w:t>surveyed</w:t>
      </w:r>
      <w:r w:rsidR="00470A8B">
        <w:t xml:space="preserve"> net photosynthesis </w:t>
      </w:r>
      <w:r w:rsidR="00470A8B" w:rsidRPr="00863849">
        <w:rPr>
          <w:color w:val="000000"/>
        </w:rPr>
        <w:t>(</w:t>
      </w:r>
      <w:proofErr w:type="spellStart"/>
      <w:r w:rsidR="00470A8B" w:rsidRPr="00DB6582">
        <w:rPr>
          <w:i/>
          <w:iCs/>
          <w:color w:val="000000"/>
        </w:rPr>
        <w:t>A</w:t>
      </w:r>
      <w:r w:rsidR="00470A8B">
        <w:rPr>
          <w:color w:val="000000"/>
          <w:vertAlign w:val="subscript"/>
        </w:rPr>
        <w:t>net</w:t>
      </w:r>
      <w:proofErr w:type="spellEnd"/>
      <w:r w:rsidR="00470A8B" w:rsidRPr="00863849">
        <w:rPr>
          <w:color w:val="000000"/>
        </w:rPr>
        <w:t xml:space="preserve">; </w:t>
      </w:r>
      <w:r w:rsidR="00470A8B" w:rsidRPr="00863849">
        <w:rPr>
          <w:color w:val="000000"/>
          <w:lang w:val="el-GR"/>
        </w:rPr>
        <w:t>μ</w:t>
      </w:r>
      <w:r w:rsidR="00470A8B" w:rsidRPr="00863849">
        <w:rPr>
          <w:color w:val="000000"/>
        </w:rPr>
        <w:t>mol m</w:t>
      </w:r>
      <w:r w:rsidR="00470A8B" w:rsidRPr="00863849">
        <w:rPr>
          <w:color w:val="000000"/>
          <w:vertAlign w:val="superscript"/>
        </w:rPr>
        <w:t>-2</w:t>
      </w:r>
      <w:r w:rsidR="00470A8B" w:rsidRPr="00863849">
        <w:rPr>
          <w:color w:val="000000"/>
        </w:rPr>
        <w:t xml:space="preserve"> s</w:t>
      </w:r>
      <w:r w:rsidR="00470A8B" w:rsidRPr="00863849">
        <w:rPr>
          <w:color w:val="000000"/>
          <w:vertAlign w:val="superscript"/>
        </w:rPr>
        <w:t>-1</w:t>
      </w:r>
      <w:r w:rsidR="00470A8B" w:rsidRPr="00863849">
        <w:rPr>
          <w:color w:val="000000"/>
        </w:rPr>
        <w:t>)</w:t>
      </w:r>
      <w:r w:rsidR="00470A8B">
        <w:rPr>
          <w:color w:val="000000"/>
        </w:rPr>
        <w:t>, stomatal conductance (</w:t>
      </w:r>
      <w:proofErr w:type="spellStart"/>
      <w:r w:rsidR="00470A8B" w:rsidRPr="003E0112">
        <w:rPr>
          <w:i/>
          <w:iCs/>
          <w:color w:val="000000"/>
        </w:rPr>
        <w:t>g</w:t>
      </w:r>
      <w:r w:rsidR="00470A8B" w:rsidRPr="00C33C74">
        <w:rPr>
          <w:color w:val="000000"/>
          <w:vertAlign w:val="subscript"/>
        </w:rPr>
        <w:t>s</w:t>
      </w:r>
      <w:proofErr w:type="spellEnd"/>
      <w:r w:rsidR="00470A8B">
        <w:rPr>
          <w:color w:val="000000"/>
        </w:rPr>
        <w:t>; mmol mol</w:t>
      </w:r>
      <w:r w:rsidR="00470A8B">
        <w:rPr>
          <w:color w:val="000000"/>
          <w:vertAlign w:val="superscript"/>
        </w:rPr>
        <w:t>-1</w:t>
      </w:r>
      <w:r w:rsidR="00470A8B">
        <w:rPr>
          <w:color w:val="000000"/>
        </w:rPr>
        <w:t>),</w:t>
      </w:r>
      <w:r w:rsidR="00470A8B" w:rsidRPr="00863849">
        <w:rPr>
          <w:color w:val="000000"/>
        </w:rPr>
        <w:t xml:space="preserve"> intercellular CO</w:t>
      </w:r>
      <w:r w:rsidR="00470A8B" w:rsidRPr="00863849">
        <w:rPr>
          <w:color w:val="000000"/>
          <w:vertAlign w:val="subscript"/>
        </w:rPr>
        <w:t>2</w:t>
      </w:r>
      <w:r w:rsidR="00470A8B" w:rsidRPr="00863849">
        <w:rPr>
          <w:color w:val="000000"/>
        </w:rPr>
        <w:t xml:space="preserve"> (</w:t>
      </w:r>
      <w:r w:rsidR="00470A8B" w:rsidRPr="00F848A9">
        <w:rPr>
          <w:i/>
          <w:iCs/>
          <w:color w:val="000000"/>
        </w:rPr>
        <w:t>C</w:t>
      </w:r>
      <w:r w:rsidR="00470A8B" w:rsidRPr="00275258">
        <w:rPr>
          <w:color w:val="000000"/>
          <w:vertAlign w:val="subscript"/>
        </w:rPr>
        <w:t>i</w:t>
      </w:r>
      <w:r w:rsidR="00470A8B" w:rsidRPr="00863849">
        <w:rPr>
          <w:color w:val="000000"/>
        </w:rPr>
        <w:t>; µmol mol</w:t>
      </w:r>
      <w:r w:rsidR="00470A8B" w:rsidRPr="00863849">
        <w:rPr>
          <w:color w:val="000000"/>
          <w:vertAlign w:val="superscript"/>
        </w:rPr>
        <w:t>-1</w:t>
      </w:r>
      <w:r w:rsidR="00470A8B" w:rsidRPr="00863849">
        <w:rPr>
          <w:color w:val="000000"/>
        </w:rPr>
        <w:t>)</w:t>
      </w:r>
      <w:r w:rsidR="00133763">
        <w:rPr>
          <w:color w:val="000000"/>
        </w:rPr>
        <w:t>, and chlorophyll fluorescence</w:t>
      </w:r>
      <w:r w:rsidR="00470A8B">
        <w:rPr>
          <w:color w:val="000000"/>
        </w:rPr>
        <w:t xml:space="preserve"> data</w:t>
      </w:r>
      <w:r w:rsidR="00133763">
        <w:rPr>
          <w:color w:val="000000"/>
        </w:rPr>
        <w:t>. Survey gas exchange data were collected after allowing a leaf to stabilize in a cuvette where reference CO</w:t>
      </w:r>
      <w:r w:rsidR="00133763">
        <w:rPr>
          <w:color w:val="000000"/>
          <w:vertAlign w:val="subscript"/>
        </w:rPr>
        <w:t>2</w:t>
      </w:r>
      <w:r w:rsidR="00133763">
        <w:rPr>
          <w:color w:val="000000"/>
        </w:rPr>
        <w:t xml:space="preserve"> was set to 420 </w:t>
      </w:r>
      <w:r w:rsidR="00133763" w:rsidRPr="00863849">
        <w:rPr>
          <w:color w:val="000000"/>
          <w:lang w:val="el-GR"/>
        </w:rPr>
        <w:t>μ</w:t>
      </w:r>
      <w:r w:rsidR="00133763" w:rsidRPr="00863849">
        <w:rPr>
          <w:color w:val="000000"/>
        </w:rPr>
        <w:t>mol mol</w:t>
      </w:r>
      <w:r w:rsidR="00133763" w:rsidRPr="00863849">
        <w:rPr>
          <w:color w:val="000000"/>
          <w:vertAlign w:val="superscript"/>
        </w:rPr>
        <w:t>-1</w:t>
      </w:r>
      <w:r w:rsidR="00133763">
        <w:rPr>
          <w:color w:val="000000"/>
        </w:rPr>
        <w:t>, relative humidity was stabilized at 50%, cuvette temperature was set to 25</w:t>
      </w:r>
      <w:r w:rsidR="00133763">
        <w:sym w:font="Symbol" w:char="F0B0"/>
      </w:r>
      <w:r w:rsidR="00133763">
        <w:t>C</w:t>
      </w:r>
      <w:r w:rsidR="00E06DE0">
        <w:t xml:space="preserve">, and incoming light radiation was set to 1500 </w:t>
      </w:r>
      <w:r w:rsidR="00E06DE0">
        <w:rPr>
          <w:lang w:val="el-GR"/>
        </w:rPr>
        <w:t>μ</w:t>
      </w:r>
      <w:r w:rsidR="00E06DE0">
        <w:t>mol m</w:t>
      </w:r>
      <w:r w:rsidR="00E06DE0">
        <w:rPr>
          <w:vertAlign w:val="superscript"/>
        </w:rPr>
        <w:t>-2</w:t>
      </w:r>
      <w:r w:rsidR="00E06DE0">
        <w:t xml:space="preserve"> s</w:t>
      </w:r>
      <w:r w:rsidR="00E06DE0">
        <w:rPr>
          <w:vertAlign w:val="superscript"/>
        </w:rPr>
        <w:t>-1</w:t>
      </w:r>
      <w:r w:rsidR="00133763">
        <w:t xml:space="preserve">. </w:t>
      </w:r>
    </w:p>
    <w:p w14:paraId="171787F7" w14:textId="3EAE4ACC" w:rsidR="009B2B3C" w:rsidRPr="00FD7556" w:rsidRDefault="00133763" w:rsidP="00FD7556">
      <w:pPr>
        <w:spacing w:line="480" w:lineRule="auto"/>
        <w:ind w:firstLine="720"/>
        <w:rPr>
          <w:color w:val="000000"/>
        </w:rPr>
      </w:pPr>
      <w:r>
        <w:t>Upon completion of survey gas exchange data, we measured CO</w:t>
      </w:r>
      <w:r>
        <w:rPr>
          <w:vertAlign w:val="subscript"/>
        </w:rPr>
        <w:t>2</w:t>
      </w:r>
      <w:r>
        <w:t xml:space="preserve"> response curves using the dynamic assimilation technique </w:t>
      </w:r>
      <w:r w:rsidR="009B2B3C">
        <w:t>with</w:t>
      </w:r>
      <w:r>
        <w:t xml:space="preserve"> a Li-COR LI-6800 portable photosynthesis machine</w:t>
      </w:r>
      <w:r w:rsidR="009B2B3C">
        <w:t xml:space="preserve"> </w:t>
      </w:r>
      <w:r w:rsidR="009B2B3C" w:rsidRPr="00863849">
        <w:rPr>
          <w:color w:val="000000"/>
        </w:rPr>
        <w:t>(Li-COR Bioscience</w:t>
      </w:r>
      <w:r w:rsidR="009B2B3C">
        <w:rPr>
          <w:color w:val="000000"/>
        </w:rPr>
        <w:t>s</w:t>
      </w:r>
      <w:r w:rsidR="009B2B3C" w:rsidRPr="00863849">
        <w:rPr>
          <w:color w:val="000000"/>
        </w:rPr>
        <w:t>, Lincoln, Nebraska, USA)</w:t>
      </w:r>
      <w:r>
        <w:t>.</w:t>
      </w:r>
      <w:r w:rsidR="009B2B3C">
        <w:t xml:space="preserve"> </w:t>
      </w:r>
      <w:r w:rsidR="00FC6B3C">
        <w:t>The dynamic assimilation technique eliminates the need for steady</w:t>
      </w:r>
      <w:r w:rsidR="009B2B3C">
        <w:t>-</w:t>
      </w:r>
      <w:r w:rsidR="00FC6B3C">
        <w:t>state measurements along an atmospheric CO</w:t>
      </w:r>
      <w:r w:rsidR="00FC6B3C">
        <w:rPr>
          <w:vertAlign w:val="subscript"/>
        </w:rPr>
        <w:t>2</w:t>
      </w:r>
      <w:r w:rsidR="00FC6B3C">
        <w:t xml:space="preserve"> gradient, expedites CO</w:t>
      </w:r>
      <w:r w:rsidR="00FC6B3C">
        <w:rPr>
          <w:vertAlign w:val="subscript"/>
        </w:rPr>
        <w:t>2</w:t>
      </w:r>
      <w:r w:rsidR="00FC6B3C">
        <w:t xml:space="preserve"> response curves to a few minutes, provides </w:t>
      </w:r>
      <w:r w:rsidR="00470A8B">
        <w:t>&gt;50 points to fit the response curve</w:t>
      </w:r>
      <w:r w:rsidR="005A591B">
        <w:t xml:space="preserve">, and has been shown to </w:t>
      </w:r>
      <w:r w:rsidR="009B2B3C">
        <w:t>correspond well with traditional steady-state CO</w:t>
      </w:r>
      <w:r w:rsidR="009B2B3C">
        <w:rPr>
          <w:vertAlign w:val="subscript"/>
        </w:rPr>
        <w:t>2</w:t>
      </w:r>
      <w:r w:rsidR="009B2B3C">
        <w:t xml:space="preserve"> response curves </w:t>
      </w:r>
      <w:r w:rsidR="009B2B3C">
        <w:fldChar w:fldCharType="begin" w:fldLock="1"/>
      </w:r>
      <w:r w:rsidR="00BA3A8F">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&amp; Welles, 2021)","plainTextFormattedCitation":"(Saathoff &amp; Welles, 2021)","previouslyFormattedCitation":"(Saathoff &amp; Welles, 2021)"},"properties":{"noteIndex":0},"schema":"https://github.com/citation-style-language/schema/raw/master/csl-citation.json"}</w:instrText>
      </w:r>
      <w:r w:rsidR="009B2B3C">
        <w:fldChar w:fldCharType="separate"/>
      </w:r>
      <w:r w:rsidR="009B2B3C" w:rsidRPr="009B2B3C">
        <w:rPr>
          <w:noProof/>
        </w:rPr>
        <w:t xml:space="preserve">(Saathoff &amp; Welles, </w:t>
      </w:r>
      <w:r w:rsidR="009B2B3C" w:rsidRPr="009B2B3C">
        <w:rPr>
          <w:noProof/>
        </w:rPr>
        <w:lastRenderedPageBreak/>
        <w:t>2021)</w:t>
      </w:r>
      <w:r w:rsidR="009B2B3C">
        <w:fldChar w:fldCharType="end"/>
      </w:r>
      <w:r w:rsidR="00470A8B">
        <w:t>.</w:t>
      </w:r>
      <w:r w:rsidR="009B2B3C">
        <w:t xml:space="preserve"> We conducted dynamic CO</w:t>
      </w:r>
      <w:r w:rsidR="009B2B3C">
        <w:rPr>
          <w:vertAlign w:val="subscript"/>
        </w:rPr>
        <w:t>2</w:t>
      </w:r>
      <w:r w:rsidR="009B2B3C">
        <w:t xml:space="preserve"> response curves using the split method, which measured </w:t>
      </w:r>
      <w:proofErr w:type="spellStart"/>
      <w:r w:rsidR="009B2B3C" w:rsidRPr="00DB6582">
        <w:rPr>
          <w:i/>
          <w:iCs/>
          <w:color w:val="000000"/>
        </w:rPr>
        <w:t>A</w:t>
      </w:r>
      <w:r w:rsidR="009B2B3C">
        <w:rPr>
          <w:color w:val="000000"/>
          <w:vertAlign w:val="subscript"/>
        </w:rPr>
        <w:t>net</w:t>
      </w:r>
      <w:proofErr w:type="spellEnd"/>
      <w:r w:rsidR="009B2B3C">
        <w:rPr>
          <w:color w:val="000000"/>
        </w:rPr>
        <w:t>,</w:t>
      </w:r>
      <w:r w:rsidR="009B2B3C" w:rsidRPr="003E0112">
        <w:rPr>
          <w:i/>
          <w:iCs/>
          <w:color w:val="000000"/>
        </w:rPr>
        <w:t xml:space="preserve"> </w:t>
      </w:r>
      <w:proofErr w:type="spellStart"/>
      <w:r w:rsidR="009B2B3C" w:rsidRPr="003E0112">
        <w:rPr>
          <w:i/>
          <w:iCs/>
          <w:color w:val="000000"/>
        </w:rPr>
        <w:t>g</w:t>
      </w:r>
      <w:r w:rsidR="009B2B3C" w:rsidRPr="00C33C74">
        <w:rPr>
          <w:color w:val="000000"/>
          <w:vertAlign w:val="subscript"/>
        </w:rPr>
        <w:t>s</w:t>
      </w:r>
      <w:proofErr w:type="spellEnd"/>
      <w:r w:rsidR="009B2B3C">
        <w:rPr>
          <w:color w:val="000000"/>
        </w:rPr>
        <w:t xml:space="preserve">, and </w:t>
      </w:r>
      <w:r w:rsidR="009B2B3C" w:rsidRPr="00F848A9">
        <w:rPr>
          <w:i/>
          <w:iCs/>
          <w:color w:val="000000"/>
        </w:rPr>
        <w:t>C</w:t>
      </w:r>
      <w:r w:rsidR="009B2B3C" w:rsidRPr="00275258">
        <w:rPr>
          <w:color w:val="000000"/>
          <w:vertAlign w:val="subscript"/>
        </w:rPr>
        <w:t>i</w:t>
      </w:r>
      <w:r w:rsidR="009B2B3C">
        <w:rPr>
          <w:color w:val="000000"/>
        </w:rPr>
        <w:t xml:space="preserve"> </w:t>
      </w:r>
      <w:r w:rsidR="00FD7556">
        <w:rPr>
          <w:color w:val="000000"/>
        </w:rPr>
        <w:t xml:space="preserve">along a ramp down from </w:t>
      </w:r>
      <w:r w:rsidR="009B2B3C">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Pr>
          <w:color w:val="000000"/>
        </w:rPr>
        <w:t>CO</w:t>
      </w:r>
      <w:r w:rsidR="00FD7556">
        <w:rPr>
          <w:color w:val="000000"/>
          <w:vertAlign w:val="subscript"/>
        </w:rPr>
        <w:t>2</w:t>
      </w:r>
      <w:r w:rsidR="00FD7556">
        <w:rPr>
          <w:color w:val="000000"/>
          <w:vertAlign w:val="subscript"/>
        </w:rPr>
        <w:t xml:space="preserve"> </w:t>
      </w:r>
      <w:r w:rsidR="009B2B3C">
        <w:rPr>
          <w:color w:val="000000"/>
        </w:rPr>
        <w:t xml:space="preserve">to 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9B2B3C">
        <w:rPr>
          <w:color w:val="000000"/>
        </w:rPr>
        <w:t xml:space="preserve">, </w:t>
      </w:r>
      <w:r w:rsidR="00FD7556">
        <w:rPr>
          <w:color w:val="000000"/>
        </w:rPr>
        <w:t xml:space="preserve">followed by a ramp up from </w:t>
      </w:r>
      <w:r w:rsidR="009B2B3C">
        <w:rPr>
          <w:color w:val="000000"/>
        </w:rPr>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sidRPr="00FD7556">
        <w:rPr>
          <w:color w:val="000000"/>
        </w:rPr>
        <w:t>CO</w:t>
      </w:r>
      <w:r w:rsidR="00FD7556" w:rsidRPr="00FD7556">
        <w:rPr>
          <w:color w:val="000000"/>
          <w:vertAlign w:val="subscript"/>
        </w:rPr>
        <w:t>2</w:t>
      </w:r>
      <w:r w:rsidR="00FD7556">
        <w:rPr>
          <w:color w:val="000000"/>
        </w:rPr>
        <w:t xml:space="preserve"> </w:t>
      </w:r>
      <w:r w:rsidR="009B2B3C" w:rsidRPr="00FD7556">
        <w:rPr>
          <w:color w:val="000000"/>
        </w:rPr>
        <w:t>to</w:t>
      </w:r>
      <w:r w:rsidR="009B2B3C">
        <w:rPr>
          <w:color w:val="000000"/>
        </w:rPr>
        <w:t xml:space="preserve"> 1620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FD7556">
        <w:rPr>
          <w:color w:val="000000"/>
        </w:rPr>
        <w:t xml:space="preserve"> after a one-minute wait period at </w:t>
      </w:r>
      <w:r w:rsidR="00FD7556">
        <w:rPr>
          <w:color w:val="000000"/>
        </w:rPr>
        <w:t xml:space="preserve">420 </w:t>
      </w:r>
      <w:r w:rsidR="00FD7556" w:rsidRPr="00863849">
        <w:rPr>
          <w:color w:val="000000"/>
        </w:rPr>
        <w:t>µmol mol</w:t>
      </w:r>
      <w:r w:rsidR="00FD7556" w:rsidRPr="00863849">
        <w:rPr>
          <w:color w:val="000000"/>
          <w:vertAlign w:val="superscript"/>
        </w:rPr>
        <w:t>-1</w:t>
      </w:r>
      <w:r w:rsidR="00FD7556">
        <w:rPr>
          <w:color w:val="000000"/>
        </w:rPr>
        <w:t xml:space="preserve"> CO</w:t>
      </w:r>
      <w:r w:rsidR="00FD7556">
        <w:rPr>
          <w:color w:val="000000"/>
          <w:vertAlign w:val="subscript"/>
        </w:rPr>
        <w:t>2</w:t>
      </w:r>
      <w:r w:rsidR="009B2B3C">
        <w:rPr>
          <w:color w:val="000000"/>
        </w:rPr>
        <w:t>.</w:t>
      </w:r>
      <w:r w:rsidR="00FD7556">
        <w:rPr>
          <w:color w:val="000000"/>
        </w:rPr>
        <w:t xml:space="preserve"> CO</w:t>
      </w:r>
      <w:r w:rsidR="00FD7556">
        <w:rPr>
          <w:color w:val="000000"/>
          <w:vertAlign w:val="subscript"/>
        </w:rPr>
        <w:t>2</w:t>
      </w:r>
      <w:r w:rsidR="00FD7556">
        <w:rPr>
          <w:color w:val="000000"/>
        </w:rPr>
        <w:t xml:space="preserve"> ramps were done using the same cuvette conditions as the survey measurements explained </w:t>
      </w:r>
      <w:r w:rsidR="00816C54">
        <w:rPr>
          <w:color w:val="000000"/>
        </w:rPr>
        <w:t>above and</w:t>
      </w:r>
      <w:r w:rsidR="00FD7556">
        <w:rPr>
          <w:color w:val="000000"/>
        </w:rPr>
        <w:t xml:space="preserve"> were ramped at a rate of 200 </w:t>
      </w:r>
      <w:r w:rsidR="00FD7556">
        <w:rPr>
          <w:color w:val="000000"/>
          <w:lang w:val="el-GR"/>
        </w:rPr>
        <w:t>μ</w:t>
      </w:r>
      <w:r w:rsidR="00FD7556">
        <w:rPr>
          <w:color w:val="000000"/>
        </w:rPr>
        <w:t xml:space="preserve">mol </w:t>
      </w:r>
      <w:r w:rsidR="00FD7556" w:rsidRPr="00863849">
        <w:rPr>
          <w:color w:val="000000"/>
        </w:rPr>
        <w:t>mol</w:t>
      </w:r>
      <w:r w:rsidR="00FD7556" w:rsidRPr="00863849">
        <w:rPr>
          <w:color w:val="000000"/>
          <w:vertAlign w:val="superscript"/>
        </w:rPr>
        <w:t>-1</w:t>
      </w:r>
      <w:r w:rsidR="00FD7556">
        <w:rPr>
          <w:color w:val="000000"/>
        </w:rPr>
        <w:t xml:space="preserve"> CO</w:t>
      </w:r>
      <w:r w:rsidR="00FD7556">
        <w:rPr>
          <w:color w:val="000000"/>
          <w:vertAlign w:val="subscript"/>
        </w:rPr>
        <w:t>2</w:t>
      </w:r>
      <w:r w:rsidR="00FD7556">
        <w:rPr>
          <w:color w:val="000000"/>
        </w:rPr>
        <w:t xml:space="preserve"> min</w:t>
      </w:r>
      <w:r w:rsidR="00FD7556">
        <w:rPr>
          <w:color w:val="000000"/>
          <w:vertAlign w:val="superscript"/>
        </w:rPr>
        <w:t>-1</w:t>
      </w:r>
      <w:r w:rsidR="00FD7556">
        <w:rPr>
          <w:color w:val="000000"/>
        </w:rPr>
        <w:t>.</w:t>
      </w:r>
    </w:p>
    <w:p w14:paraId="453C7632" w14:textId="2293159A" w:rsidR="00E06DE0" w:rsidRDefault="00470A8B" w:rsidP="00816C54">
      <w:pPr>
        <w:spacing w:line="480" w:lineRule="auto"/>
        <w:ind w:firstLine="720"/>
        <w:rPr>
          <w:color w:val="000000"/>
        </w:rPr>
      </w:pPr>
      <w:r>
        <w:t>To verify that the dynamic assimilation technique matched patterns expected from traditional steady-state CO</w:t>
      </w:r>
      <w:r>
        <w:rPr>
          <w:vertAlign w:val="subscript"/>
        </w:rPr>
        <w:t>2</w:t>
      </w:r>
      <w:r>
        <w:t xml:space="preserve"> response curves, we </w:t>
      </w:r>
      <w:r w:rsidR="00FD7556">
        <w:t>randomly collected paired CO</w:t>
      </w:r>
      <w:r w:rsidR="00FD7556">
        <w:rPr>
          <w:vertAlign w:val="subscript"/>
        </w:rPr>
        <w:t>2</w:t>
      </w:r>
      <w:r w:rsidR="00FD7556">
        <w:t xml:space="preserve"> response curves for each week of gas exchange measurements. </w:t>
      </w:r>
      <w:r w:rsidR="00816C54">
        <w:t>We targeted paired measurements for the 0 ppm N, 210 ppm N, and 630 ppm N treatments within each unique CO</w:t>
      </w:r>
      <w:r w:rsidR="00816C54">
        <w:rPr>
          <w:vertAlign w:val="subscript"/>
        </w:rPr>
        <w:t>2</w:t>
      </w:r>
      <w:r w:rsidR="00816C54">
        <w:t xml:space="preserve"> x inoculation treatment combination for a total of 12 paired response curves each week.</w:t>
      </w:r>
      <w:r w:rsidR="005A591B">
        <w:t xml:space="preserve"> Paired response curves were collected by first conducting the split dynamic response curve explained in the previous paragraph. The leaf was then unclamped and placed back into its growth chamber </w:t>
      </w:r>
      <w:r w:rsidR="002E2834">
        <w:t>for 30 minutes to allow the leaf to return to its growing conditions. After 30 minutes, the same leaf was then reattached to the LI-6800 and allowed to stabilize to chamber conditions. We then conducted a steady state CO</w:t>
      </w:r>
      <w:r w:rsidR="002E2834">
        <w:rPr>
          <w:vertAlign w:val="subscript"/>
        </w:rPr>
        <w:t>2</w:t>
      </w:r>
      <w:r w:rsidR="002E2834">
        <w:t xml:space="preserve"> response curve to</w:t>
      </w:r>
      <w:r w:rsidR="002E2834">
        <w:t xml:space="preserve"> measure </w:t>
      </w:r>
      <w:proofErr w:type="spellStart"/>
      <w:r w:rsidR="002E2834" w:rsidRPr="00DB6582">
        <w:rPr>
          <w:i/>
          <w:iCs/>
          <w:color w:val="000000"/>
        </w:rPr>
        <w:t>A</w:t>
      </w:r>
      <w:r w:rsidR="002E2834">
        <w:rPr>
          <w:color w:val="000000"/>
          <w:vertAlign w:val="subscript"/>
        </w:rPr>
        <w:t>net</w:t>
      </w:r>
      <w:proofErr w:type="spellEnd"/>
      <w:r w:rsidR="002E2834">
        <w:rPr>
          <w:color w:val="000000"/>
        </w:rPr>
        <w:t>,</w:t>
      </w:r>
      <w:r w:rsidR="002E2834" w:rsidRPr="003E0112">
        <w:rPr>
          <w:i/>
          <w:iCs/>
          <w:color w:val="000000"/>
        </w:rPr>
        <w:t xml:space="preserve"> </w:t>
      </w:r>
      <w:proofErr w:type="spellStart"/>
      <w:r w:rsidR="002E2834" w:rsidRPr="003E0112">
        <w:rPr>
          <w:i/>
          <w:iCs/>
          <w:color w:val="000000"/>
        </w:rPr>
        <w:t>g</w:t>
      </w:r>
      <w:r w:rsidR="002E2834" w:rsidRPr="00C33C74">
        <w:rPr>
          <w:color w:val="000000"/>
          <w:vertAlign w:val="subscript"/>
        </w:rPr>
        <w:t>s</w:t>
      </w:r>
      <w:proofErr w:type="spellEnd"/>
      <w:r w:rsidR="002E2834">
        <w:rPr>
          <w:color w:val="000000"/>
        </w:rPr>
        <w:t xml:space="preserve">, and </w:t>
      </w:r>
      <w:r w:rsidR="002E2834" w:rsidRPr="00F848A9">
        <w:rPr>
          <w:i/>
          <w:iCs/>
          <w:color w:val="000000"/>
        </w:rPr>
        <w:t>C</w:t>
      </w:r>
      <w:r w:rsidR="002E2834" w:rsidRPr="00275258">
        <w:rPr>
          <w:color w:val="000000"/>
          <w:vertAlign w:val="subscript"/>
        </w:rPr>
        <w:t>i</w:t>
      </w:r>
      <w:r w:rsidR="002E2834">
        <w:rPr>
          <w:color w:val="000000"/>
        </w:rPr>
        <w:t xml:space="preserve"> at the following reference CO</w:t>
      </w:r>
      <w:r w:rsidR="002E2834">
        <w:rPr>
          <w:color w:val="000000"/>
          <w:vertAlign w:val="subscript"/>
        </w:rPr>
        <w:t>2</w:t>
      </w:r>
      <w:r w:rsidR="002E2834">
        <w:rPr>
          <w:color w:val="000000"/>
        </w:rPr>
        <w:t xml:space="preserve"> concentrations </w:t>
      </w:r>
      <w:r w:rsidR="002E2834" w:rsidRPr="00863849">
        <w:rPr>
          <w:color w:val="000000"/>
        </w:rPr>
        <w:t>(</w:t>
      </w:r>
      <w:r w:rsidR="002E2834" w:rsidRPr="00F848A9">
        <w:rPr>
          <w:i/>
          <w:iCs/>
          <w:color w:val="000000"/>
        </w:rPr>
        <w:t>C</w:t>
      </w:r>
      <w:r w:rsidR="002E2834">
        <w:rPr>
          <w:color w:val="000000"/>
          <w:vertAlign w:val="subscript"/>
        </w:rPr>
        <w:t>a</w:t>
      </w:r>
      <w:r w:rsidR="002E2834">
        <w:rPr>
          <w:color w:val="000000"/>
        </w:rPr>
        <w:t xml:space="preserve">; </w:t>
      </w:r>
      <w:r w:rsidR="002E2834" w:rsidRPr="00863849">
        <w:rPr>
          <w:color w:val="000000"/>
          <w:lang w:val="el-GR"/>
        </w:rPr>
        <w:t>μ</w:t>
      </w:r>
      <w:r w:rsidR="002E2834" w:rsidRPr="00863849">
        <w:rPr>
          <w:color w:val="000000"/>
        </w:rPr>
        <w:t>mol mol</w:t>
      </w:r>
      <w:r w:rsidR="002E2834" w:rsidRPr="00863849">
        <w:rPr>
          <w:color w:val="000000"/>
          <w:vertAlign w:val="superscript"/>
        </w:rPr>
        <w:t>-1</w:t>
      </w:r>
      <w:r w:rsidR="002E2834" w:rsidRPr="00863849">
        <w:rPr>
          <w:color w:val="000000"/>
        </w:rPr>
        <w:t>): 4</w:t>
      </w:r>
      <w:r w:rsidR="002E2834">
        <w:rPr>
          <w:color w:val="000000"/>
        </w:rPr>
        <w:t>2</w:t>
      </w:r>
      <w:r w:rsidR="002E2834" w:rsidRPr="00863849">
        <w:rPr>
          <w:color w:val="000000"/>
        </w:rPr>
        <w:t>0,</w:t>
      </w:r>
      <w:r w:rsidR="002E2834">
        <w:rPr>
          <w:color w:val="000000"/>
        </w:rPr>
        <w:t xml:space="preserve"> 3</w:t>
      </w:r>
      <w:r w:rsidR="002E2834">
        <w:rPr>
          <w:color w:val="000000"/>
        </w:rPr>
        <w:t>2</w:t>
      </w:r>
      <w:r w:rsidR="002E2834">
        <w:rPr>
          <w:color w:val="000000"/>
        </w:rPr>
        <w:t>0, 2</w:t>
      </w:r>
      <w:r w:rsidR="002E2834">
        <w:rPr>
          <w:color w:val="000000"/>
        </w:rPr>
        <w:t>2</w:t>
      </w:r>
      <w:r w:rsidR="002E2834">
        <w:rPr>
          <w:color w:val="000000"/>
        </w:rPr>
        <w:t>0, 1</w:t>
      </w:r>
      <w:r w:rsidR="002E2834">
        <w:rPr>
          <w:color w:val="000000"/>
        </w:rPr>
        <w:t>2</w:t>
      </w:r>
      <w:r w:rsidR="002E2834">
        <w:rPr>
          <w:color w:val="000000"/>
        </w:rPr>
        <w:t>0</w:t>
      </w:r>
      <w:r w:rsidR="002E2834">
        <w:rPr>
          <w:color w:val="000000"/>
        </w:rPr>
        <w:t>,</w:t>
      </w:r>
      <w:r w:rsidR="002E2834" w:rsidRPr="00863849">
        <w:rPr>
          <w:color w:val="000000"/>
        </w:rPr>
        <w:t xml:space="preserve"> </w:t>
      </w:r>
      <w:r w:rsidR="002E2834">
        <w:rPr>
          <w:color w:val="000000"/>
        </w:rPr>
        <w:t>7</w:t>
      </w:r>
      <w:r w:rsidR="002E2834" w:rsidRPr="00863849">
        <w:rPr>
          <w:color w:val="000000"/>
        </w:rPr>
        <w:t>0, 4</w:t>
      </w:r>
      <w:r w:rsidR="002E2834">
        <w:rPr>
          <w:color w:val="000000"/>
        </w:rPr>
        <w:t>2</w:t>
      </w:r>
      <w:r w:rsidR="002E2834" w:rsidRPr="00863849">
        <w:rPr>
          <w:color w:val="000000"/>
        </w:rPr>
        <w:t>0, 4</w:t>
      </w:r>
      <w:r w:rsidR="002E2834">
        <w:rPr>
          <w:color w:val="000000"/>
        </w:rPr>
        <w:t>2</w:t>
      </w:r>
      <w:r w:rsidR="002E2834" w:rsidRPr="00863849">
        <w:rPr>
          <w:color w:val="000000"/>
        </w:rPr>
        <w:t>0, 6</w:t>
      </w:r>
      <w:r w:rsidR="002E2834">
        <w:rPr>
          <w:color w:val="000000"/>
        </w:rPr>
        <w:t>2</w:t>
      </w:r>
      <w:r w:rsidR="002E2834" w:rsidRPr="00863849">
        <w:rPr>
          <w:color w:val="000000"/>
        </w:rPr>
        <w:t>0, 8</w:t>
      </w:r>
      <w:r w:rsidR="002E2834">
        <w:rPr>
          <w:color w:val="000000"/>
        </w:rPr>
        <w:t>2</w:t>
      </w:r>
      <w:r w:rsidR="002E2834" w:rsidRPr="00863849">
        <w:rPr>
          <w:color w:val="000000"/>
        </w:rPr>
        <w:t>0, 1</w:t>
      </w:r>
      <w:r w:rsidR="002E2834">
        <w:rPr>
          <w:color w:val="000000"/>
        </w:rPr>
        <w:t>02</w:t>
      </w:r>
      <w:r w:rsidR="002E2834" w:rsidRPr="00863849">
        <w:rPr>
          <w:color w:val="000000"/>
        </w:rPr>
        <w:t>0, 12</w:t>
      </w:r>
      <w:r w:rsidR="002E2834">
        <w:rPr>
          <w:color w:val="000000"/>
        </w:rPr>
        <w:t>2</w:t>
      </w:r>
      <w:r w:rsidR="002E2834" w:rsidRPr="00863849">
        <w:rPr>
          <w:color w:val="000000"/>
        </w:rPr>
        <w:t>0,</w:t>
      </w:r>
      <w:r w:rsidR="002E2834">
        <w:rPr>
          <w:color w:val="000000"/>
        </w:rPr>
        <w:t xml:space="preserve"> and</w:t>
      </w:r>
      <w:r w:rsidR="002E2834" w:rsidRPr="00863849">
        <w:rPr>
          <w:color w:val="000000"/>
        </w:rPr>
        <w:t xml:space="preserve"> 1</w:t>
      </w:r>
      <w:r w:rsidR="002E2834">
        <w:rPr>
          <w:color w:val="000000"/>
        </w:rPr>
        <w:t>62</w:t>
      </w:r>
      <w:r w:rsidR="002E2834" w:rsidRPr="00863849">
        <w:rPr>
          <w:color w:val="000000"/>
        </w:rPr>
        <w:t>0</w:t>
      </w:r>
      <w:r w:rsidR="002E2834">
        <w:rPr>
          <w:color w:val="000000"/>
        </w:rPr>
        <w:t>.</w:t>
      </w:r>
      <w:r w:rsidR="00E06DE0">
        <w:rPr>
          <w:color w:val="000000"/>
        </w:rPr>
        <w:t xml:space="preserve"> Steady state response curves were measured using the save cuvette conditions as the dynamic response curves and survey measurements. Importantly, we observed no apparent bias in steady state or dynamic assimilation response curves, confirmed both visually and through curve fitting. These results are included in the supplemental information (</w:t>
      </w:r>
      <w:r w:rsidR="00E06DE0" w:rsidRPr="00E06DE0">
        <w:rPr>
          <w:color w:val="000000"/>
          <w:highlight w:val="yellow"/>
        </w:rPr>
        <w:t>Table S2; Fig. S1</w:t>
      </w:r>
      <w:r w:rsidR="00E06DE0">
        <w:rPr>
          <w:color w:val="000000"/>
        </w:rPr>
        <w:t>)</w:t>
      </w:r>
    </w:p>
    <w:p w14:paraId="0CCB1BF3" w14:textId="6F916995" w:rsidR="00E06DE0" w:rsidRPr="00E06DE0" w:rsidRDefault="00E06DE0" w:rsidP="00E06DE0">
      <w:pPr>
        <w:spacing w:line="480" w:lineRule="auto"/>
        <w:rPr>
          <w:color w:val="000000"/>
        </w:rPr>
      </w:pPr>
      <w:r>
        <w:rPr>
          <w:color w:val="000000"/>
        </w:rPr>
        <w:tab/>
        <w:t xml:space="preserve">Following survey and response curve measurements, we subjected individuals to at least a 30-minute period of no light and quantified dark </w:t>
      </w:r>
      <w:r>
        <w:rPr>
          <w:color w:val="000000"/>
        </w:rPr>
        <w:t>respiration (</w:t>
      </w:r>
      <w:r>
        <w:rPr>
          <w:i/>
          <w:iCs/>
          <w:color w:val="000000"/>
        </w:rPr>
        <w:t>R</w:t>
      </w:r>
      <w:r>
        <w:rPr>
          <w:color w:val="000000"/>
          <w:vertAlign w:val="subscript"/>
        </w:rPr>
        <w:t>d</w:t>
      </w:r>
      <w:r>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Pr>
          <w:color w:val="000000"/>
        </w:rPr>
        <w:t xml:space="preserve">), again using a </w:t>
      </w:r>
      <w:r w:rsidRPr="00863849">
        <w:rPr>
          <w:color w:val="000000"/>
        </w:rPr>
        <w:lastRenderedPageBreak/>
        <w:t>Li-COR LI-6800</w:t>
      </w:r>
      <w:r>
        <w:rPr>
          <w:color w:val="000000"/>
        </w:rPr>
        <w:t xml:space="preserve"> with</w:t>
      </w:r>
      <w:r>
        <w:rPr>
          <w:color w:val="000000"/>
        </w:rPr>
        <w:t xml:space="preserve"> the cuvette </w:t>
      </w:r>
      <w:r>
        <w:rPr>
          <w:color w:val="000000"/>
        </w:rPr>
        <w:t>reference CO</w:t>
      </w:r>
      <w:r>
        <w:rPr>
          <w:color w:val="000000"/>
          <w:vertAlign w:val="subscript"/>
        </w:rPr>
        <w:t>2</w:t>
      </w:r>
      <w:r>
        <w:rPr>
          <w:color w:val="000000"/>
        </w:rPr>
        <w:t xml:space="preserve"> set to 420 </w:t>
      </w:r>
      <w:r w:rsidRPr="00863849">
        <w:rPr>
          <w:color w:val="000000"/>
          <w:lang w:val="el-GR"/>
        </w:rPr>
        <w:t>μ</w:t>
      </w:r>
      <w:r w:rsidRPr="00863849">
        <w:rPr>
          <w:color w:val="000000"/>
        </w:rPr>
        <w:t>mol mol</w:t>
      </w:r>
      <w:r w:rsidRPr="00863849">
        <w:rPr>
          <w:color w:val="000000"/>
          <w:vertAlign w:val="superscript"/>
        </w:rPr>
        <w:t>-1</w:t>
      </w:r>
      <w:r>
        <w:rPr>
          <w:color w:val="000000"/>
        </w:rPr>
        <w:t xml:space="preserve">, relative humidity </w:t>
      </w:r>
      <w:r>
        <w:rPr>
          <w:color w:val="000000"/>
        </w:rPr>
        <w:t xml:space="preserve">set to </w:t>
      </w:r>
      <w:r>
        <w:rPr>
          <w:color w:val="000000"/>
        </w:rPr>
        <w:t>50%, cuvette temperature set to 25</w:t>
      </w:r>
      <w:r>
        <w:sym w:font="Symbol" w:char="F0B0"/>
      </w:r>
      <w:r>
        <w:t xml:space="preserve">C, and incoming light radiation was set to 0 </w:t>
      </w:r>
      <w:r>
        <w:rPr>
          <w:lang w:val="el-GR"/>
        </w:rPr>
        <w:t>μ</w:t>
      </w:r>
      <w:r>
        <w:t>mol m</w:t>
      </w:r>
      <w:r>
        <w:rPr>
          <w:vertAlign w:val="superscript"/>
        </w:rPr>
        <w:t>-2</w:t>
      </w:r>
      <w:r>
        <w:t xml:space="preserve"> s</w:t>
      </w:r>
      <w:r>
        <w:rPr>
          <w:vertAlign w:val="superscript"/>
        </w:rPr>
        <w:t>-1</w:t>
      </w:r>
      <w:r>
        <w:t>.</w:t>
      </w:r>
    </w:p>
    <w:p w14:paraId="29BE7AB2" w14:textId="3D454555" w:rsidR="009D6030" w:rsidRDefault="009D6030" w:rsidP="00F42BEB">
      <w:pPr>
        <w:spacing w:line="480" w:lineRule="auto"/>
      </w:pPr>
    </w:p>
    <w:p w14:paraId="2581937D" w14:textId="13D74AA3" w:rsidR="002034D4" w:rsidRDefault="002034D4" w:rsidP="00F42BEB">
      <w:pPr>
        <w:spacing w:line="480" w:lineRule="auto"/>
      </w:pPr>
      <w:r>
        <w:rPr>
          <w:i/>
          <w:iCs/>
        </w:rPr>
        <w:t>Leaf trait measurements</w:t>
      </w:r>
    </w:p>
    <w:p w14:paraId="3BB966E6" w14:textId="5A88F1CF" w:rsidR="002034D4" w:rsidRDefault="002034D4" w:rsidP="002034D4">
      <w:pPr>
        <w:autoSpaceDE w:val="0"/>
        <w:autoSpaceDN w:val="0"/>
        <w:adjustRightInd w:val="0"/>
        <w:spacing w:line="480" w:lineRule="auto"/>
        <w:ind w:firstLine="720"/>
        <w:rPr>
          <w:color w:val="000000"/>
        </w:rPr>
      </w:pPr>
      <w:r>
        <w:t>On the final week of the experiment, leaf trait measurements were collected on the same focal leaf used to generate dynamic CO</w:t>
      </w:r>
      <w:r>
        <w:rPr>
          <w:vertAlign w:val="subscript"/>
        </w:rPr>
        <w:t>2</w:t>
      </w:r>
      <w:r>
        <w:t xml:space="preserve"> response curves. </w:t>
      </w:r>
      <w:r w:rsidRPr="00863849">
        <w:rPr>
          <w:color w:val="000000"/>
        </w:rPr>
        <w:t>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w:t>
      </w:r>
      <w:r>
        <w:rPr>
          <w:color w:val="000000"/>
        </w:rPr>
        <w:t xml:space="preserve"> and subsequently</w:t>
      </w:r>
      <w:r w:rsidRPr="00863849">
        <w:rPr>
          <w:color w:val="000000"/>
        </w:rPr>
        <w:t xml:space="preserve"> weighed and ground until homogenized. Specific leaf area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Pr>
          <w:color w:val="000000"/>
        </w:rPr>
        <w:t xml:space="preserve"> </w:t>
      </w:r>
      <w:r w:rsidRPr="00863849">
        <w:rPr>
          <w:color w:val="000000"/>
        </w:rPr>
        <w:t>to dry leaf biomass</w:t>
      </w:r>
      <w:r>
        <w:rPr>
          <w:color w:val="000000"/>
        </w:rPr>
        <w:t>.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Inc., Valencia, CA, USA)</w:t>
      </w:r>
      <w:r>
        <w:rPr>
          <w:color w:val="000000"/>
        </w:rPr>
        <w:t xml:space="preserve">, and sent samples to the University of California-Davis Stable Isotope Facility to determine leaf </w:t>
      </w:r>
      <w:r>
        <w:rPr>
          <w:color w:val="000000"/>
          <w:lang w:val="el-GR"/>
        </w:rPr>
        <w:t>δ</w:t>
      </w:r>
      <w:r>
        <w:rPr>
          <w:color w:val="000000"/>
          <w:vertAlign w:val="superscript"/>
        </w:rPr>
        <w:t>13</w:t>
      </w:r>
      <w:r>
        <w:rPr>
          <w:color w:val="000000"/>
        </w:rPr>
        <w:t>C</w:t>
      </w:r>
      <w:r w:rsidR="00BA3A8F">
        <w:rPr>
          <w:color w:val="000000"/>
        </w:rPr>
        <w:t xml:space="preserve"> and </w:t>
      </w:r>
      <w:r w:rsidR="00BA3A8F">
        <w:rPr>
          <w:color w:val="000000"/>
          <w:lang w:val="el-GR"/>
        </w:rPr>
        <w:t>δ</w:t>
      </w:r>
      <w:r w:rsidR="00BA3A8F">
        <w:rPr>
          <w:color w:val="000000"/>
          <w:vertAlign w:val="superscript"/>
        </w:rPr>
        <w:t>15</w:t>
      </w:r>
      <w:r w:rsidR="00BA3A8F">
        <w:rPr>
          <w:color w:val="000000"/>
        </w:rPr>
        <w:t>N</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Pr>
          <w:iCs/>
          <w:color w:val="000000"/>
        </w:rPr>
        <w:t>specific leaf area,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65137E37" w14:textId="307879C2" w:rsidR="00BA3A8F" w:rsidRDefault="00BA3A8F" w:rsidP="00BA3A8F">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071AB017" w14:textId="77777777" w:rsidR="00BA3A8F" w:rsidRDefault="00BA3A8F" w:rsidP="00BA3A8F">
      <w:pPr>
        <w:autoSpaceDE w:val="0"/>
        <w:autoSpaceDN w:val="0"/>
        <w:adjustRightInd w:val="0"/>
        <w:spacing w:line="480" w:lineRule="auto"/>
        <w:ind w:firstLine="720"/>
        <w:rPr>
          <w:color w:val="000000"/>
        </w:rPr>
      </w:pPr>
    </w:p>
    <w:p w14:paraId="25E223EB" w14:textId="77777777" w:rsidR="00BA3A8F" w:rsidRDefault="00BA3A8F" w:rsidP="00BA3A8F">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6F88C5BC" w14:textId="77777777" w:rsidR="00BA3A8F" w:rsidRPr="00A54DE5" w:rsidRDefault="00BA3A8F" w:rsidP="00BA3A8F">
      <w:pPr>
        <w:autoSpaceDE w:val="0"/>
        <w:autoSpaceDN w:val="0"/>
        <w:adjustRightInd w:val="0"/>
        <w:spacing w:line="480" w:lineRule="auto"/>
        <w:rPr>
          <w:color w:val="000000"/>
        </w:rPr>
      </w:pPr>
    </w:p>
    <w:p w14:paraId="6D16B58E" w14:textId="77777777" w:rsidR="00BA3A8F" w:rsidRDefault="00BA3A8F" w:rsidP="00BA3A8F">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1B3FF6F5" w14:textId="77777777" w:rsidR="00BA3A8F" w:rsidRDefault="00BA3A8F" w:rsidP="00BA3A8F">
      <w:pPr>
        <w:autoSpaceDE w:val="0"/>
        <w:autoSpaceDN w:val="0"/>
        <w:adjustRightInd w:val="0"/>
        <w:spacing w:line="480" w:lineRule="auto"/>
        <w:rPr>
          <w:color w:val="000000"/>
        </w:rPr>
      </w:pPr>
    </w:p>
    <w:p w14:paraId="7FF1DDE8" w14:textId="77777777" w:rsidR="00BA3A8F" w:rsidRDefault="00BA3A8F" w:rsidP="00BA3A8F">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Pr>
          <w:iCs/>
          <w:color w:val="000000"/>
        </w:rPr>
        <w:t>(Eqn. 2)</w:t>
      </w:r>
    </w:p>
    <w:p w14:paraId="7CDB035D" w14:textId="77777777" w:rsidR="00BA3A8F" w:rsidRDefault="00BA3A8F" w:rsidP="00BA3A8F">
      <w:pPr>
        <w:autoSpaceDE w:val="0"/>
        <w:autoSpaceDN w:val="0"/>
        <w:adjustRightInd w:val="0"/>
        <w:spacing w:line="480" w:lineRule="auto"/>
        <w:rPr>
          <w:color w:val="000000"/>
        </w:rPr>
      </w:pPr>
    </w:p>
    <w:p w14:paraId="52B1825E" w14:textId="6B28D811" w:rsidR="00BA3A8F" w:rsidRDefault="00BA3A8F" w:rsidP="00BA3A8F">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45570FBA" w14:textId="64D98A8F" w:rsidR="002034D4" w:rsidRDefault="002034D4" w:rsidP="00F42BEB">
      <w:pPr>
        <w:spacing w:line="480" w:lineRule="auto"/>
      </w:pPr>
    </w:p>
    <w:p w14:paraId="50AF4FD3" w14:textId="77777777" w:rsidR="00BA3A8F" w:rsidRPr="00863849" w:rsidRDefault="00BA3A8F" w:rsidP="0091040E">
      <w:pPr>
        <w:spacing w:line="480" w:lineRule="auto"/>
        <w:rPr>
          <w:i/>
          <w:iCs/>
          <w:color w:val="000000"/>
        </w:rPr>
      </w:pPr>
      <w:r w:rsidRPr="00DB6582">
        <w:rPr>
          <w:i/>
          <w:iCs/>
          <w:color w:val="000000"/>
        </w:rPr>
        <w:t>A</w:t>
      </w:r>
      <w:r w:rsidRPr="006337C2">
        <w:rPr>
          <w:color w:val="000000"/>
        </w:rPr>
        <w:t>/</w:t>
      </w:r>
      <w:r w:rsidRPr="00DB6582">
        <w:rPr>
          <w:i/>
          <w:iCs/>
          <w:color w:val="000000"/>
        </w:rPr>
        <w:t>C</w:t>
      </w:r>
      <w:r w:rsidRPr="00242E06">
        <w:rPr>
          <w:color w:val="000000"/>
          <w:vertAlign w:val="subscript"/>
        </w:rPr>
        <w:t>i</w:t>
      </w:r>
      <w:r w:rsidRPr="00B4175E" w:rsidDel="001E1D90">
        <w:rPr>
          <w:i/>
          <w:iCs/>
          <w:color w:val="000000"/>
        </w:rPr>
        <w:t xml:space="preserve"> </w:t>
      </w:r>
      <w:r>
        <w:rPr>
          <w:i/>
          <w:iCs/>
          <w:color w:val="000000"/>
        </w:rPr>
        <w:t>curve-fitting and parameter estimation</w:t>
      </w:r>
    </w:p>
    <w:p w14:paraId="546B2516" w14:textId="01DA30F7" w:rsidR="0091040E" w:rsidRDefault="00BA3A8F" w:rsidP="0091040E">
      <w:pPr>
        <w:spacing w:line="480" w:lineRule="auto"/>
        <w:ind w:firstLine="720"/>
        <w:rPr>
          <w:color w:val="000000"/>
        </w:rPr>
      </w:pPr>
      <w:r>
        <w:rPr>
          <w:color w:val="000000"/>
        </w:rPr>
        <w:t xml:space="preserve">We fit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w:t>
      </w:r>
      <w:r>
        <w:rPr>
          <w:color w:val="000000"/>
        </w:rPr>
        <w:t xml:space="preserve"> using a custom-built function in R that estimates the maximum rate of Rubisco carboxylation</w:t>
      </w:r>
      <w:r w:rsidRPr="00863849">
        <w:rPr>
          <w:color w:val="000000"/>
        </w:rPr>
        <w:t xml:space="preserve">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w:t>
      </w:r>
      <w:r>
        <w:rPr>
          <w:color w:val="000000"/>
        </w:rPr>
        <w:t xml:space="preserve"> equations in</w:t>
      </w:r>
      <w:r w:rsidRPr="00863849">
        <w:rPr>
          <w:color w:val="000000"/>
        </w:rPr>
        <w:t xml:space="preserve">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6344D3">
        <w:rPr>
          <w:noProof/>
          <w:color w:val="000000"/>
        </w:rPr>
        <w:t>(Farquhar et al., 1980)</w:t>
      </w:r>
      <w:r>
        <w:rPr>
          <w:color w:val="000000"/>
        </w:rPr>
        <w:fldChar w:fldCharType="end"/>
      </w:r>
      <w:r w:rsidRPr="00863849">
        <w:rPr>
          <w:color w:val="000000"/>
        </w:rPr>
        <w:t>.</w:t>
      </w:r>
      <w:r>
        <w:rPr>
          <w:color w:val="000000"/>
        </w:rPr>
        <w:t xml:space="preserve"> For each curve fit, we </w:t>
      </w:r>
      <w:r>
        <w:rPr>
          <w:color w:val="000000"/>
        </w:rPr>
        <w:t>removed points along the curve that we visually inferred as TPU limited points</w:t>
      </w:r>
      <w:r>
        <w:t xml:space="preserve">. </w:t>
      </w:r>
      <w:r>
        <w:t>Kinetic parameters and CO</w:t>
      </w:r>
      <w:r>
        <w:rPr>
          <w:vertAlign w:val="subscript"/>
        </w:rPr>
        <w:t>2</w:t>
      </w:r>
      <w:r>
        <w:t xml:space="preserve"> compensation points were estimated using leaf temperature and equations derived in </w:t>
      </w:r>
      <w:r>
        <w:fldChar w:fldCharType="begin" w:fldLock="1"/>
      </w:r>
      <w:r w:rsidR="007B67A6">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fldChar w:fldCharType="separate"/>
      </w:r>
      <w:r w:rsidRPr="00BA3A8F">
        <w:rPr>
          <w:noProof/>
        </w:rPr>
        <w:t xml:space="preserve">Bernacchi et al. </w:t>
      </w:r>
      <w:r>
        <w:rPr>
          <w:noProof/>
        </w:rPr>
        <w:t>(</w:t>
      </w:r>
      <w:r w:rsidRPr="00BA3A8F">
        <w:rPr>
          <w:noProof/>
        </w:rPr>
        <w:t>2001)</w:t>
      </w:r>
      <w:r>
        <w:fldChar w:fldCharType="end"/>
      </w:r>
      <w:r>
        <w:t xml:space="preserve"> and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31233C">
        <w:rPr>
          <w:noProof/>
        </w:rPr>
        <w:t xml:space="preserve">Medlyn et al. </w:t>
      </w:r>
      <w:r>
        <w:rPr>
          <w:noProof/>
        </w:rPr>
        <w:t>(</w:t>
      </w:r>
      <w:r w:rsidRPr="0031233C">
        <w:rPr>
          <w:noProof/>
        </w:rPr>
        <w:t>2002)</w:t>
      </w:r>
      <w:r>
        <w:fldChar w:fldCharType="end"/>
      </w:r>
      <w:r>
        <w:t xml:space="preserve">. </w:t>
      </w:r>
      <w:r>
        <w:t xml:space="preserve">We also included dark respiration survey measurements in our curve fits, which </w:t>
      </w:r>
      <w:r w:rsidR="0091040E">
        <w:t xml:space="preserve">optimized Rubisco-limited photosynthesis and electron transport limited photosynthesis fits. Because dark respiration measurements were conducted at different leaf temperatures due to reduced incoming light radiation, we standardized dark respiration measurements to the average temperature of each </w:t>
      </w:r>
      <w:r w:rsidR="0091040E">
        <w:lastRenderedPageBreak/>
        <w:t>respective dynamic CO</w:t>
      </w:r>
      <w:r w:rsidR="0091040E">
        <w:rPr>
          <w:vertAlign w:val="subscript"/>
        </w:rPr>
        <w:t xml:space="preserve">2 </w:t>
      </w:r>
      <w:r w:rsidR="0091040E">
        <w:t xml:space="preserve">response curve following the </w:t>
      </w:r>
      <w:r w:rsidR="0091040E">
        <w:rPr>
          <w:color w:val="000000"/>
        </w:rPr>
        <w:t xml:space="preserve">using a log-polynomial approach explained in </w:t>
      </w:r>
      <w:r w:rsidR="0091040E">
        <w:rPr>
          <w:color w:val="000000"/>
        </w:rPr>
        <w:fldChar w:fldCharType="begin" w:fldLock="1"/>
      </w:r>
      <w:r w:rsidR="0091040E">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sidR="0091040E">
        <w:rPr>
          <w:color w:val="000000"/>
        </w:rPr>
        <w:fldChar w:fldCharType="separate"/>
      </w:r>
      <w:r w:rsidR="0091040E" w:rsidRPr="00166B47">
        <w:rPr>
          <w:noProof/>
          <w:color w:val="000000"/>
        </w:rPr>
        <w:t xml:space="preserve">Heskel </w:t>
      </w:r>
      <w:r w:rsidR="0091040E" w:rsidRPr="00166B47">
        <w:rPr>
          <w:i/>
          <w:noProof/>
          <w:color w:val="000000"/>
        </w:rPr>
        <w:t>et al.</w:t>
      </w:r>
      <w:r w:rsidR="0091040E">
        <w:rPr>
          <w:noProof/>
          <w:color w:val="000000"/>
        </w:rPr>
        <w:t xml:space="preserve"> (</w:t>
      </w:r>
      <w:r w:rsidR="0091040E" w:rsidRPr="00166B47">
        <w:rPr>
          <w:noProof/>
          <w:color w:val="000000"/>
        </w:rPr>
        <w:t>2016)</w:t>
      </w:r>
      <w:r w:rsidR="0091040E">
        <w:rPr>
          <w:color w:val="000000"/>
        </w:rPr>
        <w:fldChar w:fldCharType="end"/>
      </w:r>
      <w:r w:rsidR="0091040E">
        <w:rPr>
          <w:color w:val="000000"/>
        </w:rPr>
        <w:t>, where:</w:t>
      </w:r>
    </w:p>
    <w:p w14:paraId="2D7AAD29" w14:textId="77777777" w:rsidR="0091040E" w:rsidRDefault="0091040E" w:rsidP="0091040E">
      <w:pPr>
        <w:spacing w:line="480" w:lineRule="auto"/>
        <w:ind w:firstLine="720"/>
        <w:rPr>
          <w:color w:val="000000"/>
        </w:rPr>
      </w:pPr>
    </w:p>
    <w:p w14:paraId="5651D483" w14:textId="3FE6D7FF" w:rsidR="0091040E" w:rsidRPr="00A46FE6" w:rsidRDefault="0091040E" w:rsidP="0091040E">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(Eqn. </w:t>
      </w:r>
      <w:r w:rsidR="00247CFD">
        <w:rPr>
          <w:rFonts w:eastAsiaTheme="minorEastAsia"/>
          <w:color w:val="000000"/>
        </w:rPr>
        <w:t>3</w:t>
      </w:r>
      <w:r>
        <w:rPr>
          <w:rFonts w:eastAsiaTheme="minorEastAsia"/>
          <w:color w:val="000000"/>
        </w:rPr>
        <w:t>)</w:t>
      </w:r>
    </w:p>
    <w:p w14:paraId="1C527E88" w14:textId="77777777" w:rsidR="0091040E" w:rsidRPr="00A46FE6" w:rsidRDefault="0091040E" w:rsidP="0091040E">
      <w:pPr>
        <w:spacing w:line="360" w:lineRule="auto"/>
        <w:rPr>
          <w:color w:val="000000"/>
        </w:rPr>
      </w:pPr>
    </w:p>
    <w:p w14:paraId="474DB397" w14:textId="23CCF230" w:rsidR="00BA3A8F" w:rsidRPr="0091040E" w:rsidRDefault="0091040E" w:rsidP="0091040E">
      <w:pPr>
        <w:spacing w:line="480" w:lineRule="auto"/>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by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Pr="00CF0D09">
        <w:rPr>
          <w:color w:val="000000"/>
        </w:rPr>
        <w:t>-0.00110</w:t>
      </w:r>
      <w:r>
        <w:rPr>
          <w:color w:val="000000"/>
        </w:rPr>
        <w:t>.</w:t>
      </w:r>
    </w:p>
    <w:p w14:paraId="0F882DD9" w14:textId="3C45F7BE" w:rsidR="00BA3A8F" w:rsidRPr="00BA3A8F" w:rsidRDefault="0091040E" w:rsidP="0091040E">
      <w:pPr>
        <w:spacing w:line="480" w:lineRule="auto"/>
        <w:ind w:firstLine="720"/>
      </w:pPr>
      <w:r>
        <w:t>W</w:t>
      </w:r>
      <w:r w:rsidR="00BA3A8F">
        <w:t>e</w:t>
      </w:r>
      <w:r>
        <w:t xml:space="preserve"> then</w:t>
      </w:r>
      <w:r w:rsidR="00BA3A8F">
        <w:rPr>
          <w:color w:val="000000"/>
        </w:rPr>
        <w:t xml:space="preserve"> manually </w:t>
      </w:r>
      <w:r w:rsidR="00BA3A8F" w:rsidRPr="00863849">
        <w:rPr>
          <w:color w:val="000000"/>
        </w:rPr>
        <w:t xml:space="preserve">standardized </w:t>
      </w:r>
      <w:proofErr w:type="spellStart"/>
      <w:r w:rsidR="00BA3A8F" w:rsidRPr="00DB6582">
        <w:rPr>
          <w:i/>
          <w:iCs/>
          <w:color w:val="000000"/>
        </w:rPr>
        <w:t>V</w:t>
      </w:r>
      <w:r w:rsidR="00BA3A8F" w:rsidRPr="00275258">
        <w:rPr>
          <w:color w:val="000000"/>
          <w:vertAlign w:val="subscript"/>
        </w:rPr>
        <w:t>cmax</w:t>
      </w:r>
      <w:proofErr w:type="spellEnd"/>
      <w:r w:rsidR="00BA3A8F">
        <w:rPr>
          <w:color w:val="000000"/>
        </w:rPr>
        <w:t xml:space="preserve"> and </w:t>
      </w:r>
      <w:proofErr w:type="spellStart"/>
      <w:r w:rsidR="00BA3A8F" w:rsidRPr="00DB6582">
        <w:rPr>
          <w:i/>
          <w:iCs/>
        </w:rPr>
        <w:t>J</w:t>
      </w:r>
      <w:r w:rsidR="00BA3A8F" w:rsidRPr="00275258">
        <w:rPr>
          <w:vertAlign w:val="subscript"/>
        </w:rPr>
        <w:t>max</w:t>
      </w:r>
      <w:proofErr w:type="spellEnd"/>
      <w:r w:rsidR="00BA3A8F" w:rsidRPr="00863849">
        <w:rPr>
          <w:color w:val="000000"/>
        </w:rPr>
        <w:t xml:space="preserve"> to</w:t>
      </w:r>
      <w:r w:rsidR="00BA3A8F" w:rsidRPr="00863849">
        <w:rPr>
          <w:color w:val="000000"/>
          <w:vertAlign w:val="subscript"/>
        </w:rPr>
        <w:t xml:space="preserve"> </w:t>
      </w:r>
      <w:r w:rsidR="00BA3A8F" w:rsidRPr="00863849">
        <w:rPr>
          <w:color w:val="000000"/>
        </w:rPr>
        <w:t>25</w:t>
      </w:r>
      <w:r w:rsidR="00BA3A8F" w:rsidRPr="00863849">
        <w:rPr>
          <w:rFonts w:ascii="Symbol" w:eastAsia="Symbol" w:hAnsi="Symbol" w:cs="Symbol"/>
          <w:color w:val="000000"/>
        </w:rPr>
        <w:t></w:t>
      </w:r>
      <w:r w:rsidR="00BA3A8F" w:rsidRPr="00863849">
        <w:rPr>
          <w:color w:val="000000"/>
        </w:rPr>
        <w:t xml:space="preserve">C </w:t>
      </w:r>
      <w:r w:rsidR="00BA3A8F">
        <w:rPr>
          <w:color w:val="000000"/>
        </w:rPr>
        <w:t>u</w:t>
      </w:r>
      <w:r w:rsidR="00BA3A8F" w:rsidRPr="00863849">
        <w:rPr>
          <w:color w:val="000000"/>
        </w:rPr>
        <w:t xml:space="preserve">sing a modified Arrhenius equation </w:t>
      </w:r>
      <w:r w:rsidR="00BA3A8F">
        <w:rPr>
          <w:color w:val="000000"/>
        </w:rPr>
        <w:t xml:space="preserve">(as in </w:t>
      </w:r>
      <w:r w:rsidR="00BA3A8F" w:rsidRPr="00863849">
        <w:rPr>
          <w:color w:val="000000"/>
        </w:rPr>
        <w:fldChar w:fldCharType="begin" w:fldLock="1"/>
      </w:r>
      <w:r w:rsidR="00BA3A8F">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BA3A8F" w:rsidRPr="00863849">
        <w:rPr>
          <w:color w:val="000000"/>
        </w:rPr>
        <w:fldChar w:fldCharType="separate"/>
      </w:r>
      <w:r w:rsidR="00BA3A8F" w:rsidRPr="00863849">
        <w:rPr>
          <w:noProof/>
          <w:color w:val="000000"/>
        </w:rPr>
        <w:t>Kattge &amp; Knorr, 2007)</w:t>
      </w:r>
      <w:r w:rsidR="00BA3A8F" w:rsidRPr="00863849">
        <w:rPr>
          <w:color w:val="000000"/>
        </w:rPr>
        <w:fldChar w:fldCharType="end"/>
      </w:r>
      <w:r w:rsidR="00BA3A8F" w:rsidRPr="00863849">
        <w:rPr>
          <w:color w:val="000000"/>
        </w:rPr>
        <w:t>:</w:t>
      </w:r>
    </w:p>
    <w:p w14:paraId="7653A935" w14:textId="77777777" w:rsidR="00BA3A8F" w:rsidRPr="00504E71" w:rsidRDefault="00BA3A8F" w:rsidP="00BA3A8F">
      <w:pPr>
        <w:spacing w:line="480" w:lineRule="auto"/>
        <w:ind w:firstLine="720"/>
      </w:pPr>
    </w:p>
    <w:p w14:paraId="028F4C1F" w14:textId="14FFA23C" w:rsidR="00BA3A8F" w:rsidRDefault="00BA3A8F"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(Eqn. </w:t>
      </w:r>
      <w:r w:rsidR="00247CFD">
        <w:rPr>
          <w:color w:val="000000"/>
        </w:rPr>
        <w:t>4</w:t>
      </w:r>
      <w:r>
        <w:rPr>
          <w:color w:val="000000"/>
        </w:rPr>
        <w:t>)</w:t>
      </w:r>
    </w:p>
    <w:p w14:paraId="4E67EA19" w14:textId="77777777" w:rsidR="00BA3A8F" w:rsidRDefault="00BA3A8F" w:rsidP="00BA3A8F">
      <w:pPr>
        <w:tabs>
          <w:tab w:val="left" w:pos="593"/>
        </w:tabs>
        <w:autoSpaceDE w:val="0"/>
        <w:autoSpaceDN w:val="0"/>
        <w:adjustRightInd w:val="0"/>
        <w:spacing w:line="480" w:lineRule="auto"/>
        <w:rPr>
          <w:iCs/>
          <w:color w:val="000000"/>
        </w:rPr>
      </w:pPr>
    </w:p>
    <w:p w14:paraId="038C9AB4" w14:textId="6C2D5A8A" w:rsidR="00BA3A8F" w:rsidRPr="00863849" w:rsidRDefault="00BA3A8F" w:rsidP="00BA3A8F">
      <w:pPr>
        <w:tabs>
          <w:tab w:val="left" w:pos="593"/>
        </w:tabs>
        <w:autoSpaceDE w:val="0"/>
        <w:autoSpaceDN w:val="0"/>
        <w:adjustRightInd w:val="0"/>
        <w:spacing w:line="480" w:lineRule="auto"/>
        <w:rPr>
          <w:color w:val="000000"/>
        </w:rPr>
      </w:pP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275729">
        <w:rPr>
          <w:noProof/>
          <w:color w:val="000000"/>
        </w:rPr>
        <w:t>Medlyn et al.,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w:t>
      </w:r>
      <w:r>
        <w:rPr>
          <w:color w:val="000000"/>
        </w:rPr>
        <w:t>(</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w:t>
      </w:r>
      <w:r w:rsidRPr="00863849">
        <w:rPr>
          <w:color w:val="000000"/>
        </w:rPr>
        <w:t xml:space="preserve">and </w:t>
      </w:r>
      <w:r w:rsidRPr="00C33C74">
        <w:rPr>
          <w:i/>
          <w:iCs/>
          <w:color w:val="000000"/>
        </w:rPr>
        <w:t>T</w:t>
      </w:r>
      <w:r w:rsidRPr="00863849">
        <w:rPr>
          <w:color w:val="000000"/>
          <w:vertAlign w:val="subscript"/>
        </w:rPr>
        <w:t>obs</w:t>
      </w:r>
      <w:r w:rsidRPr="00863849">
        <w:rPr>
          <w:color w:val="000000"/>
        </w:rPr>
        <w:t xml:space="preserve"> represents the mean leaf </w:t>
      </w:r>
      <w:r w:rsidRPr="00863849">
        <w:rPr>
          <w:color w:val="000000"/>
        </w:rPr>
        <w:lastRenderedPageBreak/>
        <w:t>temperature (</w:t>
      </w:r>
      <w:r>
        <w:rPr>
          <w:color w:val="000000"/>
        </w:rPr>
        <w:t xml:space="preserve">in </w:t>
      </w:r>
      <w:r w:rsidRPr="00863849">
        <w:rPr>
          <w:color w:val="000000"/>
        </w:rPr>
        <w:t>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441798CC" w14:textId="77777777" w:rsidR="00BA3A8F" w:rsidRPr="00AA4F47" w:rsidRDefault="00BA3A8F" w:rsidP="00BA3A8F">
      <w:pPr>
        <w:tabs>
          <w:tab w:val="left" w:pos="593"/>
        </w:tabs>
        <w:autoSpaceDE w:val="0"/>
        <w:autoSpaceDN w:val="0"/>
        <w:adjustRightInd w:val="0"/>
        <w:spacing w:line="480" w:lineRule="auto"/>
        <w:rPr>
          <w:color w:val="000000"/>
        </w:rPr>
      </w:pPr>
    </w:p>
    <w:p w14:paraId="584DA6CB" w14:textId="400788AC" w:rsidR="00BA3A8F" w:rsidRDefault="00BA3A8F"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sidR="00247CFD">
        <w:rPr>
          <w:color w:val="000000"/>
        </w:rPr>
        <w:t>5</w:t>
      </w:r>
      <w:r>
        <w:rPr>
          <w:color w:val="000000"/>
        </w:rPr>
        <w:t>a</w:t>
      </w:r>
      <w:r w:rsidRPr="00863849">
        <w:rPr>
          <w:color w:val="000000"/>
        </w:rPr>
        <w:t>)</w:t>
      </w:r>
    </w:p>
    <w:p w14:paraId="3604AE09" w14:textId="77777777" w:rsidR="00BA3A8F" w:rsidRPr="00AA4F47" w:rsidRDefault="00BA3A8F" w:rsidP="00BA3A8F">
      <w:pPr>
        <w:tabs>
          <w:tab w:val="left" w:pos="593"/>
        </w:tabs>
        <w:autoSpaceDE w:val="0"/>
        <w:autoSpaceDN w:val="0"/>
        <w:adjustRightInd w:val="0"/>
        <w:spacing w:line="480" w:lineRule="auto"/>
        <w:rPr>
          <w:color w:val="000000"/>
        </w:rPr>
      </w:pPr>
      <w:r w:rsidRPr="00863849">
        <w:rPr>
          <w:color w:val="000000"/>
        </w:rPr>
        <w:t>and:</w:t>
      </w:r>
    </w:p>
    <w:p w14:paraId="6C956582" w14:textId="7E30CC7B" w:rsidR="00BA3A8F" w:rsidRDefault="00BA3A8F"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sidR="00247CFD">
        <w:rPr>
          <w:color w:val="000000"/>
        </w:rPr>
        <w:t>5</w:t>
      </w:r>
      <w:r>
        <w:rPr>
          <w:color w:val="000000"/>
        </w:rPr>
        <w:t>b</w:t>
      </w:r>
      <w:r w:rsidRPr="00863849">
        <w:rPr>
          <w:color w:val="000000"/>
        </w:rPr>
        <w:t>)</w:t>
      </w:r>
    </w:p>
    <w:p w14:paraId="3A642F0D" w14:textId="77777777" w:rsidR="00BA3A8F" w:rsidRDefault="00BA3A8F" w:rsidP="00BA3A8F">
      <w:pPr>
        <w:tabs>
          <w:tab w:val="left" w:pos="593"/>
        </w:tabs>
        <w:autoSpaceDE w:val="0"/>
        <w:autoSpaceDN w:val="0"/>
        <w:adjustRightInd w:val="0"/>
        <w:spacing w:line="480" w:lineRule="auto"/>
        <w:rPr>
          <w:color w:val="000000"/>
        </w:rPr>
      </w:pPr>
    </w:p>
    <w:p w14:paraId="306DE542" w14:textId="633E0A7D" w:rsidR="00BA3A8F" w:rsidRDefault="00BA3A8F" w:rsidP="00BA3A8F">
      <w:pPr>
        <w:tabs>
          <w:tab w:val="left" w:pos="593"/>
        </w:tabs>
        <w:autoSpaceDE w:val="0"/>
        <w:autoSpaceDN w:val="0"/>
        <w:adjustRightInd w:val="0"/>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2 and 3 based on mean daily</w:t>
      </w:r>
      <w:r>
        <w:rPr>
          <w:color w:val="000000"/>
        </w:rPr>
        <w:t xml:space="preserve"> (24-hour)</w:t>
      </w:r>
      <w:r w:rsidRPr="00863849">
        <w:rPr>
          <w:color w:val="000000"/>
        </w:rPr>
        <w:t xml:space="preserve"> air temperature of the 30 days leading up to the day of each </w:t>
      </w:r>
      <w:r>
        <w:rPr>
          <w:color w:val="000000"/>
        </w:rPr>
        <w:t>sample collection</w:t>
      </w:r>
      <w:r w:rsidRPr="00863849">
        <w:rPr>
          <w:color w:val="000000"/>
        </w:rPr>
        <w:t>. Temperature data were collected from a</w:t>
      </w:r>
      <w:r>
        <w:rPr>
          <w:color w:val="000000"/>
        </w:rPr>
        <w:t xml:space="preserve"> nearby</w:t>
      </w:r>
      <w:r w:rsidRPr="00863849">
        <w:rPr>
          <w:color w:val="000000"/>
        </w:rPr>
        <w:t xml:space="preserve"> weather station located on the Cornell University campus</w:t>
      </w:r>
      <w:r>
        <w:rPr>
          <w:color w:val="000000"/>
        </w:rPr>
        <w:t xml:space="preserve"> </w:t>
      </w:r>
      <w:r>
        <w:t>(42.449</w:t>
      </w:r>
      <w:r w:rsidRPr="00863849">
        <w:rPr>
          <w:rFonts w:ascii="Symbol" w:eastAsia="Symbol" w:hAnsi="Symbol" w:cs="Symbol"/>
          <w:color w:val="000000"/>
        </w:rPr>
        <w:t></w:t>
      </w:r>
      <w:r w:rsidRPr="00863849">
        <w:rPr>
          <w:color w:val="000000"/>
        </w:rPr>
        <w:t xml:space="preserve"> N, 76.</w:t>
      </w:r>
      <w:r>
        <w:rPr>
          <w:color w:val="000000"/>
        </w:rPr>
        <w:t>449</w:t>
      </w:r>
      <w:r w:rsidRPr="00863849">
        <w:rPr>
          <w:rFonts w:ascii="Symbol" w:eastAsia="Symbol" w:hAnsi="Symbol" w:cs="Symbol"/>
          <w:color w:val="000000"/>
        </w:rPr>
        <w:t></w:t>
      </w:r>
      <w:r w:rsidRPr="00863849">
        <w:rPr>
          <w:color w:val="000000"/>
        </w:rPr>
        <w:t xml:space="preserve"> W</w:t>
      </w:r>
      <w:r>
        <w:t>), which was located within a 20-km radius of all sites</w:t>
      </w:r>
      <w:r>
        <w:rPr>
          <w:color w:val="000000"/>
        </w:rPr>
        <w:t xml:space="preserve">. 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 unitless).</w:t>
      </w:r>
    </w:p>
    <w:p w14:paraId="5E254EC6" w14:textId="79B508A6" w:rsidR="0091040E" w:rsidRDefault="0091040E" w:rsidP="00BA3A8F">
      <w:pPr>
        <w:tabs>
          <w:tab w:val="left" w:pos="593"/>
        </w:tabs>
        <w:autoSpaceDE w:val="0"/>
        <w:autoSpaceDN w:val="0"/>
        <w:adjustRightInd w:val="0"/>
        <w:spacing w:line="480" w:lineRule="auto"/>
        <w:rPr>
          <w:color w:val="000000"/>
        </w:rPr>
      </w:pPr>
      <w:r>
        <w:rPr>
          <w:color w:val="000000"/>
        </w:rPr>
        <w:tab/>
        <w:t>Finally, we standardized dark respiration</w:t>
      </w:r>
      <w:r w:rsidR="005459FB">
        <w:rPr>
          <w:color w:val="000000"/>
        </w:rPr>
        <w:t xml:space="preserve"> to </w:t>
      </w:r>
      <w:r w:rsidR="005459FB">
        <w:rPr>
          <w:color w:val="000000"/>
        </w:rPr>
        <w:t>25</w:t>
      </w:r>
      <w:r w:rsidR="005459FB" w:rsidRPr="00863849">
        <w:rPr>
          <w:rFonts w:ascii="Symbol" w:eastAsia="Symbol" w:hAnsi="Symbol" w:cs="Symbol"/>
          <w:color w:val="000000"/>
        </w:rPr>
        <w:t></w:t>
      </w:r>
      <w:r w:rsidR="005459FB" w:rsidRPr="00863849">
        <w:rPr>
          <w:color w:val="000000"/>
        </w:rPr>
        <w:t>C</w:t>
      </w:r>
      <w:r w:rsidR="005459FB">
        <w:rPr>
          <w:color w:val="000000"/>
        </w:rPr>
        <w:t xml:space="preserve"> (</w:t>
      </w:r>
      <w:r w:rsidR="005459FB">
        <w:rPr>
          <w:i/>
          <w:iCs/>
          <w:color w:val="000000"/>
        </w:rPr>
        <w:t>R</w:t>
      </w:r>
      <w:r w:rsidR="005459FB">
        <w:rPr>
          <w:color w:val="000000"/>
          <w:vertAlign w:val="subscript"/>
        </w:rPr>
        <w:t>d25</w:t>
      </w:r>
      <w:r w:rsidR="005459FB">
        <w:rPr>
          <w:color w:val="000000"/>
        </w:rPr>
        <w:t xml:space="preserve">; </w:t>
      </w:r>
      <w:r w:rsidR="005459FB">
        <w:rPr>
          <w:color w:val="000000"/>
          <w:lang w:val="el-GR"/>
        </w:rPr>
        <w:t>μ</w:t>
      </w:r>
      <w:r w:rsidR="005459FB">
        <w:rPr>
          <w:color w:val="000000"/>
        </w:rPr>
        <w:t>mol m</w:t>
      </w:r>
      <w:r w:rsidR="005459FB">
        <w:rPr>
          <w:color w:val="000000"/>
          <w:vertAlign w:val="superscript"/>
        </w:rPr>
        <w:t>-2</w:t>
      </w:r>
      <w:r w:rsidR="005459FB" w:rsidRPr="00E83939">
        <w:rPr>
          <w:color w:val="000000"/>
        </w:rPr>
        <w:t xml:space="preserve"> </w:t>
      </w:r>
      <w:r w:rsidR="005459FB">
        <w:rPr>
          <w:color w:val="000000"/>
        </w:rPr>
        <w:t>s</w:t>
      </w:r>
      <w:r w:rsidR="005459FB">
        <w:rPr>
          <w:color w:val="000000"/>
          <w:vertAlign w:val="superscript"/>
        </w:rPr>
        <w:t>-1</w:t>
      </w:r>
      <w:r w:rsidR="005459FB">
        <w:rPr>
          <w:color w:val="000000"/>
        </w:rPr>
        <w:t>)</w:t>
      </w:r>
      <w:r>
        <w:rPr>
          <w:color w:val="000000"/>
        </w:rPr>
        <w:t xml:space="preserve"> using </w:t>
      </w:r>
      <w:r w:rsidR="005459FB">
        <w:rPr>
          <w:color w:val="000000"/>
        </w:rPr>
        <w:t>the</w:t>
      </w:r>
      <w:r>
        <w:rPr>
          <w:color w:val="000000"/>
        </w:rPr>
        <w:t xml:space="preserve"> log-polynomial </w:t>
      </w:r>
      <w:r w:rsidR="005459FB">
        <w:rPr>
          <w:color w:val="000000"/>
        </w:rPr>
        <w:t xml:space="preserve">explained in Eq. </w:t>
      </w:r>
      <w:r w:rsidR="005459FB" w:rsidRPr="005459FB">
        <w:rPr>
          <w:color w:val="000000"/>
          <w:highlight w:val="yellow"/>
        </w:rPr>
        <w:t>XX</w:t>
      </w:r>
      <w:r w:rsidR="005459FB">
        <w:rPr>
          <w:color w:val="000000"/>
        </w:rPr>
        <w:t xml:space="preserve"> and the same coefficients explained above, with </w:t>
      </w:r>
      <w:proofErr w:type="spellStart"/>
      <w:r w:rsidR="005459FB">
        <w:rPr>
          <w:i/>
          <w:iCs/>
          <w:color w:val="000000"/>
        </w:rPr>
        <w:t>T</w:t>
      </w:r>
      <w:r w:rsidR="005459FB">
        <w:rPr>
          <w:color w:val="000000"/>
          <w:vertAlign w:val="subscript"/>
        </w:rPr>
        <w:t>ref</w:t>
      </w:r>
      <w:proofErr w:type="spellEnd"/>
      <w:r w:rsidR="005459FB">
        <w:rPr>
          <w:color w:val="000000"/>
        </w:rPr>
        <w:t xml:space="preserve"> set to 25</w:t>
      </w:r>
      <w:r w:rsidR="005459FB" w:rsidRPr="00863849">
        <w:rPr>
          <w:rFonts w:ascii="Symbol" w:eastAsia="Symbol" w:hAnsi="Symbol" w:cs="Symbol"/>
          <w:color w:val="000000"/>
        </w:rPr>
        <w:t></w:t>
      </w:r>
      <w:r w:rsidR="005459FB" w:rsidRPr="00863849">
        <w:rPr>
          <w:color w:val="000000"/>
        </w:rPr>
        <w:t>C</w:t>
      </w:r>
      <w:r w:rsidR="005459FB">
        <w:rPr>
          <w:color w:val="000000"/>
        </w:rPr>
        <w:t>.</w:t>
      </w:r>
    </w:p>
    <w:p w14:paraId="0300DF29" w14:textId="77777777" w:rsidR="00BA3A8F" w:rsidRDefault="00BA3A8F" w:rsidP="00BA3A8F">
      <w:pPr>
        <w:tabs>
          <w:tab w:val="left" w:pos="593"/>
        </w:tabs>
        <w:autoSpaceDE w:val="0"/>
        <w:autoSpaceDN w:val="0"/>
        <w:adjustRightInd w:val="0"/>
        <w:spacing w:line="480" w:lineRule="auto"/>
        <w:rPr>
          <w:color w:val="000000"/>
        </w:rPr>
      </w:pPr>
    </w:p>
    <w:p w14:paraId="537DD4A0" w14:textId="77777777" w:rsidR="00BA3A8F" w:rsidRPr="00A02C71" w:rsidRDefault="00BA3A8F" w:rsidP="00BA3A8F">
      <w:pPr>
        <w:tabs>
          <w:tab w:val="left" w:pos="593"/>
        </w:tabs>
        <w:autoSpaceDE w:val="0"/>
        <w:autoSpaceDN w:val="0"/>
        <w:adjustRightInd w:val="0"/>
        <w:spacing w:line="480" w:lineRule="auto"/>
        <w:rPr>
          <w:i/>
          <w:iCs/>
          <w:color w:val="000000"/>
        </w:rPr>
      </w:pPr>
      <w:r>
        <w:rPr>
          <w:i/>
          <w:iCs/>
          <w:color w:val="000000"/>
        </w:rPr>
        <w:t>Stomatal limitation</w:t>
      </w:r>
    </w:p>
    <w:p w14:paraId="1D52E8D4" w14:textId="77777777" w:rsidR="00BA3A8F" w:rsidRDefault="00BA3A8F" w:rsidP="00BA3A8F">
      <w:pPr>
        <w:autoSpaceDE w:val="0"/>
        <w:autoSpaceDN w:val="0"/>
        <w:adjustRightInd w:val="0"/>
        <w:spacing w:line="480" w:lineRule="auto"/>
        <w:ind w:firstLine="720"/>
        <w:rPr>
          <w:color w:val="000000" w:themeColor="text1"/>
        </w:rPr>
      </w:pPr>
      <w:r w:rsidRPr="14AB8DC9">
        <w:rPr>
          <w:color w:val="000000" w:themeColor="text1"/>
        </w:rPr>
        <w:t>We quantified the extent by which stomatal conductance limited photosynthesis (</w:t>
      </w:r>
      <w:r w:rsidRPr="14AB8DC9">
        <w:rPr>
          <w:i/>
          <w:iCs/>
          <w:color w:val="000000" w:themeColor="text1"/>
        </w:rPr>
        <w:t>l</w:t>
      </w:r>
      <w:r w:rsidRPr="14AB8DC9">
        <w:rPr>
          <w:color w:val="000000" w:themeColor="text1"/>
        </w:rPr>
        <w:t>; unitless)</w:t>
      </w:r>
      <w:r>
        <w:rPr>
          <w:color w:val="000000" w:themeColor="text1"/>
        </w:rPr>
        <w:t xml:space="preserve"> following equations originally described in </w:t>
      </w:r>
      <w:r>
        <w:rPr>
          <w:color w:val="000000" w:themeColor="text1"/>
        </w:rPr>
        <w:fldChar w:fldCharType="begin" w:fldLock="1"/>
      </w:r>
      <w:r>
        <w:rPr>
          <w:color w:val="000000" w:themeColor="text1"/>
        </w:rPr>
        <w:instrText>ADDIN CSL_CITATION {"citationItems":[{"id":"ITEM-1","itemData":{"DOI":"10.1146/annurev.pp.33.060182.001533","ISSN":"0066-4294","author":[{"dropping-particle":"","family":"Farquhar","given":"Graham D","non-dropping-particle":"","parse-names":false,"suffix":""},{"dropping-particle":"","family":"Sharkey","given":"Thomas D","non-dropping-particle":"","parse-names":false,"suffix":""}],"container-title":"Annual Review of Plant Physiology","id":"ITEM-1","issue":"1","issued":{"date-parts":[["1982","6"]]},"page":"317-345","title":"Stomatal conductance and photosynthesis","type":"article-journal","volume":"33"},"uris":["http://www.mendeley.com/documents/?uuid=d676a7bf-ee47-4c07-89b5-841506553b89"]}],"mendeley":{"formattedCitation":"(Farquhar &amp; Sharkey, 1982)","manualFormatting":"Farquhar &amp; Sharkey (1982)","plainTextFormattedCitation":"(Farquhar &amp; Sharkey, 1982)","previouslyFormattedCitation":"(Farquhar &amp; Sharkey, 1982)"},"properties":{"noteIndex":0},"schema":"https://github.com/citation-style-language/schema/raw/master/csl-citation.json"}</w:instrText>
      </w:r>
      <w:r>
        <w:rPr>
          <w:color w:val="000000" w:themeColor="text1"/>
        </w:rPr>
        <w:fldChar w:fldCharType="separate"/>
      </w:r>
      <w:r w:rsidRPr="00447B77">
        <w:rPr>
          <w:noProof/>
          <w:color w:val="000000" w:themeColor="text1"/>
        </w:rPr>
        <w:t>Farquhar &amp; Sharkey</w:t>
      </w:r>
      <w:r>
        <w:rPr>
          <w:noProof/>
          <w:color w:val="000000" w:themeColor="text1"/>
        </w:rPr>
        <w:t xml:space="preserve"> (</w:t>
      </w:r>
      <w:r w:rsidRPr="00447B77">
        <w:rPr>
          <w:noProof/>
          <w:color w:val="000000" w:themeColor="text1"/>
        </w:rPr>
        <w:t>1982)</w:t>
      </w:r>
      <w:r>
        <w:rPr>
          <w:color w:val="000000" w:themeColor="text1"/>
        </w:rPr>
        <w:fldChar w:fldCharType="end"/>
      </w:r>
      <w:r>
        <w:rPr>
          <w:color w:val="000000" w:themeColor="text1"/>
        </w:rPr>
        <w:t xml:space="preserve">. </w:t>
      </w:r>
      <w:r w:rsidRPr="14AB8DC9">
        <w:rPr>
          <w:color w:val="000000" w:themeColor="text1"/>
        </w:rPr>
        <w:t xml:space="preserve">Stomatal limitation is an index where values that approach 1 indicate that </w:t>
      </w:r>
      <w:r>
        <w:rPr>
          <w:color w:val="000000" w:themeColor="text1"/>
        </w:rPr>
        <w:t xml:space="preserve">net </w:t>
      </w:r>
      <w:r w:rsidRPr="14AB8DC9">
        <w:rPr>
          <w:color w:val="000000" w:themeColor="text1"/>
        </w:rPr>
        <w:t>photosynthesis is</w:t>
      </w:r>
      <w:r>
        <w:rPr>
          <w:color w:val="000000" w:themeColor="text1"/>
        </w:rPr>
        <w:t xml:space="preserve"> becoming </w:t>
      </w:r>
      <w:r w:rsidRPr="14AB8DC9">
        <w:rPr>
          <w:color w:val="000000" w:themeColor="text1"/>
        </w:rPr>
        <w:t>more limited by stomatal conductance</w:t>
      </w:r>
      <w:r>
        <w:rPr>
          <w:color w:val="000000" w:themeColor="text1"/>
        </w:rPr>
        <w:t>, and is calculated as</w:t>
      </w:r>
      <w:r w:rsidRPr="14AB8DC9">
        <w:rPr>
          <w:color w:val="000000" w:themeColor="text1"/>
        </w:rPr>
        <w:t>:</w:t>
      </w:r>
    </w:p>
    <w:p w14:paraId="10BACA4F" w14:textId="77777777" w:rsidR="00BA3A8F" w:rsidRPr="00AA4F47" w:rsidRDefault="00BA3A8F" w:rsidP="00BA3A8F">
      <w:pPr>
        <w:autoSpaceDE w:val="0"/>
        <w:autoSpaceDN w:val="0"/>
        <w:adjustRightInd w:val="0"/>
        <w:spacing w:line="480" w:lineRule="auto"/>
        <w:ind w:firstLine="720"/>
        <w:rPr>
          <w:color w:val="000000" w:themeColor="text1"/>
        </w:rPr>
      </w:pPr>
    </w:p>
    <w:p w14:paraId="68F00280" w14:textId="6D9806B2" w:rsidR="00BA3A8F" w:rsidRPr="00504E71" w:rsidRDefault="00BA3A8F" w:rsidP="00BA3A8F">
      <w:pPr>
        <w:tabs>
          <w:tab w:val="left" w:pos="593"/>
        </w:tabs>
        <w:autoSpaceDE w:val="0"/>
        <w:autoSpaceDN w:val="0"/>
        <w:adjustRightInd w:val="0"/>
        <w:spacing w:line="480" w:lineRule="auto"/>
        <w:rPr>
          <w:color w:val="000000"/>
        </w:rPr>
      </w:pPr>
      <m:oMath>
        <m:r>
          <w:rPr>
            <w:rFonts w:ascii="Cambria Math" w:hAnsi="Cambria Math"/>
            <w:color w:val="000000"/>
          </w:rPr>
          <m:t>l=1-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net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den>
        </m:f>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Pr>
          <w:color w:val="000000"/>
        </w:rPr>
        <w:tab/>
      </w:r>
      <w:r w:rsidRPr="00863849">
        <w:rPr>
          <w:color w:val="000000"/>
        </w:rPr>
        <w:t xml:space="preserve">(Eqn. </w:t>
      </w:r>
      <w:r w:rsidR="00247CFD">
        <w:rPr>
          <w:color w:val="000000"/>
        </w:rPr>
        <w:t>6</w:t>
      </w:r>
      <w:r w:rsidRPr="00863849">
        <w:rPr>
          <w:color w:val="000000"/>
        </w:rPr>
        <w:t>)</w:t>
      </w:r>
    </w:p>
    <w:p w14:paraId="5A9CE57B" w14:textId="77777777" w:rsidR="00BA3A8F" w:rsidRDefault="00BA3A8F" w:rsidP="00BA3A8F">
      <w:pPr>
        <w:tabs>
          <w:tab w:val="left" w:pos="593"/>
        </w:tabs>
        <w:autoSpaceDE w:val="0"/>
        <w:autoSpaceDN w:val="0"/>
        <w:adjustRightInd w:val="0"/>
        <w:spacing w:line="480" w:lineRule="auto"/>
        <w:rPr>
          <w:i/>
          <w:iCs/>
          <w:color w:val="000000"/>
        </w:rPr>
      </w:pPr>
    </w:p>
    <w:p w14:paraId="501C789F" w14:textId="77777777" w:rsidR="00BA3A8F" w:rsidRPr="00705A56" w:rsidRDefault="00BA3A8F" w:rsidP="00BA3A8F">
      <w:pPr>
        <w:tabs>
          <w:tab w:val="left" w:pos="593"/>
        </w:tabs>
        <w:autoSpaceDE w:val="0"/>
        <w:autoSpaceDN w:val="0"/>
        <w:adjustRightInd w:val="0"/>
        <w:spacing w:line="480" w:lineRule="auto"/>
        <w:rPr>
          <w:color w:val="000000"/>
        </w:rPr>
      </w:pPr>
      <w:proofErr w:type="spellStart"/>
      <w:r w:rsidRPr="008C415D">
        <w:rPr>
          <w:i/>
          <w:iCs/>
          <w:color w:val="000000"/>
        </w:rPr>
        <w:lastRenderedPageBreak/>
        <w:t>A</w:t>
      </w:r>
      <w:r>
        <w:rPr>
          <w:color w:val="000000"/>
          <w:vertAlign w:val="subscript"/>
        </w:rPr>
        <w:t>net</w:t>
      </w:r>
      <w:proofErr w:type="spellEnd"/>
      <w:r w:rsidRPr="00863849">
        <w:rPr>
          <w:color w:val="000000"/>
        </w:rPr>
        <w:t xml:space="preserve"> </w:t>
      </w:r>
      <w:r>
        <w:rPr>
          <w:color w:val="000000"/>
        </w:rPr>
        <w:t xml:space="preserve">represents the net photosynthesis rate measured at </w:t>
      </w:r>
      <w:r>
        <w:rPr>
          <w:color w:val="000000" w:themeColor="text1"/>
        </w:rPr>
        <w:t xml:space="preserve">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while</w:t>
      </w:r>
      <w:r>
        <w:rPr>
          <w:color w:val="000000"/>
        </w:rPr>
        <w:t xml:space="preserve"> </w:t>
      </w:r>
      <w:proofErr w:type="spellStart"/>
      <w:r w:rsidRPr="008C415D">
        <w:rPr>
          <w:i/>
          <w:iCs/>
          <w:color w:val="000000"/>
        </w:rPr>
        <w:t>A</w:t>
      </w:r>
      <w:r w:rsidRPr="008C415D">
        <w:rPr>
          <w:color w:val="000000"/>
          <w:vertAlign w:val="subscript"/>
        </w:rPr>
        <w:t>mod</w:t>
      </w:r>
      <w:proofErr w:type="spellEnd"/>
      <w:r w:rsidRPr="00863849">
        <w:rPr>
          <w:color w:val="000000"/>
        </w:rPr>
        <w:t xml:space="preserve"> represents the photosynthetic rate </w:t>
      </w:r>
      <w:r>
        <w:rPr>
          <w:color w:val="000000"/>
        </w:rPr>
        <w:t>where</w:t>
      </w:r>
      <w:r w:rsidRPr="00863849">
        <w:rPr>
          <w:color w:val="000000"/>
        </w:rPr>
        <w:t xml:space="preserve"> </w:t>
      </w:r>
      <w:r w:rsidRPr="00272F85">
        <w:rPr>
          <w:i/>
          <w:iCs/>
          <w:color w:val="000000"/>
        </w:rPr>
        <w:t>C</w:t>
      </w:r>
      <w:r w:rsidRPr="000F06C7">
        <w:rPr>
          <w:color w:val="000000"/>
          <w:vertAlign w:val="subscript"/>
        </w:rPr>
        <w:t>i</w:t>
      </w:r>
      <w:r w:rsidRPr="00863849">
        <w:rPr>
          <w:color w:val="000000"/>
        </w:rPr>
        <w:t xml:space="preserve"> = </w:t>
      </w:r>
      <w:r w:rsidRPr="00272F85">
        <w:rPr>
          <w:i/>
          <w:iCs/>
          <w:color w:val="000000"/>
        </w:rPr>
        <w:t>C</w:t>
      </w:r>
      <w:r w:rsidRPr="000F06C7">
        <w:rPr>
          <w:color w:val="000000"/>
          <w:vertAlign w:val="subscript"/>
        </w:rPr>
        <w:t>a</w:t>
      </w:r>
      <w:r w:rsidRPr="00863849">
        <w:rPr>
          <w:color w:val="000000"/>
        </w:rPr>
        <w:t xml:space="preserve">. </w:t>
      </w:r>
      <w:proofErr w:type="spellStart"/>
      <w:r w:rsidRPr="00272F85">
        <w:rPr>
          <w:i/>
          <w:iCs/>
          <w:color w:val="000000"/>
        </w:rPr>
        <w:t>A</w:t>
      </w:r>
      <w:r w:rsidRPr="00863849">
        <w:rPr>
          <w:color w:val="000000"/>
          <w:vertAlign w:val="subscript"/>
        </w:rPr>
        <w:t>mod</w:t>
      </w:r>
      <w:proofErr w:type="spellEnd"/>
      <w:r w:rsidRPr="00863849">
        <w:rPr>
          <w:color w:val="000000"/>
        </w:rPr>
        <w:t xml:space="preserve"> </w:t>
      </w:r>
      <w:r>
        <w:rPr>
          <w:color w:val="000000"/>
        </w:rPr>
        <w:t>was</w:t>
      </w:r>
      <w:r w:rsidRPr="00863849">
        <w:rPr>
          <w:color w:val="000000"/>
        </w:rPr>
        <w:t xml:space="preserve"> calculated as:</w:t>
      </w:r>
    </w:p>
    <w:p w14:paraId="6F4C5CE7" w14:textId="77777777" w:rsidR="00BA3A8F" w:rsidRPr="00AA4F47" w:rsidRDefault="00BA3A8F" w:rsidP="00BA3A8F">
      <w:pPr>
        <w:tabs>
          <w:tab w:val="left" w:pos="593"/>
        </w:tabs>
        <w:autoSpaceDE w:val="0"/>
        <w:autoSpaceDN w:val="0"/>
        <w:adjustRightInd w:val="0"/>
        <w:spacing w:line="480" w:lineRule="auto"/>
        <w:rPr>
          <w:color w:val="000000"/>
        </w:rPr>
      </w:pPr>
    </w:p>
    <w:p w14:paraId="5F94EE65" w14:textId="1A529D5E" w:rsidR="00BA3A8F" w:rsidRPr="00504E71" w:rsidRDefault="00BA3A8F" w:rsidP="00BA3A8F">
      <w:pPr>
        <w:tabs>
          <w:tab w:val="left" w:pos="593"/>
        </w:tabs>
        <w:autoSpaceDE w:val="0"/>
        <w:autoSpaceDN w:val="0"/>
        <w:adjustRightInd w:val="0"/>
        <w:spacing w:line="480" w:lineRule="auto"/>
        <w:rPr>
          <w:iCs/>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cmax</m:t>
            </m:r>
          </m:sub>
        </m:sSub>
        <m:f>
          <m:fPr>
            <m:ctrlPr>
              <w:rPr>
                <w:rFonts w:ascii="Cambria Math" w:hAnsi="Cambria Math"/>
                <w:i/>
                <w:color w:val="000000"/>
              </w:rPr>
            </m:ctrlPr>
          </m:fPr>
          <m:num>
            <m:r>
              <w:rPr>
                <w:rFonts w:ascii="Cambria Math" w:hAnsi="Cambria Math"/>
                <w:color w:val="000000"/>
              </w:rPr>
              <m:t>400-</m:t>
            </m:r>
            <m:sSup>
              <m:sSupPr>
                <m:ctrlPr>
                  <w:rPr>
                    <w:rFonts w:ascii="Cambria Math" w:hAnsi="Cambria Math"/>
                    <w:i/>
                    <w:color w:val="000000"/>
                    <w:lang w:val="el-GR"/>
                  </w:rPr>
                </m:ctrlPr>
              </m:sSupPr>
              <m:e>
                <m:r>
                  <w:rPr>
                    <w:rFonts w:ascii="Cambria Math" w:hAnsi="Cambria Math"/>
                    <w:color w:val="000000"/>
                    <w:lang w:val="el-GR"/>
                  </w:rPr>
                  <m:t>Γ</m:t>
                </m:r>
              </m:e>
              <m:sup>
                <m:r>
                  <w:rPr>
                    <w:rFonts w:ascii="Cambria Math" w:hAnsi="Cambria Math"/>
                    <w:color w:val="000000"/>
                  </w:rPr>
                  <m:t>*</m:t>
                </m:r>
              </m:sup>
            </m:sSup>
          </m:num>
          <m:den>
            <m:r>
              <w:rPr>
                <w:rFonts w:ascii="Cambria Math" w:hAnsi="Cambria Math"/>
                <w:color w:val="000000"/>
              </w:rPr>
              <m:t>400+</m:t>
            </m:r>
            <m:sSub>
              <m:sSubPr>
                <m:ctrlPr>
                  <w:rPr>
                    <w:rFonts w:ascii="Cambria Math" w:hAnsi="Cambria Math"/>
                    <w:i/>
                    <w:color w:val="000000"/>
                  </w:rPr>
                </m:ctrlPr>
              </m:sSubPr>
              <m:e>
                <m:r>
                  <w:rPr>
                    <w:rFonts w:ascii="Cambria Math" w:hAnsi="Cambria Math"/>
                    <w:color w:val="000000"/>
                  </w:rPr>
                  <m:t>Κ</m:t>
                </m:r>
              </m:e>
              <m:sub>
                <m:r>
                  <w:rPr>
                    <w:rFonts w:ascii="Cambria Math" w:hAnsi="Cambria Math"/>
                    <w:color w:val="000000"/>
                  </w:rPr>
                  <m:t>m</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d</m:t>
            </m:r>
          </m:sub>
        </m:sSub>
      </m:oMath>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rFonts w:eastAsiaTheme="minorEastAsia"/>
          <w:color w:val="000000"/>
        </w:rPr>
        <w:tab/>
      </w:r>
      <w:r w:rsidRPr="00863849">
        <w:rPr>
          <w:iCs/>
          <w:color w:val="000000"/>
        </w:rPr>
        <w:t xml:space="preserve">(Eqn. </w:t>
      </w:r>
      <w:r w:rsidR="00247CFD">
        <w:rPr>
          <w:iCs/>
          <w:color w:val="000000"/>
        </w:rPr>
        <w:t>7</w:t>
      </w:r>
      <w:r w:rsidRPr="00863849">
        <w:rPr>
          <w:iCs/>
          <w:color w:val="000000"/>
        </w:rPr>
        <w:t>)</w:t>
      </w:r>
    </w:p>
    <w:p w14:paraId="6F8A88DB" w14:textId="77777777" w:rsidR="00BA3A8F" w:rsidRDefault="00BA3A8F" w:rsidP="00BA3A8F">
      <w:pPr>
        <w:spacing w:line="480" w:lineRule="auto"/>
        <w:rPr>
          <w:i/>
          <w:iCs/>
          <w:color w:val="000000"/>
        </w:rPr>
      </w:pPr>
    </w:p>
    <w:p w14:paraId="30B1368A" w14:textId="2679C2F6" w:rsidR="00BA3A8F" w:rsidRDefault="00BA3A8F" w:rsidP="00BA3A8F">
      <w:pPr>
        <w:spacing w:line="480" w:lineRule="auto"/>
        <w:rPr>
          <w:color w:val="000000"/>
        </w:rPr>
      </w:pPr>
      <w:proofErr w:type="spellStart"/>
      <w:r w:rsidRPr="00AD3606">
        <w:rPr>
          <w:i/>
          <w:iCs/>
          <w:color w:val="000000"/>
        </w:rPr>
        <w:t>V</w:t>
      </w:r>
      <w:r w:rsidRPr="000F06C7">
        <w:rPr>
          <w:color w:val="000000"/>
          <w:vertAlign w:val="subscript"/>
        </w:rPr>
        <w:t>cmax</w:t>
      </w:r>
      <w:proofErr w:type="spellEnd"/>
      <w:r w:rsidRPr="00863849">
        <w:rPr>
          <w:color w:val="000000"/>
        </w:rPr>
        <w:t xml:space="preserve"> represents the </w:t>
      </w:r>
      <w:r>
        <w:rPr>
          <w:color w:val="000000"/>
        </w:rPr>
        <w:t xml:space="preserve">temperature </w:t>
      </w:r>
      <w:r w:rsidRPr="00863849">
        <w:rPr>
          <w:color w:val="000000"/>
        </w:rPr>
        <w:t>unstandardized maximum rate of Rubisco carboxylation</w:t>
      </w:r>
      <w:r>
        <w:rPr>
          <w:color w:val="000000"/>
        </w:rPr>
        <w:t xml:space="preserve">. </w:t>
      </w:r>
      <w:r w:rsidRPr="00863849">
        <w:rPr>
          <w:color w:val="000000"/>
        </w:rPr>
        <w:t>We used</w:t>
      </w:r>
      <w:r>
        <w:rPr>
          <w:color w:val="000000"/>
        </w:rPr>
        <w:t xml:space="preserve"> the temperature unstandardized</w:t>
      </w:r>
      <w:r w:rsidRPr="00863849">
        <w:rPr>
          <w:color w:val="000000"/>
        </w:rPr>
        <w:t xml:space="preserve"> </w:t>
      </w:r>
      <w:proofErr w:type="spellStart"/>
      <w:r w:rsidRPr="00AD3606">
        <w:rPr>
          <w:i/>
          <w:iCs/>
          <w:color w:val="000000"/>
        </w:rPr>
        <w:t>V</w:t>
      </w:r>
      <w:r w:rsidRPr="000F06C7">
        <w:rPr>
          <w:color w:val="000000"/>
          <w:vertAlign w:val="subscript"/>
        </w:rPr>
        <w:t>cmax</w:t>
      </w:r>
      <w:proofErr w:type="spellEnd"/>
      <w:r w:rsidRPr="00863849">
        <w:rPr>
          <w:color w:val="000000"/>
        </w:rPr>
        <w:t xml:space="preserve"> </w:t>
      </w:r>
      <w:r>
        <w:rPr>
          <w:color w:val="000000"/>
        </w:rPr>
        <w:t xml:space="preserve">value </w:t>
      </w:r>
      <w:r w:rsidRPr="00863849">
        <w:rPr>
          <w:iCs/>
          <w:color w:val="000000"/>
        </w:rPr>
        <w:t xml:space="preserve">because </w:t>
      </w:r>
      <w:proofErr w:type="spellStart"/>
      <w:r w:rsidRPr="00863849">
        <w:rPr>
          <w:i/>
          <w:color w:val="000000"/>
        </w:rPr>
        <w:t>A</w:t>
      </w:r>
      <w:r>
        <w:rPr>
          <w:iCs/>
          <w:color w:val="000000"/>
          <w:vertAlign w:val="subscript"/>
        </w:rPr>
        <w:t>net</w:t>
      </w:r>
      <w:proofErr w:type="spellEnd"/>
      <w:r w:rsidRPr="00863849">
        <w:rPr>
          <w:iCs/>
          <w:color w:val="000000"/>
        </w:rPr>
        <w:t xml:space="preserve"> </w:t>
      </w:r>
      <w:r>
        <w:rPr>
          <w:iCs/>
          <w:color w:val="000000"/>
        </w:rPr>
        <w:t>values were</w:t>
      </w:r>
      <w:r w:rsidRPr="00863849">
        <w:rPr>
          <w:iCs/>
          <w:color w:val="000000"/>
        </w:rPr>
        <w:t xml:space="preserve"> not standardized to 25</w:t>
      </w:r>
      <w:r w:rsidRPr="00863849">
        <w:rPr>
          <w:color w:val="000000"/>
        </w:rPr>
        <w:t>°C.</w:t>
      </w:r>
      <w:r>
        <w:rPr>
          <w:color w:val="000000"/>
        </w:rPr>
        <w:t xml:space="preserve"> </w:t>
      </w:r>
      <w:r>
        <w:rPr>
          <w:i/>
          <w:iCs/>
          <w:color w:val="000000"/>
        </w:rPr>
        <w:t>R</w:t>
      </w:r>
      <w:r>
        <w:rPr>
          <w:color w:val="000000"/>
          <w:vertAlign w:val="subscript"/>
        </w:rPr>
        <w:t>d</w:t>
      </w:r>
      <w:r>
        <w:rPr>
          <w:color w:val="000000"/>
        </w:rPr>
        <w:t xml:space="preserve"> represents dark respiration,</w:t>
      </w:r>
      <w:r w:rsidR="005459FB">
        <w:rPr>
          <w:color w:val="000000"/>
        </w:rPr>
        <w:t xml:space="preserve"> which was the dark respiration value we </w:t>
      </w:r>
      <w:r w:rsidR="00BC73C6">
        <w:rPr>
          <w:color w:val="000000"/>
        </w:rPr>
        <w:t>temperature standardized to the CO</w:t>
      </w:r>
      <w:r w:rsidR="00BC73C6">
        <w:rPr>
          <w:color w:val="000000"/>
          <w:vertAlign w:val="subscript"/>
        </w:rPr>
        <w:t>2</w:t>
      </w:r>
      <w:r w:rsidR="00BC73C6">
        <w:rPr>
          <w:color w:val="000000"/>
        </w:rPr>
        <w:t xml:space="preserve"> response curve fit. </w:t>
      </w:r>
      <w:r w:rsidRPr="00F84209">
        <w:rPr>
          <w:color w:val="000000"/>
          <w:lang w:val="el-GR"/>
        </w:rPr>
        <w:t>Γ</w:t>
      </w:r>
      <w:r>
        <w:rPr>
          <w:color w:val="000000"/>
          <w:vertAlign w:val="superscript"/>
        </w:rPr>
        <w:t>*</w:t>
      </w:r>
      <w:r>
        <w:rPr>
          <w:color w:val="000000"/>
        </w:rPr>
        <w:t xml:space="preserve"> (Pa) is the CO</w:t>
      </w:r>
      <w:r>
        <w:rPr>
          <w:color w:val="000000"/>
          <w:vertAlign w:val="subscript"/>
        </w:rPr>
        <w:t>2</w:t>
      </w:r>
      <w:r>
        <w:rPr>
          <w:color w:val="000000"/>
        </w:rPr>
        <w:t xml:space="preserve"> compensation point in the absence of dark respiration, while </w:t>
      </w:r>
      <w:r>
        <w:rPr>
          <w:i/>
          <w:iCs/>
          <w:color w:val="000000"/>
        </w:rPr>
        <w:t>K</w:t>
      </w:r>
      <w:r>
        <w:rPr>
          <w:color w:val="000000"/>
          <w:vertAlign w:val="subscript"/>
        </w:rPr>
        <w:t>m</w:t>
      </w:r>
      <w:r>
        <w:rPr>
          <w:color w:val="000000"/>
        </w:rPr>
        <w:t xml:space="preserve"> is the Michaelis-Menten coefficient for Rubisco-limited photosynthesis. </w:t>
      </w:r>
      <w:r>
        <w:rPr>
          <w:i/>
          <w:iCs/>
          <w:color w:val="000000"/>
        </w:rPr>
        <w:t>K</w:t>
      </w:r>
      <w:r>
        <w:rPr>
          <w:color w:val="000000"/>
          <w:vertAlign w:val="subscript"/>
        </w:rPr>
        <w:t>m</w:t>
      </w:r>
      <w:r>
        <w:rPr>
          <w:color w:val="000000"/>
        </w:rPr>
        <w:t xml:space="preserve"> was calculated as:</w:t>
      </w:r>
    </w:p>
    <w:p w14:paraId="19862513" w14:textId="77777777" w:rsidR="00BA3A8F" w:rsidRPr="00504E71" w:rsidRDefault="00BA3A8F" w:rsidP="00BA3A8F">
      <w:pPr>
        <w:spacing w:line="480" w:lineRule="auto"/>
        <w:rPr>
          <w:i/>
          <w:iCs/>
          <w:color w:val="000000"/>
        </w:rPr>
      </w:pPr>
    </w:p>
    <w:p w14:paraId="4A4914AE" w14:textId="3B2582A8" w:rsidR="00BA3A8F" w:rsidRPr="00504E71" w:rsidRDefault="00BA3A8F" w:rsidP="00BA3A8F">
      <w:pPr>
        <w:spacing w:line="480" w:lineRule="auto"/>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c</m:t>
            </m:r>
          </m:sub>
        </m:sSub>
        <m:r>
          <w:rPr>
            <w:rFonts w:ascii="Cambria Math" w:hAnsi="Cambria Math"/>
            <w:color w:val="000000"/>
          </w:rPr>
          <m:t>*</m:t>
        </m:r>
        <m:d>
          <m:dPr>
            <m:ctrlPr>
              <w:rPr>
                <w:rFonts w:ascii="Cambria Math" w:hAnsi="Cambria Math"/>
                <w:i/>
                <w:iCs/>
                <w:color w:val="000000"/>
              </w:rPr>
            </m:ctrlPr>
          </m:dPr>
          <m:e>
            <m:r>
              <w:rPr>
                <w:rFonts w:ascii="Cambria Math" w:hAnsi="Cambria Math"/>
                <w:color w:val="000000"/>
              </w:rPr>
              <m:t>1+</m:t>
            </m:r>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O</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o</m:t>
                    </m:r>
                  </m:sub>
                </m:sSub>
              </m:den>
            </m:f>
          </m:e>
        </m:d>
      </m:oMath>
      <w:r>
        <w:rPr>
          <w:iCs/>
          <w:color w:val="000000"/>
        </w:rPr>
        <w:tab/>
      </w:r>
      <w:r>
        <w:rPr>
          <w:iCs/>
          <w:color w:val="000000"/>
        </w:rPr>
        <w:tab/>
      </w:r>
      <w:r>
        <w:rPr>
          <w:iCs/>
          <w:color w:val="000000"/>
        </w:rPr>
        <w:tab/>
      </w:r>
      <w:r>
        <w:rPr>
          <w:iCs/>
          <w:color w:val="000000"/>
        </w:rPr>
        <w:tab/>
      </w:r>
      <w:r>
        <w:rPr>
          <w:iCs/>
          <w:color w:val="000000"/>
        </w:rPr>
        <w:tab/>
      </w:r>
      <w:r>
        <w:rPr>
          <w:iCs/>
          <w:color w:val="000000"/>
        </w:rPr>
        <w:tab/>
      </w:r>
      <w:r>
        <w:rPr>
          <w:iCs/>
          <w:color w:val="000000"/>
        </w:rPr>
        <w:tab/>
      </w:r>
      <w:r>
        <w:rPr>
          <w:iCs/>
          <w:color w:val="000000"/>
        </w:rPr>
        <w:tab/>
      </w:r>
      <w:r>
        <w:rPr>
          <w:iCs/>
          <w:color w:val="000000"/>
        </w:rPr>
        <w:tab/>
        <w:t xml:space="preserve">(Eqn. </w:t>
      </w:r>
      <w:r w:rsidR="00247CFD">
        <w:rPr>
          <w:iCs/>
          <w:color w:val="000000"/>
        </w:rPr>
        <w:t>8</w:t>
      </w:r>
      <w:r>
        <w:rPr>
          <w:iCs/>
          <w:color w:val="000000"/>
        </w:rPr>
        <w:t>)</w:t>
      </w:r>
    </w:p>
    <w:p w14:paraId="70AB3BB0" w14:textId="77777777" w:rsidR="00BA3A8F" w:rsidRDefault="00BA3A8F" w:rsidP="00BA3A8F">
      <w:pPr>
        <w:spacing w:line="480" w:lineRule="auto"/>
        <w:rPr>
          <w:i/>
          <w:iCs/>
          <w:color w:val="000000"/>
        </w:rPr>
      </w:pPr>
    </w:p>
    <w:p w14:paraId="741DBF07" w14:textId="77777777" w:rsidR="00BA3A8F" w:rsidRDefault="00BA3A8F" w:rsidP="00BA3A8F">
      <w:pPr>
        <w:spacing w:line="480" w:lineRule="auto"/>
        <w:rPr>
          <w:color w:val="000000"/>
        </w:rPr>
      </w:pPr>
      <w:r>
        <w:rPr>
          <w:i/>
          <w:iCs/>
          <w:color w:val="000000"/>
        </w:rPr>
        <w:t>K</w:t>
      </w:r>
      <w:r>
        <w:rPr>
          <w:color w:val="000000"/>
          <w:vertAlign w:val="subscript"/>
        </w:rPr>
        <w:t>c</w:t>
      </w:r>
      <w:r>
        <w:rPr>
          <w:color w:val="000000"/>
        </w:rPr>
        <w:t xml:space="preserve"> refers to the Michaelis-Menten coefficient for Rubisco affinity to CO</w:t>
      </w:r>
      <w:r>
        <w:rPr>
          <w:color w:val="000000"/>
          <w:vertAlign w:val="subscript"/>
        </w:rPr>
        <w:t>2</w:t>
      </w:r>
      <w:r>
        <w:rPr>
          <w:color w:val="000000"/>
        </w:rPr>
        <w:t xml:space="preserve">, </w:t>
      </w:r>
      <w:r>
        <w:rPr>
          <w:i/>
          <w:iCs/>
          <w:color w:val="000000"/>
        </w:rPr>
        <w:t>K</w:t>
      </w:r>
      <w:r>
        <w:rPr>
          <w:color w:val="000000"/>
          <w:vertAlign w:val="subscript"/>
        </w:rPr>
        <w:t>o</w:t>
      </w:r>
      <w:r>
        <w:rPr>
          <w:color w:val="000000"/>
        </w:rPr>
        <w:t xml:space="preserve"> refers to the Michaelis-Menten coefficient for Rubisco affinity to O</w:t>
      </w:r>
      <w:r>
        <w:rPr>
          <w:color w:val="000000"/>
          <w:vertAlign w:val="subscript"/>
        </w:rPr>
        <w:t>2</w:t>
      </w:r>
      <w:r>
        <w:rPr>
          <w:color w:val="000000"/>
        </w:rPr>
        <w:t xml:space="preserve">, and </w:t>
      </w:r>
      <w:r>
        <w:rPr>
          <w:i/>
          <w:iCs/>
          <w:color w:val="000000"/>
        </w:rPr>
        <w:t>O</w:t>
      </w:r>
      <w:r>
        <w:rPr>
          <w:color w:val="000000"/>
          <w:vertAlign w:val="subscript"/>
        </w:rPr>
        <w:t>i</w:t>
      </w:r>
      <w:r>
        <w:rPr>
          <w:color w:val="000000"/>
        </w:rPr>
        <w:t xml:space="preserve"> refers to leaf intercellular O</w:t>
      </w:r>
      <w:r>
        <w:rPr>
          <w:color w:val="000000"/>
          <w:vertAlign w:val="subscript"/>
        </w:rPr>
        <w:t>2</w:t>
      </w:r>
      <w:r>
        <w:rPr>
          <w:color w:val="000000"/>
        </w:rPr>
        <w:t xml:space="preserve"> concentrations. </w:t>
      </w:r>
      <w:r w:rsidRPr="00F84209">
        <w:rPr>
          <w:color w:val="000000"/>
          <w:lang w:val="el-GR"/>
        </w:rPr>
        <w:t>Γ</w:t>
      </w:r>
      <w:r>
        <w:rPr>
          <w:color w:val="000000"/>
          <w:vertAlign w:val="superscript"/>
        </w:rPr>
        <w:t>*</w:t>
      </w:r>
      <w:r>
        <w:rPr>
          <w:color w:val="000000"/>
        </w:rPr>
        <w:t xml:space="preserve"> and </w:t>
      </w:r>
      <w:r>
        <w:rPr>
          <w:i/>
          <w:iCs/>
          <w:color w:val="000000"/>
        </w:rPr>
        <w:t>K</w:t>
      </w:r>
      <w:r>
        <w:rPr>
          <w:color w:val="000000"/>
          <w:vertAlign w:val="subscript"/>
        </w:rPr>
        <w:t>m</w:t>
      </w:r>
      <w:r>
        <w:rPr>
          <w:color w:val="000000"/>
        </w:rPr>
        <w:t xml:space="preserve"> were standardized to the average temperature of each CO</w:t>
      </w:r>
      <w:r>
        <w:rPr>
          <w:color w:val="000000"/>
          <w:vertAlign w:val="subscript"/>
        </w:rPr>
        <w:t>2</w:t>
      </w:r>
      <w:r>
        <w:rPr>
          <w:color w:val="000000"/>
        </w:rPr>
        <w:t xml:space="preserve"> response curve using equations and parameters described in </w:t>
      </w:r>
      <w:r>
        <w:rPr>
          <w:color w:val="000000"/>
        </w:rPr>
        <w:fldChar w:fldCharType="begin" w:fldLock="1"/>
      </w:r>
      <w:r>
        <w:rPr>
          <w:color w:val="000000"/>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Pr>
          <w:color w:val="000000"/>
        </w:rPr>
        <w:fldChar w:fldCharType="separate"/>
      </w:r>
      <w:r w:rsidRPr="00275729">
        <w:rPr>
          <w:noProof/>
          <w:color w:val="000000"/>
        </w:rPr>
        <w:t xml:space="preserve">Bernacchi et al. </w:t>
      </w:r>
      <w:r>
        <w:rPr>
          <w:noProof/>
          <w:color w:val="000000"/>
        </w:rPr>
        <w:t>(</w:t>
      </w:r>
      <w:r w:rsidRPr="00275729">
        <w:rPr>
          <w:noProof/>
          <w:color w:val="000000"/>
        </w:rPr>
        <w:t>2001)</w:t>
      </w:r>
      <w:r>
        <w:rPr>
          <w:color w:val="000000"/>
        </w:rPr>
        <w:fldChar w:fldCharType="end"/>
      </w:r>
      <w:r>
        <w:rPr>
          <w:color w:val="000000"/>
        </w:rPr>
        <w:t>.</w:t>
      </w:r>
    </w:p>
    <w:p w14:paraId="3436658E" w14:textId="77777777" w:rsidR="00BA3A8F" w:rsidRDefault="00BA3A8F" w:rsidP="00BA3A8F">
      <w:pPr>
        <w:spacing w:line="480" w:lineRule="auto"/>
        <w:rPr>
          <w:color w:val="000000"/>
        </w:rPr>
      </w:pPr>
    </w:p>
    <w:p w14:paraId="25E2D5B9" w14:textId="77777777" w:rsidR="00BA3A8F" w:rsidRPr="006130E2" w:rsidRDefault="00BA3A8F" w:rsidP="00BA3A8F">
      <w:pPr>
        <w:spacing w:line="480" w:lineRule="auto"/>
        <w:rPr>
          <w:i/>
          <w:iCs/>
          <w:color w:val="000000"/>
        </w:rPr>
      </w:pPr>
      <w:r>
        <w:rPr>
          <w:i/>
          <w:iCs/>
          <w:color w:val="000000"/>
        </w:rPr>
        <w:t>Tradeoffs between nitrogen and water use</w:t>
      </w:r>
    </w:p>
    <w:p w14:paraId="0A2DEB95" w14:textId="410D8412" w:rsidR="00BA3A8F" w:rsidRDefault="00BA3A8F" w:rsidP="00BA3A8F">
      <w:pPr>
        <w:autoSpaceDE w:val="0"/>
        <w:autoSpaceDN w:val="0"/>
        <w:adjustRightInd w:val="0"/>
        <w:spacing w:line="480" w:lineRule="auto"/>
        <w:ind w:firstLine="720"/>
        <w:rPr>
          <w:color w:val="000000"/>
        </w:rPr>
      </w:pPr>
      <w:r>
        <w:rPr>
          <w:color w:val="000000" w:themeColor="text1"/>
        </w:rPr>
        <w:t>Photosynthetic nitrogen use efficiency (</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xml:space="preserve">. We used </w:t>
      </w:r>
      <w:r>
        <w:rPr>
          <w:color w:val="000000" w:themeColor="text1"/>
          <w:lang w:val="el-GR"/>
        </w:rPr>
        <w:t>χ</w:t>
      </w:r>
      <w:r>
        <w:rPr>
          <w:color w:val="000000" w:themeColor="text1"/>
        </w:rPr>
        <w:t xml:space="preserve">, mentioned above, to estimate water use efficiency. Tradeoffs between nitrogen and water use were determined by calculating </w:t>
      </w:r>
      <w:r>
        <w:rPr>
          <w:color w:val="000000" w:themeColor="text1"/>
        </w:rPr>
        <w:lastRenderedPageBreak/>
        <w:t xml:space="preserve">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proofErr w:type="spellEnd"/>
      <w:r>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rPr>
        <w:t xml:space="preserve">; </w:t>
      </w:r>
      <w:proofErr w:type="spellStart"/>
      <w:r>
        <w:rPr>
          <w:color w:val="000000" w:themeColor="text1"/>
        </w:rPr>
        <w:t>gN</w:t>
      </w:r>
      <w:proofErr w:type="spellEnd"/>
      <w:r>
        <w:rPr>
          <w:color w:val="000000" w:themeColor="text1"/>
        </w:rPr>
        <w:t xml:space="preserve">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proofErr w:type="spellEnd"/>
      <w:r w:rsidRPr="00F15977">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Pr="14AB8DC9">
        <w:rPr>
          <w:color w:val="000000" w:themeColor="text1"/>
        </w:rPr>
        <w:t>)</w:t>
      </w:r>
      <w:r>
        <w:rPr>
          <w:color w:val="000000" w:themeColor="text1"/>
        </w:rPr>
        <w:t xml:space="preserve">, as done in </w:t>
      </w:r>
      <w:r>
        <w:rPr>
          <w:color w:val="000000" w:themeColor="text1"/>
        </w:rPr>
        <w:fldChar w:fldCharType="begin" w:fldLock="1"/>
      </w:r>
      <w:r>
        <w:rPr>
          <w:color w:val="000000" w:themeColor="text1"/>
        </w:rP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2020)","manualFormatting":"Paillassa et al. (2020)","plainTextFormattedCitation":"(Paillassa et al., 2020)","previouslyFormattedCitation":"(Paillassa et al., 2020)"},"properties":{"noteIndex":0},"schema":"https://github.com/citation-style-language/schema/raw/master/csl-citation.json"}</w:instrText>
      </w:r>
      <w:r>
        <w:rPr>
          <w:color w:val="000000" w:themeColor="text1"/>
        </w:rPr>
        <w:fldChar w:fldCharType="separate"/>
      </w:r>
      <w:r w:rsidRPr="00275729">
        <w:rPr>
          <w:noProof/>
          <w:color w:val="000000" w:themeColor="text1"/>
        </w:rPr>
        <w:t xml:space="preserve">Paillassa et al. </w:t>
      </w:r>
      <w:r>
        <w:rPr>
          <w:noProof/>
          <w:color w:val="000000" w:themeColor="text1"/>
        </w:rPr>
        <w:t>(</w:t>
      </w:r>
      <w:r w:rsidRPr="00275729">
        <w:rPr>
          <w:noProof/>
          <w:color w:val="000000" w:themeColor="text1"/>
        </w:rPr>
        <w:t>2020)</w:t>
      </w:r>
      <w:r>
        <w:rPr>
          <w:color w:val="000000" w:themeColor="text1"/>
        </w:rPr>
        <w:fldChar w:fldCharType="end"/>
      </w:r>
      <w:r>
        <w:rPr>
          <w:color w:val="000000" w:themeColor="text1"/>
        </w:rPr>
        <w:t xml:space="preserve"> and </w:t>
      </w:r>
      <w:r>
        <w:rPr>
          <w:color w:val="000000" w:themeColor="text1"/>
        </w:rPr>
        <w:fldChar w:fldCharType="begin" w:fldLock="1"/>
      </w:r>
      <w:r>
        <w:rPr>
          <w:color w:val="000000" w:themeColor="text1"/>
        </w:rPr>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economies","type":"article-journal","volume":"24"},"uris":["http://www.mendeley.com/documents/?uuid=40e8c158-e0e6-42ac-bc96-6a2d1831408e"]}],"mendeley":{"formattedCitation":"(Bialic‐Murphy et al., 2021)","manualFormatting":"Bialic‐Murphy et al. (2021)","plainTextFormattedCitation":"(Bialic‐Murphy et al., 2021)","previouslyFormattedCitation":"(Bialic‐Murphy et al., 2021)"},"properties":{"noteIndex":0},"schema":"https://github.com/citation-style-language/schema/raw/master/csl-citation.json"}</w:instrText>
      </w:r>
      <w:r>
        <w:rPr>
          <w:color w:val="000000" w:themeColor="text1"/>
        </w:rPr>
        <w:fldChar w:fldCharType="separate"/>
      </w:r>
      <w:r w:rsidRPr="00275729">
        <w:rPr>
          <w:noProof/>
          <w:color w:val="000000" w:themeColor="text1"/>
        </w:rPr>
        <w:t>Bialic‐Murphy et al.</w:t>
      </w:r>
      <w:r>
        <w:rPr>
          <w:noProof/>
          <w:color w:val="000000" w:themeColor="text1"/>
        </w:rPr>
        <w:t xml:space="preserve"> (</w:t>
      </w:r>
      <w:r w:rsidRPr="00275729">
        <w:rPr>
          <w:noProof/>
          <w:color w:val="000000" w:themeColor="text1"/>
        </w:rPr>
        <w:t>2021)</w:t>
      </w:r>
      <w:r>
        <w:rPr>
          <w:color w:val="000000" w:themeColor="text1"/>
        </w:rPr>
        <w:fldChar w:fldCharType="end"/>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proofErr w:type="spellEnd"/>
      <w:r w:rsidRPr="00F15977">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6EB201A2" w14:textId="3DF583E9" w:rsidR="00BC73C6" w:rsidRDefault="00BC73C6" w:rsidP="00BC73C6">
      <w:pPr>
        <w:autoSpaceDE w:val="0"/>
        <w:autoSpaceDN w:val="0"/>
        <w:adjustRightInd w:val="0"/>
        <w:spacing w:line="480" w:lineRule="auto"/>
        <w:rPr>
          <w:color w:val="000000"/>
        </w:rPr>
      </w:pPr>
    </w:p>
    <w:p w14:paraId="0ED25664" w14:textId="655371D5" w:rsidR="00BC73C6" w:rsidRDefault="00BC73C6" w:rsidP="00BC73C6">
      <w:pPr>
        <w:autoSpaceDE w:val="0"/>
        <w:autoSpaceDN w:val="0"/>
        <w:adjustRightInd w:val="0"/>
        <w:spacing w:line="480" w:lineRule="auto"/>
        <w:rPr>
          <w:color w:val="000000"/>
        </w:rPr>
      </w:pPr>
      <w:r>
        <w:rPr>
          <w:i/>
          <w:iCs/>
          <w:color w:val="000000"/>
        </w:rPr>
        <w:t>Whole plant traits</w:t>
      </w:r>
    </w:p>
    <w:p w14:paraId="56E2B5CB" w14:textId="3A79AE29" w:rsidR="00BC73C6" w:rsidRDefault="00BC73C6" w:rsidP="00BC73C6">
      <w:pPr>
        <w:autoSpaceDE w:val="0"/>
        <w:autoSpaceDN w:val="0"/>
        <w:adjustRightInd w:val="0"/>
        <w:spacing w:line="480" w:lineRule="auto"/>
        <w:ind w:firstLine="720"/>
      </w:pPr>
      <w:r>
        <w:rPr>
          <w:color w:val="000000"/>
        </w:rPr>
        <w:t>The day after dynamic CO</w:t>
      </w:r>
      <w:r>
        <w:rPr>
          <w:color w:val="000000"/>
          <w:vertAlign w:val="subscript"/>
        </w:rPr>
        <w:t>2</w:t>
      </w:r>
      <w:r>
        <w:rPr>
          <w:color w:val="000000"/>
        </w:rPr>
        <w:t xml:space="preserve"> response curves were collected on the sixth week, we harvested all experimental individuals and separated </w:t>
      </w:r>
      <w:r>
        <w:t xml:space="preserve">biomass of </w:t>
      </w:r>
      <w:r w:rsidRPr="00360D30">
        <w:t>each experimental individual into major organ types (leaves, stems, roots</w:t>
      </w:r>
      <w:r>
        <w:t>, and root nodules when present</w:t>
      </w:r>
      <w:r w:rsidRPr="00360D30">
        <w:t>)</w:t>
      </w:r>
      <w:r>
        <w:t xml:space="preserve"> approximately </w:t>
      </w:r>
      <w:commentRangeStart w:id="0"/>
      <w:r>
        <w:t>seven</w:t>
      </w:r>
      <w:commentRangeEnd w:id="0"/>
      <w:r>
        <w:rPr>
          <w:rStyle w:val="CommentReference"/>
        </w:rPr>
        <w:commentReference w:id="0"/>
      </w:r>
      <w:r>
        <w:t xml:space="preserve"> weeks after experiment initiation</w:t>
      </w:r>
      <w:r w:rsidRPr="00360D30">
        <w:t>. Leaf areas of all harvested leaves were measured using a</w:t>
      </w:r>
      <w:r>
        <w:t>n</w:t>
      </w:r>
      <w:r w:rsidRPr="00360D30">
        <w:t xml:space="preserve"> </w:t>
      </w:r>
      <w:r>
        <w:t>LI-3100C (</w:t>
      </w:r>
      <w:r w:rsidRPr="00863849">
        <w:rPr>
          <w:color w:val="000000"/>
        </w:rPr>
        <w:t>Li-COR Bioscience</w:t>
      </w:r>
      <w:r>
        <w:rPr>
          <w:color w:val="000000"/>
        </w:rPr>
        <w:t>s</w:t>
      </w:r>
      <w:r w:rsidRPr="00863849">
        <w:rPr>
          <w:color w:val="000000"/>
        </w:rPr>
        <w:t>, Lincoln, Nebraska, USA</w:t>
      </w:r>
      <w:r>
        <w:rPr>
          <w:color w:val="000000"/>
        </w:rPr>
        <w:t>)</w:t>
      </w:r>
      <w:r>
        <w:t>. T</w:t>
      </w:r>
      <w:r w:rsidRPr="00360D30">
        <w:t>otal leaf area</w:t>
      </w:r>
      <w:r>
        <w:t xml:space="preserve"> (cm</w:t>
      </w:r>
      <w:r>
        <w:rPr>
          <w:vertAlign w:val="superscript"/>
        </w:rPr>
        <w:t>2</w:t>
      </w:r>
      <w:r>
        <w:t>)</w:t>
      </w:r>
      <w:r w:rsidRPr="00360D30">
        <w:t xml:space="preserve"> was calculated as the sum of all leaf areas,</w:t>
      </w:r>
      <w:r>
        <w:t xml:space="preserve"> and </w:t>
      </w:r>
      <w:r w:rsidRPr="00360D30">
        <w:t>includ</w:t>
      </w:r>
      <w:r>
        <w:t>ed</w:t>
      </w:r>
      <w:r w:rsidRPr="00360D30">
        <w:t xml:space="preserve"> </w:t>
      </w:r>
      <w:r>
        <w:t xml:space="preserve">the focal leaf measured during the </w:t>
      </w:r>
      <w:r>
        <w:t xml:space="preserve">dynamic </w:t>
      </w:r>
      <w:r>
        <w:t>CO</w:t>
      </w:r>
      <w:r>
        <w:rPr>
          <w:vertAlign w:val="subscript"/>
        </w:rPr>
        <w:t>2</w:t>
      </w:r>
      <w:r>
        <w:t xml:space="preserve"> response curve</w:t>
      </w:r>
      <w:r w:rsidRPr="00360D30">
        <w:t>. All harvested material was dried</w:t>
      </w:r>
      <w:r>
        <w:t xml:space="preserve"> in an oven set to 65</w:t>
      </w:r>
      <w:r>
        <w:sym w:font="Symbol" w:char="F0B0"/>
      </w:r>
      <w:r>
        <w:t>C for at least 48 hours, weighed, and ground to homogeneity. Total dry biomass (g) was calculated as the sum of dry leaf, stem, root, and root nodule biomass. We also quantified carbon and nitrogen content through elemental combustion (</w:t>
      </w:r>
      <w:r>
        <w:rPr>
          <w:color w:val="000000"/>
        </w:rPr>
        <w:t xml:space="preserve">Costech-4010, </w:t>
      </w:r>
      <w:proofErr w:type="spellStart"/>
      <w:r>
        <w:rPr>
          <w:color w:val="000000"/>
        </w:rPr>
        <w:t>Costech</w:t>
      </w:r>
      <w:proofErr w:type="spellEnd"/>
      <w:r>
        <w:rPr>
          <w:color w:val="000000"/>
        </w:rPr>
        <w:t>, Inc., Valencia, CA, USA)</w:t>
      </w:r>
      <w:r>
        <w:t xml:space="preserve"> of each respective organ type using subsamples of ground and homogenized organ tissue. </w:t>
      </w:r>
    </w:p>
    <w:p w14:paraId="5264FE1E" w14:textId="691B2E5D" w:rsidR="00BC73C6" w:rsidRDefault="00BC73C6" w:rsidP="00BC73C6">
      <w:pPr>
        <w:autoSpaceDE w:val="0"/>
        <w:autoSpaceDN w:val="0"/>
        <w:adjustRightInd w:val="0"/>
        <w:spacing w:line="480" w:lineRule="auto"/>
        <w:ind w:firstLine="720"/>
      </w:pPr>
      <w:r>
        <w:t xml:space="preserve">Following the approach explained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430044">
        <w:rPr>
          <w:noProof/>
        </w:rPr>
        <w:t xml:space="preserve">Perkowski </w:t>
      </w:r>
      <w:r w:rsidRPr="00412BAB">
        <w:rPr>
          <w:iCs/>
          <w:noProof/>
        </w:rPr>
        <w:t>et al. (</w:t>
      </w:r>
      <w:r w:rsidRPr="00430044">
        <w:rPr>
          <w:noProof/>
        </w:rPr>
        <w:t>2021)</w:t>
      </w:r>
      <w:r>
        <w:fldChar w:fldCharType="end"/>
      </w:r>
      <w:r>
        <w:t>, we calculated structural carbon costs to acquire nitrogen as the ratio of total belowground carbon biomass to whole plant nitrogen biomass (g C g</w:t>
      </w:r>
      <w:r>
        <w:rPr>
          <w:vertAlign w:val="superscript"/>
        </w:rPr>
        <w:t>-1</w:t>
      </w:r>
      <w:r>
        <w:t xml:space="preserve"> N). Belowground carbon biomass (g C) was calculated by multiplying the carbon content of roots and root nodules by total biomass of each respective organ type, then adding root carbon biomass and root nodule carbon biomass. Whole plant nitrogen biomass (g </w:t>
      </w:r>
      <w:r>
        <w:lastRenderedPageBreak/>
        <w:t xml:space="preserve">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any additional carbon costs of nitrogen acquisition that are associated with root respiration, root exudation, or root turnover. An explicit explanation of the limitations for interpreting this calculation can be found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B84938">
        <w:rPr>
          <w:noProof/>
        </w:rPr>
        <w:t>Perkowski</w:t>
      </w:r>
      <w:r w:rsidRPr="00F9445D">
        <w:rPr>
          <w:iCs/>
          <w:noProof/>
        </w:rPr>
        <w:t xml:space="preserve"> et al. </w:t>
      </w:r>
      <w:r>
        <w:rPr>
          <w:noProof/>
        </w:rPr>
        <w:t>(</w:t>
      </w:r>
      <w:r w:rsidRPr="00B84938">
        <w:rPr>
          <w:noProof/>
        </w:rPr>
        <w:t>2021)</w:t>
      </w:r>
      <w:r>
        <w:fldChar w:fldCharType="end"/>
      </w:r>
      <w:r>
        <w:t xml:space="preserve"> and </w:t>
      </w:r>
      <w:r>
        <w:fldChar w:fldCharType="begin" w:fldLock="1"/>
      </w:r>
      <w:r>
        <w:instrText>ADDIN CSL_CITATION {"citationItems":[{"id":"ITEM-1","itemData":{"DOI":"10.1111/nph.14872","ISBN":"7476820487","ISSN":"14698137","abstract":"© 2017 The Authors. New Phytologist © 2017 New Phytologist Trust (Table presented.). Summary: 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ö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Phytologist","id":"ITEM-1","issue":"2","issued":{"date-parts":[["2018"]]},"page":"507-522","title":"Ecosystem responses to elevated CO&lt;sub&gt;2&lt;/sub&gt;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fldChar w:fldCharType="separate"/>
      </w:r>
      <w:r w:rsidRPr="00F9445D">
        <w:rPr>
          <w:noProof/>
        </w:rPr>
        <w:t xml:space="preserve">Terrer et al. </w:t>
      </w:r>
      <w:r>
        <w:rPr>
          <w:noProof/>
        </w:rPr>
        <w:t>(</w:t>
      </w:r>
      <w:r w:rsidRPr="00F9445D">
        <w:rPr>
          <w:noProof/>
        </w:rPr>
        <w:t>2018)</w:t>
      </w:r>
      <w:r>
        <w:fldChar w:fldCharType="end"/>
      </w:r>
      <w:r>
        <w:t>.</w:t>
      </w:r>
    </w:p>
    <w:p w14:paraId="53858209" w14:textId="43DA7DD1" w:rsidR="00BC73C6" w:rsidRDefault="00BC73C6" w:rsidP="00BC73C6">
      <w:pPr>
        <w:autoSpaceDE w:val="0"/>
        <w:autoSpaceDN w:val="0"/>
        <w:adjustRightInd w:val="0"/>
        <w:spacing w:line="480" w:lineRule="auto"/>
      </w:pPr>
    </w:p>
    <w:p w14:paraId="3019A001" w14:textId="1EFF47A3" w:rsidR="00BC73C6" w:rsidRPr="00BC73C6" w:rsidRDefault="00BC73C6" w:rsidP="00BC73C6">
      <w:pPr>
        <w:autoSpaceDE w:val="0"/>
        <w:autoSpaceDN w:val="0"/>
        <w:adjustRightInd w:val="0"/>
        <w:spacing w:line="480" w:lineRule="auto"/>
        <w:rPr>
          <w:i/>
          <w:iCs/>
        </w:rPr>
      </w:pPr>
      <w:r>
        <w:rPr>
          <w:i/>
          <w:iCs/>
        </w:rPr>
        <w:t>Nitrogen fixation</w:t>
      </w:r>
    </w:p>
    <w:p w14:paraId="3BEB0E2C" w14:textId="20C83372" w:rsidR="00F917B0" w:rsidRDefault="00BC73C6" w:rsidP="00BC73C6">
      <w:pPr>
        <w:autoSpaceDE w:val="0"/>
        <w:autoSpaceDN w:val="0"/>
        <w:adjustRightInd w:val="0"/>
        <w:spacing w:line="480" w:lineRule="auto"/>
        <w:rPr>
          <w:color w:val="000000"/>
        </w:rPr>
      </w:pPr>
      <w:r>
        <w:rPr>
          <w:color w:val="000000"/>
        </w:rPr>
        <w:tab/>
        <w:t xml:space="preserve">We calculated plant investments in nitrogen fixation </w:t>
      </w:r>
      <w:r w:rsidR="007B67A6">
        <w:rPr>
          <w:color w:val="000000"/>
        </w:rPr>
        <w:t xml:space="preserve">as the ratio of root nodule biomass to root biomass, where increasing values </w:t>
      </w:r>
      <w:r w:rsidR="00F917B0">
        <w:rPr>
          <w:color w:val="000000"/>
        </w:rPr>
        <w:t>indicate an increase in plant investments to nitrogen fixation</w:t>
      </w:r>
      <w:r w:rsidR="007B67A6">
        <w:rPr>
          <w:color w:val="000000"/>
        </w:rPr>
        <w:t xml:space="preserve"> </w:t>
      </w:r>
      <w:r w:rsidR="007B67A6">
        <w:rPr>
          <w:color w:val="000000"/>
        </w:rPr>
        <w:fldChar w:fldCharType="begin" w:fldLock="1"/>
      </w:r>
      <w:r w:rsidR="00F917B0">
        <w:rPr>
          <w:color w:val="000000"/>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strategies","type":"article-journal","volume":"72"},"uris":["http://www.mendeley.com/documents/?uuid=233b0f00-9a30-4c3a-a2bb-5e67ae9c0e5f"]}],"mendeley":{"formattedCitation":"(Dovrat et al., 2018, 2020; Perkowski et al., 2021)","plainTextFormattedCitation":"(Dovrat et al., 2018, 2020; Perkowski et al., 2021)","previouslyFormattedCitation":"(Dovrat et al., 2018, 2020; Perkowski et al., 2021)"},"properties":{"noteIndex":0},"schema":"https://github.com/citation-style-language/schema/raw/master/csl-citation.json"}</w:instrText>
      </w:r>
      <w:r w:rsidR="007B67A6">
        <w:rPr>
          <w:color w:val="000000"/>
        </w:rPr>
        <w:fldChar w:fldCharType="separate"/>
      </w:r>
      <w:r w:rsidR="007B67A6" w:rsidRPr="007B67A6">
        <w:rPr>
          <w:noProof/>
          <w:color w:val="000000"/>
        </w:rPr>
        <w:t>(Dovrat et al., 2018, 2020; Perkowski et al., 2021)</w:t>
      </w:r>
      <w:r w:rsidR="007B67A6">
        <w:rPr>
          <w:color w:val="000000"/>
        </w:rPr>
        <w:fldChar w:fldCharType="end"/>
      </w:r>
      <w:r w:rsidR="00F917B0">
        <w:rPr>
          <w:color w:val="000000"/>
        </w:rPr>
        <w:t>. We also calculated the percent of leaf nitrogen acquired from the atmosphere</w:t>
      </w:r>
      <w:r>
        <w:rPr>
          <w:color w:val="000000"/>
        </w:rPr>
        <w:t xml:space="preserve"> (</w:t>
      </w:r>
      <w:proofErr w:type="spellStart"/>
      <w:r>
        <w:rPr>
          <w:color w:val="000000"/>
        </w:rPr>
        <w:t>Nfda</w:t>
      </w:r>
      <w:proofErr w:type="spellEnd"/>
      <w:r w:rsidR="00AF1373">
        <w:rPr>
          <w:color w:val="000000"/>
        </w:rPr>
        <w:t>; unitless</w:t>
      </w:r>
      <w:r>
        <w:rPr>
          <w:color w:val="000000"/>
        </w:rPr>
        <w:t xml:space="preserve">) using leaf </w:t>
      </w:r>
      <w:r>
        <w:rPr>
          <w:color w:val="000000"/>
          <w:lang w:val="el-GR"/>
        </w:rPr>
        <w:t>δ</w:t>
      </w:r>
      <w:r>
        <w:rPr>
          <w:color w:val="000000"/>
          <w:vertAlign w:val="superscript"/>
        </w:rPr>
        <w:t>15</w:t>
      </w:r>
      <w:r>
        <w:rPr>
          <w:color w:val="000000"/>
        </w:rPr>
        <w:t>N</w:t>
      </w:r>
      <w:r w:rsidR="00F917B0">
        <w:rPr>
          <w:color w:val="000000"/>
        </w:rPr>
        <w:t xml:space="preserve"> and the following equation</w:t>
      </w:r>
      <w:r w:rsidR="00385BDF">
        <w:rPr>
          <w:color w:val="000000"/>
        </w:rPr>
        <w:t xml:space="preserve"> from </w:t>
      </w:r>
      <w:r w:rsidR="00385BDF">
        <w:rPr>
          <w:color w:val="000000"/>
        </w:rPr>
        <w:fldChar w:fldCharType="begin" w:fldLock="1"/>
      </w:r>
      <w:r w:rsidR="00385BDF">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F917B0">
        <w:rPr>
          <w:color w:val="000000"/>
        </w:rPr>
        <w:t>:</w:t>
      </w:r>
    </w:p>
    <w:p w14:paraId="5C480B6A" w14:textId="77777777" w:rsidR="00F917B0" w:rsidRDefault="00F917B0" w:rsidP="00BC73C6">
      <w:pPr>
        <w:autoSpaceDE w:val="0"/>
        <w:autoSpaceDN w:val="0"/>
        <w:adjustRightInd w:val="0"/>
        <w:spacing w:line="480" w:lineRule="auto"/>
        <w:rPr>
          <w:color w:val="000000"/>
        </w:rPr>
      </w:pPr>
    </w:p>
    <w:p w14:paraId="0AB1D537" w14:textId="0609EF16" w:rsidR="00BC73C6" w:rsidRDefault="00F917B0" w:rsidP="00BC73C6">
      <w:pPr>
        <w:autoSpaceDE w:val="0"/>
        <w:autoSpaceDN w:val="0"/>
        <w:adjustRightInd w:val="0"/>
        <w:spacing w:line="480" w:lineRule="auto"/>
        <w:rPr>
          <w:color w:val="000000"/>
        </w:rPr>
      </w:pPr>
      <m:oMath>
        <m:r>
          <w:rPr>
            <w:rFonts w:ascii="Cambria Math" w:hAnsi="Cambria Math"/>
            <w:color w:val="000000"/>
          </w:rPr>
          <m:t>Nfda=</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sample</m:t>
                </m:r>
              </m:sub>
            </m:sSub>
          </m:num>
          <m:den>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r>
              <w:rPr>
                <w:rFonts w:ascii="Cambria Math" w:hAnsi="Cambria Math"/>
                <w:color w:val="000000"/>
              </w:rPr>
              <m:t>B</m:t>
            </m:r>
          </m:den>
        </m:f>
      </m:oMath>
      <w:r>
        <w:rPr>
          <w:color w:val="000000"/>
        </w:rPr>
        <w:t xml:space="preserve"> </w:t>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t>(Eqn. 9)</w:t>
      </w:r>
    </w:p>
    <w:p w14:paraId="01010357" w14:textId="77777777" w:rsidR="00F917B0" w:rsidRDefault="00F917B0" w:rsidP="00BC73C6">
      <w:pPr>
        <w:autoSpaceDE w:val="0"/>
        <w:autoSpaceDN w:val="0"/>
        <w:adjustRightInd w:val="0"/>
        <w:spacing w:line="480" w:lineRule="auto"/>
        <w:rPr>
          <w:color w:val="000000"/>
        </w:rPr>
      </w:pPr>
    </w:p>
    <w:p w14:paraId="2B2F376C" w14:textId="143C4E14" w:rsidR="00A14A1D" w:rsidRDefault="00F917B0" w:rsidP="00BC73C6">
      <w:pPr>
        <w:autoSpaceDE w:val="0"/>
        <w:autoSpaceDN w:val="0"/>
        <w:adjustRightInd w:val="0"/>
        <w:spacing w:line="480" w:lineRule="auto"/>
        <w:rPr>
          <w:color w:val="000000"/>
        </w:rPr>
      </w:pPr>
      <w:r>
        <w:rPr>
          <w:color w:val="000000"/>
        </w:rPr>
        <w:t xml:space="preserve">where </w:t>
      </w:r>
      <w:r>
        <w:rPr>
          <w:color w:val="000000"/>
          <w:lang w:val="el-GR"/>
        </w:rPr>
        <w:t>δ</w:t>
      </w:r>
      <w:r>
        <w:rPr>
          <w:color w:val="000000"/>
          <w:vertAlign w:val="superscript"/>
        </w:rPr>
        <w:t>15</w:t>
      </w:r>
      <w:r>
        <w:rPr>
          <w:color w:val="000000"/>
        </w:rPr>
        <w:t>N</w:t>
      </w:r>
      <w:r>
        <w:rPr>
          <w:color w:val="000000"/>
          <w:vertAlign w:val="subscript"/>
        </w:rPr>
        <w:t>reference</w:t>
      </w:r>
      <w:r>
        <w:rPr>
          <w:color w:val="000000"/>
        </w:rPr>
        <w:t xml:space="preserve"> refers to a reference plant that</w:t>
      </w:r>
      <w:r w:rsidR="00385BDF">
        <w:rPr>
          <w:color w:val="000000"/>
        </w:rPr>
        <w:t xml:space="preserve"> exclusively</w:t>
      </w:r>
      <w:r>
        <w:rPr>
          <w:color w:val="000000"/>
        </w:rPr>
        <w:t xml:space="preserve"> acquires nutrients via </w:t>
      </w:r>
      <w:r w:rsidR="00385BDF">
        <w:rPr>
          <w:color w:val="000000"/>
        </w:rPr>
        <w:t>direct uptake</w:t>
      </w:r>
      <w:r>
        <w:rPr>
          <w:color w:val="000000"/>
        </w:rPr>
        <w:t xml:space="preserve">, </w:t>
      </w:r>
      <w:r>
        <w:rPr>
          <w:color w:val="000000"/>
          <w:lang w:val="el-GR"/>
        </w:rPr>
        <w:t>δ</w:t>
      </w:r>
      <w:r>
        <w:rPr>
          <w:color w:val="000000"/>
          <w:vertAlign w:val="superscript"/>
        </w:rPr>
        <w:t>15</w:t>
      </w:r>
      <w:r>
        <w:rPr>
          <w:color w:val="000000"/>
        </w:rPr>
        <w:t>N</w:t>
      </w:r>
      <w:r>
        <w:rPr>
          <w:color w:val="000000"/>
          <w:vertAlign w:val="subscript"/>
        </w:rPr>
        <w:t>sample</w:t>
      </w:r>
      <w:r>
        <w:rPr>
          <w:color w:val="000000"/>
        </w:rPr>
        <w:t xml:space="preserve"> refers to an individual’s </w:t>
      </w:r>
      <w:r>
        <w:rPr>
          <w:color w:val="000000"/>
        </w:rPr>
        <w:t xml:space="preserve">leaf </w:t>
      </w:r>
      <w:r>
        <w:rPr>
          <w:color w:val="000000"/>
          <w:lang w:val="el-GR"/>
        </w:rPr>
        <w:t>δ</w:t>
      </w:r>
      <w:r>
        <w:rPr>
          <w:color w:val="000000"/>
          <w:vertAlign w:val="superscript"/>
        </w:rPr>
        <w:t>15</w:t>
      </w:r>
      <w:r>
        <w:rPr>
          <w:color w:val="000000"/>
        </w:rPr>
        <w:t>N</w:t>
      </w:r>
      <w:r w:rsidR="00AF1373">
        <w:rPr>
          <w:color w:val="000000"/>
        </w:rPr>
        <w:t xml:space="preserve">, and </w:t>
      </w:r>
      <w:r w:rsidR="00385BDF">
        <w:rPr>
          <w:color w:val="000000"/>
        </w:rPr>
        <w:t>B</w:t>
      </w:r>
      <w:r w:rsidR="00AF1373">
        <w:rPr>
          <w:color w:val="000000"/>
        </w:rPr>
        <w:t xml:space="preserve"> refers to individuals that are entirely reliant on nitrogen fixation. Within each nitrogen fertilization treatment </w:t>
      </w:r>
      <w:r w:rsidR="00A14A1D">
        <w:rPr>
          <w:color w:val="000000"/>
        </w:rPr>
        <w:t>x</w:t>
      </w:r>
      <w:r w:rsidR="00AF1373">
        <w:rPr>
          <w:color w:val="000000"/>
        </w:rPr>
        <w:t xml:space="preserve"> CO</w:t>
      </w:r>
      <w:r w:rsidR="00AF1373">
        <w:rPr>
          <w:color w:val="000000"/>
          <w:vertAlign w:val="subscript"/>
        </w:rPr>
        <w:t>2</w:t>
      </w:r>
      <w:r w:rsidR="00AF1373">
        <w:rPr>
          <w:color w:val="000000"/>
        </w:rPr>
        <w:t xml:space="preserve"> treatment combination (n=18), we calculated the mean</w:t>
      </w:r>
      <w:r w:rsidR="00AF1373" w:rsidRPr="00AF1373">
        <w:rPr>
          <w:color w:val="000000"/>
        </w:rPr>
        <w:t xml:space="preserve"> </w:t>
      </w:r>
      <w:r w:rsidR="00AF1373">
        <w:rPr>
          <w:color w:val="000000"/>
        </w:rPr>
        <w:t xml:space="preserve">leaf </w:t>
      </w:r>
      <w:r w:rsidR="00AF1373">
        <w:rPr>
          <w:color w:val="000000"/>
          <w:lang w:val="el-GR"/>
        </w:rPr>
        <w:t>δ</w:t>
      </w:r>
      <w:r w:rsidR="00AF1373">
        <w:rPr>
          <w:color w:val="000000"/>
          <w:vertAlign w:val="superscript"/>
        </w:rPr>
        <w:t>15</w:t>
      </w:r>
      <w:r w:rsidR="00AF1373">
        <w:rPr>
          <w:color w:val="000000"/>
        </w:rPr>
        <w:t>N</w:t>
      </w:r>
      <w:r w:rsidR="00AF1373">
        <w:rPr>
          <w:color w:val="000000"/>
        </w:rPr>
        <w:t xml:space="preserve"> for individuals growing in the non-inoculated treatment for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 xml:space="preserve">. Any individuals with visual confirmation of root nodule formation or nodule initiation were omitted from the calculation of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w:t>
      </w:r>
      <w:r w:rsidR="00385BDF">
        <w:rPr>
          <w:color w:val="000000"/>
        </w:rPr>
        <w:t xml:space="preserve"> Following recommendations from </w:t>
      </w:r>
      <w:r w:rsidR="00385BDF">
        <w:rPr>
          <w:color w:val="000000"/>
        </w:rPr>
        <w:fldChar w:fldCharType="begin" w:fldLock="1"/>
      </w:r>
      <w:r w:rsidR="00A14A1D">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385BDF">
        <w:rPr>
          <w:color w:val="000000"/>
        </w:rPr>
        <w:t xml:space="preserve"> we calculated B within each CO</w:t>
      </w:r>
      <w:r w:rsidR="00385BDF">
        <w:rPr>
          <w:color w:val="000000"/>
          <w:vertAlign w:val="subscript"/>
        </w:rPr>
        <w:t>2</w:t>
      </w:r>
      <w:r w:rsidR="00385BDF">
        <w:rPr>
          <w:color w:val="000000"/>
        </w:rPr>
        <w:t xml:space="preserve"> treatment by calculating the mean </w:t>
      </w:r>
      <w:r w:rsidR="00385BDF">
        <w:rPr>
          <w:color w:val="000000"/>
        </w:rPr>
        <w:t xml:space="preserve">leaf </w:t>
      </w:r>
      <w:r w:rsidR="00385BDF">
        <w:rPr>
          <w:color w:val="000000"/>
          <w:lang w:val="el-GR"/>
        </w:rPr>
        <w:lastRenderedPageBreak/>
        <w:t>δ</w:t>
      </w:r>
      <w:r w:rsidR="00385BDF">
        <w:rPr>
          <w:color w:val="000000"/>
          <w:vertAlign w:val="superscript"/>
        </w:rPr>
        <w:t>15</w:t>
      </w:r>
      <w:r w:rsidR="00385BDF">
        <w:rPr>
          <w:color w:val="000000"/>
        </w:rPr>
        <w:t xml:space="preserve">N </w:t>
      </w:r>
      <w:r w:rsidR="00385BDF">
        <w:rPr>
          <w:color w:val="000000"/>
        </w:rPr>
        <w:t>of inoculated individuals that formed nodules</w:t>
      </w:r>
      <w:r w:rsidR="00A14A1D">
        <w:rPr>
          <w:color w:val="000000"/>
        </w:rPr>
        <w:t>. We did not calculate B within each unique soil nitrogen x CO</w:t>
      </w:r>
      <w:r w:rsidR="00A14A1D">
        <w:rPr>
          <w:color w:val="000000"/>
          <w:vertAlign w:val="subscript"/>
        </w:rPr>
        <w:t>2</w:t>
      </w:r>
      <w:r w:rsidR="00A14A1D">
        <w:rPr>
          <w:color w:val="000000"/>
        </w:rPr>
        <w:t xml:space="preserve"> treatment combination, as previous studies suggest decreased reliance on nitrogen fixation with increasing soil nitrogen availability </w:t>
      </w:r>
      <w:r w:rsidR="00A14A1D">
        <w:rPr>
          <w:color w:val="000000"/>
        </w:rPr>
        <w:fldChar w:fldCharType="begin" w:fldLock="1"/>
      </w:r>
      <w:r w:rsidR="00A14A1D">
        <w:rPr>
          <w:color w:val="000000"/>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2021)"},"properties":{"noteIndex":0},"schema":"https://github.com/citation-style-language/schema/raw/master/csl-citation.json"}</w:instrText>
      </w:r>
      <w:r w:rsidR="00A14A1D">
        <w:rPr>
          <w:color w:val="000000"/>
        </w:rPr>
        <w:fldChar w:fldCharType="separate"/>
      </w:r>
      <w:r w:rsidR="00A14A1D" w:rsidRPr="00A14A1D">
        <w:rPr>
          <w:noProof/>
          <w:color w:val="000000"/>
        </w:rPr>
        <w:t>(Perkowski et al., 2021)</w:t>
      </w:r>
      <w:r w:rsidR="00A14A1D">
        <w:rPr>
          <w:color w:val="000000"/>
        </w:rPr>
        <w:fldChar w:fldCharType="end"/>
      </w:r>
      <w:r w:rsidR="00A14A1D">
        <w:rPr>
          <w:color w:val="000000"/>
        </w:rPr>
        <w:t>. This approach for estimating nitrogen fixation standardizes values such that approaching 1 indicates increasing reliance on nitrogen fixation, while values that approach 0 indicate decreasing reliance on nitrogen fixation.</w:t>
      </w:r>
    </w:p>
    <w:p w14:paraId="6EA69257" w14:textId="0748FCF5" w:rsidR="00BC73C6" w:rsidRDefault="00BC73C6" w:rsidP="00BC73C6">
      <w:pPr>
        <w:autoSpaceDE w:val="0"/>
        <w:autoSpaceDN w:val="0"/>
        <w:adjustRightInd w:val="0"/>
        <w:spacing w:line="480" w:lineRule="auto"/>
        <w:rPr>
          <w:color w:val="000000"/>
        </w:rPr>
      </w:pPr>
    </w:p>
    <w:p w14:paraId="161D0578" w14:textId="280FBEC7" w:rsidR="00BC73C6" w:rsidRDefault="00BC73C6" w:rsidP="00BC73C6">
      <w:pPr>
        <w:autoSpaceDE w:val="0"/>
        <w:autoSpaceDN w:val="0"/>
        <w:adjustRightInd w:val="0"/>
        <w:spacing w:line="480" w:lineRule="auto"/>
        <w:rPr>
          <w:color w:val="000000"/>
        </w:rPr>
      </w:pPr>
      <w:r>
        <w:rPr>
          <w:i/>
          <w:iCs/>
          <w:color w:val="000000"/>
        </w:rPr>
        <w:t>Statistical analyses</w:t>
      </w:r>
    </w:p>
    <w:p w14:paraId="030C3DFA" w14:textId="42C3FD87" w:rsidR="00A765F4" w:rsidRDefault="00A765F4" w:rsidP="005B0115">
      <w:pPr>
        <w:autoSpaceDE w:val="0"/>
        <w:autoSpaceDN w:val="0"/>
        <w:adjustRightInd w:val="0"/>
        <w:spacing w:line="480" w:lineRule="auto"/>
        <w:ind w:firstLine="720"/>
      </w:pPr>
      <w:r>
        <w:t xml:space="preserve">We built a series of linear mixed-effects models to investigate the impacts of </w:t>
      </w:r>
      <w:r>
        <w:t>atmospheric CO</w:t>
      </w:r>
      <w:r>
        <w:rPr>
          <w:vertAlign w:val="subscript"/>
        </w:rPr>
        <w:t>2</w:t>
      </w:r>
      <w:r>
        <w:t xml:space="preserve">, </w:t>
      </w:r>
      <w:r>
        <w:t>soil nitrogen fertilization</w:t>
      </w:r>
      <w:r>
        <w:t xml:space="preserve">, and </w:t>
      </w:r>
      <w:r>
        <w:t>inoculation</w:t>
      </w:r>
      <w:r>
        <w:t xml:space="preserve"> with </w:t>
      </w:r>
      <w:r>
        <w:rPr>
          <w:i/>
          <w:iCs/>
        </w:rPr>
        <w:t>B. japonicum</w:t>
      </w:r>
      <w:r>
        <w:t xml:space="preserve"> on </w:t>
      </w:r>
      <w:r w:rsidRPr="00926F7B">
        <w:rPr>
          <w:i/>
          <w:iCs/>
        </w:rPr>
        <w:t>G. max</w:t>
      </w:r>
      <w:r>
        <w:t xml:space="preserve"> </w:t>
      </w:r>
      <w:r w:rsidRPr="00926F7B">
        <w:t>leaf</w:t>
      </w:r>
      <w:r>
        <w:t xml:space="preserve"> photosynthesis, tradeoffs between nitrogen and water use, whole plant growth</w:t>
      </w:r>
      <w:r>
        <w:t>, and reliance on nitrogen fixation</w:t>
      </w:r>
      <w:r>
        <w:t xml:space="preserve">. </w:t>
      </w:r>
      <w:r>
        <w:t>All models included atmospheric CO</w:t>
      </w:r>
      <w:r>
        <w:rPr>
          <w:vertAlign w:val="subscript"/>
        </w:rPr>
        <w:t>2</w:t>
      </w:r>
      <w:r>
        <w:t xml:space="preserve"> and inoculation treatments as categorical fixed effects, and soil nitrogen fertilization as an additional continuous fixed effect. Models also included interaction terms between all three fixed effects. </w:t>
      </w:r>
      <w:commentRangeStart w:id="1"/>
      <w:r w:rsidR="005B0115">
        <w:t>Growth chamber letter within each CO</w:t>
      </w:r>
      <w:r w:rsidR="005B0115">
        <w:rPr>
          <w:vertAlign w:val="subscript"/>
        </w:rPr>
        <w:t>2</w:t>
      </w:r>
      <w:r w:rsidR="005B0115">
        <w:t xml:space="preserve"> treatment (A-C) and growth chamber number (1-6) were included as additional random intercept terms to account for any microclimate differences between growth chambers within and across CO</w:t>
      </w:r>
      <w:r w:rsidR="005B0115">
        <w:rPr>
          <w:vertAlign w:val="subscript"/>
        </w:rPr>
        <w:t>2</w:t>
      </w:r>
      <w:r w:rsidR="005B0115">
        <w:t xml:space="preserve"> treatments</w:t>
      </w:r>
      <w:commentRangeEnd w:id="1"/>
      <w:r w:rsidR="00247CFD">
        <w:rPr>
          <w:rStyle w:val="CommentReference"/>
        </w:rPr>
        <w:commentReference w:id="1"/>
      </w:r>
      <w:r w:rsidR="005B0115">
        <w:t xml:space="preserve">. </w:t>
      </w:r>
      <w:r>
        <w:t xml:space="preserve">Models with this independent structure were created for each of the following dependent variables: </w:t>
      </w:r>
      <w:proofErr w:type="spellStart"/>
      <w:r w:rsidR="005B0115">
        <w:rPr>
          <w:i/>
          <w:iCs/>
        </w:rPr>
        <w:t>N</w:t>
      </w:r>
      <w:r w:rsidR="005B0115">
        <w:rPr>
          <w:vertAlign w:val="subscript"/>
        </w:rPr>
        <w:t>area</w:t>
      </w:r>
      <w:proofErr w:type="spellEnd"/>
      <w:r w:rsidR="005B0115">
        <w:t xml:space="preserve">, </w:t>
      </w:r>
      <w:r w:rsidR="005B0115">
        <w:rPr>
          <w:i/>
          <w:iCs/>
        </w:rPr>
        <w:t>SLA</w:t>
      </w:r>
      <w:r w:rsidR="005B0115">
        <w:t xml:space="preserve">, </w:t>
      </w:r>
      <w:proofErr w:type="spellStart"/>
      <w:r w:rsidR="005B0115">
        <w:rPr>
          <w:i/>
          <w:iCs/>
        </w:rPr>
        <w:t>N</w:t>
      </w:r>
      <w:r w:rsidR="005B0115">
        <w:rPr>
          <w:vertAlign w:val="subscript"/>
        </w:rPr>
        <w:t>mass</w:t>
      </w:r>
      <w:proofErr w:type="spellEnd"/>
      <w:r w:rsidR="005B0115">
        <w:t xml:space="preserve">, </w:t>
      </w:r>
      <w:proofErr w:type="spellStart"/>
      <w:r w:rsidR="005B0115">
        <w:rPr>
          <w:i/>
          <w:iCs/>
        </w:rPr>
        <w:t>A</w:t>
      </w:r>
      <w:r w:rsidR="005B0115">
        <w:rPr>
          <w:vertAlign w:val="subscript"/>
        </w:rPr>
        <w:t>net</w:t>
      </w:r>
      <w:proofErr w:type="spellEnd"/>
      <w:r w:rsidR="005B0115">
        <w:t xml:space="preserve">, </w:t>
      </w:r>
      <w:r w:rsidR="005B0115">
        <w:rPr>
          <w:i/>
          <w:iCs/>
        </w:rPr>
        <w:t>V</w:t>
      </w:r>
      <w:r w:rsidR="005B0115">
        <w:rPr>
          <w:vertAlign w:val="subscript"/>
        </w:rPr>
        <w:t>cmax25</w:t>
      </w:r>
      <w:r w:rsidR="005B0115">
        <w:t xml:space="preserve">, </w:t>
      </w:r>
      <w:r w:rsidR="005B0115">
        <w:rPr>
          <w:i/>
          <w:iCs/>
        </w:rPr>
        <w:t>J</w:t>
      </w:r>
      <w:r w:rsidR="005B0115">
        <w:rPr>
          <w:vertAlign w:val="subscript"/>
        </w:rPr>
        <w:t>max25</w:t>
      </w:r>
      <w:r w:rsidR="005B0115">
        <w:t xml:space="preserve">, </w:t>
      </w:r>
      <w:r w:rsidR="005B0115">
        <w:rPr>
          <w:i/>
          <w:iCs/>
        </w:rPr>
        <w:t>J</w:t>
      </w:r>
      <w:r w:rsidR="005B0115">
        <w:rPr>
          <w:vertAlign w:val="subscript"/>
        </w:rPr>
        <w:t>max25</w:t>
      </w:r>
      <w:r w:rsidR="005B0115">
        <w:t>:</w:t>
      </w:r>
      <w:r w:rsidR="005B0115">
        <w:rPr>
          <w:i/>
          <w:iCs/>
        </w:rPr>
        <w:t>V</w:t>
      </w:r>
      <w:r w:rsidR="005B0115">
        <w:rPr>
          <w:vertAlign w:val="subscript"/>
        </w:rPr>
        <w:t>cmax25</w:t>
      </w:r>
      <w:r w:rsidR="005B0115">
        <w:t xml:space="preserve">, </w:t>
      </w:r>
      <w:r w:rsidR="005B0115">
        <w:rPr>
          <w:i/>
          <w:iCs/>
        </w:rPr>
        <w:t>R</w:t>
      </w:r>
      <w:r w:rsidR="005B0115">
        <w:rPr>
          <w:vertAlign w:val="subscript"/>
        </w:rPr>
        <w:t>d25</w:t>
      </w:r>
      <w:r w:rsidR="005B0115">
        <w:t xml:space="preserve">, </w:t>
      </w:r>
      <w:r w:rsidR="005B0115">
        <w:rPr>
          <w:i/>
          <w:iCs/>
        </w:rPr>
        <w:t>R</w:t>
      </w:r>
      <w:r w:rsidR="005B0115">
        <w:rPr>
          <w:vertAlign w:val="subscript"/>
        </w:rPr>
        <w:t>d25</w:t>
      </w:r>
      <w:r w:rsidR="005B0115">
        <w:t>:</w:t>
      </w:r>
      <w:r w:rsidR="005B0115">
        <w:rPr>
          <w:i/>
          <w:iCs/>
        </w:rPr>
        <w:t>V</w:t>
      </w:r>
      <w:r w:rsidR="005B0115">
        <w:rPr>
          <w:vertAlign w:val="subscript"/>
        </w:rPr>
        <w:t>cmax25</w:t>
      </w:r>
      <w:r w:rsidR="005B0115">
        <w:t>,</w:t>
      </w:r>
      <w:r w:rsidR="005B0115" w:rsidRPr="00805B20">
        <w:rPr>
          <w:i/>
          <w:iCs/>
        </w:rPr>
        <w:t xml:space="preserve"> </w:t>
      </w:r>
      <w:r w:rsidR="005B0115">
        <w:t>total leaf area, whole plant biomass,</w:t>
      </w:r>
      <w:r w:rsidR="005B0115">
        <w:rPr>
          <w:i/>
          <w:iCs/>
        </w:rPr>
        <w:t xml:space="preserve"> </w:t>
      </w:r>
      <w:proofErr w:type="spellStart"/>
      <w:r w:rsidR="005B0115" w:rsidRPr="00A55A19">
        <w:rPr>
          <w:i/>
          <w:iCs/>
        </w:rPr>
        <w:t>g</w:t>
      </w:r>
      <w:r w:rsidR="005B0115">
        <w:rPr>
          <w:vertAlign w:val="subscript"/>
        </w:rPr>
        <w:t>s</w:t>
      </w:r>
      <w:proofErr w:type="spellEnd"/>
      <w:r w:rsidR="005B0115">
        <w:t xml:space="preserve">, </w:t>
      </w:r>
      <w:r w:rsidR="00247CFD">
        <w:rPr>
          <w:lang w:val="el-GR"/>
        </w:rPr>
        <w:t>χ</w:t>
      </w:r>
      <w:r w:rsidR="005B0115">
        <w:t xml:space="preserve">, </w:t>
      </w:r>
      <w:r w:rsidR="005B0115" w:rsidRPr="00F45847">
        <w:rPr>
          <w:i/>
          <w:iCs/>
        </w:rPr>
        <w:t>PNUE</w:t>
      </w:r>
      <w:r w:rsidR="005B0115">
        <w:t xml:space="preserve">, </w:t>
      </w:r>
      <w:proofErr w:type="spellStart"/>
      <w:r w:rsidR="005B0115" w:rsidRPr="00F45847">
        <w:rPr>
          <w:i/>
          <w:iCs/>
        </w:rPr>
        <w:t>iWUE</w:t>
      </w:r>
      <w:proofErr w:type="spellEnd"/>
      <w:r w:rsidR="005B0115">
        <w:t xml:space="preserve">, </w:t>
      </w:r>
      <w:proofErr w:type="spellStart"/>
      <w:r w:rsidR="005B0115">
        <w:rPr>
          <w:i/>
          <w:iCs/>
        </w:rPr>
        <w:t>N</w:t>
      </w:r>
      <w:r w:rsidR="005B0115">
        <w:rPr>
          <w:vertAlign w:val="subscript"/>
        </w:rPr>
        <w:t>area</w:t>
      </w:r>
      <w:r w:rsidR="005B0115">
        <w:t>:</w:t>
      </w:r>
      <w:r w:rsidR="005B0115" w:rsidRPr="00A55A19">
        <w:rPr>
          <w:i/>
          <w:iCs/>
        </w:rPr>
        <w:t>g</w:t>
      </w:r>
      <w:r w:rsidR="005B0115">
        <w:rPr>
          <w:vertAlign w:val="subscript"/>
        </w:rPr>
        <w:t>s</w:t>
      </w:r>
      <w:proofErr w:type="spellEnd"/>
      <w:r w:rsidR="005B0115">
        <w:t xml:space="preserve">, </w:t>
      </w:r>
      <w:proofErr w:type="spellStart"/>
      <w:r w:rsidR="005B0115">
        <w:rPr>
          <w:i/>
          <w:iCs/>
        </w:rPr>
        <w:t>V</w:t>
      </w:r>
      <w:r w:rsidR="005B0115">
        <w:rPr>
          <w:vertAlign w:val="subscript"/>
        </w:rPr>
        <w:t>cmax</w:t>
      </w:r>
      <w:r w:rsidR="005B0115">
        <w:t>:</w:t>
      </w:r>
      <w:r w:rsidR="005B0115">
        <w:rPr>
          <w:i/>
          <w:iCs/>
        </w:rPr>
        <w:t>g</w:t>
      </w:r>
      <w:r w:rsidR="005B0115">
        <w:rPr>
          <w:vertAlign w:val="subscript"/>
        </w:rPr>
        <w:t>s</w:t>
      </w:r>
      <w:proofErr w:type="spellEnd"/>
      <w:r w:rsidR="005B0115">
        <w:t>, structural carbon costs to acquire nitrogen, belowground carbon biomass, whole plant nitrogen biomass, total biomass, total leaf area,</w:t>
      </w:r>
      <w:r w:rsidR="005B0115" w:rsidRPr="00AD6759">
        <w:t xml:space="preserve"> </w:t>
      </w:r>
      <w:r w:rsidR="005B0115">
        <w:t>root nodule biomass: root biomass, root nodule biomass, root biomass</w:t>
      </w:r>
      <w:r w:rsidR="005B0115">
        <w:t>, and %N from the atmosphere</w:t>
      </w:r>
      <w:r w:rsidR="005B0115">
        <w:t>.</w:t>
      </w:r>
    </w:p>
    <w:p w14:paraId="5971C827" w14:textId="0DF06008" w:rsidR="005B0115" w:rsidRPr="00DF652A" w:rsidRDefault="005B0115" w:rsidP="005B0115">
      <w:pPr>
        <w:spacing w:line="480" w:lineRule="auto"/>
        <w:ind w:firstLine="720"/>
      </w:pPr>
      <w:r>
        <w:lastRenderedPageBreak/>
        <w:t xml:space="preserve">We used Shapiro-Wilk tests of normality to determine whether linear mixed-effects models satisfied residual normality assumptions. All models satisfied residual normality assumptions except </w:t>
      </w:r>
      <w:r w:rsidR="00247CFD" w:rsidRPr="00247CFD">
        <w:rPr>
          <w:highlight w:val="yellow"/>
        </w:rPr>
        <w:t>[add traits here]</w:t>
      </w:r>
      <w:r>
        <w:t xml:space="preserve"> (Shapiro-Wilk: p&lt;0.05 in all cases). We attempted to satisfy residual normality assumptions for these dependent variables by first fitting models using dependent variables that were natural log transformed. If residual normality assumptions were still not met after a natural-log transformation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w:t>
      </w:r>
      <w:r w:rsidR="00247CFD">
        <w:rPr>
          <w:i/>
          <w:iCs/>
        </w:rPr>
        <w:t xml:space="preserve"> </w:t>
      </w:r>
      <w:r w:rsidR="00247CFD" w:rsidRPr="00247CFD">
        <w:rPr>
          <w:highlight w:val="yellow"/>
        </w:rPr>
        <w:t>[add traits here]</w:t>
      </w:r>
      <w:r w:rsidR="00247CFD">
        <w:t xml:space="preserve"> and square root transformed </w:t>
      </w:r>
      <w:r w:rsidR="00247CFD" w:rsidRPr="00247CFD">
        <w:rPr>
          <w:highlight w:val="yellow"/>
        </w:rPr>
        <w:t>[add traits here]</w:t>
      </w:r>
      <w:r w:rsidRPr="00166B47">
        <w:t>.</w:t>
      </w:r>
    </w:p>
    <w:p w14:paraId="252D01F6" w14:textId="098DFC44" w:rsidR="00E60BAC" w:rsidRDefault="005B0115" w:rsidP="005B0115">
      <w:pPr>
        <w:spacing w:line="480" w:lineRule="auto"/>
        <w:ind w:firstLine="720"/>
        <w:rPr>
          <w:bCs/>
          <w:sz w:val="22"/>
          <w:szCs w:val="22"/>
        </w:r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w:t>
      </w:r>
      <w:r w:rsidRPr="00863849">
        <w:t>e</w:t>
      </w:r>
      <w:r>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4.2.0 </w:t>
      </w:r>
      <w:r>
        <w:fldChar w:fldCharType="begin" w:fldLock="1"/>
      </w:r>
      <w: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Pr="00430044">
        <w:rPr>
          <w:noProof/>
        </w:rPr>
        <w:t>(R Core Team, 2021)</w:t>
      </w:r>
      <w:r>
        <w:fldChar w:fldCharType="end"/>
      </w:r>
      <w:r>
        <w:t>.</w:t>
      </w:r>
    </w:p>
    <w:p w14:paraId="056CB1EC" w14:textId="35F262C8" w:rsidR="00E60BAC" w:rsidRDefault="00E60BAC" w:rsidP="005B0115">
      <w:pPr>
        <w:spacing w:line="480" w:lineRule="auto"/>
        <w:rPr>
          <w:bCs/>
          <w:sz w:val="22"/>
          <w:szCs w:val="22"/>
        </w:rPr>
      </w:pPr>
      <w:r>
        <w:rPr>
          <w:bCs/>
          <w:sz w:val="22"/>
          <w:szCs w:val="22"/>
        </w:rPr>
        <w:br w:type="page"/>
      </w:r>
    </w:p>
    <w:p w14:paraId="4461AA25" w14:textId="623211DD" w:rsidR="00E60BAC" w:rsidRDefault="00E60BAC" w:rsidP="00E60BAC">
      <w:pPr>
        <w:rPr>
          <w:b/>
          <w:bCs/>
        </w:rPr>
      </w:pPr>
      <w:r w:rsidRPr="00E60BAC">
        <w:rPr>
          <w:b/>
          <w:bCs/>
        </w:rPr>
        <w:lastRenderedPageBreak/>
        <w:t>References</w:t>
      </w:r>
    </w:p>
    <w:p w14:paraId="268B0010" w14:textId="796E27E1" w:rsidR="00A14A1D" w:rsidRPr="00A14A1D" w:rsidRDefault="00E60BAC" w:rsidP="00A14A1D">
      <w:pPr>
        <w:widowControl w:val="0"/>
        <w:autoSpaceDE w:val="0"/>
        <w:autoSpaceDN w:val="0"/>
        <w:adjustRightInd w:val="0"/>
        <w:ind w:left="480" w:hanging="480"/>
        <w:rPr>
          <w:noProof/>
        </w:rPr>
      </w:pPr>
      <w:r>
        <w:rPr>
          <w:b/>
          <w:bCs/>
        </w:rPr>
        <w:fldChar w:fldCharType="begin" w:fldLock="1"/>
      </w:r>
      <w:r>
        <w:rPr>
          <w:b/>
          <w:bCs/>
        </w:rPr>
        <w:instrText xml:space="preserve">ADDIN Mendeley Bibliography CSL_BIBLIOGRAPHY </w:instrText>
      </w:r>
      <w:r>
        <w:rPr>
          <w:b/>
          <w:bCs/>
        </w:rPr>
        <w:fldChar w:fldCharType="separate"/>
      </w:r>
      <w:r w:rsidR="00A14A1D" w:rsidRPr="00A14A1D">
        <w:rPr>
          <w:noProof/>
        </w:rPr>
        <w:t xml:space="preserve">Andrews, M., James, E. K., Sprent, J. I., Boddey, R. M., Gross, E., &amp; dos Reis, F. B. (2011). Nitrogen fixation in legumes and actinorhizal plants in natural ecosystems: Values obtained using 15N natural abundance. </w:t>
      </w:r>
      <w:r w:rsidR="00A14A1D" w:rsidRPr="00A14A1D">
        <w:rPr>
          <w:i/>
          <w:iCs/>
          <w:noProof/>
        </w:rPr>
        <w:t>Plant Ecology and Diversity</w:t>
      </w:r>
      <w:r w:rsidR="00A14A1D" w:rsidRPr="00A14A1D">
        <w:rPr>
          <w:noProof/>
        </w:rPr>
        <w:t xml:space="preserve">, </w:t>
      </w:r>
      <w:r w:rsidR="00A14A1D" w:rsidRPr="00A14A1D">
        <w:rPr>
          <w:i/>
          <w:iCs/>
          <w:noProof/>
        </w:rPr>
        <w:t>4</w:t>
      </w:r>
      <w:r w:rsidR="00A14A1D" w:rsidRPr="00A14A1D">
        <w:rPr>
          <w:noProof/>
        </w:rPr>
        <w:t>(2–3), 117–130. https://doi.org/10.1080/17550874.2011.644343</w:t>
      </w:r>
    </w:p>
    <w:p w14:paraId="3D8E2F18"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Bernacchi, C. J., Singsaas, E. L., Pimentel, C., Portis, A. R., &amp; Long, S. P. (2001). Improved temperature response functions for models of Rubisco-limited photosynthesis. </w:t>
      </w:r>
      <w:r w:rsidRPr="00A14A1D">
        <w:rPr>
          <w:i/>
          <w:iCs/>
          <w:noProof/>
        </w:rPr>
        <w:t>Plant, Cell and Environment</w:t>
      </w:r>
      <w:r w:rsidRPr="00A14A1D">
        <w:rPr>
          <w:noProof/>
        </w:rPr>
        <w:t xml:space="preserve">, </w:t>
      </w:r>
      <w:r w:rsidRPr="00A14A1D">
        <w:rPr>
          <w:i/>
          <w:iCs/>
          <w:noProof/>
        </w:rPr>
        <w:t>24</w:t>
      </w:r>
      <w:r w:rsidRPr="00A14A1D">
        <w:rPr>
          <w:noProof/>
        </w:rPr>
        <w:t>(2), 253–259. https://doi.org/10.1046/j.1365-3040.2001.00668.x</w:t>
      </w:r>
    </w:p>
    <w:p w14:paraId="12B177ED"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Bialic‐Murphy, L., Smith, N. G., Voothuluru, P., McElderry, R. M., Roche, M. D., Cassidy, S. T., Kivlin, S. N., &amp; Kalisz, S. (2021). Invasion‐induced root–fungal disruptions alter plant water and nitrogen economies. </w:t>
      </w:r>
      <w:r w:rsidRPr="00A14A1D">
        <w:rPr>
          <w:i/>
          <w:iCs/>
          <w:noProof/>
        </w:rPr>
        <w:t>Ecology Letters</w:t>
      </w:r>
      <w:r w:rsidRPr="00A14A1D">
        <w:rPr>
          <w:noProof/>
        </w:rPr>
        <w:t xml:space="preserve">, </w:t>
      </w:r>
      <w:r w:rsidRPr="00A14A1D">
        <w:rPr>
          <w:i/>
          <w:iCs/>
          <w:noProof/>
        </w:rPr>
        <w:t>24</w:t>
      </w:r>
      <w:r w:rsidRPr="00A14A1D">
        <w:rPr>
          <w:noProof/>
        </w:rPr>
        <w:t>(6), 1145–1156. https://doi.org/10.1111/ele.13724</w:t>
      </w:r>
    </w:p>
    <w:p w14:paraId="3D526829"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Cernusak, L. A., Ubierna, N., Winter, K., Holtum, J. A. M., Marshall, J. D., &amp; Farquhar, G. D. (2013). Environmental and physiological determinants of carbon isotope discrimination in terrestrial plants. </w:t>
      </w:r>
      <w:r w:rsidRPr="00A14A1D">
        <w:rPr>
          <w:i/>
          <w:iCs/>
          <w:noProof/>
        </w:rPr>
        <w:t>New Phytologist</w:t>
      </w:r>
      <w:r w:rsidRPr="00A14A1D">
        <w:rPr>
          <w:noProof/>
        </w:rPr>
        <w:t xml:space="preserve">, </w:t>
      </w:r>
      <w:r w:rsidRPr="00A14A1D">
        <w:rPr>
          <w:i/>
          <w:iCs/>
          <w:noProof/>
        </w:rPr>
        <w:t>200</w:t>
      </w:r>
      <w:r w:rsidRPr="00A14A1D">
        <w:rPr>
          <w:noProof/>
        </w:rPr>
        <w:t>(4), 950–965. https://doi.org/10.1111/nph.12423</w:t>
      </w:r>
    </w:p>
    <w:p w14:paraId="1D72B50E"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Curtis, P. S. (1996). A meta-analysis of leaf gas exchange and nitrogen in trees grown under elevated carbon dioxide. </w:t>
      </w:r>
      <w:r w:rsidRPr="00A14A1D">
        <w:rPr>
          <w:i/>
          <w:iCs/>
          <w:noProof/>
        </w:rPr>
        <w:t>Plant, Cell and Environment</w:t>
      </w:r>
      <w:r w:rsidRPr="00A14A1D">
        <w:rPr>
          <w:noProof/>
        </w:rPr>
        <w:t xml:space="preserve">, </w:t>
      </w:r>
      <w:r w:rsidRPr="00A14A1D">
        <w:rPr>
          <w:i/>
          <w:iCs/>
          <w:noProof/>
        </w:rPr>
        <w:t>19</w:t>
      </w:r>
      <w:r w:rsidRPr="00A14A1D">
        <w:rPr>
          <w:noProof/>
        </w:rPr>
        <w:t>(2), 127–137. https://doi.org/10.1111/j.1365-3040.1996.tb00234.x</w:t>
      </w:r>
    </w:p>
    <w:p w14:paraId="54988A7D"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Dovrat, G., Bakhshian, H., Masci, T., &amp; Sheffer, E. (2020). The nitrogen economic spectrum of legume stoichiometry and fixation strategy. </w:t>
      </w:r>
      <w:r w:rsidRPr="00A14A1D">
        <w:rPr>
          <w:i/>
          <w:iCs/>
          <w:noProof/>
        </w:rPr>
        <w:t>New Phytologist</w:t>
      </w:r>
      <w:r w:rsidRPr="00A14A1D">
        <w:rPr>
          <w:noProof/>
        </w:rPr>
        <w:t xml:space="preserve">, </w:t>
      </w:r>
      <w:r w:rsidRPr="00A14A1D">
        <w:rPr>
          <w:i/>
          <w:iCs/>
          <w:noProof/>
        </w:rPr>
        <w:t>227</w:t>
      </w:r>
      <w:r w:rsidRPr="00A14A1D">
        <w:rPr>
          <w:noProof/>
        </w:rPr>
        <w:t>(2), 365–375. https://doi.org/10.1111/nph.16543</w:t>
      </w:r>
    </w:p>
    <w:p w14:paraId="7B05C449"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Dovrat, G., Masci, T., Bakhshian, H., Mayzlish Gati, E., Golan, S., &amp; Sheffer, E. (2018). Drought-adapted plants dramatically downregulate dinitrogen fixation: Evidences from Mediterranean legume shrubs. </w:t>
      </w:r>
      <w:r w:rsidRPr="00A14A1D">
        <w:rPr>
          <w:i/>
          <w:iCs/>
          <w:noProof/>
        </w:rPr>
        <w:t>Journal of Ecology</w:t>
      </w:r>
      <w:r w:rsidRPr="00A14A1D">
        <w:rPr>
          <w:noProof/>
        </w:rPr>
        <w:t xml:space="preserve">, </w:t>
      </w:r>
      <w:r w:rsidRPr="00A14A1D">
        <w:rPr>
          <w:i/>
          <w:iCs/>
          <w:noProof/>
        </w:rPr>
        <w:t>106</w:t>
      </w:r>
      <w:r w:rsidRPr="00A14A1D">
        <w:rPr>
          <w:noProof/>
        </w:rPr>
        <w:t>(4), 1534–1544. https://doi.org/10.1111/1365-2745.12940</w:t>
      </w:r>
    </w:p>
    <w:p w14:paraId="27480D6C"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Farquhar, G. D., Ehleringer, J. R., &amp; Hubick, K. T. (1989). Carbon isotope discrimination and photosynthesis. </w:t>
      </w:r>
      <w:r w:rsidRPr="00A14A1D">
        <w:rPr>
          <w:i/>
          <w:iCs/>
          <w:noProof/>
        </w:rPr>
        <w:t>Annual Review of Plant Physiology and Plant Molecular Biology</w:t>
      </w:r>
      <w:r w:rsidRPr="00A14A1D">
        <w:rPr>
          <w:noProof/>
        </w:rPr>
        <w:t xml:space="preserve">, </w:t>
      </w:r>
      <w:r w:rsidRPr="00A14A1D">
        <w:rPr>
          <w:i/>
          <w:iCs/>
          <w:noProof/>
        </w:rPr>
        <w:t>40</w:t>
      </w:r>
      <w:r w:rsidRPr="00A14A1D">
        <w:rPr>
          <w:noProof/>
        </w:rPr>
        <w:t>(1), 503–537. https://doi.org/10.1146/annurev.pp.40.060189.002443</w:t>
      </w:r>
    </w:p>
    <w:p w14:paraId="1237A71A"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Farquhar, G. D., &amp; Sharkey, T. D. (1982). Stomatal conductance and photosynthesis. </w:t>
      </w:r>
      <w:r w:rsidRPr="00A14A1D">
        <w:rPr>
          <w:i/>
          <w:iCs/>
          <w:noProof/>
        </w:rPr>
        <w:t>Annual Review of Plant Physiology</w:t>
      </w:r>
      <w:r w:rsidRPr="00A14A1D">
        <w:rPr>
          <w:noProof/>
        </w:rPr>
        <w:t xml:space="preserve">, </w:t>
      </w:r>
      <w:r w:rsidRPr="00A14A1D">
        <w:rPr>
          <w:i/>
          <w:iCs/>
          <w:noProof/>
        </w:rPr>
        <w:t>33</w:t>
      </w:r>
      <w:r w:rsidRPr="00A14A1D">
        <w:rPr>
          <w:noProof/>
        </w:rPr>
        <w:t>(1), 317–345. https://doi.org/10.1146/annurev.pp.33.060182.001533</w:t>
      </w:r>
    </w:p>
    <w:p w14:paraId="7C125321" w14:textId="77777777" w:rsidR="00A14A1D" w:rsidRPr="00A14A1D" w:rsidRDefault="00A14A1D" w:rsidP="00A14A1D">
      <w:pPr>
        <w:widowControl w:val="0"/>
        <w:autoSpaceDE w:val="0"/>
        <w:autoSpaceDN w:val="0"/>
        <w:adjustRightInd w:val="0"/>
        <w:ind w:left="480" w:hanging="480"/>
        <w:rPr>
          <w:noProof/>
        </w:rPr>
      </w:pPr>
      <w:r w:rsidRPr="00A14A1D">
        <w:rPr>
          <w:noProof/>
        </w:rPr>
        <w:t>Farquhar, G. D., von Caemmerer, S., &amp; Berry, J. A. (1980). A biochemical model of photosynthetic CO</w:t>
      </w:r>
      <w:r w:rsidRPr="00A14A1D">
        <w:rPr>
          <w:i/>
          <w:iCs/>
          <w:noProof/>
        </w:rPr>
        <w:t>2</w:t>
      </w:r>
      <w:r w:rsidRPr="00A14A1D">
        <w:rPr>
          <w:noProof/>
        </w:rPr>
        <w:t xml:space="preserve"> assimilation in leaves of C3 species. </w:t>
      </w:r>
      <w:r w:rsidRPr="00A14A1D">
        <w:rPr>
          <w:i/>
          <w:iCs/>
          <w:noProof/>
        </w:rPr>
        <w:t>Planta</w:t>
      </w:r>
      <w:r w:rsidRPr="00A14A1D">
        <w:rPr>
          <w:noProof/>
        </w:rPr>
        <w:t xml:space="preserve">, </w:t>
      </w:r>
      <w:r w:rsidRPr="00A14A1D">
        <w:rPr>
          <w:i/>
          <w:iCs/>
          <w:noProof/>
        </w:rPr>
        <w:t>149</w:t>
      </w:r>
      <w:r w:rsidRPr="00A14A1D">
        <w:rPr>
          <w:noProof/>
        </w:rPr>
        <w:t>(1), 78–90. https://doi.org/10.1007/BF00386231</w:t>
      </w:r>
    </w:p>
    <w:p w14:paraId="660C0C27"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A14A1D">
        <w:rPr>
          <w:i/>
          <w:iCs/>
          <w:noProof/>
        </w:rPr>
        <w:t>Nature Plants</w:t>
      </w:r>
      <w:r w:rsidRPr="00A14A1D">
        <w:rPr>
          <w:noProof/>
        </w:rPr>
        <w:t xml:space="preserve">, </w:t>
      </w:r>
      <w:r w:rsidRPr="00A14A1D">
        <w:rPr>
          <w:i/>
          <w:iCs/>
          <w:noProof/>
        </w:rPr>
        <w:t>1</w:t>
      </w:r>
      <w:r w:rsidRPr="00A14A1D">
        <w:rPr>
          <w:noProof/>
        </w:rPr>
        <w:t>(7), 15080. https://doi.org/10.1038/nplants.2015.80</w:t>
      </w:r>
    </w:p>
    <w:p w14:paraId="773B150C"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A14A1D">
        <w:rPr>
          <w:i/>
          <w:iCs/>
          <w:noProof/>
        </w:rPr>
        <w:t>Proceedings of the National Academy of Sciences</w:t>
      </w:r>
      <w:r w:rsidRPr="00A14A1D">
        <w:rPr>
          <w:noProof/>
        </w:rPr>
        <w:t xml:space="preserve">, </w:t>
      </w:r>
      <w:r w:rsidRPr="00A14A1D">
        <w:rPr>
          <w:i/>
          <w:iCs/>
          <w:noProof/>
        </w:rPr>
        <w:t>113</w:t>
      </w:r>
      <w:r w:rsidRPr="00A14A1D">
        <w:rPr>
          <w:noProof/>
        </w:rPr>
        <w:t>(14), 3832–3837. https://doi.org/10.1073/pnas.1520282113</w:t>
      </w:r>
    </w:p>
    <w:p w14:paraId="30A3683E"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Hoagland, D. R., &amp; Arnon, D. I. (1950). The water-culture method for growing plants without </w:t>
      </w:r>
      <w:r w:rsidRPr="00A14A1D">
        <w:rPr>
          <w:noProof/>
        </w:rPr>
        <w:lastRenderedPageBreak/>
        <w:t xml:space="preserve">soil. </w:t>
      </w:r>
      <w:r w:rsidRPr="00A14A1D">
        <w:rPr>
          <w:i/>
          <w:iCs/>
          <w:noProof/>
        </w:rPr>
        <w:t>California Agricultural Experiment Station: 347</w:t>
      </w:r>
      <w:r w:rsidRPr="00A14A1D">
        <w:rPr>
          <w:noProof/>
        </w:rPr>
        <w:t xml:space="preserve">, </w:t>
      </w:r>
      <w:r w:rsidRPr="00A14A1D">
        <w:rPr>
          <w:i/>
          <w:iCs/>
          <w:noProof/>
        </w:rPr>
        <w:t>347</w:t>
      </w:r>
      <w:r w:rsidRPr="00A14A1D">
        <w:rPr>
          <w:noProof/>
        </w:rPr>
        <w:t>(2), 1–32.</w:t>
      </w:r>
    </w:p>
    <w:p w14:paraId="07E2E82C"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Katabuchi, M. (2015). LeafArea: An R package for rapid digital analysis of leaf area. </w:t>
      </w:r>
      <w:r w:rsidRPr="00A14A1D">
        <w:rPr>
          <w:i/>
          <w:iCs/>
          <w:noProof/>
        </w:rPr>
        <w:t>Ecological Research</w:t>
      </w:r>
      <w:r w:rsidRPr="00A14A1D">
        <w:rPr>
          <w:noProof/>
        </w:rPr>
        <w:t xml:space="preserve">, </w:t>
      </w:r>
      <w:r w:rsidRPr="00A14A1D">
        <w:rPr>
          <w:i/>
          <w:iCs/>
          <w:noProof/>
        </w:rPr>
        <w:t>30</w:t>
      </w:r>
      <w:r w:rsidRPr="00A14A1D">
        <w:rPr>
          <w:noProof/>
        </w:rPr>
        <w:t>(6), 1073–1077.</w:t>
      </w:r>
    </w:p>
    <w:p w14:paraId="26F184B3"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Kattge, J., &amp; Knorr, W. (2007). Temperature acclimation in a biochemical model of photosynthesis: a reanalysis of data from 36 species. </w:t>
      </w:r>
      <w:r w:rsidRPr="00A14A1D">
        <w:rPr>
          <w:i/>
          <w:iCs/>
          <w:noProof/>
        </w:rPr>
        <w:t>Plant, Cell &amp; Environment</w:t>
      </w:r>
      <w:r w:rsidRPr="00A14A1D">
        <w:rPr>
          <w:noProof/>
        </w:rPr>
        <w:t xml:space="preserve">, </w:t>
      </w:r>
      <w:r w:rsidRPr="00A14A1D">
        <w:rPr>
          <w:i/>
          <w:iCs/>
          <w:noProof/>
        </w:rPr>
        <w:t>30</w:t>
      </w:r>
      <w:r w:rsidRPr="00A14A1D">
        <w:rPr>
          <w:noProof/>
        </w:rPr>
        <w:t>(9), 1176–1190. https://doi.org/10.1111/j.1365-3040.2007.01690.x</w:t>
      </w:r>
    </w:p>
    <w:p w14:paraId="1A7CA105"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Keeling, C. D., Mook, W. G., &amp; Tans, P. P. (1979). Recent trends in the </w:t>
      </w:r>
      <w:r w:rsidRPr="00A14A1D">
        <w:rPr>
          <w:noProof/>
          <w:vertAlign w:val="superscript"/>
        </w:rPr>
        <w:t>13</w:t>
      </w:r>
      <w:r w:rsidRPr="00A14A1D">
        <w:rPr>
          <w:noProof/>
        </w:rPr>
        <w:t>C/</w:t>
      </w:r>
      <w:r w:rsidRPr="00A14A1D">
        <w:rPr>
          <w:noProof/>
          <w:vertAlign w:val="superscript"/>
        </w:rPr>
        <w:t>12</w:t>
      </w:r>
      <w:r w:rsidRPr="00A14A1D">
        <w:rPr>
          <w:noProof/>
        </w:rPr>
        <w:t xml:space="preserve">C ratio of atmospheric carbon dioxide. </w:t>
      </w:r>
      <w:r w:rsidRPr="00A14A1D">
        <w:rPr>
          <w:i/>
          <w:iCs/>
          <w:noProof/>
        </w:rPr>
        <w:t>Nature</w:t>
      </w:r>
      <w:r w:rsidRPr="00A14A1D">
        <w:rPr>
          <w:noProof/>
        </w:rPr>
        <w:t xml:space="preserve">, </w:t>
      </w:r>
      <w:r w:rsidRPr="00A14A1D">
        <w:rPr>
          <w:i/>
          <w:iCs/>
          <w:noProof/>
        </w:rPr>
        <w:t>277</w:t>
      </w:r>
      <w:r w:rsidRPr="00A14A1D">
        <w:rPr>
          <w:noProof/>
        </w:rPr>
        <w:t>(5692), 121–123. https://doi.org/10.1038/277121a0</w:t>
      </w:r>
    </w:p>
    <w:p w14:paraId="3A39F610"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LeBauer, D. S., &amp; Treseder, K. (2008). Nitrogen limitation of net primary productivity. </w:t>
      </w:r>
      <w:r w:rsidRPr="00A14A1D">
        <w:rPr>
          <w:i/>
          <w:iCs/>
          <w:noProof/>
        </w:rPr>
        <w:t>Ecology</w:t>
      </w:r>
      <w:r w:rsidRPr="00A14A1D">
        <w:rPr>
          <w:noProof/>
        </w:rPr>
        <w:t xml:space="preserve">, </w:t>
      </w:r>
      <w:r w:rsidRPr="00A14A1D">
        <w:rPr>
          <w:i/>
          <w:iCs/>
          <w:noProof/>
        </w:rPr>
        <w:t>89</w:t>
      </w:r>
      <w:r w:rsidRPr="00A14A1D">
        <w:rPr>
          <w:noProof/>
        </w:rPr>
        <w:t>(2), 371–379. https://doi.org/10.1890/06-2057.1</w:t>
      </w:r>
    </w:p>
    <w:p w14:paraId="5CA194F5"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Liang, J., Qi, X., Souza, L., &amp; Luo, Y. (2016). Processes regulating progressive nitrogen limitation under elevated carbon dioxide: a meta-analysis. </w:t>
      </w:r>
      <w:r w:rsidRPr="00A14A1D">
        <w:rPr>
          <w:i/>
          <w:iCs/>
          <w:noProof/>
        </w:rPr>
        <w:t>Biogeosciences</w:t>
      </w:r>
      <w:r w:rsidRPr="00A14A1D">
        <w:rPr>
          <w:noProof/>
        </w:rPr>
        <w:t xml:space="preserve">, </w:t>
      </w:r>
      <w:r w:rsidRPr="00A14A1D">
        <w:rPr>
          <w:i/>
          <w:iCs/>
          <w:noProof/>
        </w:rPr>
        <w:t>13</w:t>
      </w:r>
      <w:r w:rsidRPr="00A14A1D">
        <w:rPr>
          <w:noProof/>
        </w:rPr>
        <w:t>(9), 2689–2699. https://doi.org/10.5194/bg-13-2689-2016</w:t>
      </w:r>
    </w:p>
    <w:p w14:paraId="3DDC7058"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Luo, Y., Currie, W. S., Dukes, J. S., Finzi, A. C., Hartwig, U. A., Hungate, B. A., McMurtrie, R. E., Oren, R., Parton, W. J., Pataki, D. E., Shaw, R. M., Zak, D. R., &amp; Field, C. B. (2004). Progressive nitrogen limitation of ecosystem responses to rising atmospheric carbon dioxide. </w:t>
      </w:r>
      <w:r w:rsidRPr="00A14A1D">
        <w:rPr>
          <w:i/>
          <w:iCs/>
          <w:noProof/>
        </w:rPr>
        <w:t>BioScience</w:t>
      </w:r>
      <w:r w:rsidRPr="00A14A1D">
        <w:rPr>
          <w:noProof/>
        </w:rPr>
        <w:t xml:space="preserve">, </w:t>
      </w:r>
      <w:r w:rsidRPr="00A14A1D">
        <w:rPr>
          <w:i/>
          <w:iCs/>
          <w:noProof/>
        </w:rPr>
        <w:t>54</w:t>
      </w:r>
      <w:r w:rsidRPr="00A14A1D">
        <w:rPr>
          <w:noProof/>
        </w:rPr>
        <w:t>(8), 731–739. https://doi.org/10.1641/0006-3568(2004)054[0731:PNLOER]2.0.CO;2</w:t>
      </w:r>
    </w:p>
    <w:p w14:paraId="4CCEA4AD"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Makino, A., Harada, M., Sato, T., Nakano, H., &amp; Mae, T. (1997). Growth and N Allocation in Rice Plants under CO2 Enrichment. </w:t>
      </w:r>
      <w:r w:rsidRPr="00A14A1D">
        <w:rPr>
          <w:i/>
          <w:iCs/>
          <w:noProof/>
        </w:rPr>
        <w:t>Plant Physiology</w:t>
      </w:r>
      <w:r w:rsidRPr="00A14A1D">
        <w:rPr>
          <w:noProof/>
        </w:rPr>
        <w:t xml:space="preserve">, </w:t>
      </w:r>
      <w:r w:rsidRPr="00A14A1D">
        <w:rPr>
          <w:i/>
          <w:iCs/>
          <w:noProof/>
        </w:rPr>
        <w:t>115</w:t>
      </w:r>
      <w:r w:rsidRPr="00A14A1D">
        <w:rPr>
          <w:noProof/>
        </w:rPr>
        <w:t>(1), 199–203. https://doi.org/10.1104/pp.115.1.199</w:t>
      </w:r>
    </w:p>
    <w:p w14:paraId="2E907058"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A14A1D">
        <w:rPr>
          <w:i/>
          <w:iCs/>
          <w:noProof/>
        </w:rPr>
        <w:t>Plant, Cell &amp; Environment</w:t>
      </w:r>
      <w:r w:rsidRPr="00A14A1D">
        <w:rPr>
          <w:noProof/>
        </w:rPr>
        <w:t xml:space="preserve">, </w:t>
      </w:r>
      <w:r w:rsidRPr="00A14A1D">
        <w:rPr>
          <w:i/>
          <w:iCs/>
          <w:noProof/>
        </w:rPr>
        <w:t>25</w:t>
      </w:r>
      <w:r w:rsidRPr="00A14A1D">
        <w:rPr>
          <w:noProof/>
        </w:rPr>
        <w:t>(9), 1167–1179. https://doi.org/10.1046/j.1365-3040.2002.00891.x</w:t>
      </w:r>
    </w:p>
    <w:p w14:paraId="76329E3B" w14:textId="77777777" w:rsidR="00A14A1D" w:rsidRPr="00A14A1D" w:rsidRDefault="00A14A1D" w:rsidP="00A14A1D">
      <w:pPr>
        <w:widowControl w:val="0"/>
        <w:autoSpaceDE w:val="0"/>
        <w:autoSpaceDN w:val="0"/>
        <w:adjustRightInd w:val="0"/>
        <w:ind w:left="480" w:hanging="480"/>
        <w:rPr>
          <w:noProof/>
        </w:rPr>
      </w:pPr>
      <w:r w:rsidRPr="00A14A1D">
        <w:rPr>
          <w:noProof/>
        </w:rPr>
        <w:t>O’Sullivan, O. S., Weerasinghe, K. W. L. K., Evans, J. R., Egerton, J. J. G., Tjoelker, M. G., &amp; Atkin, O. K. (2013). High-resolution temperature responses of leaf respiration in snow gum (</w:t>
      </w:r>
      <w:r w:rsidRPr="00A14A1D">
        <w:rPr>
          <w:i/>
          <w:iCs/>
          <w:noProof/>
        </w:rPr>
        <w:t>Eucalyptus pauciflora</w:t>
      </w:r>
      <w:r w:rsidRPr="00A14A1D">
        <w:rPr>
          <w:noProof/>
        </w:rPr>
        <w:t xml:space="preserve">) reveal high-temperature limits to respiratory function. </w:t>
      </w:r>
      <w:r w:rsidRPr="00A14A1D">
        <w:rPr>
          <w:i/>
          <w:iCs/>
          <w:noProof/>
        </w:rPr>
        <w:t>Plant, Cell &amp; Environment</w:t>
      </w:r>
      <w:r w:rsidRPr="00A14A1D">
        <w:rPr>
          <w:noProof/>
        </w:rPr>
        <w:t xml:space="preserve">, </w:t>
      </w:r>
      <w:r w:rsidRPr="00A14A1D">
        <w:rPr>
          <w:i/>
          <w:iCs/>
          <w:noProof/>
        </w:rPr>
        <w:t>36</w:t>
      </w:r>
      <w:r w:rsidRPr="00A14A1D">
        <w:rPr>
          <w:noProof/>
        </w:rPr>
        <w:t>(7), 1268–1284. https://doi.org/10.1111/pce.12057</w:t>
      </w:r>
    </w:p>
    <w:p w14:paraId="0EED3B77"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Paillassa, J., Wright, I. J., Prentice, I. C., Pepin, S., Smith, N. G., Ethier, G., Westerband, A. C., Lamarque, L. J., Wang, H., Cornwell, W. K., &amp; Maire, V. (2020). When and where soil is important to modify the carbon and water economy of leaves. </w:t>
      </w:r>
      <w:r w:rsidRPr="00A14A1D">
        <w:rPr>
          <w:i/>
          <w:iCs/>
          <w:noProof/>
        </w:rPr>
        <w:t>New Phytologist</w:t>
      </w:r>
      <w:r w:rsidRPr="00A14A1D">
        <w:rPr>
          <w:noProof/>
        </w:rPr>
        <w:t xml:space="preserve">, </w:t>
      </w:r>
      <w:r w:rsidRPr="00A14A1D">
        <w:rPr>
          <w:i/>
          <w:iCs/>
          <w:noProof/>
        </w:rPr>
        <w:t>228</w:t>
      </w:r>
      <w:r w:rsidRPr="00A14A1D">
        <w:rPr>
          <w:noProof/>
        </w:rPr>
        <w:t>(1), 121–135. https://doi.org/10.1111/nph.16702</w:t>
      </w:r>
    </w:p>
    <w:p w14:paraId="3E0F0BCA"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Perkowski, E. A., Waring, E. F., &amp; Smith, N. G. (2021). Root mass carbon costs to acquire nitrogen are determined by nitrogen and light availability in two species with different nitrogen acquisition strategies. </w:t>
      </w:r>
      <w:r w:rsidRPr="00A14A1D">
        <w:rPr>
          <w:i/>
          <w:iCs/>
          <w:noProof/>
        </w:rPr>
        <w:t>Journal of Experimental Botany</w:t>
      </w:r>
      <w:r w:rsidRPr="00A14A1D">
        <w:rPr>
          <w:noProof/>
        </w:rPr>
        <w:t xml:space="preserve">, </w:t>
      </w:r>
      <w:r w:rsidRPr="00A14A1D">
        <w:rPr>
          <w:i/>
          <w:iCs/>
          <w:noProof/>
        </w:rPr>
        <w:t>72</w:t>
      </w:r>
      <w:r w:rsidRPr="00A14A1D">
        <w:rPr>
          <w:noProof/>
        </w:rPr>
        <w:t>(15), 5766–5776. https://doi.org/10.1093/jxb/erab253</w:t>
      </w:r>
    </w:p>
    <w:p w14:paraId="624409C4"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Prentice, I. C., Dong, N., Gleason, S. M., Maire, V., &amp; Wright, I. J. (2014). Balancing the costs of carbon gain and water transport: testing a new theoretical framework for plant functional ecology. </w:t>
      </w:r>
      <w:r w:rsidRPr="00A14A1D">
        <w:rPr>
          <w:i/>
          <w:iCs/>
          <w:noProof/>
        </w:rPr>
        <w:t>Ecology Letters</w:t>
      </w:r>
      <w:r w:rsidRPr="00A14A1D">
        <w:rPr>
          <w:noProof/>
        </w:rPr>
        <w:t xml:space="preserve">, </w:t>
      </w:r>
      <w:r w:rsidRPr="00A14A1D">
        <w:rPr>
          <w:i/>
          <w:iCs/>
          <w:noProof/>
        </w:rPr>
        <w:t>17</w:t>
      </w:r>
      <w:r w:rsidRPr="00A14A1D">
        <w:rPr>
          <w:noProof/>
        </w:rPr>
        <w:t>(1), 82–91. https://doi.org/10.1111/ele.12211</w:t>
      </w:r>
    </w:p>
    <w:p w14:paraId="673785AF"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Prentice, I. C., Liang, X., Medlyn, B. E., &amp; Wang, Y.-P. (2015). Reliable, robust and realistic: The three R’s of next-generation land-surface modelling. </w:t>
      </w:r>
      <w:r w:rsidRPr="00A14A1D">
        <w:rPr>
          <w:i/>
          <w:iCs/>
          <w:noProof/>
        </w:rPr>
        <w:t>Atmospheric Chemistry and Physics</w:t>
      </w:r>
      <w:r w:rsidRPr="00A14A1D">
        <w:rPr>
          <w:noProof/>
        </w:rPr>
        <w:t xml:space="preserve">, </w:t>
      </w:r>
      <w:r w:rsidRPr="00A14A1D">
        <w:rPr>
          <w:i/>
          <w:iCs/>
          <w:noProof/>
        </w:rPr>
        <w:t>15</w:t>
      </w:r>
      <w:r w:rsidRPr="00A14A1D">
        <w:rPr>
          <w:noProof/>
        </w:rPr>
        <w:t>, 5987–6005. https://doi.org/10.5194/acp-15-5987-2015</w:t>
      </w:r>
    </w:p>
    <w:p w14:paraId="5810707A"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Rastetter, E. B., Vitousek, P. M., Field, C. B., Shaver, G. R., Herbert, D., &amp; Ågren, G. I. (2001). Resource optimization and symbiotic nitrogen fixation. </w:t>
      </w:r>
      <w:r w:rsidRPr="00A14A1D">
        <w:rPr>
          <w:i/>
          <w:iCs/>
          <w:noProof/>
        </w:rPr>
        <w:t>Ecosystems</w:t>
      </w:r>
      <w:r w:rsidRPr="00A14A1D">
        <w:rPr>
          <w:noProof/>
        </w:rPr>
        <w:t xml:space="preserve">, </w:t>
      </w:r>
      <w:r w:rsidRPr="00A14A1D">
        <w:rPr>
          <w:i/>
          <w:iCs/>
          <w:noProof/>
        </w:rPr>
        <w:t>4</w:t>
      </w:r>
      <w:r w:rsidRPr="00A14A1D">
        <w:rPr>
          <w:noProof/>
        </w:rPr>
        <w:t xml:space="preserve">(4), 369–388. </w:t>
      </w:r>
      <w:r w:rsidRPr="00A14A1D">
        <w:rPr>
          <w:noProof/>
        </w:rPr>
        <w:lastRenderedPageBreak/>
        <w:t>https://doi.org/10.1007/s10021-001-0018-z</w:t>
      </w:r>
    </w:p>
    <w:p w14:paraId="09B7D35D"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Saathoff, A. J., &amp; Welles, J. (2021). Gas exchange measurements in the unsteady state. </w:t>
      </w:r>
      <w:r w:rsidRPr="00A14A1D">
        <w:rPr>
          <w:i/>
          <w:iCs/>
          <w:noProof/>
        </w:rPr>
        <w:t>Plant Cell and Environment</w:t>
      </w:r>
      <w:r w:rsidRPr="00A14A1D">
        <w:rPr>
          <w:noProof/>
        </w:rPr>
        <w:t xml:space="preserve">, </w:t>
      </w:r>
      <w:r w:rsidRPr="00A14A1D">
        <w:rPr>
          <w:i/>
          <w:iCs/>
          <w:noProof/>
        </w:rPr>
        <w:t>44</w:t>
      </w:r>
      <w:r w:rsidRPr="00A14A1D">
        <w:rPr>
          <w:noProof/>
        </w:rPr>
        <w:t>(11), 3509–3523. https://doi.org/10.1111/pce.14178</w:t>
      </w:r>
    </w:p>
    <w:p w14:paraId="6C343E7F"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Schneider, C. A., Rasband, W. S., &amp; Eliceiri, K. W. (2012). NIH Image to ImageJ: 25 years of image analysis. </w:t>
      </w:r>
      <w:r w:rsidRPr="00A14A1D">
        <w:rPr>
          <w:i/>
          <w:iCs/>
          <w:noProof/>
        </w:rPr>
        <w:t>Nature Methods</w:t>
      </w:r>
      <w:r w:rsidRPr="00A14A1D">
        <w:rPr>
          <w:noProof/>
        </w:rPr>
        <w:t xml:space="preserve">, </w:t>
      </w:r>
      <w:r w:rsidRPr="00A14A1D">
        <w:rPr>
          <w:i/>
          <w:iCs/>
          <w:noProof/>
        </w:rPr>
        <w:t>9</w:t>
      </w:r>
      <w:r w:rsidRPr="00A14A1D">
        <w:rPr>
          <w:noProof/>
        </w:rPr>
        <w:t>(7), 671–675. https://doi.org/10.1038/nmeth.2089</w:t>
      </w:r>
    </w:p>
    <w:p w14:paraId="2B4E7251"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Smith, N. G., &amp; Keenan, T. F. (2020). Mechanisms underlying leaf photosynthetic acclimation to warming and elevated CO2 as inferred from least‐cost optimality theory. </w:t>
      </w:r>
      <w:r w:rsidRPr="00A14A1D">
        <w:rPr>
          <w:i/>
          <w:iCs/>
          <w:noProof/>
        </w:rPr>
        <w:t>Global Change Biology</w:t>
      </w:r>
      <w:r w:rsidRPr="00A14A1D">
        <w:rPr>
          <w:noProof/>
        </w:rPr>
        <w:t xml:space="preserve">, </w:t>
      </w:r>
      <w:r w:rsidRPr="00A14A1D">
        <w:rPr>
          <w:i/>
          <w:iCs/>
          <w:noProof/>
        </w:rPr>
        <w:t>26</w:t>
      </w:r>
      <w:r w:rsidRPr="00A14A1D">
        <w:rPr>
          <w:noProof/>
        </w:rPr>
        <w:t>(9), 5202–5216. https://doi.org/10.1111/gcb.15212</w:t>
      </w:r>
    </w:p>
    <w:p w14:paraId="7B8461B8"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Terrer, C., Vicca, S., Hungate, B. A., Phillips, R. P., &amp; Prentice, I. C. (2016). Mycorrhizal association as a primary control of the CO2 fertilization effect. </w:t>
      </w:r>
      <w:r w:rsidRPr="00A14A1D">
        <w:rPr>
          <w:i/>
          <w:iCs/>
          <w:noProof/>
        </w:rPr>
        <w:t>Science</w:t>
      </w:r>
      <w:r w:rsidRPr="00A14A1D">
        <w:rPr>
          <w:noProof/>
        </w:rPr>
        <w:t xml:space="preserve">, </w:t>
      </w:r>
      <w:r w:rsidRPr="00A14A1D">
        <w:rPr>
          <w:i/>
          <w:iCs/>
          <w:noProof/>
        </w:rPr>
        <w:t>353</w:t>
      </w:r>
      <w:r w:rsidRPr="00A14A1D">
        <w:rPr>
          <w:noProof/>
        </w:rPr>
        <w:t>(6294), 72–74. https://doi.org/10.1126/science.aaf4610</w:t>
      </w:r>
    </w:p>
    <w:p w14:paraId="20A5B6F3" w14:textId="77777777" w:rsidR="00A14A1D" w:rsidRPr="00A14A1D" w:rsidRDefault="00A14A1D" w:rsidP="00A14A1D">
      <w:pPr>
        <w:widowControl w:val="0"/>
        <w:autoSpaceDE w:val="0"/>
        <w:autoSpaceDN w:val="0"/>
        <w:adjustRightInd w:val="0"/>
        <w:ind w:left="480" w:hanging="480"/>
        <w:rPr>
          <w:noProof/>
        </w:rPr>
      </w:pPr>
      <w:r w:rsidRPr="00A14A1D">
        <w:rPr>
          <w:noProof/>
        </w:rPr>
        <w:t>Terrer, C., Vicca, S., Stöcker, B. D., Hungate, B. A., Phillips, R. P., Reich, P. B., Finzi, A. C., &amp; Prentice, I. C. (2018). Ecosystem responses to elevated CO</w:t>
      </w:r>
      <w:r w:rsidRPr="00A14A1D">
        <w:rPr>
          <w:noProof/>
          <w:vertAlign w:val="subscript"/>
        </w:rPr>
        <w:t>2</w:t>
      </w:r>
      <w:r w:rsidRPr="00A14A1D">
        <w:rPr>
          <w:noProof/>
        </w:rPr>
        <w:t xml:space="preserve"> governed by plant–soil interactions and the cost of nitrogen acquisition. </w:t>
      </w:r>
      <w:r w:rsidRPr="00A14A1D">
        <w:rPr>
          <w:i/>
          <w:iCs/>
          <w:noProof/>
        </w:rPr>
        <w:t>New Phytologist</w:t>
      </w:r>
      <w:r w:rsidRPr="00A14A1D">
        <w:rPr>
          <w:noProof/>
        </w:rPr>
        <w:t xml:space="preserve">, </w:t>
      </w:r>
      <w:r w:rsidRPr="00A14A1D">
        <w:rPr>
          <w:i/>
          <w:iCs/>
          <w:noProof/>
        </w:rPr>
        <w:t>217</w:t>
      </w:r>
      <w:r w:rsidRPr="00A14A1D">
        <w:rPr>
          <w:noProof/>
        </w:rPr>
        <w:t>(2), 507–522. https://doi.org/10.1111/nph.14872</w:t>
      </w:r>
    </w:p>
    <w:p w14:paraId="1068395C" w14:textId="77777777" w:rsidR="00A14A1D" w:rsidRPr="00A14A1D" w:rsidRDefault="00A14A1D" w:rsidP="00A14A1D">
      <w:pPr>
        <w:widowControl w:val="0"/>
        <w:autoSpaceDE w:val="0"/>
        <w:autoSpaceDN w:val="0"/>
        <w:adjustRightInd w:val="0"/>
        <w:ind w:left="480" w:hanging="480"/>
        <w:rPr>
          <w:noProof/>
        </w:rPr>
      </w:pPr>
      <w:r w:rsidRPr="00A14A1D">
        <w:rPr>
          <w:noProof/>
        </w:rPr>
        <w:t xml:space="preserve">Wright, I. J., Reich, P. B., &amp; Westoby, M. (2003). Least-cost input mixtures of water and nitrogen for photosynthesis. </w:t>
      </w:r>
      <w:r w:rsidRPr="00A14A1D">
        <w:rPr>
          <w:i/>
          <w:iCs/>
          <w:noProof/>
        </w:rPr>
        <w:t>The American Naturalist</w:t>
      </w:r>
      <w:r w:rsidRPr="00A14A1D">
        <w:rPr>
          <w:noProof/>
        </w:rPr>
        <w:t xml:space="preserve">, </w:t>
      </w:r>
      <w:r w:rsidRPr="00A14A1D">
        <w:rPr>
          <w:i/>
          <w:iCs/>
          <w:noProof/>
        </w:rPr>
        <w:t>161</w:t>
      </w:r>
      <w:r w:rsidRPr="00A14A1D">
        <w:rPr>
          <w:noProof/>
        </w:rPr>
        <w:t>(1), 98–111. https://doi.org/0003-0147/2003/16101-010387</w:t>
      </w:r>
    </w:p>
    <w:p w14:paraId="4B231BC7" w14:textId="096D30ED" w:rsidR="00E60BAC" w:rsidRPr="00E60BAC" w:rsidRDefault="00E60BAC" w:rsidP="00A14A1D">
      <w:pPr>
        <w:widowControl w:val="0"/>
        <w:autoSpaceDE w:val="0"/>
        <w:autoSpaceDN w:val="0"/>
        <w:adjustRightInd w:val="0"/>
        <w:ind w:left="480" w:hanging="480"/>
        <w:rPr>
          <w:b/>
          <w:bCs/>
        </w:rPr>
      </w:pPr>
      <w:r>
        <w:rPr>
          <w:b/>
          <w:bCs/>
        </w:rPr>
        <w:fldChar w:fldCharType="end"/>
      </w:r>
    </w:p>
    <w:sectPr w:rsidR="00E60BAC" w:rsidRPr="00E60B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3T14:33:00Z" w:initials="PEA">
    <w:p w14:paraId="47D8B901" w14:textId="77777777" w:rsidR="00BC73C6" w:rsidRDefault="00BC73C6" w:rsidP="00BC73C6">
      <w:pPr>
        <w:pStyle w:val="CommentText"/>
      </w:pPr>
      <w:r>
        <w:rPr>
          <w:rStyle w:val="CommentReference"/>
        </w:rPr>
        <w:annotationRef/>
      </w:r>
      <w:r>
        <w:t>Is this correct?</w:t>
      </w:r>
    </w:p>
  </w:comment>
  <w:comment w:id="1" w:author="Perkowski, Evan A" w:date="2022-05-18T14:06:00Z" w:initials="PEA">
    <w:p w14:paraId="4E53849D" w14:textId="51982A4B" w:rsidR="00247CFD" w:rsidRDefault="00247CFD">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8B901" w15:done="0"/>
  <w15:commentEx w15:paraId="4E538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EA9E" w16cex:dateUtc="2022-05-13T19:33:00Z"/>
  <w16cex:commentExtensible w16cex:durableId="262F7BE4" w16cex:dateUtc="2022-05-18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8B901" w16cid:durableId="2628EA9E"/>
  <w16cid:commentId w16cid:paraId="4E53849D" w16cid:durableId="262F7B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C"/>
    <w:rsid w:val="000662B7"/>
    <w:rsid w:val="00133763"/>
    <w:rsid w:val="001339A7"/>
    <w:rsid w:val="001C0D32"/>
    <w:rsid w:val="002034D4"/>
    <w:rsid w:val="00247CFD"/>
    <w:rsid w:val="002948B1"/>
    <w:rsid w:val="002A1426"/>
    <w:rsid w:val="002C360E"/>
    <w:rsid w:val="002E2834"/>
    <w:rsid w:val="00385BDF"/>
    <w:rsid w:val="00470A8B"/>
    <w:rsid w:val="00497794"/>
    <w:rsid w:val="004B70BE"/>
    <w:rsid w:val="005459FB"/>
    <w:rsid w:val="005A3AD9"/>
    <w:rsid w:val="005A591B"/>
    <w:rsid w:val="005B0115"/>
    <w:rsid w:val="005B353A"/>
    <w:rsid w:val="007954B2"/>
    <w:rsid w:val="007B67A6"/>
    <w:rsid w:val="00816C54"/>
    <w:rsid w:val="0091040E"/>
    <w:rsid w:val="009B2B3C"/>
    <w:rsid w:val="009D6030"/>
    <w:rsid w:val="00A14A1D"/>
    <w:rsid w:val="00A765F4"/>
    <w:rsid w:val="00AF1373"/>
    <w:rsid w:val="00BA3A8F"/>
    <w:rsid w:val="00BC73C6"/>
    <w:rsid w:val="00C77766"/>
    <w:rsid w:val="00CD368B"/>
    <w:rsid w:val="00D74B1E"/>
    <w:rsid w:val="00DD0204"/>
    <w:rsid w:val="00E06DE0"/>
    <w:rsid w:val="00E60BAC"/>
    <w:rsid w:val="00F42BEB"/>
    <w:rsid w:val="00F55823"/>
    <w:rsid w:val="00F917B0"/>
    <w:rsid w:val="00FC6B3C"/>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08C"/>
  <w15:chartTrackingRefBased/>
  <w15:docId w15:val="{811B2E17-3DCF-2C47-835D-1047632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2BEB"/>
    <w:rPr>
      <w:sz w:val="16"/>
      <w:szCs w:val="16"/>
    </w:rPr>
  </w:style>
  <w:style w:type="paragraph" w:styleId="CommentText">
    <w:name w:val="annotation text"/>
    <w:basedOn w:val="Normal"/>
    <w:link w:val="CommentTextChar"/>
    <w:uiPriority w:val="99"/>
    <w:unhideWhenUsed/>
    <w:rsid w:val="00F42BEB"/>
    <w:rPr>
      <w:sz w:val="20"/>
      <w:szCs w:val="20"/>
    </w:rPr>
  </w:style>
  <w:style w:type="character" w:customStyle="1" w:styleId="CommentTextChar">
    <w:name w:val="Comment Text Char"/>
    <w:basedOn w:val="DefaultParagraphFont"/>
    <w:link w:val="CommentText"/>
    <w:uiPriority w:val="99"/>
    <w:rsid w:val="00F42BEB"/>
    <w:rPr>
      <w:rFonts w:eastAsia="Times New Roman" w:cs="Times New Roman"/>
      <w:sz w:val="20"/>
      <w:szCs w:val="20"/>
    </w:rPr>
  </w:style>
  <w:style w:type="character" w:styleId="PlaceholderText">
    <w:name w:val="Placeholder Text"/>
    <w:basedOn w:val="DefaultParagraphFont"/>
    <w:uiPriority w:val="99"/>
    <w:semiHidden/>
    <w:rsid w:val="00D74B1E"/>
    <w:rPr>
      <w:color w:val="808080"/>
    </w:rPr>
  </w:style>
  <w:style w:type="character" w:styleId="LineNumber">
    <w:name w:val="line number"/>
    <w:basedOn w:val="DefaultParagraphFont"/>
    <w:uiPriority w:val="99"/>
    <w:semiHidden/>
    <w:unhideWhenUsed/>
    <w:rsid w:val="005B0115"/>
  </w:style>
  <w:style w:type="paragraph" w:styleId="CommentSubject">
    <w:name w:val="annotation subject"/>
    <w:basedOn w:val="CommentText"/>
    <w:next w:val="CommentText"/>
    <w:link w:val="CommentSubjectChar"/>
    <w:uiPriority w:val="99"/>
    <w:semiHidden/>
    <w:unhideWhenUsed/>
    <w:rsid w:val="00247CFD"/>
    <w:rPr>
      <w:b/>
      <w:bCs/>
    </w:rPr>
  </w:style>
  <w:style w:type="character" w:customStyle="1" w:styleId="CommentSubjectChar">
    <w:name w:val="Comment Subject Char"/>
    <w:basedOn w:val="CommentTextChar"/>
    <w:link w:val="CommentSubject"/>
    <w:uiPriority w:val="99"/>
    <w:semiHidden/>
    <w:rsid w:val="00247CF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FA6A-3201-0E4B-A322-72F3DB2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23380</Words>
  <Characters>133270</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156338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2022-05-18T14:45:00Z</dcterms:created>
  <dcterms:modified xsi:type="dcterms:W3CDTF">2022-05-18T19:09:00Z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