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ED889" w14:textId="77777777" w:rsidR="00E60BAC" w:rsidRPr="00C947F7" w:rsidRDefault="00E60BAC" w:rsidP="00E60BAC">
      <w:pPr>
        <w:spacing w:line="480" w:lineRule="auto"/>
        <w:rPr>
          <w:b/>
          <w:bCs/>
        </w:rPr>
      </w:pPr>
      <w:r>
        <w:rPr>
          <w:b/>
          <w:bCs/>
        </w:rPr>
        <w:t>Target Journals:</w:t>
      </w:r>
    </w:p>
    <w:p w14:paraId="5045D38B" w14:textId="77777777" w:rsidR="00E60BAC" w:rsidRDefault="00E60BAC" w:rsidP="00E60BAC">
      <w:pPr>
        <w:spacing w:line="480" w:lineRule="auto"/>
        <w:rPr>
          <w:b/>
          <w:bCs/>
        </w:rPr>
      </w:pPr>
    </w:p>
    <w:p w14:paraId="21D148D3" w14:textId="206F0273" w:rsidR="00E60BAC" w:rsidRDefault="00E60BAC" w:rsidP="00E60BAC">
      <w:pPr>
        <w:spacing w:line="480" w:lineRule="auto"/>
        <w:rPr>
          <w:b/>
          <w:bCs/>
        </w:rPr>
      </w:pPr>
      <w:r>
        <w:rPr>
          <w:b/>
          <w:bCs/>
        </w:rPr>
        <w:t>T</w:t>
      </w:r>
      <w:r w:rsidRPr="0070582B">
        <w:rPr>
          <w:b/>
          <w:bCs/>
        </w:rPr>
        <w:t>itle</w:t>
      </w:r>
      <w:r>
        <w:t>:</w:t>
      </w:r>
      <w:r w:rsidRPr="00160CD3">
        <w:rPr>
          <w:b/>
          <w:bCs/>
        </w:rPr>
        <w:t xml:space="preserve"> </w:t>
      </w:r>
    </w:p>
    <w:p w14:paraId="74E38B82" w14:textId="77777777" w:rsidR="00E60BAC" w:rsidRPr="00160CD3" w:rsidRDefault="00E60BAC" w:rsidP="00E60BAC">
      <w:pPr>
        <w:spacing w:line="480" w:lineRule="auto"/>
        <w:rPr>
          <w:b/>
          <w:bCs/>
        </w:rPr>
      </w:pPr>
    </w:p>
    <w:p w14:paraId="586BF7A8" w14:textId="77777777" w:rsidR="00E60BAC" w:rsidRPr="00D71A6E" w:rsidRDefault="00E60BAC" w:rsidP="00E60BAC">
      <w:pPr>
        <w:spacing w:line="480" w:lineRule="auto"/>
      </w:pPr>
      <w:r>
        <w:rPr>
          <w:b/>
          <w:bCs/>
        </w:rPr>
        <w:t>Running Head:</w:t>
      </w:r>
    </w:p>
    <w:p w14:paraId="4108C491" w14:textId="77777777" w:rsidR="00E60BAC" w:rsidRDefault="00E60BAC" w:rsidP="00E60BAC">
      <w:pPr>
        <w:spacing w:line="480" w:lineRule="auto"/>
        <w:rPr>
          <w:b/>
          <w:bCs/>
        </w:rPr>
      </w:pPr>
    </w:p>
    <w:p w14:paraId="0869D508" w14:textId="77777777" w:rsidR="00E60BAC" w:rsidRPr="00AA5310" w:rsidRDefault="00E60BAC" w:rsidP="00E60BAC">
      <w:pPr>
        <w:spacing w:line="480" w:lineRule="auto"/>
      </w:pPr>
      <w:r>
        <w:rPr>
          <w:b/>
          <w:bCs/>
        </w:rPr>
        <w:t>Author List:</w:t>
      </w:r>
      <w:r>
        <w:t xml:space="preserve"> Evan A. Perkowski, Nicholas G. Smith</w:t>
      </w:r>
    </w:p>
    <w:p w14:paraId="5F1E4C07" w14:textId="77777777" w:rsidR="00E60BAC" w:rsidRPr="00182CD2" w:rsidRDefault="00E60BAC" w:rsidP="00E60BAC">
      <w:pPr>
        <w:spacing w:line="480" w:lineRule="auto"/>
      </w:pPr>
      <w:r>
        <w:rPr>
          <w:b/>
          <w:bCs/>
        </w:rPr>
        <w:t>Author Affiliations:</w:t>
      </w:r>
      <w:r>
        <w:t xml:space="preserve"> Department of Biological Sciences, Texas Tech University, Lubbock, TX</w:t>
      </w:r>
    </w:p>
    <w:p w14:paraId="28578442" w14:textId="77777777" w:rsidR="00E60BAC" w:rsidRDefault="00E60BAC" w:rsidP="00E60BAC">
      <w:pPr>
        <w:spacing w:line="480" w:lineRule="auto"/>
        <w:rPr>
          <w:b/>
        </w:rPr>
      </w:pPr>
    </w:p>
    <w:p w14:paraId="4079980A" w14:textId="77777777" w:rsidR="00E60BAC" w:rsidRPr="002F526D" w:rsidRDefault="00E60BAC" w:rsidP="00E60BAC">
      <w:pPr>
        <w:spacing w:line="480" w:lineRule="auto"/>
        <w:rPr>
          <w:b/>
        </w:rPr>
      </w:pPr>
      <w:r>
        <w:rPr>
          <w:b/>
        </w:rPr>
        <w:t>Manuscript compilation details</w:t>
      </w:r>
    </w:p>
    <w:p w14:paraId="13CA9D17" w14:textId="544E0844" w:rsidR="00E60BAC" w:rsidRDefault="00E60BAC" w:rsidP="00E60BAC">
      <w:pPr>
        <w:spacing w:line="480" w:lineRule="auto"/>
        <w:rPr>
          <w:bCs/>
        </w:rPr>
      </w:pPr>
      <w:r w:rsidRPr="00895468">
        <w:rPr>
          <w:b/>
        </w:rPr>
        <w:t>Abstract:</w:t>
      </w:r>
      <w:r>
        <w:rPr>
          <w:bCs/>
        </w:rPr>
        <w:t xml:space="preserve"> XX words</w:t>
      </w:r>
    </w:p>
    <w:p w14:paraId="5EF92C95" w14:textId="7B880982" w:rsidR="00E60BAC" w:rsidRDefault="00E60BAC" w:rsidP="00E60BAC">
      <w:pPr>
        <w:spacing w:line="480" w:lineRule="auto"/>
        <w:rPr>
          <w:bCs/>
        </w:rPr>
      </w:pPr>
      <w:r w:rsidRPr="00006BDD">
        <w:rPr>
          <w:b/>
        </w:rPr>
        <w:t>Main text word count</w:t>
      </w:r>
      <w:r>
        <w:rPr>
          <w:bCs/>
        </w:rPr>
        <w:t xml:space="preserve">: XX words </w:t>
      </w:r>
    </w:p>
    <w:p w14:paraId="183036EF" w14:textId="2CE1C693" w:rsidR="00E60BAC" w:rsidRDefault="00E60BAC" w:rsidP="00E60BAC">
      <w:pPr>
        <w:spacing w:line="480" w:lineRule="auto"/>
        <w:ind w:firstLine="720"/>
        <w:rPr>
          <w:bCs/>
        </w:rPr>
      </w:pPr>
      <w:r>
        <w:rPr>
          <w:bCs/>
        </w:rPr>
        <w:t>Introduction: XX words</w:t>
      </w:r>
    </w:p>
    <w:p w14:paraId="0CB82A65" w14:textId="6C8BC31A" w:rsidR="00E60BAC" w:rsidRDefault="00E60BAC" w:rsidP="00E60BAC">
      <w:pPr>
        <w:spacing w:line="480" w:lineRule="auto"/>
        <w:ind w:firstLine="720"/>
        <w:rPr>
          <w:bCs/>
        </w:rPr>
      </w:pPr>
      <w:r>
        <w:rPr>
          <w:bCs/>
        </w:rPr>
        <w:t>Methods: XX words</w:t>
      </w:r>
    </w:p>
    <w:p w14:paraId="103F27AE" w14:textId="48C8A425" w:rsidR="00E60BAC" w:rsidRDefault="00E60BAC" w:rsidP="00E60BAC">
      <w:pPr>
        <w:spacing w:line="480" w:lineRule="auto"/>
        <w:ind w:firstLine="720"/>
        <w:rPr>
          <w:bCs/>
        </w:rPr>
      </w:pPr>
      <w:r>
        <w:rPr>
          <w:bCs/>
        </w:rPr>
        <w:t>Results: XX words (not including text in figures or tables)</w:t>
      </w:r>
    </w:p>
    <w:p w14:paraId="61E20085" w14:textId="7158ECF9" w:rsidR="00E60BAC" w:rsidRDefault="00E60BAC" w:rsidP="00E60BAC">
      <w:pPr>
        <w:spacing w:line="480" w:lineRule="auto"/>
        <w:ind w:firstLine="720"/>
        <w:rPr>
          <w:bCs/>
        </w:rPr>
      </w:pPr>
      <w:r>
        <w:rPr>
          <w:bCs/>
        </w:rPr>
        <w:t>Discussion: XX words (</w:t>
      </w:r>
      <w:r w:rsidR="005B353A">
        <w:rPr>
          <w:bCs/>
        </w:rPr>
        <w:t>XX</w:t>
      </w:r>
      <w:r>
        <w:rPr>
          <w:bCs/>
        </w:rPr>
        <w:t>% of total word count)</w:t>
      </w:r>
    </w:p>
    <w:p w14:paraId="363AE501" w14:textId="2210960B" w:rsidR="00E60BAC" w:rsidRDefault="00E60BAC" w:rsidP="00E60BAC">
      <w:pPr>
        <w:spacing w:line="480" w:lineRule="auto"/>
        <w:rPr>
          <w:bCs/>
        </w:rPr>
      </w:pPr>
      <w:r w:rsidRPr="00006BDD">
        <w:rPr>
          <w:b/>
        </w:rPr>
        <w:t>References</w:t>
      </w:r>
      <w:r>
        <w:rPr>
          <w:bCs/>
        </w:rPr>
        <w:t>: XX</w:t>
      </w:r>
    </w:p>
    <w:p w14:paraId="0C70266B" w14:textId="46BED57A" w:rsidR="00E60BAC" w:rsidRDefault="00E60BAC" w:rsidP="00E60BAC">
      <w:pPr>
        <w:spacing w:line="480" w:lineRule="auto"/>
        <w:rPr>
          <w:bCs/>
        </w:rPr>
      </w:pPr>
      <w:r>
        <w:rPr>
          <w:b/>
        </w:rPr>
        <w:t>Tables and Figures</w:t>
      </w:r>
      <w:r>
        <w:rPr>
          <w:bCs/>
        </w:rPr>
        <w:t>: XX</w:t>
      </w:r>
    </w:p>
    <w:p w14:paraId="457E7C2F" w14:textId="77777777" w:rsidR="00E60BAC" w:rsidRDefault="00E60BAC" w:rsidP="00E60BAC">
      <w:pPr>
        <w:spacing w:line="480" w:lineRule="auto"/>
        <w:rPr>
          <w:b/>
          <w:bCs/>
        </w:rPr>
      </w:pPr>
      <w:r>
        <w:rPr>
          <w:b/>
        </w:rPr>
        <w:t>Supplemental Information</w:t>
      </w:r>
      <w:r>
        <w:rPr>
          <w:bCs/>
        </w:rPr>
        <w:t>:</w:t>
      </w:r>
    </w:p>
    <w:p w14:paraId="77742A0D" w14:textId="0FD3B2E3" w:rsidR="00E60BAC" w:rsidRDefault="00E60BAC">
      <w:pPr>
        <w:rPr>
          <w:b/>
          <w:sz w:val="22"/>
          <w:szCs w:val="22"/>
        </w:rPr>
      </w:pPr>
      <w:r>
        <w:rPr>
          <w:b/>
          <w:sz w:val="22"/>
          <w:szCs w:val="22"/>
        </w:rPr>
        <w:br w:type="page"/>
      </w:r>
    </w:p>
    <w:p w14:paraId="02FFD385" w14:textId="082A2A87" w:rsidR="00E60BAC" w:rsidRPr="00E60BAC" w:rsidRDefault="00E60BAC" w:rsidP="00E60BAC">
      <w:pPr>
        <w:spacing w:line="480" w:lineRule="auto"/>
        <w:rPr>
          <w:bCs/>
        </w:rPr>
      </w:pPr>
      <w:r w:rsidRPr="00E60BAC">
        <w:rPr>
          <w:b/>
        </w:rPr>
        <w:lastRenderedPageBreak/>
        <w:t>Abstract</w:t>
      </w:r>
    </w:p>
    <w:p w14:paraId="19782AF3" w14:textId="77777777" w:rsidR="002A1426" w:rsidRDefault="00E60BAC" w:rsidP="00E60BAC">
      <w:pPr>
        <w:spacing w:line="480" w:lineRule="auto"/>
        <w:rPr>
          <w:bCs/>
        </w:rPr>
      </w:pPr>
      <w:r w:rsidRPr="00E60BAC">
        <w:rPr>
          <w:bCs/>
        </w:rPr>
        <w:t>Plants acclimate to increasing CO</w:t>
      </w:r>
      <w:r w:rsidRPr="00E60BAC">
        <w:rPr>
          <w:bCs/>
          <w:vertAlign w:val="subscript"/>
        </w:rPr>
        <w:t>2</w:t>
      </w:r>
      <w:r w:rsidRPr="00E60BAC">
        <w:rPr>
          <w:bCs/>
        </w:rPr>
        <w:t xml:space="preserve"> by reducing leaf nutrient allocation and photosynthetic capacity at the leaf level, a response that often occurs alongside growth stimulation at the whole plant level. Nutrient limitation has been hypothesized to be the primary driver of plant acclimation to CO</w:t>
      </w:r>
      <w:r w:rsidRPr="00E60BAC">
        <w:rPr>
          <w:bCs/>
          <w:vertAlign w:val="subscript"/>
        </w:rPr>
        <w:t>2</w:t>
      </w:r>
      <w:r w:rsidRPr="00E60BAC">
        <w:rPr>
          <w:bCs/>
        </w:rPr>
        <w:t xml:space="preserve">, as nutrient availability commonly limits primary productivity and </w:t>
      </w:r>
      <w:r w:rsidR="00F55823">
        <w:rPr>
          <w:bCs/>
        </w:rPr>
        <w:t xml:space="preserve">may </w:t>
      </w:r>
      <w:r w:rsidRPr="00E60BAC">
        <w:rPr>
          <w:bCs/>
        </w:rPr>
        <w:t>decrease with increasing CO</w:t>
      </w:r>
      <w:r w:rsidRPr="00E60BAC">
        <w:rPr>
          <w:bCs/>
          <w:vertAlign w:val="subscript"/>
        </w:rPr>
        <w:t>2</w:t>
      </w:r>
      <w:r w:rsidRPr="00E60BAC">
        <w:rPr>
          <w:bCs/>
        </w:rPr>
        <w:t xml:space="preserve"> over time. However, recent work leveraging photosynthetic least-cost theory indicates that these acclimation responses may instead be the result of optimal resource investment toward photosynthetic capacity, which maximizes nutrient allocation to whole plant growth.</w:t>
      </w:r>
      <w:r w:rsidR="007954B2">
        <w:rPr>
          <w:bCs/>
        </w:rPr>
        <w:t xml:space="preserve"> To understand whether nutrient limitation or optimal leaf resource investment controls plant acclimation to CO</w:t>
      </w:r>
      <w:r w:rsidR="007954B2">
        <w:rPr>
          <w:bCs/>
          <w:vertAlign w:val="subscript"/>
        </w:rPr>
        <w:t>2</w:t>
      </w:r>
      <w:r w:rsidR="007954B2">
        <w:rPr>
          <w:bCs/>
        </w:rPr>
        <w:t xml:space="preserve"> and how nutrient acquisition strategy modif</w:t>
      </w:r>
      <w:r w:rsidR="002A1426">
        <w:rPr>
          <w:bCs/>
        </w:rPr>
        <w:t>ies</w:t>
      </w:r>
      <w:r w:rsidR="007954B2">
        <w:rPr>
          <w:bCs/>
        </w:rPr>
        <w:t xml:space="preserve"> these responses, </w:t>
      </w:r>
      <w:r w:rsidR="002A1426">
        <w:rPr>
          <w:bCs/>
        </w:rPr>
        <w:t>we grew soybean under two atmospheric CO</w:t>
      </w:r>
      <w:r w:rsidR="002A1426">
        <w:rPr>
          <w:bCs/>
          <w:vertAlign w:val="subscript"/>
        </w:rPr>
        <w:t>2</w:t>
      </w:r>
      <w:r w:rsidR="002A1426">
        <w:rPr>
          <w:bCs/>
        </w:rPr>
        <w:t xml:space="preserve"> levels, two inoculation treatments, and nine soil nitrogen fertilization treatments in a full factorial growth chamber experiment. </w:t>
      </w:r>
    </w:p>
    <w:p w14:paraId="60DDA2B2" w14:textId="7FF27AB5" w:rsidR="002A1426" w:rsidRPr="009D6030" w:rsidRDefault="002A1426" w:rsidP="00E60BAC">
      <w:pPr>
        <w:spacing w:line="480" w:lineRule="auto"/>
        <w:rPr>
          <w:bCs/>
          <w:highlight w:val="yellow"/>
        </w:rPr>
      </w:pPr>
      <w:r w:rsidRPr="009D6030">
        <w:rPr>
          <w:bCs/>
          <w:highlight w:val="yellow"/>
        </w:rPr>
        <w:t xml:space="preserve">We found that … </w:t>
      </w:r>
    </w:p>
    <w:p w14:paraId="2B624306" w14:textId="43201D15" w:rsidR="00E60BAC" w:rsidRPr="00E60BAC" w:rsidRDefault="002A1426" w:rsidP="00E60BAC">
      <w:pPr>
        <w:spacing w:line="480" w:lineRule="auto"/>
        <w:rPr>
          <w:bCs/>
        </w:rPr>
      </w:pPr>
      <w:r w:rsidRPr="009D6030">
        <w:rPr>
          <w:bCs/>
          <w:highlight w:val="yellow"/>
        </w:rPr>
        <w:t>These results suggest that XX is the dominant control of plant acclimation responses to CO</w:t>
      </w:r>
      <w:r w:rsidRPr="009D6030">
        <w:rPr>
          <w:bCs/>
          <w:highlight w:val="yellow"/>
          <w:vertAlign w:val="subscript"/>
        </w:rPr>
        <w:t>2</w:t>
      </w:r>
      <w:r w:rsidRPr="009D6030">
        <w:rPr>
          <w:bCs/>
          <w:highlight w:val="yellow"/>
        </w:rPr>
        <w:t xml:space="preserve">, </w:t>
      </w:r>
      <w:r w:rsidR="00E60BAC" w:rsidRPr="009D6030">
        <w:rPr>
          <w:bCs/>
          <w:highlight w:val="yellow"/>
        </w:rPr>
        <w:t>provid</w:t>
      </w:r>
      <w:r w:rsidRPr="009D6030">
        <w:rPr>
          <w:bCs/>
          <w:highlight w:val="yellow"/>
        </w:rPr>
        <w:t>ing</w:t>
      </w:r>
      <w:r w:rsidR="00E60BAC" w:rsidRPr="009D6030">
        <w:rPr>
          <w:bCs/>
          <w:highlight w:val="yellow"/>
        </w:rPr>
        <w:t xml:space="preserve"> important empirical data needed to refine our understanding of mechanisms driving plant acclimation to CO</w:t>
      </w:r>
      <w:r w:rsidR="00E60BAC" w:rsidRPr="009D6030">
        <w:rPr>
          <w:bCs/>
          <w:highlight w:val="yellow"/>
          <w:vertAlign w:val="subscript"/>
        </w:rPr>
        <w:t>2</w:t>
      </w:r>
      <w:r w:rsidR="00E60BAC" w:rsidRPr="009D6030">
        <w:rPr>
          <w:bCs/>
          <w:highlight w:val="yellow"/>
        </w:rPr>
        <w:t>.</w:t>
      </w:r>
    </w:p>
    <w:p w14:paraId="73B20F60" w14:textId="77777777" w:rsidR="00E60BAC" w:rsidRPr="00E60BAC" w:rsidRDefault="00E60BAC" w:rsidP="00B01F60">
      <w:pPr>
        <w:spacing w:line="480" w:lineRule="auto"/>
        <w:rPr>
          <w:b/>
        </w:rPr>
      </w:pPr>
    </w:p>
    <w:p w14:paraId="1104D0B0" w14:textId="77777777" w:rsidR="00E60BAC" w:rsidRPr="00E60BAC" w:rsidRDefault="00E60BAC" w:rsidP="00B01F60">
      <w:pPr>
        <w:spacing w:line="480" w:lineRule="auto"/>
        <w:rPr>
          <w:bCs/>
        </w:rPr>
      </w:pPr>
      <w:r w:rsidRPr="00E60BAC">
        <w:rPr>
          <w:b/>
        </w:rPr>
        <w:t>Keywords</w:t>
      </w:r>
    </w:p>
    <w:p w14:paraId="2828FAC8" w14:textId="369576CD" w:rsidR="00E60BAC" w:rsidRPr="00B01F60" w:rsidRDefault="00E60BAC" w:rsidP="00B01F60">
      <w:pPr>
        <w:spacing w:line="480" w:lineRule="auto"/>
        <w:rPr>
          <w:bCs/>
        </w:rPr>
      </w:pPr>
      <w:r w:rsidRPr="00E60BAC">
        <w:rPr>
          <w:bCs/>
        </w:rPr>
        <w:t>photosynthetic acclimation, soil nutrient availability, nutrient acquisition, global change</w:t>
      </w:r>
    </w:p>
    <w:p w14:paraId="22BDF7A4" w14:textId="77777777" w:rsidR="00E60BAC" w:rsidRDefault="00E60BAC">
      <w:pPr>
        <w:rPr>
          <w:b/>
          <w:sz w:val="22"/>
          <w:szCs w:val="22"/>
        </w:rPr>
      </w:pPr>
      <w:r>
        <w:rPr>
          <w:b/>
          <w:sz w:val="22"/>
          <w:szCs w:val="22"/>
        </w:rPr>
        <w:br w:type="page"/>
      </w:r>
    </w:p>
    <w:p w14:paraId="5E7C7BE9" w14:textId="72EE563C" w:rsidR="00E070C2" w:rsidRDefault="00E60BAC" w:rsidP="00E070C2">
      <w:pPr>
        <w:spacing w:line="480" w:lineRule="auto"/>
        <w:rPr>
          <w:b/>
          <w:bCs/>
        </w:rPr>
      </w:pPr>
      <w:r w:rsidRPr="00F42BEB">
        <w:rPr>
          <w:b/>
          <w:bCs/>
        </w:rPr>
        <w:lastRenderedPageBreak/>
        <w:t>Introduction</w:t>
      </w:r>
    </w:p>
    <w:p w14:paraId="168242FB" w14:textId="793136C6" w:rsidR="003350A2" w:rsidRDefault="00E070C2" w:rsidP="00E070C2">
      <w:pPr>
        <w:spacing w:line="480" w:lineRule="auto"/>
      </w:pPr>
      <w:r>
        <w:rPr>
          <w:b/>
          <w:bCs/>
        </w:rPr>
        <w:tab/>
      </w:r>
      <w:r w:rsidR="004C51F0">
        <w:t xml:space="preserve">Photosynthesis in terrestrial systems is constrained by ecosystem carbon and nutrient biogeochemical cycle dynamics </w:t>
      </w:r>
      <w:r w:rsidR="003350A2">
        <w:fldChar w:fldCharType="begin" w:fldLock="1"/>
      </w:r>
      <w:r w:rsidR="00F86D81">
        <w:instrText>ADDIN CSL_CITATION {"citationItems":[{"id":"ITEM-1","itemData":{"DOI":"10.1126/science.1091390","ISSN":"0036-8075","abstract":"To develop low-energy architecture, designers need knowledge about passive cooling techniques and shading devices. This paper focuses on the impact of management strategies for external mobile shadings and cooling by natural ventilation. Various control rules are simulated for both techniques. Resulting energy demand and comfort conditions are discussed. For shadings, strategies based on both internal temperature and solar irradiation set points are shown to be more efficient than strategies based on solar irradiation or internal temperature alone. For natural ventilation, strategies limiting the flow rate when outside temperature exceeds internal temperature are found to have no major impact on comfort conditions for the Belgian weather. A flow rate limitation when external temperature drops is found to be efficient to save energy. Objectives of this paper are to show that management choices have a real impact on energy and comfort criteria and to help designers to choose the adequate management rules for their projects. © 2005 Elsevier Ltd. All rights reserved.","author":[{"dropping-particle":"","family":"Hungate","given":"Bruce A","non-dropping-particle":"","parse-names":false,"suffix":""},{"dropping-particle":"","family":"Dukes","given":"Jeffrey S","non-dropping-particle":"","parse-names":false,"suffix":""},{"dropping-particle":"","family":"Shaw","given":"M Rebecca","non-dropping-particle":"","parse-names":false,"suffix":""},{"dropping-particle":"","family":"Luo","given":"Yiqi","non-dropping-particle":"","parse-names":false,"suffix":""},{"dropping-particle":"","family":"Field","given":"Christopher B","non-dropping-particle":"","parse-names":false,"suffix":""}],"container-title":"Science","id":"ITEM-1","issue":"5650","issued":{"date-parts":[["2003","11","28"]]},"note":"Models that incorporate nutrient cycling predict much less CO2 sequestration (i.e. uptake via photosynthesis) than models that lack these feedbacks. \n\nTherefore, models that do not include nutrient feedbacks tend to overestimate carbon uptake under CO2, and may not be as realistic as those that include nutrient cycling","page":"1512-1513","title":"Nitrogen and climate change","type":"article-journal","volume":"302"},"uris":["http://www.mendeley.com/documents/?uuid=27d5f9a2-ef0f-4622-8624-6b2e99d109bc"]}],"mendeley":{"formattedCitation":"(Hungate et al., 2003)","plainTextFormattedCitation":"(Hungate et al., 2003)","previouslyFormattedCitation":"(Hungate et al., 2003)"},"properties":{"noteIndex":0},"schema":"https://github.com/citation-style-language/schema/raw/master/csl-citation.json"}</w:instrText>
      </w:r>
      <w:r w:rsidR="003350A2">
        <w:fldChar w:fldCharType="separate"/>
      </w:r>
      <w:r w:rsidR="003350A2" w:rsidRPr="00F86D81">
        <w:rPr>
          <w:noProof/>
        </w:rPr>
        <w:t>(Hungate et al., 2003)</w:t>
      </w:r>
      <w:r w:rsidR="003350A2">
        <w:fldChar w:fldCharType="end"/>
      </w:r>
      <w:r w:rsidR="003350A2">
        <w:t xml:space="preserve">. Specifically, plants fix carbon dioxide from the atmosphere into simple sugars using enzymes, such as Ribulose-1,5-bisphosphate carboxylase/oxygenase (“Rubisco”), that have large nitrogen requirements to build and maintain </w:t>
      </w:r>
      <w:r w:rsidR="003350A2">
        <w:fldChar w:fldCharType="begin" w:fldLock="1"/>
      </w:r>
      <w:r w:rsidR="003350A2">
        <w:instrText>ADDIN CSL_CITATION {"citationItems":[{"id":"ITEM-1","itemData":{"DOI":"10.1007/BF00377192","ISSN":"0029-8549","author":[{"dropping-particle":"","family":"Evans","given":"John R","non-dropping-particle":"","parse-names":false,"suffix":""}],"container-title":"Oecologia","id":"ITEM-1","issue":"1","issued":{"date-parts":[["1989","1"]]},"page":"9-19","title":"Photosynthesis and nitrogen relationships in leaves of C3 plants","type":"article-journal","volume":"78"},"uris":["http://www.mendeley.com/documents/?uuid=20ca2eec-0707-46d9-b95a-10c6371d8aab"]}],"mendeley":{"formattedCitation":"(Evans, 1989)","plainTextFormattedCitation":"(Evans, 1989)","previouslyFormattedCitation":"(Evans, 1989)"},"properties":{"noteIndex":0},"schema":"https://github.com/citation-style-language/schema/raw/master/csl-citation.json"}</w:instrText>
      </w:r>
      <w:r w:rsidR="003350A2">
        <w:fldChar w:fldCharType="separate"/>
      </w:r>
      <w:r w:rsidR="003350A2" w:rsidRPr="00D73E3B">
        <w:rPr>
          <w:noProof/>
        </w:rPr>
        <w:t>(Evans, 1989)</w:t>
      </w:r>
      <w:r w:rsidR="003350A2">
        <w:fldChar w:fldCharType="end"/>
      </w:r>
      <w:r w:rsidR="003350A2">
        <w:t>. Recent photosynthetically derived carbon</w:t>
      </w:r>
      <w:r w:rsidR="00DA6299">
        <w:t xml:space="preserve"> (“photosynthate”)</w:t>
      </w:r>
      <w:r w:rsidR="003350A2">
        <w:t xml:space="preserve"> can be accumulated as biomass (</w:t>
      </w:r>
      <w:r w:rsidR="003350A2" w:rsidRPr="003113E2">
        <w:rPr>
          <w:highlight w:val="yellow"/>
        </w:rPr>
        <w:t>cite</w:t>
      </w:r>
      <w:r w:rsidR="003350A2">
        <w:t xml:space="preserve">), lost as a substrate of plant respiration </w:t>
      </w:r>
      <w:r w:rsidR="003350A2">
        <w:fldChar w:fldCharType="begin" w:fldLock="1"/>
      </w:r>
      <w:r w:rsidR="003350A2">
        <w:instrText>ADDIN CSL_CITATION {"citationItems":[{"id":"ITEM-1","itemData":{"DOI":"10.1093/oxfordjournals.aob.a084753","ISSN":"1095-8290","abstract":"The dark respiration of the whole shoots (stems and leaves) and stems only of plants of commercial sugar-cane cultivars (Saccharum hybrids) of different ages was measured in a large respiration chamber. The respiration rates of all parts of the plants were closely related to ambient temperature. On a unit dry-weight basis leaves respire faster than stalks at the same temperature. However, as the stalks grow and their dry weight increases with age and greatly exceeds that of the leaves the greatest loss of carbohydrate by respiration occurs from the stalks. The percentage loss of gross photosynthate due to respiration has been estimated for different stages of growth. The loss depends on the age of the plant and the relative proportions of leaf and stalk. It can range from some 20 per cent in actively growing young plants to at least 50 per cent in 18-month-old plants of an irrigated crop in Natal.","author":[{"dropping-particle":"","family":"Glover","given":"J","non-dropping-particle":"","parse-names":false,"suffix":""}],"container-title":"Annals of Botany","id":"ITEM-1","issue":"4","issued":{"date-parts":[["1973","9"]]},"page":"845-852","title":"The dark respiration of sugar-cane and the loss of photosynthate during the growth of a crop","type":"article-journal","volume":"37"},"uris":["http://www.mendeley.com/documents/?uuid=e0c77188-ce11-4d25-b425-bdc5d0f8fe18"]}],"mendeley":{"formattedCitation":"(Glover, 1973)","plainTextFormattedCitation":"(Glover, 1973)","previouslyFormattedCitation":"(Glover, 1973)"},"properties":{"noteIndex":0},"schema":"https://github.com/citation-style-language/schema/raw/master/csl-citation.json"}</w:instrText>
      </w:r>
      <w:r w:rsidR="003350A2">
        <w:fldChar w:fldCharType="separate"/>
      </w:r>
      <w:r w:rsidR="003350A2" w:rsidRPr="003113E2">
        <w:rPr>
          <w:noProof/>
        </w:rPr>
        <w:t>(Glover, 1973)</w:t>
      </w:r>
      <w:r w:rsidR="003350A2">
        <w:fldChar w:fldCharType="end"/>
      </w:r>
      <w:r w:rsidR="003350A2">
        <w:t>, or allocated belowground to acquire nutrients (</w:t>
      </w:r>
      <w:r w:rsidR="00770577" w:rsidRPr="00770577">
        <w:rPr>
          <w:highlight w:val="yellow"/>
        </w:rPr>
        <w:t>cite</w:t>
      </w:r>
      <w:r w:rsidR="003350A2">
        <w:t>). Belowground photosynthate can be used</w:t>
      </w:r>
      <w:r w:rsidR="00B01F60">
        <w:t xml:space="preserve"> by plants</w:t>
      </w:r>
      <w:r w:rsidR="003350A2">
        <w:t xml:space="preserve"> to acquire nutrients either directly from the soil (</w:t>
      </w:r>
      <w:r w:rsidR="003350A2" w:rsidRPr="003113E2">
        <w:rPr>
          <w:highlight w:val="yellow"/>
        </w:rPr>
        <w:t>cite</w:t>
      </w:r>
      <w:r w:rsidR="003350A2">
        <w:t xml:space="preserve">), indirectly through root exudates that prime soil microbial communities and organic matter decomposition </w:t>
      </w:r>
      <w:r w:rsidR="003350A2">
        <w:fldChar w:fldCharType="begin" w:fldLock="1"/>
      </w:r>
      <w:r w:rsidR="00F86D81">
        <w:instrText>ADDIN CSL_CITATION {"citationItems":[{"id":"ITEM-1","itemData":{"DOI":"10.1002/ece3.311","ISSN":"20457758","abstract":"Increased temperatures and concomitant changes in vegetation patterns are expected to dramatically alter the functioning of northern ecosystems over the next few decades. Predicting the ecosystem response to such a shift in climate and vegetation is complicated by the lack of knowledge about the links between aboveground biota and belowground process rates. Current models suggest that increasing temperatures and rising concentrations of atmospheric CO 2 will be partly mitigated by elevated C sequestration in plant biomass and soil. How- ever, empirical evidence does not always support this assumption, as elevated temperature and CO2 concentrations also accelerate the belowground C flux, in many cases extending to increased decomposition of soil organic matter (SOM) and ultimately resulting in decreased soil C stocks. The mechanism behind the increase has remained largely unknown, but it has been suggested that priming might be the causative agent. Here, we provide quantitative evidence of a strong coupling between root exudation, SOM decomposition, and release of plant available N caused by rhizosphere priming effects. As plants tend to increase belowground C allocation with increased temperatures and CO2 concentrations, priming effects need to be considered in our long-term analysis of soil C bud- gets in a changing environment. The extent of priming seems to be intimately linked to resource availability, as shifts in the stoichiometric nutrient demands of plants and microorganisms will lead to either cooperation (resulting in prim- ing) or competition (no priming will occur). The findings lead us on the way to resolve the varying response of primary production, SOM decomposition, and release of plant available N to elevated temperatures, CO2 concentrations, and N availability.","author":[{"dropping-particle":"","family":"Bengtson","given":"Per","non-dropping-particle":"","parse-names":false,"suffix":""},{"dropping-particle":"","family":"Barker","given":"Jason","non-dropping-particle":"","parse-names":false,"suffix":""},{"dropping-particle":"","family":"Grayston","given":"Sue J","non-dropping-particle":"","parse-names":false,"suffix":""}],"container-title":"Ecology and Evolution","id":"ITEM-1","issue":"8","issued":{"date-parts":[["2012","8"]]},"page":"1843-1852","title":"Evidence of a strong coupling between root exudation, C and N availability, and stimulated SOM decomposition caused by rhizosphere priming effects","type":"article-journal","volume":"2"},"uris":["http://www.mendeley.com/documents/?uuid=94d1eae2-82a1-4ec4-9971-1e51b88fde42"]}],"mendeley":{"formattedCitation":"(Bengtson et al., 2012)","plainTextFormattedCitation":"(Bengtson et al., 2012)","previouslyFormattedCitation":"(Bengtson et al., 2012)"},"properties":{"noteIndex":0},"schema":"https://github.com/citation-style-language/schema/raw/master/csl-citation.json"}</w:instrText>
      </w:r>
      <w:r w:rsidR="003350A2">
        <w:fldChar w:fldCharType="separate"/>
      </w:r>
      <w:r w:rsidR="003350A2" w:rsidRPr="00F86D81">
        <w:rPr>
          <w:noProof/>
        </w:rPr>
        <w:t>(Bengtson et al., 2012)</w:t>
      </w:r>
      <w:r w:rsidR="003350A2">
        <w:fldChar w:fldCharType="end"/>
      </w:r>
      <w:r w:rsidR="003350A2">
        <w:t xml:space="preserve">, or indirectly through symbioses with mycorrhizal fungi and/or symbiotic nitrogen-fixing bacteria </w:t>
      </w:r>
      <w:r w:rsidR="003350A2">
        <w:fldChar w:fldCharType="begin" w:fldLock="1"/>
      </w:r>
      <w:r w:rsidR="00F86D81">
        <w:instrText>ADDIN CSL_CITATION {"citationItems":[{"id":"ITEM-1","itemData":{"author":[{"dropping-particle":"","family":"Smith","given":"Sally E","non-dropping-particle":"","parse-names":false,"suffix":""},{"dropping-particle":"","family":"Read","given":"David J","non-dropping-particle":"","parse-names":false,"suffix":""}],"id":"ITEM-1","issued":{"date-parts":[["2008"]]},"title":"Mycorrhizal Symbiosis","type":"book"},"uris":["http://www.mendeley.com/documents/?uuid=7de52699-7fb0-461b-b0db-02c8da38a432"]}],"mendeley":{"formattedCitation":"(S. E. Smith &amp; Read, 2008)","plainTextFormattedCitation":"(S. E. Smith &amp; Read, 2008)","previouslyFormattedCitation":"(S. E. Smith &amp; Read, 2008)"},"properties":{"noteIndex":0},"schema":"https://github.com/citation-style-language/schema/raw/master/csl-citation.json"}</w:instrText>
      </w:r>
      <w:r w:rsidR="003350A2">
        <w:fldChar w:fldCharType="separate"/>
      </w:r>
      <w:r w:rsidR="00F86D81" w:rsidRPr="00F86D81">
        <w:rPr>
          <w:noProof/>
        </w:rPr>
        <w:t>(S. E. Smith &amp; Read, 2008)</w:t>
      </w:r>
      <w:r w:rsidR="003350A2">
        <w:fldChar w:fldCharType="end"/>
      </w:r>
      <w:r w:rsidR="003350A2">
        <w:t>.</w:t>
      </w:r>
    </w:p>
    <w:p w14:paraId="62F592BE" w14:textId="7C764C21" w:rsidR="00DA6299" w:rsidRPr="00DA6299" w:rsidRDefault="00A87C8A" w:rsidP="003350A2">
      <w:pPr>
        <w:spacing w:line="480" w:lineRule="auto"/>
        <w:ind w:firstLine="720"/>
      </w:pPr>
      <w:r>
        <w:t>Anthropogenic activit</w:t>
      </w:r>
      <w:r w:rsidR="0079452B">
        <w:t>ies have been the proximal cause of increasing atmospheric CO</w:t>
      </w:r>
      <w:r w:rsidR="0079452B">
        <w:rPr>
          <w:vertAlign w:val="subscript"/>
        </w:rPr>
        <w:t>2</w:t>
      </w:r>
      <w:r w:rsidR="0079452B">
        <w:t xml:space="preserve"> concentrations since the start of the Industrial Revolution in the mid 1700s. </w:t>
      </w:r>
      <w:r w:rsidR="00AC0888">
        <w:t>The Intergovernmental Panel on Climate Change suggests that atmospheric CO</w:t>
      </w:r>
      <w:r w:rsidR="00AC0888">
        <w:rPr>
          <w:vertAlign w:val="subscript"/>
        </w:rPr>
        <w:t>2</w:t>
      </w:r>
      <w:r w:rsidR="00AC0888">
        <w:t xml:space="preserve"> concentrations will continue to increase under business-as-normal emissions scenarios, with some scenarios suggesting </w:t>
      </w:r>
      <w:r w:rsidR="003350A2">
        <w:t xml:space="preserve">that </w:t>
      </w:r>
      <w:r w:rsidR="00AC0888">
        <w:t>CO</w:t>
      </w:r>
      <w:r w:rsidR="00AC0888">
        <w:rPr>
          <w:vertAlign w:val="subscript"/>
        </w:rPr>
        <w:t>2</w:t>
      </w:r>
      <w:r w:rsidR="00AC0888">
        <w:t xml:space="preserve"> concentrations will exceed 1,000 ppm by 2100</w:t>
      </w:r>
      <w:r w:rsidR="003350A2">
        <w:t xml:space="preserve"> </w:t>
      </w:r>
      <w:r w:rsidR="003350A2">
        <w:fldChar w:fldCharType="begin" w:fldLock="1"/>
      </w:r>
      <w:r w:rsidR="00F86D81">
        <w:instrText>ADDIN CSL_CITATION {"citationItems":[{"id":"ITEM-1","itemData":{"author":[{"dropping-particle":"","family":"IPCC","given":"","non-dropping-particle":"","parse-names":false,"suffix":""}],"id":"ITEM-1","issued":{"date-parts":[["2013"]]},"title":"Climate Change 2013: The Physical Science Basis. Contribution of Working Group I to the Fifth Assessment Report of the Intergovernmental Panel on Climate Change","type":"report"},"uris":["http://www.mendeley.com/documents/?uuid=e29664ea-7c72-41ce-9b14-f487ba00dbc9"]}],"mendeley":{"formattedCitation":"(IPCC, 2013)","plainTextFormattedCitation":"(IPCC, 2013)","previouslyFormattedCitation":"(IPCC, 2013)"},"properties":{"noteIndex":0},"schema":"https://github.com/citation-style-language/schema/raw/master/csl-citation.json"}</w:instrText>
      </w:r>
      <w:r w:rsidR="003350A2">
        <w:fldChar w:fldCharType="separate"/>
      </w:r>
      <w:r w:rsidR="003350A2" w:rsidRPr="003350A2">
        <w:rPr>
          <w:noProof/>
        </w:rPr>
        <w:t>(IPCC, 2013)</w:t>
      </w:r>
      <w:r w:rsidR="003350A2">
        <w:fldChar w:fldCharType="end"/>
      </w:r>
      <w:r w:rsidR="00AC0888">
        <w:t>.</w:t>
      </w:r>
      <w:r w:rsidR="003350A2">
        <w:t xml:space="preserve"> </w:t>
      </w:r>
      <w:r w:rsidR="00DA6299">
        <w:t xml:space="preserve">Plant ecologists and physiologists have been long interested in understanding </w:t>
      </w:r>
      <w:r w:rsidR="006B2DB0">
        <w:t>long-term</w:t>
      </w:r>
      <w:r w:rsidR="00DA6299">
        <w:t xml:space="preserve"> effects of elevated CO2 on plant photosynthetic processes</w:t>
      </w:r>
      <w:r w:rsidR="00B01F60">
        <w:t>, where l</w:t>
      </w:r>
      <w:r w:rsidR="00DA6299">
        <w:t>arge swaths of studies report that increasing CO</w:t>
      </w:r>
      <w:r w:rsidR="00DA6299">
        <w:rPr>
          <w:vertAlign w:val="subscript"/>
        </w:rPr>
        <w:t>2</w:t>
      </w:r>
      <w:r w:rsidR="00DA6299">
        <w:t xml:space="preserve"> concentrations generally results in reductions in leaf nutrient allocation and photosynthetic capacity, a pattern that often corresponds with a stimulation in whole plant growth and net primary productivity </w:t>
      </w:r>
      <w:r w:rsidR="00DA6299">
        <w:fldChar w:fldCharType="begin" w:fldLock="1"/>
      </w:r>
      <w:r w:rsidR="00B01F60">
        <w:instrText>ADDIN CSL_CITATION {"citationItems":[{"id":"ITEM-1","itemData":{"DOI":"10.1111/nph.17802","ISSN":"14698137","PMID":"34657301","abstract":"Generalised dose–response curves are essential to understand how plants acclimate to atmospheric CO2. We carried out a meta-analysis of 630 experiments in which C3 plants were experimentally grown at different [CO2] under relatively benign conditions, and derived dose–response curves for 85 phenotypic traits. These curves were characterised by form, plasticity, consistency and reliability. Considered over a range of 200–1200 µmol mol−1 CO2, some traits more than doubled (e.g. area-based photosynthesis; intrinsic water-use efficiency), whereas others more than halved (area-based transpiration). At current atmospheric [CO2], 64% of the total stimulation in biomass over the 200–1200 µmol mol−1 range has already been realised. We also mapped the trait responses of plants to [CO2] against those we have quantified before for light intensity. For most traits, CO2 and light responses were of similar direction. However, some traits (such as reproductive effort) only responded to light, others (such as plant height) only to [CO2], and some traits (such as area-based transpiration) responded in opposite directions. This synthesis provides a comprehensive picture of plant responses to [CO2] at different integration levels and offers the quantitative dose–response curves that can be used to improve global change simulation models.","author":[{"dropping-particle":"","family":"Poorter","given":"Hendrik","non-dropping-particle":"","parse-names":false,"suffix":""},{"dropping-particle":"","family":"Knopf","given":"Oliver","non-dropping-particle":"","parse-names":false,"suffix":""},{"dropping-particle":"","family":"Wright","given":"Ian J","non-dropping-particle":"","parse-names":false,"suffix":""},{"dropping-particle":"","family":"Temme","given":"Andries A","non-dropping-particle":"","parse-names":false,"suffix":""},{"dropping-particle":"","family":"Hogewoning","given":"Sander W","non-dropping-particle":"","parse-names":false,"suffix":""},{"dropping-particle":"","family":"Graf","given":"Alexander","non-dropping-particle":"","parse-names":false,"suffix":""},{"dropping-particle":"","family":"Cernusak","given":"Lucas A","non-dropping-particle":"","parse-names":false,"suffix":""},{"dropping-particle":"","family":"Pons","given":"Thijs L","non-dropping-particle":"","parse-names":false,"suffix":""}],"container-title":"New Phytologist","id":"ITEM-1","issue":"4","issued":{"date-parts":[["2022"]]},"page":"1560-1596","title":"A meta-analysis of responses of C3 plants to atmospheric CO2: dose–response curves for 85 traits ranging from the molecular to the whole-plant level","type":"article-journal","volume":"233"},"uris":["http://www.mendeley.com/documents/?uuid=e206fbac-5f81-4b6c-b009-89d7b2066fdb"]},{"id":"ITEM-2","itemData":{"DOI":"10.1111/j.1365-3040.2007.01641.x","ISSN":"01407791","abstract":"This review summarizes current understanding of the mechanisms that underlie the response of photosynthesis and stomatal conductance to elevated carbon dioxide con- centration ([CO2 ]), and examines how downstream pro- cesses and environmental constraints modulate these two fundamental responses. The results from free-air CO2 enrichment (FACE) experiments were summarized via meta-analysis to quantify the mean responses of stomatal and photosynthetic parameters to elevated [CO2 ]. Eleva- tion of [CO2] in FACE experiments reduced stomatal con- ductance by 22%, yet, this reduction was not associated with a similar change in stomatal density. Elevated [CO2 ] stimulated light-saturated photosynthesis (Asat)inC3 plants grown in FACE by an average of 31%. However, the magnitude of the increase in Asat varied with functional group and environment. Functional groups with ribulose- 1,5-bisphosphate carboxylase/oxygenase (Rubisco)-limited photosynthesis at elevated [CO2 ] had greater potential for increases in Asat than those where photosynthesis became ribulose-1,5-bisphosphate (RubP)-limited at elevated [CO2 ]. Both nitrogen supply and sink capacity modulated the response of photosynthesis to elevated [CO2 ] through their impact on the acclimation of carboxylation capacity. Increased understanding of the molecular and biochemical mechanisms by which plants respond to elevated [CO2 ], and the feedback of environmental factors upon them, will improve our ability to predict ecosystem responses to rising [CO2 ] and increase our potential to adapt crops and managed ecosystems to future atmospheric [CO2].","author":[{"dropping-particle":"","family":"Ainsworth","given":"Elizabeth A","non-dropping-particle":"","parse-names":false,"suffix":""},{"dropping-particle":"","family":"Rogers","given":"Alistair","non-dropping-particle":"","parse-names":false,"suffix":""}],"container-title":"Plant, Cell &amp; Environment","id":"ITEM-2","issue":"3","issued":{"date-parts":[["2007","3"]]},"page":"258-270","title":"The response of photosynthesis and stomatal conductance to rising [CO2]: mechanisms and environmental interactions","type":"article-journal","volume":"30"},"uris":["http://www.mendeley.com/documents/?uuid=89486d2e-ad56-4fca-8ee3-ea9d75d594c7"]},{"id":"ITEM-3","itemData":{"DOI":"10.1111/j.1365-3040.1996.tb00234.x","ISSN":"0140-7791","author":[{"dropping-particle":"","family":"Curtis","given":"Peter S","non-dropping-particle":"","parse-names":false,"suffix":""}],"container-title":"Plant, Cell and Environment","id":"ITEM-3","issue":"2","issued":{"date-parts":[["1996","2"]]},"page":"127-137","title":"A meta-analysis of leaf gas exchange and nitrogen in trees grown under elevated carbon dioxide","type":"article-journal","volume":"19"},"uris":["http://www.mendeley.com/documents/?uuid=9a33c053-d362-45d7-a821-6e32f972601e"]},{"id":"ITEM-4","itemData":{"author":[{"dropping-particle":"","family":"Makino","given":"Amane","non-dropping-particle":"","parse-names":false,"suffix":""}],"container-title":"Soil Science and Plant Nutrition","id":"ITEM-4","issue":"3","issued":{"date-parts":[["2003"]]},"page":"319-327","title":"Rubisco and nitrogen relationships in rice: leaf photosynthesis and plant growth","type":"article-journal","volume":"49"},"uris":["http://www.mendeley.com/documents/?uuid=59fcf247-eaef-4d13-a960-8221ccd290ad"]},{"id":"ITEM-5","itemData":{"DOI":"10.1007/s00442-004-1550-2","ISSN":"0029-8549","PMID":"15156395","abstract":"Atmospheric CO2 enrichment may stimulate plant growth directly through (1) enhanced photosynthesis or indirectly, through (2) reduced plant water consumption and hence slower soil moisture depletion, or the combination of both. Herein we describe gas exchange, plant biomass and species responses of five native or semi-native temperate and Mediterranean grasslands and three semi-arid systems to CO2 enrichment, with an emphasis on water relations. Increasing CO2 led to decreased leaf conductance for water vapor, improved plant water status, altered seasonal evapotranspiration dynamics, and in most cases, periodic increases in soil water content. The extent, timing and duration of these responses varied among ecosystems, species and years. Across the grasslands of the Kansas tallgrass prairie, Colorado shortgrass steppe and Swiss calcareous grassland, increases in aboveground biomass from CO2 enrichment were relatively greater in dry years. In contrast, CO2-induced aboveground biomass increases in the Texas C3/C4 grassland and the New Zealand pasture seemed little or only marginally influenced by yearly variation in soil water, while plant growth in the Mojave Desert was stimulated by CO2 in a relatively wet year. Mediterranean grasslands sometimes failed to respond to CO 2-related increased late-season water, whereas semiarid Negev grassland assemblages profited. Vegetative and reproductive responses to CO 2 were highly varied among species and ecosystems, and did not generally follow any predictable pattern in regard to functional groups. Results suggest that the indirect effects of CO2 on plant and soil water relations may contribute substantially to experimentally induced CO 2-effects, and also reflect local humidity conditions. For landscape scale predictions, this analysis calls for a clear distinction between biomass responses due to direct CO2 effects on photosynthesis and those indirect CO2 effects via soil moisture as documented here. © Springer-Verlag 2004.","author":[{"dropping-particle":"","family":"Morgan","given":"J A","non-dropping-particle":"","parse-names":false,"suffix":""},{"dropping-particle":"","family":"Pataki","given":"D E","non-dropping-particle":"","parse-names":false,"suffix":""},{"dropping-particle":"","family":"Körner","given":"Christian","non-dropping-particle":"","parse-names":false,"suffix":""},{"dropping-particle":"","family":"Clark","given":"H","non-dropping-particle":"","parse-names":false,"suffix":""},{"dropping-particle":"","family":"Grosso","given":"S J","non-dropping-particle":"Del","parse-names":false,"suffix":""},{"dropping-particle":"","family":"Grünzweig","given":"J M","non-dropping-particle":"","parse-names":false,"suffix":""},{"dropping-particle":"","family":"Knapp","given":"Alan K","non-dropping-particle":"","parse-names":false,"suffix":""},{"dropping-particle":"","family":"Mosier","given":"A R","non-dropping-particle":"","parse-names":false,"suffix":""},{"dropping-particle":"","family":"Newton","given":"P C D","non-dropping-particle":"","parse-names":false,"suffix":""},{"dropping-particle":"","family":"Niklaus","given":"P A","non-dropping-particle":"","parse-names":false,"suffix":""},{"dropping-particle":"","family":"Nippert","given":"J B","non-dropping-particle":"","parse-names":false,"suffix":""},{"dropping-particle":"","family":"Nowak","given":"R S","non-dropping-particle":"","parse-names":false,"suffix":""},{"dropping-particle":"","family":"Parton","given":"W J","non-dropping-particle":"","parse-names":false,"suffix":""},{"dropping-particle":"","family":"Polley","given":"H W","non-dropping-particle":"","parse-names":false,"suffix":""},{"dropping-particle":"","family":"Shaw","given":"M R","non-dropping-particle":"","parse-names":false,"suffix":""}],"container-title":"Oecologia","id":"ITEM-5","issue":"1","issued":{"date-parts":[["2004","6","20"]]},"note":"Indirect effects of CO2 on plant and soil water relations may contribute to CO2 effects on productivity\n\nGood paper with historical references for soil nutrient, downregulation of photosynthesis, and species carbon allocation modifying responses to CO2. First column of introduction","page":"11-25","title":"Water relations in grassland and desert ecosystems exposed to elevated atmospheric CO&lt;sub&gt;2&lt;/sub&gt;","type":"article-journal","volume":"140"},"uris":["http://www.mendeley.com/documents/?uuid=ab1bcfec-fcfb-46ba-85bd-86934878d0aa"]},{"id":"ITEM-6","itemData":{"DOI":"10.1046/j.1365-2486.2002.00498.x","ISSN":"13541013","abstract":"The effects of elevated [CO2] on 25 variables describing soybean physiology, growth and yield are reviewed using meta-analytic techniques. This is the first meta-analysis to our knowledge performed on a single crop species and summarizes the effects of 111 studies. These primary studies include numerous soybean growth forms, various stress and experimental treatments, and a range of elevated [CO2] levels (from 450 to 1250 p.p.m.), with a mean of 689 p.p.m. across all studies. Stimulation of soybean leaf CO2 assimilation rate with growth at elevated [CO2] was 39%, despite a 40% decrease in stomatal conductance and a 11% decrease in Rubisco activity. Increased leaf CO2 uptake combined with an 18% stimulation in leaf area to provide a 59% increase in canopy photosynthetic rate. The increase in total dry weight was lower at 37%, and seed yield still lower at 24%. This shows that even in an agronomic species selected for maximum investment in seed, several plant level feedbacks prevent additional investment in reproduction, such that yield fails to reflect fully the increase in whole plant carbon uptake. Large soil containers (&gt; 9 L) have been considered adequate for assessing plant responses to elevated [CO2]. However, in open-top chamber experiments, soybeans grown in large pots showed a significant threefold smaller stimulation in yield than soybeans grown in the ground. This suggests that conclusions about plant yield based on pot studies, even when using very large containers, are a poor reflection of performance in the absence of any physical restriction on root growth. This review supports a number of current paradigms of plant responses to elevated [CO2]. Namely, stimulation of photosynthesis is greater in plants that fix N and have additional carbohydrate sinks in nodules. This supports the notion that photosynthetic capacity decreases when plants are N-limited, but not when plants have adequate N and sink strength. The root: shoot ratio did not change with growth at elevated [CO2], sustaining the charge that biomass allocation is unaffected by growth at elevated [CO2] when plant size and ontogeny are considered.","author":[{"dropping-particle":"","family":"Ainsworth","given":"Elizabeth A","non-dropping-particle":"","parse-names":false,"suffix":""},{"dropping-particle":"","family":"Davey","given":"Phillip A","non-dropping-particle":"","parse-names":false,"suffix":""},{"dropping-particle":"","family":"Bernacchi","given":"Carl J","non-dropping-particle":"","parse-names":false,"suffix":""},{"dropping-particle":"","family":"Dermody","given":"Orla C","non-dropping-particle":"","parse-names":false,"suffix":""},{"dropping-particle":"","family":"Heaton","given":"Emily A","non-dropping-particle":"","parse-names":false,"suffix":""},{"dropping-particle":"","family":"Moore","given":"David J","non-dropping-particle":"","parse-names":false,"suffix":""},{"dropping-particle":"","family":"Morgan","given":"Patrick B","non-dropping-particle":"","parse-names":false,"suffix":""},{"dropping-particle":"","family":"Naidu","given":"Shawna L","non-dropping-particle":"","parse-names":false,"suffix":""},{"dropping-particle":"","family":"Ra","given":"Hyung Shim Yoo","non-dropping-particle":"","parse-names":false,"suffix":""},{"dropping-particle":"","family":"Zhu","given":"Xin Guang","non-dropping-particle":"","parse-names":false,"suffix":""},{"dropping-particle":"","family":"Curtis","given":"Peter S.","non-dropping-particle":"","parse-names":false,"suffix":""},{"dropping-particle":"","family":"Long","given":"Stephen P.","non-dropping-particle":"","parse-names":false,"suffix":""}],"container-title":"Global Change Biology","id":"ITEM-6","issue":"8","issued":{"date-parts":[["2002"]]},"note":"Paper seems to suggest stronger leaf response to CO2 than whole plant response, which is curious\n\nPaper also hypothesizes that nodulated soybean shouldn't have an acclimation response to CO2 (presumably due to paradigm that Nlimitation drives acclimation responses to increasing CO2)","page":"695-709","title":"A meta-analysis of elevated [CO2] effects on soybean (Glycine max) physiology, growth and yield","type":"article-journal","volume":"8"},"uris":["http://www.mendeley.com/documents/?uuid=ce631e95-b0ce-4987-95bf-f5a783beed98"]},{"id":"ITEM-7","itemData":{"DOI":"10.1111/j.1365-2486.2012.02797.x","ISSN":"13541013","PMID":"23504720","abstract":"To realistically simulate climate feedbacks from the land surface to the atmosphere, models must replicate the responses of plants to environmental changes. Several processes, operating at various scales, cause the responses of photosynthesis and plant respiration to temperature and CO2 to change over time of exposure to new or changing environmental conditions. Here, we review the latest empirical evidence that short-term responses of plant carbon exchange rates to temperature and CO2 are modified by plant photosynthetic and respiratory acclimation as well as biogeochemical feedbacks. We assess the frequency with which these responses have been incorporated into vegetation models, and highlight recently designed algorithms that can facilitate their incorporation. Few models currently include representations of the long-term plant responses that have been recorded by empirical studies, likely because these responses are still poorly understood at scales relevant for models. Studies show that, at a regional scale, simulated carbon flux between the atmosphere and vegetation can dramatically differ between versions of models that do and do not include acclimation. However, the realism of these results is difficult to evaluate, as algorithm development is still in an early stage, and a limited number of data are available. We provide a series of recommendations that suggest how a combination of empirical and modeling studies can produce mechanistic algorithms that will realistically simulate longer term responses within global-scale models. © 2012 Blackwell Publishing Ltd.","author":[{"dropping-particle":"","family":"Smith","given":"Nicholas G","non-dropping-particle":"","parse-names":false,"suffix":""},{"dropping-particle":"","family":"Dukes","given":"Jeffrey S","non-dropping-particle":"","parse-names":false,"suffix":""}],"container-title":"Global Change Biology","id":"ITEM-7","issue":"1","issued":{"date-parts":[["2013"]]},"page":"45-63","title":"Plant respiration and photosynthesis in global-scale models: Incorporating acclimation to temperature and CO&lt;sub&gt;2&lt;/sub&gt;","type":"article-journal","volume":"19"},"uris":["http://www.mendeley.com/documents/?uuid=b45ebbbe-9cfa-41ef-9337-8bc2bfdfb16b"]}],"mendeley":{"formattedCitation":"(Ainsworth et al., 2002; Ainsworth &amp; Rogers, 2007; Curtis, 1996; Makino, 2003; Morgan et al., 2004; Poorter et al., 2022; N. G. Smith &amp; Dukes, 2013)","plainTextFormattedCitation":"(Ainsworth et al., 2002; Ainsworth &amp; Rogers, 2007; Curtis, 1996; Makino, 2003; Morgan et al., 2004; Poorter et al., 2022; N. G. Smith &amp; Dukes, 2013)","previouslyFormattedCitation":"(Ainsworth et al., 2002; Ainsworth &amp; Rogers, 2007; Curtis, 1996; Makino, 2003; Morgan et al., 2004; Poorter et al., 2022; N. G. Smith &amp; Dukes, 2013)"},"properties":{"noteIndex":0},"schema":"https://github.com/citation-style-language/schema/raw/master/csl-citation.json"}</w:instrText>
      </w:r>
      <w:r w:rsidR="00DA6299">
        <w:fldChar w:fldCharType="separate"/>
      </w:r>
      <w:r w:rsidR="00DA6299" w:rsidRPr="00DA6299">
        <w:rPr>
          <w:noProof/>
        </w:rPr>
        <w:t>(Ainsworth et al., 2002; Ainsworth &amp; Rogers, 2007; Curtis, 1996; Makino, 2003; Morgan et al., 2004; Poorter et al., 2022; N. G. Smith &amp; Dukes, 2013)</w:t>
      </w:r>
      <w:r w:rsidR="00DA6299">
        <w:fldChar w:fldCharType="end"/>
      </w:r>
      <w:r w:rsidR="00DA6299">
        <w:t>.</w:t>
      </w:r>
    </w:p>
    <w:p w14:paraId="469ADEEA" w14:textId="693671F7" w:rsidR="00B01F60" w:rsidRDefault="00F86D81" w:rsidP="00B01F60">
      <w:pPr>
        <w:spacing w:line="480" w:lineRule="auto"/>
        <w:ind w:firstLine="720"/>
      </w:pPr>
      <w:r>
        <w:lastRenderedPageBreak/>
        <w:t xml:space="preserve">There are two conflicting hypotheses that explain the </w:t>
      </w:r>
      <w:r w:rsidR="006B2DB0">
        <w:t>inverse leaf and whole plant acclimation responses to increasing CO</w:t>
      </w:r>
      <w:r w:rsidR="006B2DB0">
        <w:rPr>
          <w:vertAlign w:val="subscript"/>
        </w:rPr>
        <w:t>2</w:t>
      </w:r>
      <w:r w:rsidR="006B2DB0">
        <w:t xml:space="preserve">. </w:t>
      </w:r>
      <w:r w:rsidR="001339A7" w:rsidRPr="00F42BEB">
        <w:t>Some have hypothesized that nutrient limitation may be the primary control of plant acclimation to CO</w:t>
      </w:r>
      <w:r w:rsidR="001339A7" w:rsidRPr="00F42BEB">
        <w:rPr>
          <w:vertAlign w:val="subscript"/>
        </w:rPr>
        <w:t>2</w:t>
      </w:r>
      <w:r w:rsidR="001339A7" w:rsidRPr="00F42BEB">
        <w:t>, as nutrient availability commonly limits primary productivity and may decrease over time in elevated CO</w:t>
      </w:r>
      <w:r w:rsidR="001339A7" w:rsidRPr="00F42BEB">
        <w:rPr>
          <w:vertAlign w:val="subscript"/>
        </w:rPr>
        <w:t>2</w:t>
      </w:r>
      <w:r w:rsidR="001339A7" w:rsidRPr="00F42BEB">
        <w:t xml:space="preserve"> environments </w:t>
      </w:r>
      <w:r w:rsidR="001339A7" w:rsidRPr="00F42BEB">
        <w:fldChar w:fldCharType="begin" w:fldLock="1"/>
      </w:r>
      <w:r w:rsidR="00DD0204">
        <w:instrText>ADDIN CSL_CITATION {"citationItems":[{"id":"ITEM-1","itemData":{"DOI":"10.1641/0006-3568(2004)054[0731:PNLOER]2.0.CO;2","author":[{"dropping-particle":"","family":"Luo","given":"Yiqi","non-dropping-particle":"","parse-names":false,"suffix":""},{"dropping-particle":"","family":"Currie","given":"William S","non-dropping-particle":"","parse-names":false,"suffix":""},{"dropping-particle":"","family":"Dukes","given":"Jeffrey S","non-dropping-particle":"","parse-names":false,"suffix":""},{"dropping-particle":"","family":"Finzi","given":"Adrien C","non-dropping-particle":"","parse-names":false,"suffix":""},{"dropping-particle":"","family":"Hartwig","given":"Ueli A","non-dropping-particle":"","parse-names":false,"suffix":""},{"dropping-particle":"","family":"Hungate","given":"Bruce A","non-dropping-particle":"","parse-names":false,"suffix":""},{"dropping-particle":"","family":"McMurtrie","given":"Ross E","non-dropping-particle":"","parse-names":false,"suffix":""},{"dropping-particle":"","family":"Oren","given":"Ram","non-dropping-particle":"","parse-names":false,"suffix":""},{"dropping-particle":"","family":"Parton","given":"William J","non-dropping-particle":"","parse-names":false,"suffix":""},{"dropping-particle":"","family":"Pataki","given":"Diane E","non-dropping-particle":"","parse-names":false,"suffix":""},{"dropping-particle":"","family":"Shaw","given":"Rebecca M","non-dropping-particle":"","parse-names":false,"suffix":""},{"dropping-particle":"","family":"Zak","given":"Donald R","non-dropping-particle":"","parse-names":false,"suffix":""},{"dropping-particle":"","family":"Field","given":"Christopher B","non-dropping-particle":"","parse-names":false,"suffix":""}],"container-title":"BioScience","id":"ITEM-1","issue":"8","issued":{"date-parts":[["2004"]]},"page":"731-739","title":"Progressive nitrogen limitation of ecosystem responses to rising atmospheric carbon dioxide","type":"article-journal","volume":"54"},"uris":["http://www.mendeley.com/documents/?uuid=c6cedc9b-b071-48cb-ba7f-d0fe6b794b16"]},{"id":"ITEM-2","itemData":{"DOI":"10.1890/06-2057.1","abstract":"Our meta-analysis of 126 nitrogen addition experiments evaluated nitrogen (N) limitation of net primary production (NPP) in terrestrial ecosystems. We tested the hypothesis that N limitation is widespread among biomes and influenced by geography and climate. We used the response ratio (R ffi ANPPN/ANPPctrl) of aboveground plant growth in fertilized to control plots and found that most ecosystems are nitrogen limited with an average 29% growth response to nitrogen (i.e., R ¼ 1.29). The response ratio was significant within temperate forests (R ¼ 1.19), tropical forests (R ¼ 1.60), temperate grasslands (R ¼ 1.53), tropical grasslands (R ¼ 1.26), wetlands (R ¼ 1.16), and tundra (R ¼ 1.35), but not deserts. Eight tropical forest studies had been conducted on very young volcanic soils in Hawaii, and this subgroup was strongly N limited (R ¼ 2.13), which resulted in a negative correlation between forest R and latitude. The degree of N limitation in the remainder of the tropical forest studies (R ¼ 1.20) was comparable to that of temperate forests, and when the young Hawaiian subgroup was excluded, forest R did not vary with latitude. Grassland response increased with latitude, but was independent of temperature and precipitation. These results suggest that the global N and C cycles interact strongly and that geography can mediate ecosystem response to N within certain biome types.","author":[{"dropping-particle":"","family":"LeBauer","given":"David S","non-dropping-particle":"","parse-names":false,"suffix":""},{"dropping-particle":"","family":"Treseder","given":"Kathleen","non-dropping-particle":"","parse-names":false,"suffix":""}],"container-title":"Ecology","id":"ITEM-2","issue":"2","issued":{"date-parts":[["2008"]]},"page":"371-379","title":"Nitrogen limitation of net primary productivity","type":"article-journal","volume":"89"},"uris":["http://www.mendeley.com/documents/?uuid=9a0f3748-3fb9-483a-aeb3-fcaab5fa4acc"]},{"id":"ITEM-3","itemData":{"DOI":"10.1038/nplants.2015.80","ISSN":"2055-0278","author":[{"dropping-particle":"","family":"Fay","given":"Philip A","non-dropping-particle":"","parse-names":false,"suffix":""},{"dropping-particle":"","family":"Prober","given":"Suzanne M","non-dropping-particle":"","parse-names":false,"suffix":""},{"dropping-particle":"","family":"Harpole","given":"W Stanley","non-dropping-particle":"","parse-names":false,"suffix":""},{"dropping-particle":"","family":"Knops","given":"Johannes M H","non-dropping-particle":"","parse-names":false,"suffix":""},{"dropping-particle":"","family":"Bakker","given":"Jonathan D","non-dropping-particle":"","parse-names":false,"suffix":""},{"dropping-particle":"","family":"Borer","given":"Elizabeth T","non-dropping-particle":"","parse-names":false,"suffix":""},{"dropping-particle":"","family":"Lind","given":"Eric M","non-dropping-particle":"","parse-names":false,"suffix":""},{"dropping-particle":"","family":"MacDougall","given":"Andrew S","non-dropping-particle":"","parse-names":false,"suffix":""},{"dropping-particle":"","family":"Seabloom","given":"Eric W","non-dropping-particle":"","parse-names":false,"suffix":""},{"dropping-particle":"","family":"Wragg","given":"Peter D","non-dropping-particle":"","parse-names":false,"suffix":""},{"dropping-particle":"","family":"Adler","given":"Peter B","non-dropping-particle":"","parse-names":false,"suffix":""},{"dropping-particle":"","family":"Blumenthal","given":"Dana M","non-dropping-particle":"","parse-names":false,"suffix":""},{"dropping-particle":"","family":"Buckley","given":"Yvonne M","non-dropping-particle":"","parse-names":false,"suffix":""},{"dropping-particle":"","family":"Chu","given":"Chengjin","non-dropping-particle":"","parse-names":false,"suffix":""},{"dropping-particle":"","family":"Cleland","given":"Elsa E","non-dropping-particle":"","parse-names":false,"suffix":""},{"dropping-particle":"","family":"Collins","given":"Scott L","non-dropping-particle":"","parse-names":false,"suffix":""},{"dropping-particle":"","family":"Davies","given":"Kendi F","non-dropping-particle":"","parse-names":false,"suffix":""},{"dropping-particle":"","family":"Du","given":"Guozhen","non-dropping-particle":"","parse-names":false,"suffix":""},{"dropping-particle":"","family":"Feng","given":"Xiaohui","non-dropping-particle":"","parse-names":false,"suffix":""},{"dropping-particle":"","family":"Firn","given":"Jennifer","non-dropping-particle":"","parse-names":false,"suffix":""},{"dropping-particle":"","family":"Gruner","given":"Daniel S","non-dropping-particle":"","parse-names":false,"suffix":""},{"dropping-particle":"","family":"Hagenah","given":"Nicole","non-dropping-particle":"","parse-names":false,"suffix":""},{"dropping-particle":"","family":"Hautier","given":"Yann","non-dropping-particle":"","parse-names":false,"suffix":""},{"dropping-particle":"","family":"Heckman","given":"Robert W","non-dropping-particle":"","parse-names":false,"suffix":""},{"dropping-particle":"","family":"Jin","given":"Virginia L","non-dropping-particle":"","parse-names":false,"suffix":""},{"dropping-particle":"","family":"Kirkman","given":"Kevin P","non-dropping-particle":"","parse-names":false,"suffix":""},{"dropping-particle":"","family":"Klein","given":"Julia A","non-dropping-particle":"","parse-names":false,"suffix":""},{"dropping-particle":"","family":"Ladwig","given":"Laura M","non-dropping-particle":"","parse-names":false,"suffix":""},{"dropping-particle":"","family":"Li","given":"Qi","non-dropping-particle":"","parse-names":false,"suffix":""},{"dropping-particle":"","family":"McCulley","given":"Rebecca L","non-dropping-particle":"","parse-names":false,"suffix":""},{"dropping-particle":"","family":"Melbourne","given":"Brett A","non-dropping-particle":"","parse-names":false,"suffix":""},{"dropping-particle":"","family":"Mitchell","given":"Charles E","non-dropping-particle":"","parse-names":false,"suffix":""},{"dropping-particle":"","family":"Moore","given":"Joslin L","non-dropping-particle":"","parse-names":false,"suffix":""},{"dropping-particle":"","family":"Morgan","given":"John W","non-dropping-particle":"","parse-names":false,"suffix":""},{"dropping-particle":"","family":"Risch","given":"Anita C","non-dropping-particle":"","parse-names":false,"suffix":""},{"dropping-particle":"","family":"Schütz","given":"Martin","non-dropping-particle":"","parse-names":false,"suffix":""},{"dropping-particle":"","family":"Stevens","given":"Carly J","non-dropping-particle":"","parse-names":false,"suffix":""},{"dropping-particle":"","family":"Wedin","given":"David A","non-dropping-particle":"","parse-names":false,"suffix":""},{"dropping-particle":"","family":"Yang","given":"Louie H","non-dropping-particle":"","parse-names":false,"suffix":""}],"container-title":"Nature Plants","id":"ITEM-3","issue":"7","issued":{"date-parts":[["2015","7","6"]]},"page":"15080","title":"Grassland productivity limited by multiple nutrients","type":"article-journal","volume":"1"},"uris":["http://www.mendeley.com/documents/?uuid=a62c0db7-4b0d-43d0-870c-34311e8a7ebe"]},{"id":"ITEM-4","itemData":{"DOI":"10.5194/bg-13-2689-2016","ISSN":"1726-4189","abstract":"Abstract. The nitrogen (N) cycle has the potential to regulate climate change through its influence on carbon (C) sequestration. Although extensive research has explored whether or not progressive N limitation (PNL) occurs under CO2 enrichment, a comprehensive assessment of the processes that regulate PNL is still lacking. Here, we quantitatively synthesized the responses of all major processes and pools in the terrestrial N cycle with meta-analysis of CO2 experimental data available in the literature. The results showed that CO2 enrichment significantly increased N sequestration in the plant and litter pools but not in the soil pool, partially supporting one of the basic assumptions in the PNL hypothesis that elevated CO2 results in more N sequestered in organic pools. However, CO2 enrichment significantly increased the N influx via biological N fixation and the loss via N2O emission, but decreased the N efflux via leaching. In addition, no general diminished CO2 fertilization effect on plant growth was observed over time up to the longest experiment of 13 years. Overall, our analyses suggest that the extra N supply by the increased biological N fixation and decreased leaching may potentially alleviate PNL under elevated CO2 conditions in spite of the increases in plant N sequestration and N2O emission. Moreover, our syntheses indicate that CO2 enrichment increases soil ammonium (NH4+) to nitrate (NO3−) ratio. The changed NH4+/NO3− ratio and subsequent biological processes may result in changes in soil microenvironments, above-belowground community structures and associated interactions, which could potentially affect the terrestrial biogeochemical cycles. In addition, our data synthesis suggests that more long-term studies, especially in regions other than temperate ones, are needed for comprehensive assessments of the PNL hypothesis.","author":[{"dropping-particle":"","family":"Liang","given":"Junyi","non-dropping-particle":"","parse-names":false,"suffix":""},{"dropping-particle":"","family":"Qi","given":"Xuan","non-dropping-particle":"","parse-names":false,"suffix":""},{"dropping-particle":"","family":"Souza","given":"Lara","non-dropping-particle":"","parse-names":false,"suffix":""},{"dropping-particle":"","family":"Luo","given":"Yiqi","non-dropping-particle":"","parse-names":false,"suffix":""}],"container-title":"Biogeosciences","id":"ITEM-4","issue":"9","issued":{"date-parts":[["2016","5","10"]]},"page":"2689-2699","title":"Processes regulating progressive nitrogen limitation under elevated carbon dioxide: a meta-analysis","type":"article-journal","volume":"13"},"uris":["http://www.mendeley.com/documents/?uuid=b127ab7f-b9b9-4286-9cf4-af8ca945ee96"]}],"mendeley":{"formattedCitation":"(Fay et al., 2015; LeBauer &amp; Treseder, 2008; Liang et al., 2016; Luo et al., 2004)","plainTextFormattedCitation":"(Fay et al., 2015; LeBauer &amp; Treseder, 2008; Liang et al., 2016; Luo et al., 2004)","previouslyFormattedCitation":"(Fay et al., 2015; LeBauer &amp; Treseder, 2008; Liang et al., 2016; Luo et al., 2004)"},"properties":{"noteIndex":0},"schema":"https://github.com/citation-style-language/schema/raw/master/csl-citation.json"}</w:instrText>
      </w:r>
      <w:r w:rsidR="001339A7" w:rsidRPr="00F42BEB">
        <w:fldChar w:fldCharType="separate"/>
      </w:r>
      <w:r w:rsidR="001339A7" w:rsidRPr="00F42BEB">
        <w:rPr>
          <w:noProof/>
        </w:rPr>
        <w:t>(Fay et al., 2015; LeBauer &amp; Treseder, 2008; Liang et al., 2016; Luo et al., 2004)</w:t>
      </w:r>
      <w:r w:rsidR="001339A7" w:rsidRPr="00F42BEB">
        <w:fldChar w:fldCharType="end"/>
      </w:r>
      <w:r w:rsidR="00616ADB">
        <w:t xml:space="preserve"> through chronic stimulations in whole plant nutrient demand</w:t>
      </w:r>
      <w:r w:rsidR="001339A7" w:rsidRPr="00F42BEB">
        <w:t>. The nutrient limitation hypothesis predicts that plants decrease leaf nutrient allocation and photosynthetic capacity as a direct response to progressive reductions in soil nutrient availability due to elevated CO</w:t>
      </w:r>
      <w:r w:rsidR="001339A7" w:rsidRPr="00F42BEB">
        <w:rPr>
          <w:vertAlign w:val="subscript"/>
        </w:rPr>
        <w:t>2</w:t>
      </w:r>
      <w:r w:rsidR="001339A7" w:rsidRPr="00F42BEB">
        <w:t>. The nutrient limitation hypothesis also predicts an acute stimulation in whole plant growth due to elevated CO</w:t>
      </w:r>
      <w:r w:rsidR="001339A7" w:rsidRPr="00F42BEB">
        <w:rPr>
          <w:vertAlign w:val="subscript"/>
        </w:rPr>
        <w:t>2</w:t>
      </w:r>
      <w:r w:rsidR="001339A7" w:rsidRPr="00F42BEB">
        <w:t xml:space="preserve"> that dampens over time </w:t>
      </w:r>
      <w:r w:rsidR="00F55823" w:rsidRPr="00F42BEB">
        <w:t>because of</w:t>
      </w:r>
      <w:r w:rsidR="001339A7" w:rsidRPr="00F42BEB">
        <w:t xml:space="preserve"> progressive nutrient limitation.</w:t>
      </w:r>
    </w:p>
    <w:p w14:paraId="7F80AC1E" w14:textId="2711F3DA" w:rsidR="00B01F60" w:rsidRPr="00B01F60" w:rsidRDefault="001339A7" w:rsidP="00B01F60">
      <w:pPr>
        <w:spacing w:line="480" w:lineRule="auto"/>
        <w:ind w:firstLine="720"/>
      </w:pPr>
      <w:r w:rsidRPr="00F42BEB">
        <w:t xml:space="preserve">An alternative hypothesis to the leaf response, based on photosynthetic least-cost theory </w:t>
      </w:r>
      <w:r w:rsidRPr="00F42BEB">
        <w:fldChar w:fldCharType="begin" w:fldLock="1"/>
      </w:r>
      <w:r w:rsidR="00DD0204">
        <w:instrText>ADDIN CSL_CITATION {"citationItems":[{"id":"ITEM-1","itemData":{"DOI":"0003-0147/2003/16101-010387","author":[{"dropping-particle":"","family":"Wright","given":"Ian J","non-dropping-particle":"","parse-names":false,"suffix":""},{"dropping-particle":"","family":"Reich","given":"Peter B","non-dropping-particle":"","parse-names":false,"suffix":""},{"dropping-particle":"","family":"Westoby","given":"Mark","non-dropping-particle":"","parse-names":false,"suffix":""}],"container-title":"The American Naturalist","id":"ITEM-1","issue":"1","issued":{"date-parts":[["2003"]]},"page":"98-111","title":"Least-cost input mixtures of water and nitrogen for photosynthesis","type":"article-journal","volume":"161"},"uris":["http://www.mendeley.com/documents/?uuid=e792122e-1fd1-4c1a-9d09-7bd7a13fee68"]},{"id":"ITEM-2","itemData":{"DOI":"10.1111/ele.12211","ISSN":"1461023X","abstract":"A novel framework is presented for the analysis of ecophysiological field measurements and modelling. The hypothesis ‘leaves minimise the summed unit costs of transpiration and carboxylation’ predicts leaf-internal/ambient CO 2 ratios (c i/c a) and slopes of maximum carboxylation rate (Vcmax ) or leaf nitrogen (Narea ) vs. stomatal conductance. Analysis of data on woody species from contrasting climates (cold-hot, dry-wet) yielded steeper slopes and lower mean c i /c a ratios at the dry or cold sites than at the wet or hot sites. High atmospheric vapour pressure deficit implies low c i / c a in dry climates. High water viscosity (more costly transport) and low photorespiration (less costly photosynthesis) imply low c i /ca in cold climates. Observed site-mean c i /c a shifts are pre- dicted quantitatively for temperature contrasts (by photorespiration plus viscosity effects) and approximately for aridity contrasts. The theory explains the dependency of c i /ca ratios on temper- ature and vapour pressure deficit, and observed relationships of leaf d13 C and Narea to aridity","author":[{"dropping-particle":"","family":"Prentice","given":"I Colin","non-dropping-particle":"","parse-names":false,"suffix":""},{"dropping-particle":"","family":"Dong","given":"Ning","non-dropping-particle":"","parse-names":false,"suffix":""},{"dropping-particle":"","family":"Gleason","given":"Sean M","non-dropping-particle":"","parse-names":false,"suffix":""},{"dropping-particle":"","family":"Maire","given":"Vincent","non-dropping-particle":"","parse-names":false,"suffix":""},{"dropping-particle":"","family":"Wright","given":"Ian J","non-dropping-particle":"","parse-names":false,"suffix":""}],"container-title":"Ecology Letters","id":"ITEM-2","issue":"1","issued":{"date-parts":[["2014","1"]]},"page":"82-91","title":"Balancing the costs of carbon gain and water transport: testing a new theoretical framework for plant functional ecology","type":"article-journal","volume":"17"},"uris":["http://www.mendeley.com/documents/?uuid=e847e008-126f-46c3-a215-d3160662c7ab"]}],"mendeley":{"formattedCitation":"(Prentice et al., 2014; Wright et al., 2003)","plainTextFormattedCitation":"(Prentice et al., 2014; Wright et al., 2003)","previouslyFormattedCitation":"(Prentice et al., 2014; Wright et al., 2003)"},"properties":{"noteIndex":0},"schema":"https://github.com/citation-style-language/schema/raw/master/csl-citation.json"}</w:instrText>
      </w:r>
      <w:r w:rsidRPr="00F42BEB">
        <w:fldChar w:fldCharType="separate"/>
      </w:r>
      <w:r w:rsidRPr="00F42BEB">
        <w:rPr>
          <w:noProof/>
        </w:rPr>
        <w:t>(Prentice et al., 2014; Wright et al., 2003)</w:t>
      </w:r>
      <w:r w:rsidRPr="00F42BEB">
        <w:fldChar w:fldCharType="end"/>
      </w:r>
      <w:r w:rsidRPr="00F42BEB">
        <w:t xml:space="preserve"> suggests that plants growing under elevated CO</w:t>
      </w:r>
      <w:r w:rsidRPr="00F42BEB">
        <w:rPr>
          <w:vertAlign w:val="subscript"/>
        </w:rPr>
        <w:t>2</w:t>
      </w:r>
      <w:r w:rsidRPr="00F42BEB">
        <w:t xml:space="preserve"> environments instead downregulate nutrient allocation to Rubisco to optimize resource use </w:t>
      </w:r>
      <w:r w:rsidRPr="005B353A">
        <w:t>efficiencies at the leaf level, which maximizes resource allocation to whole plant growt</w:t>
      </w:r>
      <w:r w:rsidR="00B01F60">
        <w:t xml:space="preserve">h. Importantly, the nutrient limitation and least-cost hypotheses predict similar leaf acclimation responses to </w:t>
      </w:r>
      <w:proofErr w:type="gramStart"/>
      <w:r w:rsidR="00B01F60">
        <w:t>CO</w:t>
      </w:r>
      <w:r w:rsidR="00B01F60">
        <w:rPr>
          <w:vertAlign w:val="subscript"/>
        </w:rPr>
        <w:t>2</w:t>
      </w:r>
      <w:r w:rsidR="00B01F60">
        <w:t>, but</w:t>
      </w:r>
      <w:proofErr w:type="gramEnd"/>
      <w:r w:rsidR="00B01F60">
        <w:t xml:space="preserve"> result in different outcomes at the whole plant level.</w:t>
      </w:r>
    </w:p>
    <w:p w14:paraId="6687869E" w14:textId="3D07B730" w:rsidR="001339A7" w:rsidRPr="00F42BEB" w:rsidRDefault="001339A7" w:rsidP="001339A7">
      <w:pPr>
        <w:spacing w:line="480" w:lineRule="auto"/>
        <w:ind w:firstLine="720"/>
      </w:pPr>
      <w:r w:rsidRPr="00F42BEB">
        <w:t>Nutrient acquisition strategy, or the method in which plants acquire nutrients, may also impact how plants acclimate to CO</w:t>
      </w:r>
      <w:r w:rsidRPr="00F42BEB">
        <w:rPr>
          <w:vertAlign w:val="subscript"/>
        </w:rPr>
        <w:t>2</w:t>
      </w:r>
      <w:r w:rsidRPr="00F42BEB">
        <w:t xml:space="preserve"> </w:t>
      </w:r>
      <w:r w:rsidRPr="00F42BEB">
        <w:rPr>
          <w:vertAlign w:val="subscript"/>
        </w:rPr>
        <w:fldChar w:fldCharType="begin" w:fldLock="1"/>
      </w:r>
      <w:r w:rsidR="00F86D81">
        <w:rPr>
          <w:vertAlign w:val="subscript"/>
        </w:rPr>
        <w:instrText>ADDIN CSL_CITATION {"citationItems":[{"id":"ITEM-1","itemData":{"DOI":"10.1111/gcb.15212","ISSN":"1354-1013","abstract":"The mechanisms responsible for photosynthetic acclimation are not well understood, effectively limiting predictability under future conditions. Least-cost optimality the- ory can be used to predict the acclimation of photosynthetic capacity based on the assumption that plants maximize carbon uptake while minimizing the associated costs. Here, we use this theory as a null model in combination with multiple datasets of C3 plant photosynthetic traits to elucidate the mechanisms underlying photosyn- thetic acclimation to elevated temperature and carbon dioxide (CO2). The model-data comparison showed that leaves decrease the ratio of the maximum rate of electron transport to the maximum rate of Rubisco carboxylation (Jmax/Vcmax) under higher temperatures. The comparison also indicated that resources used for Rubisco and electron transport are reduced under both elevated temperature and CO2. Finally, our analysis suggested that plants underinvest in electron transport relative to car- boxylation under elevated CO2, limiting potential leaf-level photosynthesis under future CO2 concentrations. Altogether, our results show that acclimation to tempera- ture and CO2 is primarily related to resource conservation at the leaf level. Under fu- ture,","author":[{"dropping-particle":"","family":"Smith","given":"Nicholas G","non-dropping-particle":"","parse-names":false,"suffix":""},{"dropping-particle":"","family":"Keenan","given":"Trevor F","non-dropping-particle":"","parse-names":false,"suffix":""}],"container-title":"Global Change Biology","id":"ITEM-1","issue":"9","issued":{"date-parts":[["2020","9","3"]]},"page":"5202-5216","title":"Mechanisms underlying leaf photosynthetic acclimation to warming and elevated CO2 as inferred from least‐cost optimality theory","type":"article-journal","volume":"26"},"uris":["http://www.mendeley.com/documents/?uuid=bbe0947b-b3f9-4a9e-999f-3f077c3079d4"]},{"id":"ITEM-2","itemData":{"DOI":"10.1111/nph.14872","ISBN":"7476820487","ISSN":"0028-646X","abstract":"Land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author":[{"dropping-particle":"","family":"Terrer","given":"César","non-dropping-particle":"","parse-names":false,"suffix":""},{"dropping-particle":"","family":"Vicca","given":"Sara","non-dropping-particle":"","parse-names":false,"suffix":""},{"dropping-particle":"","family":"Stocker","given":"Benjamin D.","non-dropping-particle":"","parse-names":false,"suffix":""},{"dropping-particle":"","family":"Hungate","given":"Bruce A","non-dropping-particle":"","parse-names":false,"suffix":""},{"dropping-particle":"","family":"Phillips","given":"Richard P","non-dropping-particle":"","parse-names":false,"suffix":""},{"dropping-particle":"","family":"Reich","given":"Peter B","non-dropping-particle":"","parse-names":false,"suffix":""},{"dropping-particle":"","family":"Finzi","given":"Adrien C","non-dropping-particle":"","parse-names":false,"suffix":""},{"dropping-particle":"","family":"Prentice","given":"I Colin","non-dropping-particle":"","parse-names":false,"suffix":""}],"container-title":"New Phytologist","id":"ITEM-2","issue":"2","issued":{"date-parts":[["2018","1","6"]]},"page":"507-522","title":"Ecosystem responses to elevated &lt;scp&gt;CO&lt;/scp&gt; &lt;sub&gt;2&lt;/sub&gt; governed by plant–soil interactions and the cost of nitrogen acquisition","type":"article-journal","volume":"217"},"uris":["http://www.mendeley.com/documents/?uuid=f5a032e4-11bd-468b-88f1-a7a4ce482036"]}],"mendeley":{"formattedCitation":"(N. G. Smith &amp; Keenan, 2020; Terrer et al., 2018)","plainTextFormattedCitation":"(N. G. Smith &amp; Keenan, 2020; Terrer et al., 2018)","previouslyFormattedCitation":"(N. G. Smith &amp; Keenan, 2020; Terrer et al., 2018)"},"properties":{"noteIndex":0},"schema":"https://github.com/citation-style-language/schema/raw/master/csl-citation.json"}</w:instrText>
      </w:r>
      <w:r w:rsidRPr="00F42BEB">
        <w:rPr>
          <w:vertAlign w:val="subscript"/>
        </w:rPr>
        <w:fldChar w:fldCharType="separate"/>
      </w:r>
      <w:r w:rsidR="00F86D81" w:rsidRPr="00F86D81">
        <w:rPr>
          <w:noProof/>
        </w:rPr>
        <w:t>(N. G. Smith &amp; Keenan, 2020; Terrer et al., 2018)</w:t>
      </w:r>
      <w:r w:rsidRPr="00F42BEB">
        <w:rPr>
          <w:vertAlign w:val="subscript"/>
        </w:rPr>
        <w:fldChar w:fldCharType="end"/>
      </w:r>
      <w:r w:rsidRPr="00F42BEB">
        <w:t>. Plants acquire nutrients via direct uptake from their rooting systems or through symbiotic associations with mycorrhizal fungi or symbiotic nitrogen-fixing bacteria</w:t>
      </w:r>
      <w:r w:rsidR="00B01F60">
        <w:t xml:space="preserve"> </w:t>
      </w:r>
      <w:r w:rsidR="00B01F60">
        <w:fldChar w:fldCharType="begin" w:fldLock="1"/>
      </w:r>
      <w:r w:rsidR="00B01F60">
        <w:instrText>ADDIN CSL_CITATION {"citationItems":[{"id":"ITEM-1","itemData":{"author":[{"dropping-particle":"","family":"Smith","given":"Sally E","non-dropping-particle":"","parse-names":false,"suffix":""},{"dropping-particle":"","family":"Read","given":"David J","non-dropping-particle":"","parse-names":false,"suffix":""}],"id":"ITEM-1","issued":{"date-parts":[["2008"]]},"title":"Mycorrhizal Symbiosis","type":"book"},"uris":["http://www.mendeley.com/documents/?uuid=7de52699-7fb0-461b-b0db-02c8da38a432"]}],"mendeley":{"formattedCitation":"(S. E. Smith &amp; Read, 2008)","plainTextFormattedCitation":"(S. E. Smith &amp; Read, 2008)"},"properties":{"noteIndex":0},"schema":"https://github.com/citation-style-language/schema/raw/master/csl-citation.json"}</w:instrText>
      </w:r>
      <w:r w:rsidR="00B01F60">
        <w:fldChar w:fldCharType="separate"/>
      </w:r>
      <w:r w:rsidR="00B01F60" w:rsidRPr="00B01F60">
        <w:rPr>
          <w:noProof/>
        </w:rPr>
        <w:t>(S. E. Smith &amp; Read, 2008)</w:t>
      </w:r>
      <w:r w:rsidR="00B01F60">
        <w:fldChar w:fldCharType="end"/>
      </w:r>
      <w:r w:rsidRPr="00F42BEB">
        <w:t xml:space="preserve">. In plants that form associations with microbial symbionts, plants allocate recent photosynthate belowground in exchange for nutrients acquired by microbial symbionts. However, not all microbial symbioses require the same belowground carbon investments to exchange nutrients. </w:t>
      </w:r>
      <w:r w:rsidRPr="00F42BEB">
        <w:lastRenderedPageBreak/>
        <w:t xml:space="preserve">Carbon costs to acquire nitrogen, or the amount of carbon plants allocate belowground per nitrogen acquired, vary across nutrient acquisition strategies and soil nutrient availability thresholds </w:t>
      </w:r>
      <w:r w:rsidRPr="00F42BEB">
        <w:fldChar w:fldCharType="begin" w:fldLock="1"/>
      </w:r>
      <w:r w:rsidR="00DD0204">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strategies","type":"article-journal","volume":"72"},"uris":["http://www.mendeley.com/documents/?uuid=233b0f00-9a30-4c3a-a2bb-5e67ae9c0e5f"]}],"mendeley":{"formattedCitation":"(Perkowski et al., 2021)","plainTextFormattedCitation":"(Perkowski et al., 2021)","previouslyFormattedCitation":"(Perkowski et al., 2021)"},"properties":{"noteIndex":0},"schema":"https://github.com/citation-style-language/schema/raw/master/csl-citation.json"}</w:instrText>
      </w:r>
      <w:r w:rsidRPr="00F42BEB">
        <w:fldChar w:fldCharType="separate"/>
      </w:r>
      <w:r w:rsidRPr="00F42BEB">
        <w:rPr>
          <w:noProof/>
        </w:rPr>
        <w:t>(Perkowski et al., 2021)</w:t>
      </w:r>
      <w:r w:rsidRPr="00F42BEB">
        <w:fldChar w:fldCharType="end"/>
      </w:r>
      <w:r w:rsidRPr="00F42BEB">
        <w:t>. Interestingly, a recent global meta-analysis indicates that carbon costs to acquire nitrogen may modify plant acclimation responses to CO</w:t>
      </w:r>
      <w:r w:rsidRPr="00F42BEB">
        <w:rPr>
          <w:vertAlign w:val="subscript"/>
        </w:rPr>
        <w:t>2</w:t>
      </w:r>
      <w:r w:rsidRPr="00F42BEB">
        <w:t xml:space="preserve"> </w:t>
      </w:r>
      <w:r w:rsidRPr="00F42BEB">
        <w:rPr>
          <w:vertAlign w:val="subscript"/>
        </w:rPr>
        <w:fldChar w:fldCharType="begin" w:fldLock="1"/>
      </w:r>
      <w:r w:rsidR="00616ADB">
        <w:rPr>
          <w:vertAlign w:val="subscript"/>
        </w:rPr>
        <w:instrText>ADDIN CSL_CITATION {"citationItems":[{"id":"ITEM-1","itemData":{"DOI":"10.1126/science.aaf4610","ISSN":"0036-8075","abstract":"Plants buffer increasing atmospheric carbon dioxide (CO 2 ) concentrations through enhanced growth, but the question whether nitrogen availability constrains the magnitude of this ecosystem service remains unresolved. Synthesizing experiments from around the world, we show that CO 2 fertilization is best explained by a simple interaction between nitrogen availability and mycorrhizal association. Plant species that associate with ectomycorrhizal fungi show a strong biomass increase (30 ± 3%, P &lt; 0.001) in response to elevated CO 2 regardless of nitrogen availability, whereas low nitrogen availability limits CO 2 fertilization (0 ± 5%, P = 0.946) in plants that associate with arbuscular mycorrhizal fungi. The incorporation of mycorrhizae in global carbon cycle models is feasible, and crucial if we are to accurately project ecosystem responses and feedbacks to climate change.","author":[{"dropping-particle":"","family":"Terrer","given":"César","non-dropping-particle":"","parse-names":false,"suffix":""},{"dropping-particle":"","family":"Vicca","given":"Sara","non-dropping-particle":"","parse-names":false,"suffix":""},{"dropping-particle":"","family":"Hungate","given":"Bruce A","non-dropping-particle":"","parse-names":false,"suffix":""},{"dropping-particle":"","family":"Phillips","given":"Richard P","non-dropping-particle":"","parse-names":false,"suffix":""},{"dropping-particle":"","family":"Prentice","given":"I Colin","non-dropping-particle":"","parse-names":false,"suffix":""}],"container-title":"Science","id":"ITEM-1","issue":"6294","issued":{"date-parts":[["2016","7","1"]]},"page":"72-74","title":"Mycorrhizal association as a primary control of the CO2 fertilization effect","type":"article-journal","volume":"353"},"uris":["http://www.mendeley.com/documents/?uuid=e1738a48-9551-40a3-a598-8ed20c8cac64"]},{"id":"ITEM-2","itemData":{"DOI":"10.1111/nph.14872","ISBN":"7476820487","ISSN":"0028-646X","abstract":"Land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author":[{"dropping-particle":"","family":"Terrer","given":"César","non-dropping-particle":"","parse-names":false,"suffix":""},{"dropping-particle":"","family":"Vicca","given":"Sara","non-dropping-particle":"","parse-names":false,"suffix":""},{"dropping-particle":"","family":"Stocker","given":"Benjamin D.","non-dropping-particle":"","parse-names":false,"suffix":""},{"dropping-particle":"","family":"Hungate","given":"Bruce A","non-dropping-particle":"","parse-names":false,"suffix":""},{"dropping-particle":"","family":"Phillips","given":"Richard P","non-dropping-particle":"","parse-names":false,"suffix":""},{"dropping-particle":"","family":"Reich","given":"Peter B","non-dropping-particle":"","parse-names":false,"suffix":""},{"dropping-particle":"","family":"Finzi","given":"Adrien C","non-dropping-particle":"","parse-names":false,"suffix":""},{"dropping-particle":"","family":"Prentice","given":"I Colin","non-dropping-particle":"","parse-names":false,"suffix":""}],"container-title":"New Phytologist","id":"ITEM-2","issue":"2","issued":{"date-parts":[["2018","1","6"]]},"page":"507-522","title":"Ecosystem responses to elevated &lt;scp&gt;CO&lt;/scp&gt; &lt;sub&gt;2&lt;/sub&gt; governed by plant–soil interactions and the cost of nitrogen acquisition","type":"article-journal","volume":"217"},"uris":["http://www.mendeley.com/documents/?uuid=f5a032e4-11bd-468b-88f1-a7a4ce482036"]}],"mendeley":{"formattedCitation":"(Terrer et al., 2016, 2018)","plainTextFormattedCitation":"(Terrer et al., 2016, 2018)","previouslyFormattedCitation":"(Terrer et al., 2016, 2018)"},"properties":{"noteIndex":0},"schema":"https://github.com/citation-style-language/schema/raw/master/csl-citation.json"}</w:instrText>
      </w:r>
      <w:r w:rsidRPr="00F42BEB">
        <w:rPr>
          <w:vertAlign w:val="subscript"/>
        </w:rPr>
        <w:fldChar w:fldCharType="separate"/>
      </w:r>
      <w:r w:rsidRPr="00F42BEB">
        <w:rPr>
          <w:noProof/>
        </w:rPr>
        <w:t>(Terrer et al., 2016, 2018)</w:t>
      </w:r>
      <w:r w:rsidRPr="00F42BEB">
        <w:rPr>
          <w:vertAlign w:val="subscript"/>
        </w:rPr>
        <w:fldChar w:fldCharType="end"/>
      </w:r>
      <w:r w:rsidRPr="00F42BEB">
        <w:t>, although manipulation experiments that directly test the mechanisms driving these responses are rare.</w:t>
      </w:r>
    </w:p>
    <w:p w14:paraId="390B8E5B" w14:textId="151078DC" w:rsidR="00E60BAC" w:rsidRDefault="001339A7" w:rsidP="008E01D4">
      <w:pPr>
        <w:spacing w:line="480" w:lineRule="auto"/>
        <w:ind w:firstLine="720"/>
      </w:pPr>
      <w:r w:rsidRPr="00F42BEB">
        <w:t xml:space="preserve">In this study, I will investigate the influence of inoculation with symbiotic nitrogen-fixing bacteria and direct soil nutrient manipulation on soybean </w:t>
      </w:r>
      <w:r w:rsidRPr="00F42BEB">
        <w:rPr>
          <w:bCs/>
        </w:rPr>
        <w:t>(</w:t>
      </w:r>
      <w:r w:rsidRPr="00F42BEB">
        <w:rPr>
          <w:bCs/>
          <w:i/>
          <w:iCs/>
        </w:rPr>
        <w:t>Glycine max</w:t>
      </w:r>
      <w:r w:rsidRPr="00F42BEB">
        <w:rPr>
          <w:bCs/>
        </w:rPr>
        <w:t xml:space="preserve"> L.) acclimation responses to CO</w:t>
      </w:r>
      <w:r w:rsidRPr="00F42BEB">
        <w:rPr>
          <w:bCs/>
          <w:vertAlign w:val="subscript"/>
        </w:rPr>
        <w:t>2</w:t>
      </w:r>
      <w:r w:rsidRPr="00F42BEB">
        <w:rPr>
          <w:bCs/>
        </w:rPr>
        <w:t xml:space="preserve">. This experiment will determine whether </w:t>
      </w:r>
      <w:r w:rsidRPr="00F42BEB">
        <w:t>nutrient limitation or optimal leaf resource investment is the primary driver of plant acclimation to CO</w:t>
      </w:r>
      <w:r w:rsidRPr="00F42BEB">
        <w:rPr>
          <w:vertAlign w:val="subscript"/>
        </w:rPr>
        <w:t>2</w:t>
      </w:r>
      <w:r w:rsidRPr="00F42BEB">
        <w:t xml:space="preserve"> and how nutrient acquisition strategy modifies these responses. I hypothesize that leaf acclimation to CO</w:t>
      </w:r>
      <w:r w:rsidRPr="00F42BEB">
        <w:rPr>
          <w:vertAlign w:val="subscript"/>
        </w:rPr>
        <w:t>2</w:t>
      </w:r>
      <w:r w:rsidRPr="00F42BEB">
        <w:t xml:space="preserve"> will be driven by optimal leaf resource investment, not nutrient limitation. Specifically, I predict that increasing CO</w:t>
      </w:r>
      <w:r w:rsidRPr="00F42BEB">
        <w:rPr>
          <w:vertAlign w:val="subscript"/>
        </w:rPr>
        <w:t>2</w:t>
      </w:r>
      <w:r w:rsidRPr="00F42BEB">
        <w:t xml:space="preserve"> will decrease stomatal conductance, leaf nutrient allocation, and photosynthesis independent of nutrient acquisition strategy or soil nutrient availability, which will maximize resource allocation to whole plant growth. While I do not expect that soil nutrients or acquisition strategy will modify leaf acclimation responses to CO</w:t>
      </w:r>
      <w:r w:rsidRPr="00F42BEB">
        <w:rPr>
          <w:vertAlign w:val="subscript"/>
        </w:rPr>
        <w:t>2</w:t>
      </w:r>
      <w:r w:rsidRPr="00F42BEB">
        <w:t>, I do expect that soil nutrient availability will increase the positive effect of CO</w:t>
      </w:r>
      <w:r w:rsidRPr="00F42BEB">
        <w:rPr>
          <w:vertAlign w:val="subscript"/>
        </w:rPr>
        <w:t>2</w:t>
      </w:r>
      <w:r w:rsidRPr="00F42BEB">
        <w:t xml:space="preserve"> on whole plant growth. I also predict that inoculation with nitrogen-fixing bacteria will increase whole plant growth responses to CO</w:t>
      </w:r>
      <w:r w:rsidRPr="00F42BEB">
        <w:rPr>
          <w:vertAlign w:val="subscript"/>
        </w:rPr>
        <w:t>2</w:t>
      </w:r>
      <w:r w:rsidRPr="00F42BEB">
        <w:t xml:space="preserve">. However, I only expect an inoculation effect in low soil nutrient environments, as inoculated individuals should shift away from nitrogen fixation and toward direct uptake with increasing soil nutrient availability </w:t>
      </w:r>
      <w:r w:rsidRPr="00F42BEB">
        <w:fldChar w:fldCharType="begin" w:fldLock="1"/>
      </w:r>
      <w:r w:rsidR="00DD0204">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id":"ITEM-2","itemData":{"DOI":"10.1007/s10021-001-0018-z","ISSN":"1432-9840","author":[{"dropping-particle":"","family":"Rastetter","given":"E B","non-dropping-particle":"","parse-names":false,"suffix":""},{"dropping-particle":"","family":"Vitousek","given":"Peter M","non-dropping-particle":"","parse-names":false,"suffix":""},{"dropping-particle":"","family":"Field","given":"Christopher B","non-dropping-particle":"","parse-names":false,"suffix":""},{"dropping-particle":"","family":"Shaver","given":"G R","non-dropping-particle":"","parse-names":false,"suffix":""},{"dropping-particle":"","family":"Herbert","given":"D","non-dropping-particle":"","parse-names":false,"suffix":""},{"dropping-particle":"","family":"Ågren","given":"Göran I","non-dropping-particle":"","parse-names":false,"suffix":""}],"container-title":"Ecosystems","id":"ITEM-2","issue":"4","issued":{"date-parts":[["2001","7","1"]]},"page":"369-388","title":"Resource optimization and symbiotic nitrogen fixation","type":"article-journal","volume":"4"},"uris":["http://www.mendeley.com/documents/?uuid=5f7192cc-7244-42a5-a23f-57f5715a703f"]}],"mendeley":{"formattedCitation":"(Perkowski et al., 2021; Rastetter et al., 2001)","plainTextFormattedCitation":"(Perkowski et al., 2021; Rastetter et al., 2001)","previouslyFormattedCitation":"(Perkowski et al., 2021; Rastetter et al., 2001)"},"properties":{"noteIndex":0},"schema":"https://github.com/citation-style-language/schema/raw/master/csl-citation.json"}</w:instrText>
      </w:r>
      <w:r w:rsidRPr="00F42BEB">
        <w:fldChar w:fldCharType="separate"/>
      </w:r>
      <w:r w:rsidRPr="00F42BEB">
        <w:rPr>
          <w:noProof/>
        </w:rPr>
        <w:t>(Perkowski et al., 2021; Rastetter et al., 2001)</w:t>
      </w:r>
      <w:r w:rsidRPr="00F42BEB">
        <w:fldChar w:fldCharType="end"/>
      </w:r>
      <w:r w:rsidRPr="00F42BEB">
        <w:t>.</w:t>
      </w:r>
    </w:p>
    <w:p w14:paraId="33F93C5B" w14:textId="77777777" w:rsidR="00B01F60" w:rsidRPr="008E01D4" w:rsidRDefault="00B01F60" w:rsidP="00B01F60">
      <w:pPr>
        <w:spacing w:line="480" w:lineRule="auto"/>
      </w:pPr>
    </w:p>
    <w:p w14:paraId="03921B0D" w14:textId="7401A722" w:rsidR="00F42BEB" w:rsidRDefault="00F42BEB" w:rsidP="00F42BEB">
      <w:pPr>
        <w:spacing w:line="480" w:lineRule="auto"/>
        <w:rPr>
          <w:b/>
        </w:rPr>
      </w:pPr>
      <w:r w:rsidRPr="00F42BEB">
        <w:rPr>
          <w:b/>
        </w:rPr>
        <w:t>Methods</w:t>
      </w:r>
    </w:p>
    <w:p w14:paraId="7E75C69F" w14:textId="23A08C5C" w:rsidR="00DD0204" w:rsidRPr="00DD0204" w:rsidRDefault="00DD0204" w:rsidP="00F42BEB">
      <w:pPr>
        <w:spacing w:line="480" w:lineRule="auto"/>
        <w:rPr>
          <w:bCs/>
          <w:i/>
          <w:iCs/>
        </w:rPr>
      </w:pPr>
      <w:r>
        <w:rPr>
          <w:bCs/>
          <w:i/>
          <w:iCs/>
        </w:rPr>
        <w:lastRenderedPageBreak/>
        <w:t>Seed treatments and experimental design</w:t>
      </w:r>
    </w:p>
    <w:p w14:paraId="0294F75D" w14:textId="49C4ADDE" w:rsidR="0053755A" w:rsidRDefault="00F42BEB" w:rsidP="00F42BEB">
      <w:pPr>
        <w:spacing w:line="480" w:lineRule="auto"/>
      </w:pPr>
      <w:r w:rsidRPr="00F42BEB">
        <w:rPr>
          <w:b/>
        </w:rPr>
        <w:tab/>
      </w:r>
      <w:r w:rsidRPr="00F42BEB">
        <w:rPr>
          <w:bCs/>
          <w:i/>
          <w:iCs/>
        </w:rPr>
        <w:t>Glycine max</w:t>
      </w:r>
      <w:r w:rsidRPr="00F42BEB">
        <w:rPr>
          <w:bCs/>
        </w:rPr>
        <w:t xml:space="preserve"> </w:t>
      </w:r>
      <w:r w:rsidR="008E01D4">
        <w:rPr>
          <w:bCs/>
        </w:rPr>
        <w:t>L. (</w:t>
      </w:r>
      <w:proofErr w:type="spellStart"/>
      <w:r w:rsidR="008E01D4">
        <w:rPr>
          <w:bCs/>
        </w:rPr>
        <w:t>Merr</w:t>
      </w:r>
      <w:proofErr w:type="spellEnd"/>
      <w:r w:rsidR="008E01D4">
        <w:rPr>
          <w:bCs/>
        </w:rPr>
        <w:t xml:space="preserve">) </w:t>
      </w:r>
      <w:r w:rsidRPr="00F42BEB">
        <w:rPr>
          <w:bCs/>
        </w:rPr>
        <w:t>seeds were planted in 144 6-liter pots (NS-600, Nursery Supplies, Orange, CA, USA) containing</w:t>
      </w:r>
      <w:r w:rsidR="00B01F60">
        <w:rPr>
          <w:bCs/>
        </w:rPr>
        <w:t xml:space="preserve"> a 70:30 volume</w:t>
      </w:r>
      <w:r w:rsidR="00DF14FC">
        <w:rPr>
          <w:bCs/>
        </w:rPr>
        <w:t>:</w:t>
      </w:r>
      <w:r w:rsidR="00550C18">
        <w:rPr>
          <w:bCs/>
        </w:rPr>
        <w:t xml:space="preserve"> </w:t>
      </w:r>
      <w:r w:rsidR="00B01F60">
        <w:rPr>
          <w:bCs/>
        </w:rPr>
        <w:t xml:space="preserve">volume mix of </w:t>
      </w:r>
      <w:r w:rsidRPr="00F42BEB">
        <w:rPr>
          <w:bCs/>
          <w:i/>
          <w:iCs/>
        </w:rPr>
        <w:t>Sphagnum</w:t>
      </w:r>
      <w:r w:rsidRPr="00F42BEB">
        <w:rPr>
          <w:bCs/>
        </w:rPr>
        <w:t xml:space="preserve"> peat moss</w:t>
      </w:r>
      <w:r w:rsidR="0053755A">
        <w:rPr>
          <w:bCs/>
        </w:rPr>
        <w:t xml:space="preserve"> ()</w:t>
      </w:r>
      <w:r w:rsidRPr="00F42BEB">
        <w:rPr>
          <w:bCs/>
        </w:rPr>
        <w:t xml:space="preserve"> and sand</w:t>
      </w:r>
      <w:r w:rsidR="0053755A">
        <w:rPr>
          <w:bCs/>
        </w:rPr>
        <w:t xml:space="preserve"> ()</w:t>
      </w:r>
      <w:r w:rsidRPr="00F42BEB">
        <w:rPr>
          <w:bCs/>
        </w:rPr>
        <w:t>.</w:t>
      </w:r>
      <w:r w:rsidR="00020C30">
        <w:rPr>
          <w:bCs/>
        </w:rPr>
        <w:t xml:space="preserve"> </w:t>
      </w:r>
      <w:r>
        <w:rPr>
          <w:bCs/>
        </w:rPr>
        <w:t>The mix was steam sterilized at 95</w:t>
      </w:r>
      <w:r w:rsidRPr="00863849">
        <w:rPr>
          <w:rFonts w:ascii="Symbol" w:eastAsia="Symbol" w:hAnsi="Symbol" w:cs="Symbol"/>
          <w:color w:val="000000"/>
        </w:rPr>
        <w:t></w:t>
      </w:r>
      <w:r w:rsidRPr="00863849">
        <w:rPr>
          <w:color w:val="000000"/>
        </w:rPr>
        <w:t>C</w:t>
      </w:r>
      <w:r>
        <w:t xml:space="preserve"> for </w:t>
      </w:r>
      <w:r w:rsidR="0053755A">
        <w:t>8</w:t>
      </w:r>
      <w:r>
        <w:t xml:space="preserve"> hours to eliminate any bacterial or fungal growth</w:t>
      </w:r>
      <w:r w:rsidR="00020C30">
        <w:t>, and pots were surface sterilized using a 2% sodium hypochlorite solution followed by a brief rinse with ultrapure water</w:t>
      </w:r>
      <w:r w:rsidR="000662B7">
        <w:t xml:space="preserve">. Seventy-two pots were randomly selected to be planted with seeds inoculated with </w:t>
      </w:r>
      <w:proofErr w:type="spellStart"/>
      <w:r w:rsidR="000662B7" w:rsidRPr="007B6BD6">
        <w:rPr>
          <w:i/>
          <w:iCs/>
        </w:rPr>
        <w:t>Bradyrhizobium</w:t>
      </w:r>
      <w:proofErr w:type="spellEnd"/>
      <w:r w:rsidR="000662B7" w:rsidRPr="007B6BD6">
        <w:rPr>
          <w:i/>
          <w:iCs/>
        </w:rPr>
        <w:t xml:space="preserve"> japonicum</w:t>
      </w:r>
      <w:r w:rsidR="000662B7" w:rsidRPr="007B6BD6">
        <w:t xml:space="preserve"> (</w:t>
      </w:r>
      <w:proofErr w:type="spellStart"/>
      <w:r w:rsidR="000662B7" w:rsidRPr="007B6BD6">
        <w:t>Verdesian</w:t>
      </w:r>
      <w:proofErr w:type="spellEnd"/>
      <w:r w:rsidR="000662B7" w:rsidRPr="007B6BD6">
        <w:t xml:space="preserve"> N-Dure™ Soybean,</w:t>
      </w:r>
      <w:r w:rsidR="000662B7">
        <w:t xml:space="preserve"> Cary, NC, USA)</w:t>
      </w:r>
      <w:r w:rsidR="00020C30">
        <w:t>. Prior to inoculation, seeds were surface sterilized in</w:t>
      </w:r>
      <w:r w:rsidR="000662B7">
        <w:t xml:space="preserve"> </w:t>
      </w:r>
      <w:r w:rsidR="009D6030">
        <w:t>2</w:t>
      </w:r>
      <w:r w:rsidR="000662B7">
        <w:t>% sodium hypochlorite</w:t>
      </w:r>
      <w:r w:rsidR="0053755A">
        <w:t xml:space="preserve"> for 3 minutes</w:t>
      </w:r>
      <w:r w:rsidR="00A618EC">
        <w:t>,</w:t>
      </w:r>
      <w:r w:rsidR="00DF14FC">
        <w:t xml:space="preserve"> </w:t>
      </w:r>
      <w:r w:rsidR="00020C30">
        <w:t>followed by</w:t>
      </w:r>
      <w:r w:rsidR="00DF14FC">
        <w:t xml:space="preserve"> three separate</w:t>
      </w:r>
      <w:r w:rsidR="0053755A">
        <w:t xml:space="preserve"> 3-minute</w:t>
      </w:r>
      <w:r w:rsidR="00DF14FC">
        <w:t xml:space="preserve"> washes </w:t>
      </w:r>
      <w:r w:rsidR="00020C30">
        <w:t xml:space="preserve">with </w:t>
      </w:r>
      <w:r w:rsidR="00DF14FC">
        <w:t>ultrapure water</w:t>
      </w:r>
      <w:r w:rsidR="000662B7">
        <w:t>. The remaining 72 pots were planted with seeds that did not receive any inoculation treatment. Uninoculated seeds</w:t>
      </w:r>
      <w:r w:rsidR="00020C30">
        <w:t xml:space="preserve"> </w:t>
      </w:r>
      <w:r w:rsidR="0053755A">
        <w:t>also underwent surface sterilization to ensure that the only difference between seed treatments was the inoculation treatment.</w:t>
      </w:r>
    </w:p>
    <w:p w14:paraId="6CAEE7C1" w14:textId="5C82980A" w:rsidR="0058238C" w:rsidRDefault="000662B7" w:rsidP="00CD368B">
      <w:pPr>
        <w:spacing w:line="480" w:lineRule="auto"/>
      </w:pPr>
      <w:r>
        <w:tab/>
        <w:t>Upon planting, 36 pots of each inoculation treatment were randomly placed in one of two atmospheric CO</w:t>
      </w:r>
      <w:r>
        <w:rPr>
          <w:vertAlign w:val="subscript"/>
        </w:rPr>
        <w:t>2</w:t>
      </w:r>
      <w:r>
        <w:t xml:space="preserve"> treatments: </w:t>
      </w:r>
      <w:r w:rsidR="0053755A">
        <w:t>ambient</w:t>
      </w:r>
      <w:r>
        <w:t xml:space="preserve"> and 1000 </w:t>
      </w:r>
      <w:r>
        <w:rPr>
          <w:lang w:val="el-GR"/>
        </w:rPr>
        <w:t>μ</w:t>
      </w:r>
      <w:r>
        <w:t>mol mol</w:t>
      </w:r>
      <w:r>
        <w:rPr>
          <w:vertAlign w:val="superscript"/>
        </w:rPr>
        <w:t>-1</w:t>
      </w:r>
      <w:r>
        <w:t xml:space="preserve"> CO</w:t>
      </w:r>
      <w:r>
        <w:rPr>
          <w:vertAlign w:val="subscript"/>
        </w:rPr>
        <w:t>2</w:t>
      </w:r>
      <w:r w:rsidR="00133763">
        <w:t>.</w:t>
      </w:r>
      <w:r w:rsidR="0053755A">
        <w:t xml:space="preserve"> </w:t>
      </w:r>
      <w:r>
        <w:t>Pots in each</w:t>
      </w:r>
      <w:r w:rsidR="00C77766">
        <w:t xml:space="preserve"> unique</w:t>
      </w:r>
      <w:r>
        <w:t xml:space="preserve"> CO</w:t>
      </w:r>
      <w:r>
        <w:rPr>
          <w:vertAlign w:val="subscript"/>
        </w:rPr>
        <w:t>2</w:t>
      </w:r>
      <w:r>
        <w:t xml:space="preserve"> and inoculation treatment were</w:t>
      </w:r>
      <w:r w:rsidR="00D47386">
        <w:t xml:space="preserve"> </w:t>
      </w:r>
      <w:r w:rsidR="0053755A">
        <w:t xml:space="preserve">also </w:t>
      </w:r>
      <w:r>
        <w:t xml:space="preserve">randomly selected to receive one of nine nitrogen fertilization treatments </w:t>
      </w:r>
      <w:r w:rsidR="00DD0204">
        <w:t xml:space="preserve">as a modified Hoagland’s solution </w:t>
      </w:r>
      <w:r w:rsidR="00DD0204">
        <w:fldChar w:fldCharType="begin" w:fldLock="1"/>
      </w:r>
      <w:r w:rsidR="00FC6B3C">
        <w:instrText>ADDIN CSL_CITATION {"citationItems":[{"id":"ITEM-1","itemData":{"abstract":"This is a revised edition of a popular account issued in 1938 H.A., 10: 28 based on the investigations of the two authors. Since then, experience in the U.S.A. and elsewhere has failed, in the authors' opinion, to support the early exaggerated claims for the value of the technique. Their experience leads to the conclusion that for its successful operation a knowledge of plant physiology is essential, that its commercial application is only likely to be successful under limited conditions and expert supervision, and that its results are rarely superior to those of soil culture. If, despite this, the would-be \"nutriculturist\" persists, he will find much to encourage and enlighten him on pp. 23-32, which contain directions on type of container, nature of bed, aeration of root system, planting procedures, the management of solutions, selection and preparation of solution, and the use of nutrient solutions for demonstrating mineral deficiencies.","author":[{"dropping-particle":"","family":"Hoagland","given":"Dennis R","non-dropping-particle":"","parse-names":false,"suffix":""},{"dropping-particle":"","family":"Arnon","given":"Daniel I","non-dropping-particle":"","parse-names":false,"suffix":""}],"container-title":"California Agricultural Experiment Station: 347","id":"ITEM-1","issue":"2","issued":{"date-parts":[["1950"]]},"page":"1-32","publisher":"California Agricultural Experiment Station: 347","title":"The water-culture method for growing plants without soil","type":"article-journal","volume":"347"},"uris":["http://www.mendeley.com/documents/?uuid=dd11fb6a-bf0e-4621-ae2a-1fd2345a784e"]}],"mendeley":{"formattedCitation":"(Hoagland &amp; Arnon, 1950)","plainTextFormattedCitation":"(Hoagland &amp; Arnon, 1950)","previouslyFormattedCitation":"(Hoagland &amp; Arnon, 1950)"},"properties":{"noteIndex":0},"schema":"https://github.com/citation-style-language/schema/raw/master/csl-citation.json"}</w:instrText>
      </w:r>
      <w:r w:rsidR="00DD0204">
        <w:fldChar w:fldCharType="separate"/>
      </w:r>
      <w:r w:rsidR="00DD0204" w:rsidRPr="00DD0204">
        <w:rPr>
          <w:noProof/>
        </w:rPr>
        <w:t>(Hoagland &amp; Arnon, 1950)</w:t>
      </w:r>
      <w:r w:rsidR="00DD0204">
        <w:fldChar w:fldCharType="end"/>
      </w:r>
      <w:r w:rsidR="00DD0204">
        <w:t xml:space="preserve"> equivalent to 0, 35, 70, 105, 140, 210, 280, 350, or 630 ppm N</w:t>
      </w:r>
      <w:r>
        <w:t xml:space="preserve">. </w:t>
      </w:r>
      <w:r w:rsidR="00DD0204">
        <w:t>Modified Hoagland’s solutions were designed to keep concentrations of other macronutrients and micronutrients equivalent across treatments (</w:t>
      </w:r>
      <w:r w:rsidR="00DD0204" w:rsidRPr="00930CCC">
        <w:rPr>
          <w:highlight w:val="yellow"/>
        </w:rPr>
        <w:t>Table S1</w:t>
      </w:r>
      <w:r w:rsidR="00DD0204">
        <w:t xml:space="preserve">), and </w:t>
      </w:r>
      <w:r w:rsidR="0053755A">
        <w:t>were given as 150 mL doses twice per week as topical agents to the soil surface.</w:t>
      </w:r>
      <w:r w:rsidR="0058238C">
        <w:t xml:space="preserve"> </w:t>
      </w:r>
      <w:r w:rsidR="00C77766">
        <w:t>All individuals were well watered to minimize chances of water stress</w:t>
      </w:r>
      <w:r w:rsidR="00D47386">
        <w:t xml:space="preserve">, and chamber relative humidity was always set to 50%. </w:t>
      </w:r>
    </w:p>
    <w:p w14:paraId="7F600C84" w14:textId="2AAD1AE1" w:rsidR="0058238C" w:rsidRDefault="0058238C" w:rsidP="00451F94">
      <w:pPr>
        <w:spacing w:line="480" w:lineRule="auto"/>
        <w:ind w:firstLine="720"/>
      </w:pPr>
      <w:r>
        <w:t>This experiment was conducted using six Percival LED-41L2 growth chambers (Percival Scientific Inc., Perry, IA, USA)</w:t>
      </w:r>
      <w:r>
        <w:t xml:space="preserve">. Daytime growing conditions were simulated using a </w:t>
      </w:r>
      <w:r w:rsidR="004B70BE">
        <w:t xml:space="preserve">16-hour </w:t>
      </w:r>
      <w:r w:rsidR="004B70BE">
        <w:lastRenderedPageBreak/>
        <w:t>photoperiod</w:t>
      </w:r>
      <w:r w:rsidR="00CD368B">
        <w:t>,</w:t>
      </w:r>
      <w:r w:rsidR="004B70BE">
        <w:t xml:space="preserve"> w</w:t>
      </w:r>
      <w:r w:rsidR="00CD368B">
        <w:t>ith</w:t>
      </w:r>
      <w:r w:rsidR="004B70BE">
        <w:t xml:space="preserve"> incoming</w:t>
      </w:r>
      <w:r w:rsidR="00CD368B">
        <w:t xml:space="preserve"> light</w:t>
      </w:r>
      <w:r w:rsidR="004B70BE">
        <w:t xml:space="preserve"> radiation set to </w:t>
      </w:r>
      <w:r w:rsidR="004B70BE" w:rsidRPr="004B70BE">
        <w:rPr>
          <w:highlight w:val="yellow"/>
        </w:rPr>
        <w:t>XX</w:t>
      </w:r>
      <w:r w:rsidR="004B70BE">
        <w:t xml:space="preserve"> </w:t>
      </w:r>
      <w:r w:rsidR="004B70BE">
        <w:rPr>
          <w:lang w:val="el-GR"/>
        </w:rPr>
        <w:t>μ</w:t>
      </w:r>
      <w:r w:rsidR="004B70BE">
        <w:t>mol m</w:t>
      </w:r>
      <w:r w:rsidR="004B70BE">
        <w:rPr>
          <w:vertAlign w:val="superscript"/>
        </w:rPr>
        <w:t>-2</w:t>
      </w:r>
      <w:r w:rsidR="004B70BE" w:rsidRPr="001C0D32">
        <w:t xml:space="preserve"> </w:t>
      </w:r>
      <w:r w:rsidR="004B70BE">
        <w:t>s</w:t>
      </w:r>
      <w:r w:rsidR="004B70BE">
        <w:rPr>
          <w:vertAlign w:val="superscript"/>
        </w:rPr>
        <w:t>-1</w:t>
      </w:r>
      <w:r w:rsidR="00D47386">
        <w:t xml:space="preserve"> and chamber</w:t>
      </w:r>
      <w:r w:rsidR="004B70BE">
        <w:t xml:space="preserve"> temperature set to 25</w:t>
      </w:r>
      <w:r w:rsidR="004B70BE">
        <w:sym w:font="Symbol" w:char="F0B0"/>
      </w:r>
      <w:r w:rsidR="004B70BE">
        <w:t>C</w:t>
      </w:r>
      <w:r w:rsidR="00D47386">
        <w:t xml:space="preserve">. </w:t>
      </w:r>
      <w:r w:rsidR="004B70BE">
        <w:t xml:space="preserve">The remaining </w:t>
      </w:r>
      <w:r w:rsidR="00CD368B">
        <w:t>8 hours simulated nighttime growing conditions, with incoming light radiation set to 0</w:t>
      </w:r>
      <w:r w:rsidR="00CD368B" w:rsidRPr="00CD368B">
        <w:t xml:space="preserve"> </w:t>
      </w:r>
      <w:r w:rsidR="00CD368B">
        <w:rPr>
          <w:lang w:val="el-GR"/>
        </w:rPr>
        <w:t>μ</w:t>
      </w:r>
      <w:r w:rsidR="00CD368B">
        <w:t>mol m</w:t>
      </w:r>
      <w:r w:rsidR="00CD368B">
        <w:rPr>
          <w:vertAlign w:val="superscript"/>
        </w:rPr>
        <w:t>-2</w:t>
      </w:r>
      <w:r w:rsidR="00CD368B" w:rsidRPr="001C0D32">
        <w:t xml:space="preserve"> </w:t>
      </w:r>
      <w:r w:rsidR="00CD368B">
        <w:t>s</w:t>
      </w:r>
      <w:r w:rsidR="00CD368B">
        <w:rPr>
          <w:vertAlign w:val="superscript"/>
        </w:rPr>
        <w:t>-1</w:t>
      </w:r>
      <w:r w:rsidR="00451F94">
        <w:t xml:space="preserve"> </w:t>
      </w:r>
      <w:r w:rsidR="00CD368B">
        <w:t>and relative humidity set to 50%.</w:t>
      </w:r>
      <w:r w:rsidR="00D47386">
        <w:t xml:space="preserve"> </w:t>
      </w:r>
      <w:r w:rsidR="00451F94">
        <w:t>Chambers varied in their capacity to maintain nighttime temperatures, which were originally set to maintain 17</w:t>
      </w:r>
      <w:r w:rsidR="00451F94">
        <w:sym w:font="Symbol" w:char="F0B0"/>
      </w:r>
      <w:r w:rsidR="00451F94">
        <w:t>C</w:t>
      </w:r>
      <w:r w:rsidR="00451F94">
        <w:t xml:space="preserve">, but instead averaged </w:t>
      </w:r>
      <w:r w:rsidR="00451F94">
        <w:t xml:space="preserve">XX ± </w:t>
      </w:r>
      <w:r w:rsidR="00451F94">
        <w:sym w:font="Symbol" w:char="F0B0"/>
      </w:r>
      <w:r w:rsidR="00451F94">
        <w:t>C</w:t>
      </w:r>
      <w:r w:rsidR="00451F94">
        <w:t xml:space="preserve"> across chambers throughout the experiment. To account for climatic differences between chambers, we shuffled pots across chambers daily throughout the experiment. Transitions between daytime and nighttime chamber conditions were done through temperature and incoming light radiation ramping up or down in 45-minute increments over a three-hour period</w:t>
      </w:r>
      <w:r w:rsidR="00930CCC">
        <w:t xml:space="preserve"> (</w:t>
      </w:r>
      <w:r w:rsidR="00930CCC" w:rsidRPr="00930CCC">
        <w:rPr>
          <w:highlight w:val="yellow"/>
        </w:rPr>
        <w:t>see Table S2</w:t>
      </w:r>
      <w:r w:rsidR="00930CCC">
        <w:t xml:space="preserve">). </w:t>
      </w:r>
      <w:r w:rsidR="00A618EC">
        <w:t xml:space="preserve">Across all machines, </w:t>
      </w:r>
      <w:r w:rsidR="00265007">
        <w:t>CO</w:t>
      </w:r>
      <w:r w:rsidR="00265007">
        <w:rPr>
          <w:vertAlign w:val="subscript"/>
        </w:rPr>
        <w:t>2</w:t>
      </w:r>
      <w:r w:rsidR="00265007">
        <w:t xml:space="preserve"> concentrations for the ambient </w:t>
      </w:r>
      <w:r>
        <w:t>CO</w:t>
      </w:r>
      <w:r>
        <w:rPr>
          <w:vertAlign w:val="subscript"/>
        </w:rPr>
        <w:t>2</w:t>
      </w:r>
      <w:r>
        <w:t xml:space="preserve"> treatment </w:t>
      </w:r>
      <w:r w:rsidR="00265007">
        <w:t>averaged</w:t>
      </w:r>
      <w:r w:rsidR="00A618EC">
        <w:t xml:space="preserve"> </w:t>
      </w:r>
      <w:r w:rsidR="00A618EC" w:rsidRPr="00265007">
        <w:rPr>
          <w:highlight w:val="yellow"/>
        </w:rPr>
        <w:t xml:space="preserve">XX </w:t>
      </w:r>
      <w:r w:rsidR="00A618EC" w:rsidRPr="00265007">
        <w:rPr>
          <w:highlight w:val="yellow"/>
        </w:rPr>
        <w:t>±</w:t>
      </w:r>
      <w:r w:rsidR="00A618EC" w:rsidRPr="00265007">
        <w:rPr>
          <w:highlight w:val="yellow"/>
        </w:rPr>
        <w:t xml:space="preserve"> </w:t>
      </w:r>
      <w:r w:rsidR="00265007" w:rsidRPr="00265007">
        <w:rPr>
          <w:highlight w:val="yellow"/>
          <w:lang w:val="el-GR"/>
        </w:rPr>
        <w:t>μ</w:t>
      </w:r>
      <w:r w:rsidR="00265007" w:rsidRPr="00265007">
        <w:rPr>
          <w:highlight w:val="yellow"/>
        </w:rPr>
        <w:t>mol mol</w:t>
      </w:r>
      <w:r w:rsidR="00265007" w:rsidRPr="00265007">
        <w:rPr>
          <w:highlight w:val="yellow"/>
          <w:vertAlign w:val="superscript"/>
        </w:rPr>
        <w:t>-1</w:t>
      </w:r>
      <w:r w:rsidR="00265007" w:rsidRPr="00265007">
        <w:rPr>
          <w:highlight w:val="yellow"/>
        </w:rPr>
        <w:t xml:space="preserve"> CO</w:t>
      </w:r>
      <w:r w:rsidR="00265007" w:rsidRPr="00265007">
        <w:rPr>
          <w:highlight w:val="yellow"/>
          <w:vertAlign w:val="subscript"/>
        </w:rPr>
        <w:t>2</w:t>
      </w:r>
      <w:r w:rsidR="00265007">
        <w:t xml:space="preserve">, while the </w:t>
      </w:r>
      <w:r w:rsidR="00265007">
        <w:t>CO</w:t>
      </w:r>
      <w:r w:rsidR="00265007">
        <w:rPr>
          <w:vertAlign w:val="subscript"/>
        </w:rPr>
        <w:t>2</w:t>
      </w:r>
      <w:r w:rsidR="00265007">
        <w:t xml:space="preserve"> concentrations for the</w:t>
      </w:r>
      <w:r w:rsidR="00265007">
        <w:t xml:space="preserve"> elevated CO</w:t>
      </w:r>
      <w:r w:rsidR="00265007">
        <w:rPr>
          <w:vertAlign w:val="subscript"/>
        </w:rPr>
        <w:t>2</w:t>
      </w:r>
      <w:r w:rsidR="00265007">
        <w:t xml:space="preserve"> treatment averaged</w:t>
      </w:r>
      <w:r w:rsidR="00265007">
        <w:t xml:space="preserve"> </w:t>
      </w:r>
      <w:r w:rsidR="00265007" w:rsidRPr="00265007">
        <w:rPr>
          <w:highlight w:val="yellow"/>
        </w:rPr>
        <w:t>XX</w:t>
      </w:r>
      <w:r w:rsidR="00265007" w:rsidRPr="00265007">
        <w:rPr>
          <w:highlight w:val="yellow"/>
        </w:rPr>
        <w:t xml:space="preserve"> </w:t>
      </w:r>
      <w:r w:rsidR="00265007" w:rsidRPr="00265007">
        <w:rPr>
          <w:highlight w:val="yellow"/>
        </w:rPr>
        <w:t xml:space="preserve">± </w:t>
      </w:r>
      <w:r w:rsidR="00265007" w:rsidRPr="00265007">
        <w:rPr>
          <w:highlight w:val="yellow"/>
          <w:lang w:val="el-GR"/>
        </w:rPr>
        <w:t>μ</w:t>
      </w:r>
      <w:r w:rsidR="00265007" w:rsidRPr="00265007">
        <w:rPr>
          <w:highlight w:val="yellow"/>
        </w:rPr>
        <w:t>mol mol</w:t>
      </w:r>
      <w:r w:rsidR="00265007" w:rsidRPr="00265007">
        <w:rPr>
          <w:highlight w:val="yellow"/>
          <w:vertAlign w:val="superscript"/>
        </w:rPr>
        <w:t>-1</w:t>
      </w:r>
      <w:r w:rsidR="00265007" w:rsidRPr="00265007">
        <w:rPr>
          <w:highlight w:val="yellow"/>
        </w:rPr>
        <w:t xml:space="preserve"> CO</w:t>
      </w:r>
      <w:r w:rsidR="00265007" w:rsidRPr="00265007">
        <w:rPr>
          <w:highlight w:val="yellow"/>
          <w:vertAlign w:val="subscript"/>
        </w:rPr>
        <w:t>2</w:t>
      </w:r>
      <w:r w:rsidR="00265007">
        <w:t xml:space="preserve">. </w:t>
      </w:r>
      <w:r w:rsidR="00D74B1E">
        <w:t>All individuals grew under these treatment</w:t>
      </w:r>
      <w:r w:rsidR="00CD368B">
        <w:t xml:space="preserve"> combinations</w:t>
      </w:r>
      <w:r w:rsidR="001C0D32">
        <w:t xml:space="preserve"> and growing conditions</w:t>
      </w:r>
      <w:r w:rsidR="00D74B1E">
        <w:t xml:space="preserve"> for a s</w:t>
      </w:r>
      <w:r w:rsidR="0053755A">
        <w:t>even</w:t>
      </w:r>
      <w:r w:rsidR="00D74B1E">
        <w:t>-week growth period</w:t>
      </w:r>
      <w:r w:rsidR="00875F70">
        <w:t xml:space="preserve">. </w:t>
      </w:r>
    </w:p>
    <w:p w14:paraId="0258E39D" w14:textId="27209FAE" w:rsidR="00CD368B" w:rsidRDefault="00CD368B" w:rsidP="00CD368B">
      <w:pPr>
        <w:spacing w:line="480" w:lineRule="auto"/>
      </w:pPr>
    </w:p>
    <w:p w14:paraId="299A9F0C" w14:textId="544F6211" w:rsidR="00CD368B" w:rsidRDefault="00470A8B" w:rsidP="00CD368B">
      <w:pPr>
        <w:spacing w:line="480" w:lineRule="auto"/>
      </w:pPr>
      <w:r>
        <w:rPr>
          <w:i/>
          <w:iCs/>
        </w:rPr>
        <w:t>Leaf gas exchange</w:t>
      </w:r>
      <w:r w:rsidR="000B5223">
        <w:rPr>
          <w:i/>
          <w:iCs/>
        </w:rPr>
        <w:t xml:space="preserve"> measurements</w:t>
      </w:r>
    </w:p>
    <w:p w14:paraId="28406D20" w14:textId="5A8C09CA" w:rsidR="00F854A8" w:rsidRPr="00FA7EF0" w:rsidRDefault="00CD368B" w:rsidP="00F854A8">
      <w:pPr>
        <w:spacing w:line="480" w:lineRule="auto"/>
        <w:rPr>
          <w:color w:val="000000"/>
        </w:rPr>
      </w:pPr>
      <w:r>
        <w:tab/>
      </w:r>
      <w:r w:rsidR="0053755A">
        <w:t>We collected gas exchange measurements on the most recent fully expanded leaf</w:t>
      </w:r>
      <w:r w:rsidR="00487452">
        <w:t xml:space="preserve"> on all experimental pots on each of the sixth and seventh week of development. Specifically, we measured net photosynthesis (</w:t>
      </w:r>
      <w:proofErr w:type="spellStart"/>
      <w:r w:rsidR="00487452">
        <w:rPr>
          <w:i/>
          <w:iCs/>
        </w:rPr>
        <w:t>A</w:t>
      </w:r>
      <w:r w:rsidR="00487452">
        <w:rPr>
          <w:vertAlign w:val="subscript"/>
        </w:rPr>
        <w:t>net</w:t>
      </w:r>
      <w:proofErr w:type="spellEnd"/>
      <w:r w:rsidR="00487452">
        <w:t xml:space="preserve">; </w:t>
      </w:r>
      <w:r w:rsidR="00487452">
        <w:rPr>
          <w:lang w:val="el-GR"/>
        </w:rPr>
        <w:t>μ</w:t>
      </w:r>
      <w:r w:rsidR="00487452">
        <w:t>mol m</w:t>
      </w:r>
      <w:r w:rsidR="00487452">
        <w:rPr>
          <w:vertAlign w:val="superscript"/>
        </w:rPr>
        <w:t>-2</w:t>
      </w:r>
      <w:r w:rsidR="00487452">
        <w:t>s</w:t>
      </w:r>
      <w:r w:rsidR="00487452">
        <w:rPr>
          <w:vertAlign w:val="superscript"/>
        </w:rPr>
        <w:t>-1</w:t>
      </w:r>
      <w:r w:rsidR="00487452">
        <w:t>), stomatal conductance (</w:t>
      </w:r>
      <w:proofErr w:type="spellStart"/>
      <w:r w:rsidR="00487452">
        <w:rPr>
          <w:i/>
          <w:iCs/>
        </w:rPr>
        <w:t>g</w:t>
      </w:r>
      <w:r w:rsidR="00487452">
        <w:rPr>
          <w:vertAlign w:val="subscript"/>
        </w:rPr>
        <w:t>s</w:t>
      </w:r>
      <w:proofErr w:type="spellEnd"/>
      <w:r w:rsidR="00487452">
        <w:t>; mol m</w:t>
      </w:r>
      <w:r w:rsidR="00487452">
        <w:rPr>
          <w:vertAlign w:val="superscript"/>
        </w:rPr>
        <w:t>-2</w:t>
      </w:r>
      <w:r w:rsidR="00487452">
        <w:t>s</w:t>
      </w:r>
      <w:r w:rsidR="00487452">
        <w:rPr>
          <w:vertAlign w:val="superscript"/>
        </w:rPr>
        <w:t>-1</w:t>
      </w:r>
      <w:r w:rsidR="00487452">
        <w:t>), and intercellular CO</w:t>
      </w:r>
      <w:r w:rsidR="00487452">
        <w:rPr>
          <w:vertAlign w:val="subscript"/>
        </w:rPr>
        <w:t>2</w:t>
      </w:r>
      <w:r w:rsidR="00487452">
        <w:t xml:space="preserve"> (</w:t>
      </w:r>
      <w:r w:rsidR="00487452">
        <w:rPr>
          <w:i/>
          <w:iCs/>
        </w:rPr>
        <w:t>C</w:t>
      </w:r>
      <w:r w:rsidR="00487452">
        <w:rPr>
          <w:vertAlign w:val="subscript"/>
        </w:rPr>
        <w:t>i</w:t>
      </w:r>
      <w:r w:rsidR="00487452">
        <w:t xml:space="preserve">; </w:t>
      </w:r>
      <w:r w:rsidR="00487452">
        <w:rPr>
          <w:lang w:val="el-GR"/>
        </w:rPr>
        <w:t>μ</w:t>
      </w:r>
      <w:r w:rsidR="00487452">
        <w:t>mol</w:t>
      </w:r>
      <w:r w:rsidR="00487452">
        <w:t xml:space="preserve"> mol</w:t>
      </w:r>
      <w:r w:rsidR="00487452">
        <w:rPr>
          <w:vertAlign w:val="superscript"/>
        </w:rPr>
        <w:t>-1</w:t>
      </w:r>
      <w:r w:rsidR="00487452">
        <w:t>) concentrations across a range of atmospheric CO</w:t>
      </w:r>
      <w:r w:rsidR="00487452">
        <w:rPr>
          <w:vertAlign w:val="subscript"/>
        </w:rPr>
        <w:t>2</w:t>
      </w:r>
      <w:r w:rsidR="00487452">
        <w:t xml:space="preserve"> concentrations (</w:t>
      </w:r>
      <w:proofErr w:type="gramStart"/>
      <w:r w:rsidR="00487452">
        <w:t>i.e.</w:t>
      </w:r>
      <w:proofErr w:type="gramEnd"/>
      <w:r w:rsidR="00487452">
        <w:t xml:space="preserve"> an </w:t>
      </w:r>
      <w:proofErr w:type="spellStart"/>
      <w:r w:rsidR="00487452">
        <w:rPr>
          <w:i/>
          <w:iCs/>
        </w:rPr>
        <w:t>A</w:t>
      </w:r>
      <w:r w:rsidR="00487452">
        <w:rPr>
          <w:vertAlign w:val="subscript"/>
        </w:rPr>
        <w:t>net</w:t>
      </w:r>
      <w:proofErr w:type="spellEnd"/>
      <w:r w:rsidR="00487452">
        <w:t>/</w:t>
      </w:r>
      <w:r w:rsidR="00487452">
        <w:rPr>
          <w:i/>
          <w:iCs/>
        </w:rPr>
        <w:t>C</w:t>
      </w:r>
      <w:r w:rsidR="00487452">
        <w:rPr>
          <w:vertAlign w:val="subscript"/>
        </w:rPr>
        <w:t>i</w:t>
      </w:r>
      <w:r w:rsidR="00487452">
        <w:t xml:space="preserve"> curve) </w:t>
      </w:r>
      <w:r w:rsidR="00CE09F1">
        <w:t>using the Dynamic Assimilation Technique</w:t>
      </w:r>
      <w:r w:rsidR="00CE09F1">
        <w:sym w:font="Symbol" w:char="F0D4"/>
      </w:r>
      <w:r w:rsidR="00487452">
        <w:t>.</w:t>
      </w:r>
      <w:r w:rsidR="00F854A8">
        <w:t xml:space="preserve"> </w:t>
      </w:r>
      <w:r w:rsidR="00487452">
        <w:t xml:space="preserve">The </w:t>
      </w:r>
      <w:r w:rsidR="00487452">
        <w:t>Dynamic Assimilation Technique</w:t>
      </w:r>
      <w:r w:rsidR="00487452">
        <w:sym w:font="Symbol" w:char="F0D4"/>
      </w:r>
      <w:r w:rsidR="00CE09F1">
        <w:t xml:space="preserve"> is a higher throughput process than traditional steady state curves that eliminates the need for steady-state measurements and point matching along a reference CO</w:t>
      </w:r>
      <w:r w:rsidR="00CE09F1">
        <w:rPr>
          <w:vertAlign w:val="subscript"/>
        </w:rPr>
        <w:t>2</w:t>
      </w:r>
      <w:r w:rsidR="00CE09F1">
        <w:t xml:space="preserve"> gradient</w:t>
      </w:r>
      <w:r w:rsidR="00487452">
        <w:t xml:space="preserve"> while providing higher resolution curves fit to </w:t>
      </w:r>
      <w:r w:rsidR="00FA7EF0">
        <w:t>more data points</w:t>
      </w:r>
      <w:r w:rsidR="00CE09F1">
        <w:t>. Th</w:t>
      </w:r>
      <w:r w:rsidR="00C31060">
        <w:t xml:space="preserve">is technique </w:t>
      </w:r>
      <w:r w:rsidR="00CE09F1">
        <w:t xml:space="preserve">has been previously shown in </w:t>
      </w:r>
      <w:r w:rsidR="00CE09F1">
        <w:rPr>
          <w:i/>
          <w:iCs/>
        </w:rPr>
        <w:t>G. max</w:t>
      </w:r>
      <w:r w:rsidR="00CE09F1">
        <w:t xml:space="preserve"> to correspond well with traditional steady-state CO</w:t>
      </w:r>
      <w:r w:rsidR="00CE09F1">
        <w:rPr>
          <w:vertAlign w:val="subscript"/>
        </w:rPr>
        <w:t>2</w:t>
      </w:r>
      <w:r w:rsidR="00CE09F1">
        <w:t xml:space="preserve"> response </w:t>
      </w:r>
      <w:r w:rsidR="00CE09F1">
        <w:lastRenderedPageBreak/>
        <w:t xml:space="preserve">curves </w:t>
      </w:r>
      <w:r w:rsidR="00CE09F1">
        <w:fldChar w:fldCharType="begin" w:fldLock="1"/>
      </w:r>
      <w:r w:rsidR="00CE09F1">
        <w:instrText>ADDIN CSL_CITATION {"citationItems":[{"id":"ITEM-1","itemData":{"DOI":"10.1111/pce.14178","ISSN":"13653040","PMID":"34480484","abstract":"Leaf level gas exchange is a widely used technique that provides real-time measurement of leaf physiological properties, including CO2 assimilation (A), stomatal conductance to water vapour (gsw) and intercellular CO2 (Ci). Modern open-path gas exchange systems offer greater portability than the laboratory-built systems of the past and take advantage of high-precision infrared gas analyzers and optimized system design. However, the basic measurement paradigm has long required steady-state conditions for accurate measurement. For CO2 response curves, this requirement has meant that each point on the curve needs 1–3 min and a full response curve generally requires 20–35 min to obtain a sufficient number of points to estimate parameters such as the maximum velocity of carboxylation (Vc,max) and the maximum rate of electron transport (Jmax). For survey measurements, the steady-state requirement has meant that accurate measurement of assimilation has required about 1–2 min. However, steady-state conditions are not a strict prerequisite for accurate gas exchange measurements. Here, we present a new method, termed dynamic assimilation, that is based on first principles and allows for more rapid gas exchange measurements, helping to make the technique more useful for high throughput applications.","author":[{"dropping-particle":"","family":"Saathoff","given":"Aaron J","non-dropping-particle":"","parse-names":false,"suffix":""},{"dropping-particle":"","family":"Welles","given":"Jon","non-dropping-particle":"","parse-names":false,"suffix":""}],"container-title":"Plant Cell and Environment","id":"ITEM-1","issue":"11","issued":{"date-parts":[["2021"]]},"page":"3509-3523","title":"Gas exchange measurements in the unsteady state","type":"article-journal","volume":"44"},"uris":["http://www.mendeley.com/documents/?uuid=88ce8065-50ae-4222-8e55-41bb21c02e03"]}],"mendeley":{"formattedCitation":"(Saathoff &amp; Welles, 2021)","plainTextFormattedCitation":"(Saathoff &amp; Welles, 2021)","previouslyFormattedCitation":"(Saathoff &amp; Welles, 2021)"},"properties":{"noteIndex":0},"schema":"https://github.com/citation-style-language/schema/raw/master/csl-citation.json"}</w:instrText>
      </w:r>
      <w:r w:rsidR="00CE09F1">
        <w:fldChar w:fldCharType="separate"/>
      </w:r>
      <w:r w:rsidR="00CE09F1" w:rsidRPr="009B2B3C">
        <w:rPr>
          <w:noProof/>
        </w:rPr>
        <w:t>(Saathoff &amp; Welles, 2021)</w:t>
      </w:r>
      <w:r w:rsidR="00CE09F1">
        <w:fldChar w:fldCharType="end"/>
      </w:r>
      <w:r w:rsidR="00CE09F1">
        <w:t xml:space="preserve">. </w:t>
      </w:r>
      <w:r w:rsidR="009B2B3C">
        <w:t>We conducted dynamic CO</w:t>
      </w:r>
      <w:r w:rsidR="009B2B3C">
        <w:rPr>
          <w:vertAlign w:val="subscript"/>
        </w:rPr>
        <w:t>2</w:t>
      </w:r>
      <w:r w:rsidR="009B2B3C">
        <w:t xml:space="preserve"> response curves using the split method, which measured </w:t>
      </w:r>
      <w:proofErr w:type="spellStart"/>
      <w:r w:rsidR="009B2B3C" w:rsidRPr="00DB6582">
        <w:rPr>
          <w:i/>
          <w:iCs/>
          <w:color w:val="000000"/>
        </w:rPr>
        <w:t>A</w:t>
      </w:r>
      <w:r w:rsidR="009B2B3C">
        <w:rPr>
          <w:color w:val="000000"/>
          <w:vertAlign w:val="subscript"/>
        </w:rPr>
        <w:t>net</w:t>
      </w:r>
      <w:proofErr w:type="spellEnd"/>
      <w:r w:rsidR="009B2B3C">
        <w:rPr>
          <w:color w:val="000000"/>
        </w:rPr>
        <w:t>,</w:t>
      </w:r>
      <w:r w:rsidR="009B2B3C" w:rsidRPr="003E0112">
        <w:rPr>
          <w:i/>
          <w:iCs/>
          <w:color w:val="000000"/>
        </w:rPr>
        <w:t xml:space="preserve"> </w:t>
      </w:r>
      <w:proofErr w:type="spellStart"/>
      <w:r w:rsidR="009B2B3C" w:rsidRPr="003E0112">
        <w:rPr>
          <w:i/>
          <w:iCs/>
          <w:color w:val="000000"/>
        </w:rPr>
        <w:t>g</w:t>
      </w:r>
      <w:r w:rsidR="009B2B3C" w:rsidRPr="00C33C74">
        <w:rPr>
          <w:color w:val="000000"/>
          <w:vertAlign w:val="subscript"/>
        </w:rPr>
        <w:t>s</w:t>
      </w:r>
      <w:proofErr w:type="spellEnd"/>
      <w:r w:rsidR="009B2B3C">
        <w:rPr>
          <w:color w:val="000000"/>
        </w:rPr>
        <w:t xml:space="preserve">, and </w:t>
      </w:r>
      <w:r w:rsidR="009B2B3C" w:rsidRPr="00F848A9">
        <w:rPr>
          <w:i/>
          <w:iCs/>
          <w:color w:val="000000"/>
        </w:rPr>
        <w:t>C</w:t>
      </w:r>
      <w:r w:rsidR="009B2B3C" w:rsidRPr="00275258">
        <w:rPr>
          <w:color w:val="000000"/>
          <w:vertAlign w:val="subscript"/>
        </w:rPr>
        <w:t>i</w:t>
      </w:r>
      <w:r w:rsidR="009B2B3C">
        <w:rPr>
          <w:color w:val="000000"/>
        </w:rPr>
        <w:t xml:space="preserve"> </w:t>
      </w:r>
      <w:r w:rsidR="00FD7556">
        <w:rPr>
          <w:color w:val="000000"/>
        </w:rPr>
        <w:t>along a r</w:t>
      </w:r>
      <w:r w:rsidR="00C31060">
        <w:rPr>
          <w:color w:val="000000"/>
        </w:rPr>
        <w:t>eference CO</w:t>
      </w:r>
      <w:r w:rsidR="00C31060">
        <w:rPr>
          <w:color w:val="000000"/>
          <w:vertAlign w:val="subscript"/>
        </w:rPr>
        <w:t>2</w:t>
      </w:r>
      <w:r w:rsidR="00C31060">
        <w:rPr>
          <w:color w:val="000000"/>
        </w:rPr>
        <w:t xml:space="preserve"> r</w:t>
      </w:r>
      <w:r w:rsidR="00FD7556">
        <w:rPr>
          <w:color w:val="000000"/>
        </w:rPr>
        <w:t xml:space="preserve">amp down from </w:t>
      </w:r>
      <w:r w:rsidR="009B2B3C">
        <w:t xml:space="preserve">420 </w:t>
      </w:r>
      <w:r w:rsidR="009B2B3C" w:rsidRPr="00863849">
        <w:rPr>
          <w:color w:val="000000"/>
        </w:rPr>
        <w:t>µmol mol</w:t>
      </w:r>
      <w:r w:rsidR="009B2B3C" w:rsidRPr="00863849">
        <w:rPr>
          <w:color w:val="000000"/>
          <w:vertAlign w:val="superscript"/>
        </w:rPr>
        <w:t>-1</w:t>
      </w:r>
      <w:r w:rsidR="009B2B3C">
        <w:rPr>
          <w:color w:val="000000"/>
        </w:rPr>
        <w:t xml:space="preserve"> </w:t>
      </w:r>
      <w:r w:rsidR="00FD7556">
        <w:rPr>
          <w:color w:val="000000"/>
        </w:rPr>
        <w:t>CO</w:t>
      </w:r>
      <w:r w:rsidR="00FD7556">
        <w:rPr>
          <w:color w:val="000000"/>
          <w:vertAlign w:val="subscript"/>
        </w:rPr>
        <w:t xml:space="preserve">2 </w:t>
      </w:r>
      <w:r w:rsidR="009B2B3C">
        <w:rPr>
          <w:color w:val="000000"/>
        </w:rPr>
        <w:t xml:space="preserve">to 20 </w:t>
      </w:r>
      <w:r w:rsidR="009B2B3C" w:rsidRPr="00863849">
        <w:rPr>
          <w:color w:val="000000"/>
        </w:rPr>
        <w:t>µmol mol</w:t>
      </w:r>
      <w:r w:rsidR="009B2B3C" w:rsidRPr="00863849">
        <w:rPr>
          <w:color w:val="000000"/>
          <w:vertAlign w:val="superscript"/>
        </w:rPr>
        <w:t>-1</w:t>
      </w:r>
      <w:r w:rsidR="009B2B3C">
        <w:rPr>
          <w:color w:val="000000"/>
        </w:rPr>
        <w:t xml:space="preserve"> CO</w:t>
      </w:r>
      <w:r w:rsidR="009B2B3C">
        <w:rPr>
          <w:color w:val="000000"/>
          <w:vertAlign w:val="subscript"/>
        </w:rPr>
        <w:t>2</w:t>
      </w:r>
      <w:r w:rsidR="009B2B3C">
        <w:rPr>
          <w:color w:val="000000"/>
        </w:rPr>
        <w:t xml:space="preserve">, </w:t>
      </w:r>
      <w:r w:rsidR="00FD7556">
        <w:rPr>
          <w:color w:val="000000"/>
        </w:rPr>
        <w:t xml:space="preserve">followed by a ramp up from </w:t>
      </w:r>
      <w:r w:rsidR="009B2B3C">
        <w:rPr>
          <w:color w:val="000000"/>
        </w:rPr>
        <w:t xml:space="preserve">420 </w:t>
      </w:r>
      <w:r w:rsidR="009B2B3C" w:rsidRPr="00863849">
        <w:rPr>
          <w:color w:val="000000"/>
        </w:rPr>
        <w:t>µmol mol</w:t>
      </w:r>
      <w:r w:rsidR="009B2B3C" w:rsidRPr="00863849">
        <w:rPr>
          <w:color w:val="000000"/>
          <w:vertAlign w:val="superscript"/>
        </w:rPr>
        <w:t>-1</w:t>
      </w:r>
      <w:r w:rsidR="009B2B3C">
        <w:rPr>
          <w:color w:val="000000"/>
        </w:rPr>
        <w:t xml:space="preserve"> </w:t>
      </w:r>
      <w:r w:rsidR="00FD7556" w:rsidRPr="00FD7556">
        <w:rPr>
          <w:color w:val="000000"/>
        </w:rPr>
        <w:t>CO</w:t>
      </w:r>
      <w:r w:rsidR="00FD7556" w:rsidRPr="00FD7556">
        <w:rPr>
          <w:color w:val="000000"/>
          <w:vertAlign w:val="subscript"/>
        </w:rPr>
        <w:t>2</w:t>
      </w:r>
      <w:r w:rsidR="00FD7556">
        <w:rPr>
          <w:color w:val="000000"/>
        </w:rPr>
        <w:t xml:space="preserve"> </w:t>
      </w:r>
      <w:r w:rsidR="009B2B3C" w:rsidRPr="00FD7556">
        <w:rPr>
          <w:color w:val="000000"/>
        </w:rPr>
        <w:t>to</w:t>
      </w:r>
      <w:r w:rsidR="009B2B3C">
        <w:rPr>
          <w:color w:val="000000"/>
        </w:rPr>
        <w:t xml:space="preserve"> 1620 </w:t>
      </w:r>
      <w:r w:rsidR="009B2B3C" w:rsidRPr="00863849">
        <w:rPr>
          <w:color w:val="000000"/>
        </w:rPr>
        <w:t>µmol mol</w:t>
      </w:r>
      <w:r w:rsidR="009B2B3C" w:rsidRPr="00863849">
        <w:rPr>
          <w:color w:val="000000"/>
          <w:vertAlign w:val="superscript"/>
        </w:rPr>
        <w:t>-1</w:t>
      </w:r>
      <w:r w:rsidR="009B2B3C">
        <w:rPr>
          <w:color w:val="000000"/>
        </w:rPr>
        <w:t xml:space="preserve"> CO</w:t>
      </w:r>
      <w:r w:rsidR="009B2B3C">
        <w:rPr>
          <w:color w:val="000000"/>
          <w:vertAlign w:val="subscript"/>
        </w:rPr>
        <w:t>2</w:t>
      </w:r>
      <w:r w:rsidR="00FD7556">
        <w:rPr>
          <w:color w:val="000000"/>
        </w:rPr>
        <w:t xml:space="preserve"> after a </w:t>
      </w:r>
      <w:r w:rsidR="00FA7EF0">
        <w:rPr>
          <w:color w:val="000000"/>
        </w:rPr>
        <w:t>90-secon</w:t>
      </w:r>
      <w:r w:rsidR="00C31060">
        <w:rPr>
          <w:color w:val="000000"/>
        </w:rPr>
        <w:t>d</w:t>
      </w:r>
      <w:r w:rsidR="00FD7556">
        <w:rPr>
          <w:color w:val="000000"/>
        </w:rPr>
        <w:t xml:space="preserve"> wait period at 420 </w:t>
      </w:r>
      <w:r w:rsidR="00FD7556" w:rsidRPr="00863849">
        <w:rPr>
          <w:color w:val="000000"/>
        </w:rPr>
        <w:t>µmol mol</w:t>
      </w:r>
      <w:r w:rsidR="00FD7556" w:rsidRPr="00863849">
        <w:rPr>
          <w:color w:val="000000"/>
          <w:vertAlign w:val="superscript"/>
        </w:rPr>
        <w:t>-1</w:t>
      </w:r>
      <w:r w:rsidR="00FD7556">
        <w:rPr>
          <w:color w:val="000000"/>
        </w:rPr>
        <w:t xml:space="preserve"> CO</w:t>
      </w:r>
      <w:r w:rsidR="00FD7556">
        <w:rPr>
          <w:color w:val="000000"/>
          <w:vertAlign w:val="subscript"/>
        </w:rPr>
        <w:t>2</w:t>
      </w:r>
      <w:r w:rsidR="009B2B3C">
        <w:rPr>
          <w:color w:val="000000"/>
        </w:rPr>
        <w:t>.</w:t>
      </w:r>
      <w:r w:rsidR="00FD7556">
        <w:rPr>
          <w:color w:val="000000"/>
        </w:rPr>
        <w:t xml:space="preserve"> </w:t>
      </w:r>
      <w:r w:rsidR="00C31060">
        <w:rPr>
          <w:color w:val="000000"/>
        </w:rPr>
        <w:t xml:space="preserve">The ramp rate for each curve was set to </w:t>
      </w:r>
      <w:r w:rsidR="00C31060">
        <w:rPr>
          <w:color w:val="000000"/>
        </w:rPr>
        <w:t xml:space="preserve">200 </w:t>
      </w:r>
      <w:r w:rsidR="00C31060">
        <w:rPr>
          <w:color w:val="000000"/>
          <w:lang w:val="el-GR"/>
        </w:rPr>
        <w:t>μ</w:t>
      </w:r>
      <w:r w:rsidR="00C31060">
        <w:rPr>
          <w:color w:val="000000"/>
        </w:rPr>
        <w:t xml:space="preserve">mol </w:t>
      </w:r>
      <w:r w:rsidR="00C31060" w:rsidRPr="00863849">
        <w:rPr>
          <w:color w:val="000000"/>
        </w:rPr>
        <w:t>mol</w:t>
      </w:r>
      <w:r w:rsidR="00C31060" w:rsidRPr="00863849">
        <w:rPr>
          <w:color w:val="000000"/>
          <w:vertAlign w:val="superscript"/>
        </w:rPr>
        <w:t>-1</w:t>
      </w:r>
      <w:r w:rsidR="00C31060">
        <w:rPr>
          <w:color w:val="000000"/>
        </w:rPr>
        <w:t xml:space="preserve"> min</w:t>
      </w:r>
      <w:r w:rsidR="00C31060">
        <w:rPr>
          <w:color w:val="000000"/>
          <w:vertAlign w:val="superscript"/>
        </w:rPr>
        <w:t>-1</w:t>
      </w:r>
      <w:r w:rsidR="00C31060">
        <w:rPr>
          <w:color w:val="000000"/>
        </w:rPr>
        <w:t xml:space="preserve">, logging every five seconds, which </w:t>
      </w:r>
      <w:r w:rsidR="00C31060">
        <w:rPr>
          <w:color w:val="000000"/>
        </w:rPr>
        <w:t>generat</w:t>
      </w:r>
      <w:r w:rsidR="00C31060">
        <w:rPr>
          <w:color w:val="000000"/>
        </w:rPr>
        <w:t>ed</w:t>
      </w:r>
      <w:r w:rsidR="00C31060">
        <w:rPr>
          <w:color w:val="000000"/>
        </w:rPr>
        <w:t xml:space="preserve"> 96 data points per response curve.</w:t>
      </w:r>
      <w:r w:rsidR="00C31060">
        <w:rPr>
          <w:color w:val="000000"/>
        </w:rPr>
        <w:t xml:space="preserve"> </w:t>
      </w:r>
      <w:r w:rsidR="000B5223">
        <w:rPr>
          <w:color w:val="000000"/>
        </w:rPr>
        <w:t>All</w:t>
      </w:r>
      <w:r w:rsidR="00C31060">
        <w:rPr>
          <w:color w:val="000000"/>
        </w:rPr>
        <w:t xml:space="preserve"> dynamic</w:t>
      </w:r>
      <w:r w:rsidR="000B5223">
        <w:rPr>
          <w:color w:val="000000"/>
        </w:rPr>
        <w:t xml:space="preserve"> </w:t>
      </w:r>
      <w:proofErr w:type="spellStart"/>
      <w:r w:rsidR="00F854A8">
        <w:rPr>
          <w:i/>
          <w:iCs/>
        </w:rPr>
        <w:t>A</w:t>
      </w:r>
      <w:r w:rsidR="00F854A8">
        <w:rPr>
          <w:vertAlign w:val="subscript"/>
        </w:rPr>
        <w:t>net</w:t>
      </w:r>
      <w:proofErr w:type="spellEnd"/>
      <w:r w:rsidR="00F854A8">
        <w:t>/</w:t>
      </w:r>
      <w:r w:rsidR="00F854A8">
        <w:rPr>
          <w:i/>
          <w:iCs/>
        </w:rPr>
        <w:t>C</w:t>
      </w:r>
      <w:r w:rsidR="00F854A8">
        <w:rPr>
          <w:vertAlign w:val="subscript"/>
        </w:rPr>
        <w:t>i</w:t>
      </w:r>
      <w:r w:rsidR="00F854A8">
        <w:t xml:space="preserve"> curve</w:t>
      </w:r>
      <w:r w:rsidR="00F854A8">
        <w:t xml:space="preserve">s </w:t>
      </w:r>
      <w:r w:rsidR="00FD7556">
        <w:rPr>
          <w:color w:val="000000"/>
        </w:rPr>
        <w:t>were done</w:t>
      </w:r>
      <w:r w:rsidR="00F854A8">
        <w:rPr>
          <w:color w:val="000000"/>
        </w:rPr>
        <w:t xml:space="preserve"> </w:t>
      </w:r>
      <w:r w:rsidR="00F854A8">
        <w:rPr>
          <w:color w:val="000000"/>
        </w:rPr>
        <w:t>with the cuvette</w:t>
      </w:r>
      <w:r w:rsidR="00F854A8">
        <w:rPr>
          <w:color w:val="000000"/>
        </w:rPr>
        <w:t xml:space="preserve"> flow rate stabilized at 500 mol s</w:t>
      </w:r>
      <w:r w:rsidR="00F854A8">
        <w:rPr>
          <w:color w:val="000000"/>
          <w:vertAlign w:val="superscript"/>
        </w:rPr>
        <w:t>-1</w:t>
      </w:r>
      <w:r w:rsidR="00F854A8">
        <w:rPr>
          <w:color w:val="000000"/>
        </w:rPr>
        <w:t xml:space="preserve">, vapor pressure deficit </w:t>
      </w:r>
      <w:r w:rsidR="00F854A8">
        <w:rPr>
          <w:color w:val="000000"/>
        </w:rPr>
        <w:t xml:space="preserve">set to </w:t>
      </w:r>
      <w:r w:rsidR="00F854A8">
        <w:rPr>
          <w:color w:val="000000"/>
        </w:rPr>
        <w:t>1.5 kPa</w:t>
      </w:r>
      <w:r w:rsidR="00F854A8">
        <w:rPr>
          <w:color w:val="000000"/>
        </w:rPr>
        <w:t xml:space="preserve">, </w:t>
      </w:r>
      <w:r w:rsidR="00F854A8">
        <w:rPr>
          <w:color w:val="000000"/>
        </w:rPr>
        <w:t>leaf</w:t>
      </w:r>
      <w:r w:rsidR="00F854A8">
        <w:rPr>
          <w:color w:val="000000"/>
        </w:rPr>
        <w:t xml:space="preserve"> temperature</w:t>
      </w:r>
      <w:r w:rsidR="00F854A8">
        <w:rPr>
          <w:color w:val="000000"/>
        </w:rPr>
        <w:t xml:space="preserve"> </w:t>
      </w:r>
      <w:r w:rsidR="00F854A8">
        <w:rPr>
          <w:color w:val="000000"/>
        </w:rPr>
        <w:t>set to 25</w:t>
      </w:r>
      <w:r w:rsidR="00F854A8">
        <w:sym w:font="Symbol" w:char="F0B0"/>
      </w:r>
      <w:r w:rsidR="00F854A8">
        <w:t xml:space="preserve">C, and incoming light radiation set to </w:t>
      </w:r>
      <w:r w:rsidR="00F854A8">
        <w:t>200</w:t>
      </w:r>
      <w:r w:rsidR="00F854A8">
        <w:t xml:space="preserve">0 </w:t>
      </w:r>
      <w:r w:rsidR="00F854A8">
        <w:rPr>
          <w:lang w:val="el-GR"/>
        </w:rPr>
        <w:t>μ</w:t>
      </w:r>
      <w:r w:rsidR="00F854A8">
        <w:t>mol m</w:t>
      </w:r>
      <w:r w:rsidR="00F854A8">
        <w:rPr>
          <w:vertAlign w:val="superscript"/>
        </w:rPr>
        <w:t>-2</w:t>
      </w:r>
      <w:r w:rsidR="00F854A8">
        <w:t xml:space="preserve"> s</w:t>
      </w:r>
      <w:r w:rsidR="00F854A8">
        <w:rPr>
          <w:vertAlign w:val="superscript"/>
        </w:rPr>
        <w:t>-1</w:t>
      </w:r>
      <w:r w:rsidR="00F854A8">
        <w:t>.</w:t>
      </w:r>
    </w:p>
    <w:p w14:paraId="2CA5C0EF" w14:textId="15020762" w:rsidR="00C31060" w:rsidRPr="003A20C6" w:rsidRDefault="00FA7EF0" w:rsidP="00FA7EF0">
      <w:pPr>
        <w:spacing w:line="480" w:lineRule="auto"/>
        <w:rPr>
          <w:color w:val="000000"/>
        </w:rPr>
      </w:pPr>
      <w:r>
        <w:rPr>
          <w:color w:val="000000"/>
        </w:rPr>
        <w:tab/>
        <w:t xml:space="preserve">After </w:t>
      </w:r>
      <w:r w:rsidR="00C31060">
        <w:rPr>
          <w:color w:val="000000"/>
        </w:rPr>
        <w:t xml:space="preserve">dynamic </w:t>
      </w:r>
      <w:proofErr w:type="spellStart"/>
      <w:r>
        <w:rPr>
          <w:i/>
          <w:iCs/>
        </w:rPr>
        <w:t>A</w:t>
      </w:r>
      <w:r>
        <w:rPr>
          <w:vertAlign w:val="subscript"/>
        </w:rPr>
        <w:t>net</w:t>
      </w:r>
      <w:proofErr w:type="spellEnd"/>
      <w:r>
        <w:t>/</w:t>
      </w:r>
      <w:r>
        <w:rPr>
          <w:i/>
          <w:iCs/>
        </w:rPr>
        <w:t>C</w:t>
      </w:r>
      <w:r>
        <w:rPr>
          <w:vertAlign w:val="subscript"/>
        </w:rPr>
        <w:t>i</w:t>
      </w:r>
      <w:r>
        <w:t xml:space="preserve"> curve</w:t>
      </w:r>
      <w:r>
        <w:t xml:space="preserve">s were generated, we subjected individuals to at least a 30-minute period of darkness and quantified </w:t>
      </w:r>
      <w:r>
        <w:rPr>
          <w:color w:val="000000"/>
        </w:rPr>
        <w:t>dark respiration (</w:t>
      </w:r>
      <w:r>
        <w:rPr>
          <w:i/>
          <w:iCs/>
          <w:color w:val="000000"/>
        </w:rPr>
        <w:t>R</w:t>
      </w:r>
      <w:r>
        <w:rPr>
          <w:color w:val="000000"/>
          <w:vertAlign w:val="subscript"/>
        </w:rPr>
        <w:t>d</w:t>
      </w:r>
      <w:r>
        <w:rPr>
          <w:color w:val="000000"/>
        </w:rPr>
        <w:t xml:space="preserve">; </w:t>
      </w:r>
      <w:r w:rsidRPr="00863849">
        <w:rPr>
          <w:color w:val="000000"/>
          <w:lang w:val="el-GR"/>
        </w:rPr>
        <w:t>μ</w:t>
      </w:r>
      <w:r w:rsidRPr="00863849">
        <w:rPr>
          <w:color w:val="000000"/>
        </w:rPr>
        <w:t>mol m</w:t>
      </w:r>
      <w:r w:rsidRPr="00863849">
        <w:rPr>
          <w:color w:val="000000"/>
          <w:vertAlign w:val="superscript"/>
        </w:rPr>
        <w:t>-2</w:t>
      </w:r>
      <w:r w:rsidRPr="00863849">
        <w:rPr>
          <w:color w:val="000000"/>
        </w:rPr>
        <w:t xml:space="preserve"> s</w:t>
      </w:r>
      <w:r w:rsidRPr="00863849">
        <w:rPr>
          <w:color w:val="000000"/>
          <w:vertAlign w:val="superscript"/>
        </w:rPr>
        <w:t>-1</w:t>
      </w:r>
      <w:r>
        <w:rPr>
          <w:color w:val="000000"/>
        </w:rPr>
        <w:t>)</w:t>
      </w:r>
      <w:r>
        <w:rPr>
          <w:color w:val="000000"/>
        </w:rPr>
        <w:t xml:space="preserve">. </w:t>
      </w:r>
      <w:r w:rsidR="00F854A8">
        <w:rPr>
          <w:color w:val="000000"/>
        </w:rPr>
        <w:t xml:space="preserve">Dark respiration was </w:t>
      </w:r>
      <w:r w:rsidR="00C31060">
        <w:rPr>
          <w:color w:val="000000"/>
        </w:rPr>
        <w:t xml:space="preserve">also measured using </w:t>
      </w:r>
      <w:r w:rsidR="00F854A8">
        <w:rPr>
          <w:color w:val="000000"/>
        </w:rPr>
        <w:t xml:space="preserve">a </w:t>
      </w:r>
      <w:r w:rsidRPr="00863849">
        <w:rPr>
          <w:color w:val="000000"/>
        </w:rPr>
        <w:t>Li-COR LI-6800</w:t>
      </w:r>
      <w:r w:rsidR="003A20C6">
        <w:rPr>
          <w:color w:val="000000"/>
        </w:rPr>
        <w:t>,</w:t>
      </w:r>
      <w:r w:rsidR="00C31060">
        <w:rPr>
          <w:color w:val="000000"/>
        </w:rPr>
        <w:t xml:space="preserve"> with </w:t>
      </w:r>
      <w:r w:rsidR="00C31060">
        <w:rPr>
          <w:color w:val="000000"/>
        </w:rPr>
        <w:t>the cuvette flow rate stabilized at 500 mol s</w:t>
      </w:r>
      <w:r w:rsidR="00C31060">
        <w:rPr>
          <w:color w:val="000000"/>
          <w:vertAlign w:val="superscript"/>
        </w:rPr>
        <w:t>-1</w:t>
      </w:r>
      <w:r w:rsidR="00C31060">
        <w:rPr>
          <w:color w:val="000000"/>
        </w:rPr>
        <w:t xml:space="preserve">, </w:t>
      </w:r>
      <w:r w:rsidR="00C31060">
        <w:rPr>
          <w:color w:val="000000"/>
        </w:rPr>
        <w:t>reference CO</w:t>
      </w:r>
      <w:r w:rsidR="00C31060">
        <w:rPr>
          <w:color w:val="000000"/>
          <w:vertAlign w:val="subscript"/>
        </w:rPr>
        <w:t>2</w:t>
      </w:r>
      <w:r w:rsidR="00C31060">
        <w:rPr>
          <w:color w:val="000000"/>
        </w:rPr>
        <w:t xml:space="preserve"> set to 420 </w:t>
      </w:r>
      <w:r w:rsidR="00C31060" w:rsidRPr="00863849">
        <w:rPr>
          <w:color w:val="000000"/>
          <w:lang w:val="el-GR"/>
        </w:rPr>
        <w:t>μ</w:t>
      </w:r>
      <w:r w:rsidR="00C31060" w:rsidRPr="00863849">
        <w:rPr>
          <w:color w:val="000000"/>
        </w:rPr>
        <w:t>mol</w:t>
      </w:r>
      <w:r w:rsidR="00C31060">
        <w:rPr>
          <w:color w:val="000000"/>
        </w:rPr>
        <w:t xml:space="preserve"> mol</w:t>
      </w:r>
      <w:r w:rsidR="00C31060">
        <w:rPr>
          <w:color w:val="000000"/>
          <w:vertAlign w:val="superscript"/>
        </w:rPr>
        <w:t>-1</w:t>
      </w:r>
      <w:r w:rsidR="00C31060">
        <w:rPr>
          <w:color w:val="000000"/>
        </w:rPr>
        <w:t xml:space="preserve">, </w:t>
      </w:r>
      <w:r w:rsidR="00C31060">
        <w:rPr>
          <w:color w:val="000000"/>
        </w:rPr>
        <w:t>vapor pressure deficit set to 1.5 kPa, leaf temperature set to 25</w:t>
      </w:r>
      <w:r w:rsidR="00C31060">
        <w:sym w:font="Symbol" w:char="F0B0"/>
      </w:r>
      <w:r w:rsidR="00C31060">
        <w:t>C, and incoming light radiation set to</w:t>
      </w:r>
      <w:r w:rsidR="003A20C6">
        <w:t xml:space="preserve"> </w:t>
      </w:r>
      <w:r w:rsidR="00C31060">
        <w:t xml:space="preserve">0 </w:t>
      </w:r>
      <w:r w:rsidR="00C31060">
        <w:rPr>
          <w:lang w:val="el-GR"/>
        </w:rPr>
        <w:t>μ</w:t>
      </w:r>
      <w:r w:rsidR="00C31060">
        <w:t>mol m</w:t>
      </w:r>
      <w:r w:rsidR="00C31060">
        <w:rPr>
          <w:vertAlign w:val="superscript"/>
        </w:rPr>
        <w:t>-2</w:t>
      </w:r>
      <w:r w:rsidR="00C31060">
        <w:t xml:space="preserve"> s</w:t>
      </w:r>
      <w:r w:rsidR="00C31060">
        <w:rPr>
          <w:vertAlign w:val="superscript"/>
        </w:rPr>
        <w:t>-1</w:t>
      </w:r>
      <w:r w:rsidR="003A20C6">
        <w:t>.</w:t>
      </w:r>
    </w:p>
    <w:p w14:paraId="30ABDC3B" w14:textId="4A669E60" w:rsidR="00487452" w:rsidRPr="000B5223" w:rsidRDefault="00F83BCB" w:rsidP="00E06DE0">
      <w:pPr>
        <w:spacing w:line="480" w:lineRule="auto"/>
      </w:pPr>
      <w:r>
        <w:rPr>
          <w:color w:val="000000"/>
        </w:rPr>
        <w:tab/>
        <w:t xml:space="preserve">Due to </w:t>
      </w:r>
      <w:r w:rsidR="00FA7EF0">
        <w:rPr>
          <w:color w:val="000000"/>
        </w:rPr>
        <w:t>the relative new age of the</w:t>
      </w:r>
      <w:r>
        <w:rPr>
          <w:color w:val="000000"/>
        </w:rPr>
        <w:t xml:space="preserve"> Dynamic Assimilation Technique</w:t>
      </w:r>
      <w:r>
        <w:sym w:font="Symbol" w:char="F0D4"/>
      </w:r>
      <w:r>
        <w:t xml:space="preserve">, </w:t>
      </w:r>
      <w:r w:rsidR="00FA7EF0">
        <w:t xml:space="preserve">we randomly conducted steady-state </w:t>
      </w:r>
      <w:proofErr w:type="spellStart"/>
      <w:r w:rsidR="00FA7EF0">
        <w:rPr>
          <w:i/>
          <w:iCs/>
        </w:rPr>
        <w:t>A</w:t>
      </w:r>
      <w:r w:rsidR="00FA7EF0">
        <w:rPr>
          <w:vertAlign w:val="subscript"/>
        </w:rPr>
        <w:t>net</w:t>
      </w:r>
      <w:proofErr w:type="spellEnd"/>
      <w:r w:rsidR="00FA7EF0">
        <w:t>/</w:t>
      </w:r>
      <w:r w:rsidR="00FA7EF0">
        <w:rPr>
          <w:i/>
          <w:iCs/>
        </w:rPr>
        <w:t>C</w:t>
      </w:r>
      <w:r w:rsidR="00FA7EF0">
        <w:rPr>
          <w:vertAlign w:val="subscript"/>
        </w:rPr>
        <w:t>i</w:t>
      </w:r>
      <w:r w:rsidR="00FA7EF0">
        <w:t xml:space="preserve"> curve</w:t>
      </w:r>
      <w:r w:rsidR="00FA7EF0">
        <w:t xml:space="preserve">s to verify the technique. Specifically, we selected one </w:t>
      </w:r>
      <w:r w:rsidR="00DB7CDA">
        <w:t xml:space="preserve">random </w:t>
      </w:r>
      <w:r w:rsidR="00FA7EF0">
        <w:t xml:space="preserve">individual in each </w:t>
      </w:r>
      <w:r w:rsidR="00FA7EF0">
        <w:t>unique CO</w:t>
      </w:r>
      <w:r w:rsidR="00FA7EF0">
        <w:rPr>
          <w:vertAlign w:val="subscript"/>
        </w:rPr>
        <w:t>2</w:t>
      </w:r>
      <w:r w:rsidR="00FA7EF0">
        <w:t xml:space="preserve"> x inoculation treatment combination</w:t>
      </w:r>
      <w:r w:rsidR="003A20C6">
        <w:t xml:space="preserve"> across three soil nitrogen levels (0, 210, 630 ppm)</w:t>
      </w:r>
      <w:r w:rsidR="00DB7CDA">
        <w:t xml:space="preserve"> </w:t>
      </w:r>
      <w:r w:rsidR="00FA7EF0">
        <w:t xml:space="preserve">to conduct a steady-state curve. </w:t>
      </w:r>
      <w:r>
        <w:t>This yielded a total of 12 paired response curves each week across treatment combinations.</w:t>
      </w:r>
      <w:r w:rsidR="00FA7EF0">
        <w:t xml:space="preserve"> Steady-state curves were collected using the same focal leaf and cuvette conditions as the split dynamic response </w:t>
      </w:r>
      <w:proofErr w:type="gramStart"/>
      <w:r w:rsidR="00FA7EF0">
        <w:t>curves</w:t>
      </w:r>
      <w:r w:rsidR="00DB7CDA">
        <w:t>, and</w:t>
      </w:r>
      <w:proofErr w:type="gramEnd"/>
      <w:r w:rsidR="00DB7CDA">
        <w:t xml:space="preserve"> were generated the day after dynamic curves to allow plants a chance to re-acclimate to their chamber growth conditions</w:t>
      </w:r>
      <w:r w:rsidR="00FA7EF0">
        <w:t xml:space="preserve">. </w:t>
      </w:r>
      <w:r w:rsidR="00E06DE0" w:rsidRPr="00346EE6">
        <w:rPr>
          <w:color w:val="000000"/>
          <w:highlight w:val="yellow"/>
        </w:rPr>
        <w:t>Importantly, we observed no apparent bias in steady state or dynamic assimilation response curves, confirmed both visually and through curve fitting. These results are included in the supplemental information (Table S2; Fig. S1)</w:t>
      </w:r>
      <w:r w:rsidR="00FA7EF0">
        <w:rPr>
          <w:color w:val="000000"/>
        </w:rPr>
        <w:t>.</w:t>
      </w:r>
    </w:p>
    <w:p w14:paraId="29BE7AB2" w14:textId="3D454555" w:rsidR="009D6030" w:rsidRDefault="009D6030" w:rsidP="00F42BEB">
      <w:pPr>
        <w:spacing w:line="480" w:lineRule="auto"/>
      </w:pPr>
    </w:p>
    <w:p w14:paraId="2581937D" w14:textId="13D74AA3" w:rsidR="002034D4" w:rsidRDefault="002034D4" w:rsidP="00F42BEB">
      <w:pPr>
        <w:spacing w:line="480" w:lineRule="auto"/>
      </w:pPr>
      <w:r>
        <w:rPr>
          <w:i/>
          <w:iCs/>
        </w:rPr>
        <w:t>Leaf trait measurements</w:t>
      </w:r>
    </w:p>
    <w:p w14:paraId="3BB966E6" w14:textId="48964AE6" w:rsidR="002034D4" w:rsidRDefault="00DB7CDA" w:rsidP="002034D4">
      <w:pPr>
        <w:autoSpaceDE w:val="0"/>
        <w:autoSpaceDN w:val="0"/>
        <w:adjustRightInd w:val="0"/>
        <w:spacing w:line="480" w:lineRule="auto"/>
        <w:ind w:firstLine="720"/>
        <w:rPr>
          <w:color w:val="000000"/>
        </w:rPr>
      </w:pPr>
      <w:r>
        <w:t>At the end of the seventh and final</w:t>
      </w:r>
      <w:r w:rsidR="002034D4">
        <w:t xml:space="preserve"> week of the experiment, leaf trait measurements were collected on the same focal leaf used to generate dynamic CO</w:t>
      </w:r>
      <w:r w:rsidR="002034D4">
        <w:rPr>
          <w:vertAlign w:val="subscript"/>
        </w:rPr>
        <w:t>2</w:t>
      </w:r>
      <w:r w:rsidR="002034D4">
        <w:t xml:space="preserve"> response curves. </w:t>
      </w:r>
      <w:r w:rsidR="002034D4" w:rsidRPr="00863849">
        <w:rPr>
          <w:color w:val="000000"/>
        </w:rPr>
        <w:t>Images of each leaf were curated using a flat-</w:t>
      </w:r>
      <w:r w:rsidR="002034D4">
        <w:rPr>
          <w:color w:val="000000"/>
        </w:rPr>
        <w:t>bed s</w:t>
      </w:r>
      <w:r w:rsidR="002034D4" w:rsidRPr="00863849">
        <w:rPr>
          <w:color w:val="000000"/>
        </w:rPr>
        <w:t>canner to determine wet leaf area using the '</w:t>
      </w:r>
      <w:proofErr w:type="spellStart"/>
      <w:r w:rsidR="002034D4" w:rsidRPr="00863849">
        <w:rPr>
          <w:color w:val="000000"/>
        </w:rPr>
        <w:t>LeafArea</w:t>
      </w:r>
      <w:proofErr w:type="spellEnd"/>
      <w:r w:rsidR="002034D4" w:rsidRPr="00863849">
        <w:rPr>
          <w:color w:val="000000"/>
        </w:rPr>
        <w:t xml:space="preserve">' R package </w:t>
      </w:r>
      <w:r w:rsidR="002034D4" w:rsidRPr="00863849">
        <w:rPr>
          <w:color w:val="000000"/>
        </w:rPr>
        <w:fldChar w:fldCharType="begin" w:fldLock="1"/>
      </w:r>
      <w:r w:rsidR="002034D4" w:rsidRPr="00863849">
        <w:rPr>
          <w:color w:val="000000"/>
        </w:rPr>
        <w:instrText>ADDIN CSL_CITATION {"citationItems":[{"id":"ITEM-1","itemData":{"author":[{"dropping-particle":"","family":"Katabuchi","given":"Masatoshi","non-dropping-particle":"","parse-names":false,"suffix":""}],"container-title":"Ecological Research","id":"ITEM-1","issue":"6","issued":{"date-parts":[["2015"]]},"page":"1073-1077","title":"LeafArea: An R package for rapid digital analysis of leaf area","type":"article-journal","volume":"30"},"uris":["http://www.mendeley.com/documents/?uuid=d5bcbc72-e9c0-4ada-8acf-dfeff07e88d7"]}],"mendeley":{"formattedCitation":"(Katabuchi, 2015)","plainTextFormattedCitation":"(Katabuchi, 2015)","previouslyFormattedCitation":"(Katabuchi, 2015)"},"properties":{"noteIndex":0},"schema":"https://github.com/citation-style-language/schema/raw/master/csl-citation.json"}</w:instrText>
      </w:r>
      <w:r w:rsidR="002034D4" w:rsidRPr="00863849">
        <w:rPr>
          <w:color w:val="000000"/>
        </w:rPr>
        <w:fldChar w:fldCharType="separate"/>
      </w:r>
      <w:r w:rsidR="002034D4" w:rsidRPr="00863849">
        <w:rPr>
          <w:noProof/>
          <w:color w:val="000000"/>
        </w:rPr>
        <w:t>(Katabuchi, 2015)</w:t>
      </w:r>
      <w:r w:rsidR="002034D4" w:rsidRPr="00863849">
        <w:rPr>
          <w:color w:val="000000"/>
        </w:rPr>
        <w:fldChar w:fldCharType="end"/>
      </w:r>
      <w:r w:rsidR="002034D4">
        <w:rPr>
          <w:color w:val="000000"/>
        </w:rPr>
        <w:t xml:space="preserve">, which automates leaf area calculations using ImageJ software </w:t>
      </w:r>
      <w:r w:rsidR="002034D4">
        <w:rPr>
          <w:color w:val="000000"/>
        </w:rPr>
        <w:fldChar w:fldCharType="begin" w:fldLock="1"/>
      </w:r>
      <w:r w:rsidR="002034D4">
        <w:rPr>
          <w:color w:val="000000"/>
        </w:rPr>
        <w:instrText>ADDIN CSL_CITATION {"citationItems":[{"id":"ITEM-1","itemData":{"DOI":"10.1038/nmeth.2089","ISSN":"1548-7105","PMID":"22930834","abstract":"For the past 25 years NIH Image and ImageJ software have been pioneers as open tools for the analysis of scientific images. We discuss the origins, challenges and solutions of these two programs, and how their history can serve to advise and inform other software projects.","author":[{"dropping-particle":"","family":"Schneider","given":"Caroline A","non-dropping-particle":"","parse-names":false,"suffix":""},{"dropping-particle":"","family":"Rasband","given":"Wayne S","non-dropping-particle":"","parse-names":false,"suffix":""},{"dropping-particle":"","family":"Eliceiri","given":"Kevin W","non-dropping-particle":"","parse-names":false,"suffix":""}],"container-title":"Nature methods","id":"ITEM-1","issue":"7","issued":{"date-parts":[["2012","7"]]},"page":"671-675","title":"NIH Image to ImageJ: 25 years of image analysis.","type":"article-journal","volume":"9"},"uris":["http://www.mendeley.com/documents/?uuid=6b914044-468b-40c6-8046-c87ca4f654ed"]}],"mendeley":{"formattedCitation":"(Schneider et al., 2012)","plainTextFormattedCitation":"(Schneider et al., 2012)","previouslyFormattedCitation":"(Schneider et al., 2012)"},"properties":{"noteIndex":0},"schema":"https://github.com/citation-style-language/schema/raw/master/csl-citation.json"}</w:instrText>
      </w:r>
      <w:r w:rsidR="002034D4">
        <w:rPr>
          <w:color w:val="000000"/>
        </w:rPr>
        <w:fldChar w:fldCharType="separate"/>
      </w:r>
      <w:r w:rsidR="002034D4" w:rsidRPr="001B21C7">
        <w:rPr>
          <w:noProof/>
          <w:color w:val="000000"/>
        </w:rPr>
        <w:t>(Schneider et al., 2012)</w:t>
      </w:r>
      <w:r w:rsidR="002034D4">
        <w:rPr>
          <w:color w:val="000000"/>
        </w:rPr>
        <w:fldChar w:fldCharType="end"/>
      </w:r>
      <w:r w:rsidR="002034D4" w:rsidRPr="00863849">
        <w:rPr>
          <w:color w:val="000000"/>
        </w:rPr>
        <w:t>. Each leaf was dried at 65</w:t>
      </w:r>
      <w:r w:rsidR="002034D4" w:rsidRPr="00863849">
        <w:rPr>
          <w:rFonts w:ascii="Symbol" w:eastAsia="Symbol" w:hAnsi="Symbol" w:cs="Symbol"/>
          <w:color w:val="000000"/>
        </w:rPr>
        <w:t></w:t>
      </w:r>
      <w:r w:rsidR="002034D4" w:rsidRPr="00863849">
        <w:rPr>
          <w:color w:val="000000"/>
        </w:rPr>
        <w:t>C for at least 48 hours,</w:t>
      </w:r>
      <w:r w:rsidR="002034D4">
        <w:rPr>
          <w:color w:val="000000"/>
        </w:rPr>
        <w:t xml:space="preserve"> and subsequently</w:t>
      </w:r>
      <w:r w:rsidR="002034D4" w:rsidRPr="00863849">
        <w:rPr>
          <w:color w:val="000000"/>
        </w:rPr>
        <w:t xml:space="preserve"> weighed and ground until homogenized. </w:t>
      </w:r>
      <w:r>
        <w:rPr>
          <w:color w:val="000000"/>
        </w:rPr>
        <w:t>Leaf mass per area</w:t>
      </w:r>
      <w:r w:rsidR="002034D4" w:rsidRPr="00863849">
        <w:rPr>
          <w:color w:val="000000"/>
        </w:rPr>
        <w:t xml:space="preserve"> (</w:t>
      </w:r>
      <w:proofErr w:type="spellStart"/>
      <w:r>
        <w:rPr>
          <w:i/>
          <w:iCs/>
          <w:color w:val="000000"/>
        </w:rPr>
        <w:t>M</w:t>
      </w:r>
      <w:r>
        <w:rPr>
          <w:color w:val="000000"/>
          <w:vertAlign w:val="subscript"/>
        </w:rPr>
        <w:t>area</w:t>
      </w:r>
      <w:proofErr w:type="spellEnd"/>
      <w:r>
        <w:rPr>
          <w:color w:val="000000"/>
        </w:rPr>
        <w:t xml:space="preserve">; g </w:t>
      </w:r>
      <w:proofErr w:type="gramStart"/>
      <w:r w:rsidR="002034D4">
        <w:rPr>
          <w:color w:val="000000"/>
        </w:rPr>
        <w:t>c</w:t>
      </w:r>
      <w:r w:rsidR="002034D4" w:rsidRPr="00863849">
        <w:rPr>
          <w:color w:val="000000"/>
        </w:rPr>
        <w:t>m</w:t>
      </w:r>
      <w:r>
        <w:rPr>
          <w:color w:val="000000"/>
          <w:vertAlign w:val="superscript"/>
        </w:rPr>
        <w:t>-2</w:t>
      </w:r>
      <w:proofErr w:type="gramEnd"/>
      <w:r w:rsidR="002034D4" w:rsidRPr="00863849">
        <w:rPr>
          <w:color w:val="000000"/>
        </w:rPr>
        <w:t xml:space="preserve">) was calculated as the ratio of </w:t>
      </w:r>
      <w:r w:rsidRPr="00863849">
        <w:rPr>
          <w:color w:val="000000"/>
        </w:rPr>
        <w:t>dry leaf biomass</w:t>
      </w:r>
      <w:r w:rsidRPr="00863849">
        <w:rPr>
          <w:color w:val="000000"/>
        </w:rPr>
        <w:t xml:space="preserve"> </w:t>
      </w:r>
      <w:r>
        <w:rPr>
          <w:color w:val="000000"/>
        </w:rPr>
        <w:t>to fresh</w:t>
      </w:r>
      <w:r w:rsidR="002034D4" w:rsidRPr="00863849">
        <w:rPr>
          <w:color w:val="000000"/>
        </w:rPr>
        <w:t xml:space="preserve"> leaf area</w:t>
      </w:r>
      <w:r w:rsidR="002034D4">
        <w:rPr>
          <w:color w:val="000000"/>
        </w:rPr>
        <w:t>. Using subsamples of ground and homogenized leaf biomass, we also determined leaf nitrogen content</w:t>
      </w:r>
      <w:r w:rsidR="002034D4" w:rsidRPr="00863849">
        <w:t xml:space="preserve"> (</w:t>
      </w:r>
      <w:proofErr w:type="spellStart"/>
      <w:r w:rsidR="002034D4" w:rsidRPr="00CE3B3D">
        <w:rPr>
          <w:i/>
          <w:iCs/>
        </w:rPr>
        <w:t>N</w:t>
      </w:r>
      <w:r w:rsidR="002034D4">
        <w:rPr>
          <w:vertAlign w:val="subscript"/>
        </w:rPr>
        <w:t>mass</w:t>
      </w:r>
      <w:proofErr w:type="spellEnd"/>
      <w:r w:rsidR="002034D4">
        <w:t xml:space="preserve">; </w:t>
      </w:r>
      <w:r w:rsidR="002034D4" w:rsidRPr="00863849">
        <w:t>g g</w:t>
      </w:r>
      <w:r w:rsidR="002034D4" w:rsidRPr="00863849">
        <w:rPr>
          <w:vertAlign w:val="superscript"/>
        </w:rPr>
        <w:t>-1</w:t>
      </w:r>
      <w:r w:rsidR="002034D4" w:rsidRPr="00863849">
        <w:t>)</w:t>
      </w:r>
      <w:r w:rsidR="002034D4" w:rsidRPr="00863849">
        <w:rPr>
          <w:color w:val="000000"/>
        </w:rPr>
        <w:t xml:space="preserve"> </w:t>
      </w:r>
      <w:r w:rsidR="002034D4">
        <w:rPr>
          <w:color w:val="000000"/>
        </w:rPr>
        <w:t xml:space="preserve">through elemental combustion analysis (Costech-4010, </w:t>
      </w:r>
      <w:proofErr w:type="spellStart"/>
      <w:r w:rsidR="002034D4">
        <w:rPr>
          <w:color w:val="000000"/>
        </w:rPr>
        <w:t>Costech</w:t>
      </w:r>
      <w:proofErr w:type="spellEnd"/>
      <w:r w:rsidR="002034D4">
        <w:rPr>
          <w:color w:val="000000"/>
        </w:rPr>
        <w:t xml:space="preserve">, Inc., Valencia, CA, USA), and sent samples to the University of California-Davis Stable Isotope Facility to determine leaf </w:t>
      </w:r>
      <w:r w:rsidR="002034D4">
        <w:rPr>
          <w:color w:val="000000"/>
          <w:lang w:val="el-GR"/>
        </w:rPr>
        <w:t>δ</w:t>
      </w:r>
      <w:r w:rsidR="002034D4">
        <w:rPr>
          <w:color w:val="000000"/>
          <w:vertAlign w:val="superscript"/>
        </w:rPr>
        <w:t>13</w:t>
      </w:r>
      <w:r w:rsidR="002034D4">
        <w:rPr>
          <w:color w:val="000000"/>
        </w:rPr>
        <w:t>C</w:t>
      </w:r>
      <w:r w:rsidR="00BA3A8F">
        <w:rPr>
          <w:color w:val="000000"/>
        </w:rPr>
        <w:t xml:space="preserve"> and </w:t>
      </w:r>
      <w:r w:rsidR="00BA3A8F">
        <w:rPr>
          <w:color w:val="000000"/>
          <w:lang w:val="el-GR"/>
        </w:rPr>
        <w:t>δ</w:t>
      </w:r>
      <w:r w:rsidR="00BA3A8F">
        <w:rPr>
          <w:color w:val="000000"/>
          <w:vertAlign w:val="superscript"/>
        </w:rPr>
        <w:t>15</w:t>
      </w:r>
      <w:r w:rsidR="00BA3A8F">
        <w:rPr>
          <w:color w:val="000000"/>
        </w:rPr>
        <w:t>N</w:t>
      </w:r>
      <w:r w:rsidR="002034D4">
        <w:rPr>
          <w:color w:val="000000"/>
        </w:rPr>
        <w:t xml:space="preserve">. </w:t>
      </w:r>
      <w:r w:rsidR="002034D4" w:rsidRPr="00863849">
        <w:rPr>
          <w:color w:val="000000"/>
        </w:rPr>
        <w:t xml:space="preserve">Leaf nitrogen </w:t>
      </w:r>
      <w:r>
        <w:rPr>
          <w:color w:val="000000"/>
        </w:rPr>
        <w:t>content</w:t>
      </w:r>
      <w:r w:rsidR="002034D4" w:rsidRPr="00863849">
        <w:rPr>
          <w:color w:val="000000"/>
        </w:rPr>
        <w:t xml:space="preserve"> per unit leaf area (</w:t>
      </w:r>
      <w:proofErr w:type="spellStart"/>
      <w:r w:rsidR="002034D4" w:rsidRPr="00DB6582">
        <w:rPr>
          <w:i/>
          <w:color w:val="000000"/>
        </w:rPr>
        <w:t>N</w:t>
      </w:r>
      <w:r w:rsidR="002034D4" w:rsidRPr="00F1756A">
        <w:rPr>
          <w:iCs/>
          <w:color w:val="000000"/>
          <w:vertAlign w:val="subscript"/>
        </w:rPr>
        <w:t>area</w:t>
      </w:r>
      <w:proofErr w:type="spellEnd"/>
      <w:r w:rsidR="002034D4" w:rsidRPr="00863849">
        <w:rPr>
          <w:color w:val="000000"/>
        </w:rPr>
        <w:t xml:space="preserve">; </w:t>
      </w:r>
      <w:proofErr w:type="spellStart"/>
      <w:r w:rsidR="002034D4" w:rsidRPr="00863849">
        <w:rPr>
          <w:color w:val="000000"/>
        </w:rPr>
        <w:t>g</w:t>
      </w:r>
      <w:r>
        <w:rPr>
          <w:color w:val="000000"/>
        </w:rPr>
        <w:t>N</w:t>
      </w:r>
      <w:proofErr w:type="spellEnd"/>
      <w:r w:rsidR="002034D4" w:rsidRPr="00863849">
        <w:rPr>
          <w:color w:val="000000"/>
        </w:rPr>
        <w:t xml:space="preserve"> m</w:t>
      </w:r>
      <w:r w:rsidR="002034D4" w:rsidRPr="00863849">
        <w:rPr>
          <w:color w:val="000000"/>
          <w:vertAlign w:val="superscript"/>
        </w:rPr>
        <w:t>-2</w:t>
      </w:r>
      <w:r w:rsidR="002034D4" w:rsidRPr="00863849">
        <w:rPr>
          <w:color w:val="000000"/>
        </w:rPr>
        <w:t>) was</w:t>
      </w:r>
      <w:r w:rsidR="002034D4">
        <w:rPr>
          <w:color w:val="000000"/>
        </w:rPr>
        <w:t xml:space="preserve"> </w:t>
      </w:r>
      <w:r w:rsidR="002034D4" w:rsidRPr="00863849">
        <w:rPr>
          <w:color w:val="000000"/>
        </w:rPr>
        <w:t xml:space="preserve">calculated by </w:t>
      </w:r>
      <w:r>
        <w:rPr>
          <w:color w:val="000000"/>
        </w:rPr>
        <w:t>multiplying</w:t>
      </w:r>
      <w:r w:rsidR="002034D4" w:rsidRPr="008C3563">
        <w:rPr>
          <w:i/>
          <w:iCs/>
        </w:rPr>
        <w:t xml:space="preserve"> </w:t>
      </w:r>
      <w:proofErr w:type="spellStart"/>
      <w:r w:rsidR="002034D4" w:rsidRPr="00CE3B3D">
        <w:rPr>
          <w:i/>
          <w:iCs/>
        </w:rPr>
        <w:t>N</w:t>
      </w:r>
      <w:r w:rsidR="002034D4">
        <w:rPr>
          <w:vertAlign w:val="subscript"/>
        </w:rPr>
        <w:t>mass</w:t>
      </w:r>
      <w:proofErr w:type="spellEnd"/>
      <w:r w:rsidR="002034D4" w:rsidRPr="00863849">
        <w:rPr>
          <w:color w:val="000000"/>
        </w:rPr>
        <w:t xml:space="preserve"> </w:t>
      </w:r>
      <w:r>
        <w:rPr>
          <w:color w:val="000000"/>
        </w:rPr>
        <w:t>and</w:t>
      </w:r>
      <w:r w:rsidR="002034D4" w:rsidRPr="00863849">
        <w:rPr>
          <w:color w:val="000000"/>
        </w:rPr>
        <w:t xml:space="preserve"> </w:t>
      </w:r>
      <w:proofErr w:type="spellStart"/>
      <w:r>
        <w:rPr>
          <w:i/>
          <w:iCs/>
          <w:color w:val="000000"/>
        </w:rPr>
        <w:t>M</w:t>
      </w:r>
      <w:r>
        <w:rPr>
          <w:color w:val="000000"/>
          <w:vertAlign w:val="subscript"/>
        </w:rPr>
        <w:t>area</w:t>
      </w:r>
      <w:proofErr w:type="spellEnd"/>
      <w:r w:rsidR="002034D4" w:rsidRPr="00863849">
        <w:rPr>
          <w:color w:val="000000"/>
        </w:rPr>
        <w:t>.</w:t>
      </w:r>
    </w:p>
    <w:p w14:paraId="65137E37" w14:textId="307879C2" w:rsidR="00BA3A8F" w:rsidRDefault="00BA3A8F" w:rsidP="00BA3A8F">
      <w:pPr>
        <w:autoSpaceDE w:val="0"/>
        <w:autoSpaceDN w:val="0"/>
        <w:adjustRightInd w:val="0"/>
        <w:spacing w:line="480" w:lineRule="auto"/>
        <w:ind w:firstLine="720"/>
        <w:rPr>
          <w:color w:val="000000"/>
        </w:rPr>
      </w:pPr>
      <w:r>
        <w:rPr>
          <w:color w:val="000000"/>
        </w:rPr>
        <w:t xml:space="preserve">We used leaf </w:t>
      </w:r>
      <w:r w:rsidRPr="000F06C7">
        <w:rPr>
          <w:color w:val="000000"/>
          <w:lang w:val="el-GR"/>
        </w:rPr>
        <w:t>δ</w:t>
      </w:r>
      <w:r w:rsidRPr="000F06C7">
        <w:rPr>
          <w:color w:val="000000"/>
          <w:vertAlign w:val="superscript"/>
        </w:rPr>
        <w:t>13</w:t>
      </w:r>
      <w:r w:rsidRPr="000F06C7">
        <w:rPr>
          <w:color w:val="000000"/>
        </w:rPr>
        <w:t>C</w:t>
      </w:r>
      <w:r>
        <w:rPr>
          <w:color w:val="000000"/>
        </w:rPr>
        <w:t xml:space="preserve"> values to estimate the ratio of intercellular (</w:t>
      </w:r>
      <w:r>
        <w:rPr>
          <w:i/>
          <w:color w:val="000000"/>
        </w:rPr>
        <w:t>C</w:t>
      </w:r>
      <w:r>
        <w:rPr>
          <w:color w:val="000000"/>
          <w:vertAlign w:val="subscript"/>
        </w:rPr>
        <w:t>i</w:t>
      </w:r>
      <w:r>
        <w:rPr>
          <w:color w:val="000000"/>
        </w:rPr>
        <w:t>) to extracellular (</w:t>
      </w:r>
      <w:r>
        <w:rPr>
          <w:i/>
          <w:color w:val="000000"/>
        </w:rPr>
        <w:t>C</w:t>
      </w:r>
      <w:r>
        <w:rPr>
          <w:color w:val="000000"/>
          <w:vertAlign w:val="subscript"/>
        </w:rPr>
        <w:t>a</w:t>
      </w:r>
      <w:r>
        <w:rPr>
          <w:color w:val="000000"/>
        </w:rPr>
        <w:t>) CO</w:t>
      </w:r>
      <w:r>
        <w:rPr>
          <w:color w:val="000000"/>
          <w:vertAlign w:val="subscript"/>
        </w:rPr>
        <w:t>2</w:t>
      </w:r>
      <w:r>
        <w:rPr>
          <w:color w:val="000000"/>
        </w:rPr>
        <w:t xml:space="preserve"> (</w:t>
      </w:r>
      <w:r>
        <w:rPr>
          <w:color w:val="000000"/>
          <w:lang w:val="el-GR"/>
        </w:rPr>
        <w:t>χ</w:t>
      </w:r>
      <w:r w:rsidRPr="00771C52">
        <w:rPr>
          <w:color w:val="000000"/>
        </w:rPr>
        <w:t>; Pa Pa</w:t>
      </w:r>
      <w:r w:rsidRPr="00771C52">
        <w:rPr>
          <w:color w:val="000000"/>
          <w:vertAlign w:val="superscript"/>
        </w:rPr>
        <w:t>-1</w:t>
      </w:r>
      <w:r>
        <w:rPr>
          <w:color w:val="000000"/>
        </w:rPr>
        <w:t xml:space="preserve">) following the approach of </w:t>
      </w:r>
      <w:r>
        <w:rPr>
          <w:color w:val="000000"/>
        </w:rPr>
        <w:fldChar w:fldCharType="begin" w:fldLock="1"/>
      </w:r>
      <w:r>
        <w:rPr>
          <w:color w:val="000000"/>
        </w:rPr>
        <w:instrText>ADDIN CSL_CITATION {"citationItems":[{"id":"ITEM-1","itemData":{"DOI":"10.1146/annurev.pp.40.060189.002443","ISSN":"1040-2519","author":[{"dropping-particle":"","family":"Farquhar","given":"Graham D","non-dropping-particle":"","parse-names":false,"suffix":""},{"dropping-particle":"","family":"Ehleringer","given":"J R","non-dropping-particle":"","parse-names":false,"suffix":""},{"dropping-particle":"","family":"Hubick","given":"K T","non-dropping-particle":"","parse-names":false,"suffix":""}],"container-title":"Annual Review of Plant Physiology and Plant Molecular Biology","id":"ITEM-1","issue":"1","issued":{"date-parts":[["1989","6"]]},"page":"503-537","title":"Carbon isotope discrimination and photosynthesis","type":"article-journal","volume":"40"},"uris":["http://www.mendeley.com/documents/?uuid=d77967cc-0b2e-490f-ab7d-545a165fb29b"]}],"mendeley":{"formattedCitation":"(Farquhar et al., 1989)","manualFormatting":"Farquhar et al. (1989)","plainTextFormattedCitation":"(Farquhar et al., 1989)","previouslyFormattedCitation":"(Farquhar et al., 1989)"},"properties":{"noteIndex":0},"schema":"https://github.com/citation-style-language/schema/raw/master/csl-citation.json"}</w:instrText>
      </w:r>
      <w:r>
        <w:rPr>
          <w:color w:val="000000"/>
        </w:rPr>
        <w:fldChar w:fldCharType="separate"/>
      </w:r>
      <w:r w:rsidRPr="00992CB5">
        <w:rPr>
          <w:noProof/>
          <w:color w:val="000000"/>
        </w:rPr>
        <w:t xml:space="preserve">Farquhar </w:t>
      </w:r>
      <w:r w:rsidRPr="00AA0F23">
        <w:rPr>
          <w:i/>
          <w:noProof/>
          <w:color w:val="000000"/>
        </w:rPr>
        <w:t>et al</w:t>
      </w:r>
      <w:r w:rsidRPr="00992CB5">
        <w:rPr>
          <w:i/>
          <w:noProof/>
          <w:color w:val="000000"/>
        </w:rPr>
        <w:t>.</w:t>
      </w:r>
      <w:r w:rsidRPr="00992CB5">
        <w:rPr>
          <w:noProof/>
          <w:color w:val="000000"/>
        </w:rPr>
        <w:t xml:space="preserve"> </w:t>
      </w:r>
      <w:r>
        <w:rPr>
          <w:noProof/>
          <w:color w:val="000000"/>
        </w:rPr>
        <w:t>(</w:t>
      </w:r>
      <w:r w:rsidRPr="00992CB5">
        <w:rPr>
          <w:noProof/>
          <w:color w:val="000000"/>
        </w:rPr>
        <w:t>1989)</w:t>
      </w:r>
      <w:r>
        <w:rPr>
          <w:color w:val="000000"/>
        </w:rPr>
        <w:fldChar w:fldCharType="end"/>
      </w:r>
      <w:r>
        <w:rPr>
          <w:color w:val="000000"/>
        </w:rPr>
        <w:t xml:space="preserve"> described in </w:t>
      </w:r>
      <w:r>
        <w:rPr>
          <w:color w:val="000000"/>
        </w:rPr>
        <w:fldChar w:fldCharType="begin" w:fldLock="1"/>
      </w:r>
      <w:r>
        <w:rPr>
          <w:color w:val="000000"/>
        </w:rPr>
        <w:instrText>ADDIN CSL_CITATION {"citationItems":[{"id":"ITEM-1","itemData":{"DOI":"10.1111/nph.12423","ISSN":"0028-646X","PMID":"23902460","abstract":"Stable carbon isotope ratios (δ13C) of terrestrial plants are employed across a diverse range of applications in environmental and plant sciences; however, the kind of information that is desired from the δ13C signal often differs. At the extremes, it ranges between purely environmental and purely biological. Here, we review environmental drivers of variation in carbon isotope discrimination (Δ) in terrestrial plants, and the biological processes that can either damp or amplify the response. For C3 plants, where Δ is primarily controlled by the ratio of intercellular to ambient CO2 concentrations (ci/ca), coordination between stomatal conductance and photosynthesis and leaf area adjustment tends to constrain the potential environmentally driven range of Δ. For C4 plants, variation in bundle-sheath leakiness to CO2 can either damp or amplify the effects of ci/ca on Δ. For plants with crassulacean acid metabolism (CAM), Δ varies over a relatively large range as a function of the proportion of daytime to night-time CO2 fixation. This range can be substantially broadened by environmental effects on Δ when carbon uptake takes place primarily during the day. The effective use of Δ across its full range of applications will require a holistic view of the interplay between environmental control and physiological modulation of the environmental signal. © 2013 New Phytologist Trust.","author":[{"dropping-particle":"","family":"Cernusak","given":"Lucas A","non-dropping-particle":"","parse-names":false,"suffix":""},{"dropping-particle":"","family":"Ubierna","given":"Nerea","non-dropping-particle":"","parse-names":false,"suffix":""},{"dropping-particle":"","family":"Winter","given":"Klaus","non-dropping-particle":"","parse-names":false,"suffix":""},{"dropping-particle":"","family":"Holtum","given":"Joseph A M","non-dropping-particle":"","parse-names":false,"suffix":""},{"dropping-particle":"","family":"Marshall","given":"John D","non-dropping-particle":"","parse-names":false,"suffix":""},{"dropping-particle":"","family":"Farquhar","given":"Graham D","non-dropping-particle":"","parse-names":false,"suffix":""}],"container-title":"New Phytologist","id":"ITEM-1","issue":"4","issued":{"date-parts":[["2013","12","31"]]},"page":"950-965","title":"Environmental and physiological determinants of carbon isotope discrimination in terrestrial plants","type":"article-journal","volume":"200"},"uris":["http://www.mendeley.com/documents/?uuid=1a1f59b8-bfd6-41c4-8c20-0f059a21f509"]}],"mendeley":{"formattedCitation":"(Cernusak et al., 2013)","manualFormatting":"Cernusak et al. (2013","plainTextFormattedCitation":"(Cernusak et al., 2013)","previouslyFormattedCitation":"(Cernusak et al., 2013)"},"properties":{"noteIndex":0},"schema":"https://github.com/citation-style-language/schema/raw/master/csl-citation.json"}</w:instrText>
      </w:r>
      <w:r>
        <w:rPr>
          <w:color w:val="000000"/>
        </w:rPr>
        <w:fldChar w:fldCharType="separate"/>
      </w:r>
      <w:r w:rsidRPr="00D2029C">
        <w:rPr>
          <w:noProof/>
          <w:color w:val="000000"/>
        </w:rPr>
        <w:t xml:space="preserve">Cernusak </w:t>
      </w:r>
      <w:r w:rsidRPr="00D2029C">
        <w:rPr>
          <w:i/>
          <w:noProof/>
          <w:color w:val="000000"/>
        </w:rPr>
        <w:t>et al.</w:t>
      </w:r>
      <w:r>
        <w:rPr>
          <w:noProof/>
          <w:color w:val="000000"/>
        </w:rPr>
        <w:t xml:space="preserve"> (</w:t>
      </w:r>
      <w:r w:rsidRPr="00D2029C">
        <w:rPr>
          <w:noProof/>
          <w:color w:val="000000"/>
        </w:rPr>
        <w:t>2013</w:t>
      </w:r>
      <w:r>
        <w:rPr>
          <w:color w:val="000000"/>
        </w:rPr>
        <w:fldChar w:fldCharType="end"/>
      </w:r>
      <w:r>
        <w:rPr>
          <w:color w:val="000000"/>
        </w:rPr>
        <w:t>).</w:t>
      </w:r>
      <w:r>
        <w:rPr>
          <w:color w:val="000000" w:themeColor="text1"/>
        </w:rPr>
        <w:t xml:space="preserve"> While intercellular and extracellular CO</w:t>
      </w:r>
      <w:r>
        <w:rPr>
          <w:color w:val="000000" w:themeColor="text1"/>
          <w:vertAlign w:val="subscript"/>
        </w:rPr>
        <w:t>2</w:t>
      </w:r>
      <w:r>
        <w:rPr>
          <w:color w:val="000000" w:themeColor="text1"/>
        </w:rPr>
        <w:t xml:space="preserve"> concentrations were directly measured during each </w:t>
      </w:r>
      <w:r>
        <w:rPr>
          <w:color w:val="000000"/>
        </w:rPr>
        <w:t>CO</w:t>
      </w:r>
      <w:r>
        <w:rPr>
          <w:color w:val="000000"/>
          <w:vertAlign w:val="subscript"/>
        </w:rPr>
        <w:t>2</w:t>
      </w:r>
      <w:r>
        <w:rPr>
          <w:color w:val="000000"/>
        </w:rPr>
        <w:t xml:space="preserve"> response curve, deriving </w:t>
      </w:r>
      <w:r>
        <w:rPr>
          <w:color w:val="000000"/>
          <w:lang w:val="el-GR"/>
        </w:rPr>
        <w:t>χ</w:t>
      </w:r>
      <w:r>
        <w:rPr>
          <w:color w:val="000000"/>
        </w:rPr>
        <w:t xml:space="preserve"> from </w:t>
      </w:r>
      <w:r w:rsidRPr="000F06C7">
        <w:rPr>
          <w:color w:val="000000"/>
          <w:lang w:val="el-GR"/>
        </w:rPr>
        <w:t>δ</w:t>
      </w:r>
      <w:r w:rsidRPr="000F06C7">
        <w:rPr>
          <w:color w:val="000000"/>
          <w:vertAlign w:val="superscript"/>
        </w:rPr>
        <w:t>13</w:t>
      </w:r>
      <w:r w:rsidRPr="000F06C7">
        <w:rPr>
          <w:color w:val="000000"/>
        </w:rPr>
        <w:t>C</w:t>
      </w:r>
      <w:r>
        <w:rPr>
          <w:color w:val="000000"/>
        </w:rPr>
        <w:t xml:space="preserve"> provides a more integrative estimate of the </w:t>
      </w:r>
      <w:proofErr w:type="spellStart"/>
      <w:proofErr w:type="gramStart"/>
      <w:r>
        <w:rPr>
          <w:i/>
          <w:color w:val="000000"/>
        </w:rPr>
        <w:t>C</w:t>
      </w:r>
      <w:r>
        <w:rPr>
          <w:color w:val="000000"/>
          <w:vertAlign w:val="subscript"/>
        </w:rPr>
        <w:t>i</w:t>
      </w:r>
      <w:r>
        <w:rPr>
          <w:color w:val="000000"/>
        </w:rPr>
        <w:t>:</w:t>
      </w:r>
      <w:r>
        <w:rPr>
          <w:i/>
          <w:color w:val="000000"/>
        </w:rPr>
        <w:t>C</w:t>
      </w:r>
      <w:r>
        <w:rPr>
          <w:color w:val="000000"/>
          <w:vertAlign w:val="subscript"/>
        </w:rPr>
        <w:t>a</w:t>
      </w:r>
      <w:proofErr w:type="spellEnd"/>
      <w:proofErr w:type="gramEnd"/>
      <w:r>
        <w:rPr>
          <w:color w:val="000000"/>
        </w:rPr>
        <w:t xml:space="preserve"> over an individual leaf’s lifespan . We derived </w:t>
      </w:r>
      <w:r>
        <w:rPr>
          <w:color w:val="000000"/>
          <w:lang w:val="el-GR"/>
        </w:rPr>
        <w:t>χ</w:t>
      </w:r>
      <w:r>
        <w:rPr>
          <w:color w:val="000000"/>
        </w:rPr>
        <w:t xml:space="preserve"> as:</w:t>
      </w:r>
    </w:p>
    <w:p w14:paraId="071AB017" w14:textId="77777777" w:rsidR="00BA3A8F" w:rsidRDefault="00BA3A8F" w:rsidP="00BA3A8F">
      <w:pPr>
        <w:autoSpaceDE w:val="0"/>
        <w:autoSpaceDN w:val="0"/>
        <w:adjustRightInd w:val="0"/>
        <w:spacing w:line="480" w:lineRule="auto"/>
        <w:ind w:firstLine="720"/>
        <w:rPr>
          <w:color w:val="000000"/>
        </w:rPr>
      </w:pPr>
    </w:p>
    <w:p w14:paraId="25E223EB" w14:textId="77777777" w:rsidR="00BA3A8F" w:rsidRDefault="00BA3A8F" w:rsidP="00BA3A8F">
      <w:pPr>
        <w:autoSpaceDE w:val="0"/>
        <w:autoSpaceDN w:val="0"/>
        <w:adjustRightInd w:val="0"/>
        <w:spacing w:line="480" w:lineRule="auto"/>
        <w:rPr>
          <w:color w:val="000000"/>
        </w:rPr>
      </w:pPr>
      <m:oMath>
        <m:r>
          <w:rPr>
            <w:rFonts w:ascii="Cambria Math" w:hAnsi="Cambria Math"/>
            <w:color w:val="000000"/>
          </w:rPr>
          <m:t>χ=</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lang w:val="el-GR"/>
                  </w:rPr>
                  <m:t>Δ</m:t>
                </m:r>
              </m:e>
              <m:sup>
                <m:r>
                  <w:rPr>
                    <w:rFonts w:ascii="Cambria Math" w:hAnsi="Cambria Math"/>
                    <w:color w:val="000000"/>
                  </w:rPr>
                  <m:t>13</m:t>
                </m:r>
              </m:sup>
            </m:sSup>
            <m:r>
              <w:rPr>
                <w:rFonts w:ascii="Cambria Math" w:hAnsi="Cambria Math"/>
                <w:color w:val="000000"/>
              </w:rPr>
              <m:t>C-a</m:t>
            </m:r>
          </m:num>
          <m:den>
            <m:r>
              <w:rPr>
                <w:rFonts w:ascii="Cambria Math" w:hAnsi="Cambria Math"/>
                <w:color w:val="000000"/>
              </w:rPr>
              <m:t>b-a</m:t>
            </m:r>
          </m:den>
        </m:f>
      </m:oMath>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(Eqn. 1)</w:t>
      </w:r>
    </w:p>
    <w:p w14:paraId="6F88C5BC" w14:textId="77777777" w:rsidR="00BA3A8F" w:rsidRPr="00A54DE5" w:rsidRDefault="00BA3A8F" w:rsidP="00BA3A8F">
      <w:pPr>
        <w:autoSpaceDE w:val="0"/>
        <w:autoSpaceDN w:val="0"/>
        <w:adjustRightInd w:val="0"/>
        <w:spacing w:line="480" w:lineRule="auto"/>
        <w:rPr>
          <w:color w:val="000000"/>
        </w:rPr>
      </w:pPr>
    </w:p>
    <w:p w14:paraId="6D16B58E" w14:textId="77777777" w:rsidR="00BA3A8F" w:rsidRDefault="00BA3A8F" w:rsidP="00BA3A8F">
      <w:pPr>
        <w:autoSpaceDE w:val="0"/>
        <w:autoSpaceDN w:val="0"/>
        <w:adjustRightInd w:val="0"/>
        <w:spacing w:line="480" w:lineRule="auto"/>
        <w:rPr>
          <w:color w:val="000000"/>
        </w:rPr>
      </w:pPr>
      <w:r>
        <w:rPr>
          <w:color w:val="000000"/>
          <w:lang w:val="el-GR"/>
        </w:rPr>
        <w:t>Δ</w:t>
      </w:r>
      <w:r>
        <w:rPr>
          <w:color w:val="000000"/>
          <w:vertAlign w:val="superscript"/>
        </w:rPr>
        <w:t>13</w:t>
      </w:r>
      <w:r>
        <w:rPr>
          <w:color w:val="000000"/>
        </w:rPr>
        <w:t xml:space="preserve">C represents the relative difference between leaf </w:t>
      </w:r>
      <w:r w:rsidRPr="00771C52">
        <w:rPr>
          <w:color w:val="000000"/>
        </w:rPr>
        <w:t>δ</w:t>
      </w:r>
      <w:r w:rsidRPr="00771C52">
        <w:rPr>
          <w:color w:val="000000"/>
          <w:vertAlign w:val="superscript"/>
        </w:rPr>
        <w:t>13</w:t>
      </w:r>
      <w:r w:rsidRPr="00771C52">
        <w:rPr>
          <w:color w:val="000000"/>
        </w:rPr>
        <w:t>C</w:t>
      </w:r>
      <w:r>
        <w:rPr>
          <w:color w:val="000000"/>
        </w:rPr>
        <w:t xml:space="preserve"> (</w:t>
      </w:r>
      <w:r w:rsidRPr="00771C52">
        <w:rPr>
          <w:color w:val="000000"/>
        </w:rPr>
        <w:t>‰</w:t>
      </w:r>
      <w:r>
        <w:rPr>
          <w:color w:val="000000"/>
        </w:rPr>
        <w:t xml:space="preserve">) and air </w:t>
      </w:r>
      <w:r w:rsidRPr="00771C52">
        <w:rPr>
          <w:color w:val="000000"/>
        </w:rPr>
        <w:t>δ</w:t>
      </w:r>
      <w:r w:rsidRPr="00771C52">
        <w:rPr>
          <w:color w:val="000000"/>
          <w:vertAlign w:val="superscript"/>
        </w:rPr>
        <w:t>13</w:t>
      </w:r>
      <w:r w:rsidRPr="00771C52">
        <w:rPr>
          <w:color w:val="000000"/>
        </w:rPr>
        <w:t>C</w:t>
      </w:r>
      <w:r>
        <w:rPr>
          <w:color w:val="000000"/>
        </w:rPr>
        <w:t xml:space="preserve"> (</w:t>
      </w:r>
      <w:r w:rsidRPr="00771C52">
        <w:rPr>
          <w:color w:val="000000"/>
        </w:rPr>
        <w:t>‰</w:t>
      </w:r>
      <w:r>
        <w:rPr>
          <w:color w:val="000000"/>
        </w:rPr>
        <w:t>), and is calculated from the following equation:</w:t>
      </w:r>
    </w:p>
    <w:p w14:paraId="1B3FF6F5" w14:textId="77777777" w:rsidR="00BA3A8F" w:rsidRDefault="00BA3A8F" w:rsidP="00BA3A8F">
      <w:pPr>
        <w:autoSpaceDE w:val="0"/>
        <w:autoSpaceDN w:val="0"/>
        <w:adjustRightInd w:val="0"/>
        <w:spacing w:line="480" w:lineRule="auto"/>
        <w:rPr>
          <w:color w:val="000000"/>
        </w:rPr>
      </w:pPr>
    </w:p>
    <w:p w14:paraId="7FF1DDE8" w14:textId="77777777" w:rsidR="00BA3A8F" w:rsidRDefault="00000000" w:rsidP="00BA3A8F">
      <w:pPr>
        <w:autoSpaceDE w:val="0"/>
        <w:autoSpaceDN w:val="0"/>
        <w:adjustRightInd w:val="0"/>
        <w:spacing w:line="480" w:lineRule="auto"/>
        <w:rPr>
          <w:iCs/>
          <w:color w:val="000000"/>
        </w:rPr>
      </w:pPr>
      <m:oMath>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r>
          <w:rPr>
            <w:rFonts w:ascii="Cambria Math" w:hAnsi="Cambria Math"/>
            <w:color w:val="000000"/>
          </w:rPr>
          <m:t>C=</m:t>
        </m:r>
        <m:f>
          <m:fPr>
            <m:ctrlPr>
              <w:rPr>
                <w:rFonts w:ascii="Cambria Math" w:hAnsi="Cambria Math"/>
                <w:i/>
                <w:color w:val="000000"/>
                <w:lang w:val="el-GR"/>
              </w:rPr>
            </m:ctrlPr>
          </m:fPr>
          <m:num>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sSub>
              <m:sSubPr>
                <m:ctrlPr>
                  <w:rPr>
                    <w:rFonts w:ascii="Cambria Math" w:hAnsi="Cambria Math"/>
                    <w:i/>
                    <w:color w:val="000000"/>
                    <w:lang w:val="el-GR"/>
                  </w:rPr>
                </m:ctrlPr>
              </m:sSubPr>
              <m:e>
                <m:r>
                  <w:rPr>
                    <w:rFonts w:ascii="Cambria Math" w:hAnsi="Cambria Math"/>
                    <w:color w:val="000000"/>
                  </w:rPr>
                  <m:t>C</m:t>
                </m:r>
              </m:e>
              <m:sub>
                <m:r>
                  <w:rPr>
                    <w:rFonts w:ascii="Cambria Math" w:hAnsi="Cambria Math"/>
                    <w:color w:val="000000"/>
                    <w:lang w:val="el-GR"/>
                  </w:rPr>
                  <m:t>air</m:t>
                </m:r>
              </m:sub>
            </m:sSub>
            <m:r>
              <w:rPr>
                <w:rFonts w:ascii="Cambria Math" w:hAnsi="Cambria Math"/>
                <w:color w:val="000000"/>
              </w:rPr>
              <m:t>-</m:t>
            </m:r>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sSub>
              <m:sSubPr>
                <m:ctrlPr>
                  <w:rPr>
                    <w:rFonts w:ascii="Cambria Math" w:hAnsi="Cambria Math"/>
                    <w:i/>
                    <w:color w:val="000000"/>
                    <w:lang w:val="el-GR"/>
                  </w:rPr>
                </m:ctrlPr>
              </m:sSubPr>
              <m:e>
                <m:r>
                  <w:rPr>
                    <w:rFonts w:ascii="Cambria Math" w:hAnsi="Cambria Math"/>
                    <w:color w:val="000000"/>
                  </w:rPr>
                  <m:t>C</m:t>
                </m:r>
              </m:e>
              <m:sub>
                <m:r>
                  <w:rPr>
                    <w:rFonts w:ascii="Cambria Math" w:hAnsi="Cambria Math"/>
                    <w:color w:val="000000"/>
                    <w:lang w:val="el-GR"/>
                  </w:rPr>
                  <m:t>leaf</m:t>
                </m:r>
              </m:sub>
            </m:sSub>
          </m:num>
          <m:den>
            <m:r>
              <w:rPr>
                <w:rFonts w:ascii="Cambria Math" w:hAnsi="Cambria Math"/>
                <w:color w:val="000000"/>
              </w:rPr>
              <m:t>1+</m:t>
            </m:r>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sSub>
              <m:sSubPr>
                <m:ctrlPr>
                  <w:rPr>
                    <w:rFonts w:ascii="Cambria Math" w:hAnsi="Cambria Math"/>
                    <w:i/>
                    <w:color w:val="000000"/>
                    <w:lang w:val="el-GR"/>
                  </w:rPr>
                </m:ctrlPr>
              </m:sSubPr>
              <m:e>
                <m:r>
                  <w:rPr>
                    <w:rFonts w:ascii="Cambria Math" w:hAnsi="Cambria Math"/>
                    <w:color w:val="000000"/>
                  </w:rPr>
                  <m:t>C</m:t>
                </m:r>
              </m:e>
              <m:sub>
                <m:r>
                  <w:rPr>
                    <w:rFonts w:ascii="Cambria Math" w:hAnsi="Cambria Math"/>
                    <w:color w:val="000000"/>
                    <w:lang w:val="el-GR"/>
                  </w:rPr>
                  <m:t>leaf</m:t>
                </m:r>
              </m:sub>
            </m:sSub>
          </m:den>
        </m:f>
      </m:oMath>
      <w:r w:rsidR="00BA3A8F" w:rsidRPr="000A7D4E">
        <w:rPr>
          <w:iCs/>
          <w:color w:val="000000"/>
        </w:rPr>
        <w:tab/>
      </w:r>
      <w:r w:rsidR="00BA3A8F" w:rsidRPr="000A7D4E">
        <w:rPr>
          <w:iCs/>
          <w:color w:val="000000"/>
        </w:rPr>
        <w:tab/>
      </w:r>
      <w:r w:rsidR="00BA3A8F" w:rsidRPr="000A7D4E">
        <w:rPr>
          <w:iCs/>
          <w:color w:val="000000"/>
        </w:rPr>
        <w:tab/>
      </w:r>
      <w:r w:rsidR="00BA3A8F" w:rsidRPr="000A7D4E">
        <w:rPr>
          <w:iCs/>
          <w:color w:val="000000"/>
        </w:rPr>
        <w:tab/>
      </w:r>
      <w:r w:rsidR="00BA3A8F" w:rsidRPr="000A7D4E">
        <w:rPr>
          <w:iCs/>
          <w:color w:val="000000"/>
        </w:rPr>
        <w:tab/>
      </w:r>
      <w:r w:rsidR="00BA3A8F" w:rsidRPr="000A7D4E">
        <w:rPr>
          <w:iCs/>
          <w:color w:val="000000"/>
        </w:rPr>
        <w:tab/>
      </w:r>
      <w:r w:rsidR="00BA3A8F" w:rsidRPr="000A7D4E">
        <w:rPr>
          <w:iCs/>
          <w:color w:val="000000"/>
        </w:rPr>
        <w:tab/>
      </w:r>
      <w:r w:rsidR="00BA3A8F" w:rsidRPr="000A7D4E">
        <w:rPr>
          <w:iCs/>
          <w:color w:val="000000"/>
        </w:rPr>
        <w:tab/>
      </w:r>
      <w:r w:rsidR="00BA3A8F">
        <w:rPr>
          <w:iCs/>
          <w:color w:val="000000"/>
        </w:rPr>
        <w:t>(Eqn. 2)</w:t>
      </w:r>
    </w:p>
    <w:p w14:paraId="7CDB035D" w14:textId="77777777" w:rsidR="00BA3A8F" w:rsidRDefault="00BA3A8F" w:rsidP="00BA3A8F">
      <w:pPr>
        <w:autoSpaceDE w:val="0"/>
        <w:autoSpaceDN w:val="0"/>
        <w:adjustRightInd w:val="0"/>
        <w:spacing w:line="480" w:lineRule="auto"/>
        <w:rPr>
          <w:color w:val="000000"/>
        </w:rPr>
      </w:pPr>
    </w:p>
    <w:p w14:paraId="52B1825E" w14:textId="6B28D811" w:rsidR="00BA3A8F" w:rsidRDefault="00BA3A8F" w:rsidP="00BA3A8F">
      <w:pPr>
        <w:autoSpaceDE w:val="0"/>
        <w:autoSpaceDN w:val="0"/>
        <w:adjustRightInd w:val="0"/>
        <w:spacing w:line="480" w:lineRule="auto"/>
        <w:rPr>
          <w:color w:val="000000"/>
        </w:rPr>
      </w:pPr>
      <w:r>
        <w:rPr>
          <w:color w:val="000000"/>
        </w:rPr>
        <w:t xml:space="preserve">where </w:t>
      </w:r>
      <w:r>
        <w:rPr>
          <w:color w:val="000000"/>
          <w:lang w:val="el-GR"/>
        </w:rPr>
        <w:t>δ</w:t>
      </w:r>
      <w:r w:rsidRPr="00F72660">
        <w:rPr>
          <w:color w:val="000000"/>
          <w:vertAlign w:val="superscript"/>
        </w:rPr>
        <w:t>13</w:t>
      </w:r>
      <w:r>
        <w:rPr>
          <w:color w:val="000000"/>
        </w:rPr>
        <w:t>C</w:t>
      </w:r>
      <w:r>
        <w:rPr>
          <w:color w:val="000000"/>
          <w:vertAlign w:val="subscript"/>
        </w:rPr>
        <w:t>air</w:t>
      </w:r>
      <w:r>
        <w:rPr>
          <w:color w:val="000000"/>
        </w:rPr>
        <w:t xml:space="preserve"> is assumed to be -8</w:t>
      </w:r>
      <w:r w:rsidRPr="00771C52">
        <w:rPr>
          <w:color w:val="000000"/>
        </w:rPr>
        <w:t>‰</w:t>
      </w:r>
      <w:r>
        <w:rPr>
          <w:color w:val="000000"/>
        </w:rPr>
        <w:t xml:space="preserve"> </w:t>
      </w:r>
      <w:r>
        <w:rPr>
          <w:color w:val="000000"/>
        </w:rPr>
        <w:fldChar w:fldCharType="begin" w:fldLock="1"/>
      </w:r>
      <w:r>
        <w:rPr>
          <w:color w:val="000000"/>
        </w:rPr>
        <w:instrText>ADDIN CSL_CITATION {"citationItems":[{"id":"ITEM-1","itemData":{"DOI":"10.1146/annurev.pp.40.060189.002443","ISSN":"1040-2519","author":[{"dropping-particle":"","family":"Farquhar","given":"Graham D","non-dropping-particle":"","parse-names":false,"suffix":""},{"dropping-particle":"","family":"Ehleringer","given":"J R","non-dropping-particle":"","parse-names":false,"suffix":""},{"dropping-particle":"","family":"Hubick","given":"K T","non-dropping-particle":"","parse-names":false,"suffix":""}],"container-title":"Annual Review of Plant Physiology and Plant Molecular Biology","id":"ITEM-1","issue":"1","issued":{"date-parts":[["1989","6"]]},"page":"503-537","title":"Carbon isotope discrimination and photosynthesis","type":"article-journal","volume":"40"},"uris":["http://www.mendeley.com/documents/?uuid=d77967cc-0b2e-490f-ab7d-545a165fb29b"]},{"id":"ITEM-2","itemData":{"DOI":"10.1038/277121a0","ISSN":"0028-0836","author":[{"dropping-particle":"","family":"Keeling","given":"Charles D","non-dropping-particle":"","parse-names":false,"suffix":""},{"dropping-particle":"","family":"Mook","given":"Wim G","non-dropping-particle":"","parse-names":false,"suffix":""},{"dropping-particle":"","family":"Tans","given":"Pieter P","non-dropping-particle":"","parse-names":false,"suffix":""}],"container-title":"Nature","id":"ITEM-2","issue":"5692","issued":{"date-parts":[["1979","1","1"]]},"page":"121-123","title":"Recent trends in the &lt;sup&gt;13&lt;/sup&gt;C/&lt;sup&gt;12&lt;/sup&gt;C ratio of atmospheric carbon dioxide","type":"article-journal","volume":"277"},"uris":["http://www.mendeley.com/documents/?uuid=5b753373-5952-40b2-8d1c-5f652cc2a382"]}],"mendeley":{"formattedCitation":"(Farquhar et al., 1989; Keeling et al., 1979)","plainTextFormattedCitation":"(Farquhar et al., 1989; Keeling et al., 1979)","previouslyFormattedCitation":"(Farquhar et al., 1989; Keeling et al., 1979)"},"properties":{"noteIndex":0},"schema":"https://github.com/citation-style-language/schema/raw/master/csl-citation.json"}</w:instrText>
      </w:r>
      <w:r>
        <w:rPr>
          <w:color w:val="000000"/>
        </w:rPr>
        <w:fldChar w:fldCharType="separate"/>
      </w:r>
      <w:r w:rsidRPr="00025DC6">
        <w:rPr>
          <w:noProof/>
          <w:color w:val="000000"/>
        </w:rPr>
        <w:t>(Farquhar et al., 1989; Keeling et al., 1979)</w:t>
      </w:r>
      <w:r>
        <w:rPr>
          <w:color w:val="000000"/>
        </w:rPr>
        <w:fldChar w:fldCharType="end"/>
      </w:r>
      <w:r>
        <w:rPr>
          <w:color w:val="000000"/>
        </w:rPr>
        <w:t xml:space="preserve">, </w:t>
      </w:r>
      <w:r w:rsidRPr="002363D4">
        <w:rPr>
          <w:i/>
          <w:iCs/>
          <w:color w:val="000000"/>
        </w:rPr>
        <w:t>a</w:t>
      </w:r>
      <w:r>
        <w:rPr>
          <w:color w:val="000000"/>
        </w:rPr>
        <w:t xml:space="preserve"> represents the fractionation between </w:t>
      </w:r>
      <w:r>
        <w:rPr>
          <w:color w:val="000000"/>
          <w:vertAlign w:val="superscript"/>
        </w:rPr>
        <w:t>12</w:t>
      </w:r>
      <w:r>
        <w:rPr>
          <w:color w:val="000000"/>
        </w:rPr>
        <w:t xml:space="preserve">C and </w:t>
      </w:r>
      <w:r>
        <w:rPr>
          <w:color w:val="000000"/>
          <w:vertAlign w:val="superscript"/>
        </w:rPr>
        <w:t>13</w:t>
      </w:r>
      <w:r>
        <w:rPr>
          <w:color w:val="000000"/>
        </w:rPr>
        <w:t>C due to diffusion in air, assumed to be 4.4</w:t>
      </w:r>
      <w:r w:rsidRPr="00771C52">
        <w:rPr>
          <w:color w:val="000000"/>
        </w:rPr>
        <w:t>‰</w:t>
      </w:r>
      <w:r>
        <w:rPr>
          <w:color w:val="000000"/>
        </w:rPr>
        <w:t xml:space="preserve">, and </w:t>
      </w:r>
      <w:r>
        <w:rPr>
          <w:i/>
          <w:iCs/>
          <w:color w:val="000000"/>
        </w:rPr>
        <w:t>b</w:t>
      </w:r>
      <w:r>
        <w:rPr>
          <w:color w:val="000000"/>
        </w:rPr>
        <w:t xml:space="preserve"> represents the fractionation caused by Rubisco carboxylation, assumed to be 27</w:t>
      </w:r>
      <w:r w:rsidRPr="00771C52">
        <w:rPr>
          <w:color w:val="000000"/>
        </w:rPr>
        <w:t>‰</w:t>
      </w:r>
      <w:r>
        <w:rPr>
          <w:color w:val="000000"/>
        </w:rPr>
        <w:t xml:space="preserve"> </w:t>
      </w:r>
      <w:r>
        <w:rPr>
          <w:color w:val="000000"/>
        </w:rPr>
        <w:fldChar w:fldCharType="begin" w:fldLock="1"/>
      </w:r>
      <w:r>
        <w:rPr>
          <w:color w:val="000000"/>
        </w:rPr>
        <w:instrText>ADDIN CSL_CITATION {"citationItems":[{"id":"ITEM-1","itemData":{"DOI":"10.1146/annurev.pp.40.060189.002443","ISSN":"1040-2519","author":[{"dropping-particle":"","family":"Farquhar","given":"Graham D","non-dropping-particle":"","parse-names":false,"suffix":""},{"dropping-particle":"","family":"Ehleringer","given":"J R","non-dropping-particle":"","parse-names":false,"suffix":""},{"dropping-particle":"","family":"Hubick","given":"K T","non-dropping-particle":"","parse-names":false,"suffix":""}],"container-title":"Annual Review of Plant Physiology and Plant Molecular Biology","id":"ITEM-1","issue":"1","issued":{"date-parts":[["1989","6"]]},"page":"503-537","title":"Carbon isotope discrimination and photosynthesis","type":"article-journal","volume":"40"},"uris":["http://www.mendeley.com/documents/?uuid=d77967cc-0b2e-490f-ab7d-545a165fb29b"]}],"mendeley":{"formattedCitation":"(Farquhar et al., 1989)","plainTextFormattedCitation":"(Farquhar et al., 1989)","previouslyFormattedCitation":"(Farquhar et al., 1989)"},"properties":{"noteIndex":0},"schema":"https://github.com/citation-style-language/schema/raw/master/csl-citation.json"}</w:instrText>
      </w:r>
      <w:r>
        <w:rPr>
          <w:color w:val="000000"/>
        </w:rPr>
        <w:fldChar w:fldCharType="separate"/>
      </w:r>
      <w:r w:rsidRPr="006344D3">
        <w:rPr>
          <w:noProof/>
          <w:color w:val="000000"/>
        </w:rPr>
        <w:t>(Farquhar et al., 1989)</w:t>
      </w:r>
      <w:r>
        <w:rPr>
          <w:color w:val="000000"/>
        </w:rPr>
        <w:fldChar w:fldCharType="end"/>
      </w:r>
      <w:r>
        <w:rPr>
          <w:color w:val="000000"/>
        </w:rPr>
        <w:t>.</w:t>
      </w:r>
    </w:p>
    <w:p w14:paraId="45570FBA" w14:textId="64D98A8F" w:rsidR="002034D4" w:rsidRDefault="002034D4" w:rsidP="00F42BEB">
      <w:pPr>
        <w:spacing w:line="480" w:lineRule="auto"/>
      </w:pPr>
    </w:p>
    <w:p w14:paraId="50AF4FD3" w14:textId="77777777" w:rsidR="00BA3A8F" w:rsidRPr="00863849" w:rsidRDefault="00BA3A8F" w:rsidP="0091040E">
      <w:pPr>
        <w:spacing w:line="480" w:lineRule="auto"/>
        <w:rPr>
          <w:i/>
          <w:iCs/>
          <w:color w:val="000000"/>
        </w:rPr>
      </w:pPr>
      <w:r w:rsidRPr="00DB6582">
        <w:rPr>
          <w:i/>
          <w:iCs/>
          <w:color w:val="000000"/>
        </w:rPr>
        <w:t>A</w:t>
      </w:r>
      <w:r w:rsidRPr="006337C2">
        <w:rPr>
          <w:color w:val="000000"/>
        </w:rPr>
        <w:t>/</w:t>
      </w:r>
      <w:r w:rsidRPr="00DB6582">
        <w:rPr>
          <w:i/>
          <w:iCs/>
          <w:color w:val="000000"/>
        </w:rPr>
        <w:t>C</w:t>
      </w:r>
      <w:r w:rsidRPr="00242E06">
        <w:rPr>
          <w:color w:val="000000"/>
          <w:vertAlign w:val="subscript"/>
        </w:rPr>
        <w:t>i</w:t>
      </w:r>
      <w:r w:rsidRPr="00B4175E" w:rsidDel="001E1D90">
        <w:rPr>
          <w:i/>
          <w:iCs/>
          <w:color w:val="000000"/>
        </w:rPr>
        <w:t xml:space="preserve"> </w:t>
      </w:r>
      <w:r>
        <w:rPr>
          <w:i/>
          <w:iCs/>
          <w:color w:val="000000"/>
        </w:rPr>
        <w:t>curve-fitting and parameter estimation</w:t>
      </w:r>
    </w:p>
    <w:p w14:paraId="546B2516" w14:textId="6B8966E6" w:rsidR="0091040E" w:rsidRDefault="00BA3A8F" w:rsidP="0091040E">
      <w:pPr>
        <w:spacing w:line="480" w:lineRule="auto"/>
        <w:ind w:firstLine="720"/>
        <w:rPr>
          <w:color w:val="000000"/>
        </w:rPr>
      </w:pPr>
      <w:r>
        <w:rPr>
          <w:color w:val="000000"/>
        </w:rPr>
        <w:t xml:space="preserve">We fit </w:t>
      </w:r>
      <w:r w:rsidR="00DB7CDA">
        <w:rPr>
          <w:color w:val="000000"/>
        </w:rPr>
        <w:t xml:space="preserve">dynamic </w:t>
      </w:r>
      <w:proofErr w:type="spellStart"/>
      <w:r w:rsidRPr="00DB6582">
        <w:rPr>
          <w:i/>
          <w:iCs/>
          <w:color w:val="000000"/>
        </w:rPr>
        <w:t>A</w:t>
      </w:r>
      <w:r>
        <w:rPr>
          <w:color w:val="000000"/>
          <w:vertAlign w:val="subscript"/>
        </w:rPr>
        <w:t>net</w:t>
      </w:r>
      <w:proofErr w:type="spellEnd"/>
      <w:r w:rsidRPr="006337C2">
        <w:rPr>
          <w:color w:val="000000"/>
        </w:rPr>
        <w:t>/</w:t>
      </w:r>
      <w:r w:rsidRPr="00DB6582">
        <w:rPr>
          <w:i/>
          <w:iCs/>
          <w:color w:val="000000"/>
        </w:rPr>
        <w:t>C</w:t>
      </w:r>
      <w:r w:rsidRPr="00242E06">
        <w:rPr>
          <w:color w:val="000000"/>
          <w:vertAlign w:val="subscript"/>
        </w:rPr>
        <w:t>i</w:t>
      </w:r>
      <w:r w:rsidRPr="00863849">
        <w:rPr>
          <w:color w:val="000000"/>
        </w:rPr>
        <w:t xml:space="preserve"> curves of each individual</w:t>
      </w:r>
      <w:r>
        <w:rPr>
          <w:color w:val="000000"/>
        </w:rPr>
        <w:t xml:space="preserve"> using a custom-built function in R that estimates the maximum rate of Rubisco carboxylation</w:t>
      </w:r>
      <w:r w:rsidRPr="00863849">
        <w:rPr>
          <w:color w:val="000000"/>
        </w:rPr>
        <w:t xml:space="preserve"> (</w:t>
      </w:r>
      <w:r w:rsidRPr="00DB6582">
        <w:rPr>
          <w:i/>
          <w:iCs/>
          <w:color w:val="000000"/>
        </w:rPr>
        <w:t>V</w:t>
      </w:r>
      <w:r w:rsidRPr="00275258">
        <w:rPr>
          <w:color w:val="000000"/>
          <w:vertAlign w:val="subscript"/>
        </w:rPr>
        <w:t>cmax</w:t>
      </w:r>
      <w:r w:rsidRPr="00863849">
        <w:rPr>
          <w:color w:val="000000"/>
        </w:rPr>
        <w:t>; µmol</w:t>
      </w:r>
      <w:r>
        <w:rPr>
          <w:color w:val="000000"/>
        </w:rPr>
        <w:t xml:space="preserve"> </w:t>
      </w:r>
      <w:r w:rsidRPr="00863849">
        <w:rPr>
          <w:color w:val="000000"/>
        </w:rPr>
        <w:t>m</w:t>
      </w:r>
      <w:r w:rsidRPr="00863849">
        <w:rPr>
          <w:color w:val="000000"/>
          <w:vertAlign w:val="superscript"/>
        </w:rPr>
        <w:t>-2</w:t>
      </w:r>
      <w:r w:rsidRPr="00863849">
        <w:rPr>
          <w:color w:val="000000"/>
        </w:rPr>
        <w:t xml:space="preserve"> s</w:t>
      </w:r>
      <w:r w:rsidRPr="00863849">
        <w:rPr>
          <w:color w:val="000000"/>
          <w:vertAlign w:val="superscript"/>
        </w:rPr>
        <w:t>-1</w:t>
      </w:r>
      <w:r w:rsidRPr="00863849">
        <w:rPr>
          <w:color w:val="000000"/>
        </w:rPr>
        <w:t>) and maximum rate of electron transport for RuBP regeneration (</w:t>
      </w:r>
      <w:r w:rsidRPr="00DB6582">
        <w:rPr>
          <w:i/>
          <w:iCs/>
        </w:rPr>
        <w:t>J</w:t>
      </w:r>
      <w:r w:rsidRPr="00275258">
        <w:rPr>
          <w:vertAlign w:val="subscript"/>
        </w:rPr>
        <w:t>max</w:t>
      </w:r>
      <w:r w:rsidRPr="00863849">
        <w:rPr>
          <w:color w:val="000000"/>
        </w:rPr>
        <w:t>; µmol</w:t>
      </w:r>
      <w:r>
        <w:rPr>
          <w:color w:val="000000"/>
        </w:rPr>
        <w:t xml:space="preserve"> </w:t>
      </w:r>
      <w:r w:rsidRPr="00863849">
        <w:rPr>
          <w:color w:val="000000"/>
        </w:rPr>
        <w:t>m</w:t>
      </w:r>
      <w:r w:rsidRPr="00863849">
        <w:rPr>
          <w:color w:val="000000"/>
          <w:vertAlign w:val="superscript"/>
        </w:rPr>
        <w:t>-2</w:t>
      </w:r>
      <w:r w:rsidRPr="00863849">
        <w:rPr>
          <w:color w:val="000000"/>
        </w:rPr>
        <w:t xml:space="preserve"> s</w:t>
      </w:r>
      <w:r w:rsidRPr="00863849">
        <w:rPr>
          <w:color w:val="000000"/>
          <w:vertAlign w:val="superscript"/>
        </w:rPr>
        <w:t>-1</w:t>
      </w:r>
      <w:r w:rsidRPr="00863849">
        <w:rPr>
          <w:color w:val="000000"/>
        </w:rPr>
        <w:t>) based on</w:t>
      </w:r>
      <w:r>
        <w:rPr>
          <w:color w:val="000000"/>
        </w:rPr>
        <w:t xml:space="preserve"> equations in</w:t>
      </w:r>
      <w:r w:rsidRPr="00863849">
        <w:rPr>
          <w:color w:val="000000"/>
        </w:rPr>
        <w:t xml:space="preserve"> the Farquhar, von Caemmerer, and Berry biochemical model of C</w:t>
      </w:r>
      <w:r w:rsidRPr="00863849">
        <w:rPr>
          <w:color w:val="000000"/>
          <w:vertAlign w:val="subscript"/>
        </w:rPr>
        <w:t>3</w:t>
      </w:r>
      <w:r w:rsidRPr="00863849">
        <w:rPr>
          <w:color w:val="000000"/>
        </w:rPr>
        <w:t xml:space="preserve"> photosynthesis </w:t>
      </w:r>
      <w:r>
        <w:rPr>
          <w:color w:val="000000"/>
        </w:rPr>
        <w:fldChar w:fldCharType="begin" w:fldLock="1"/>
      </w:r>
      <w:r>
        <w:rPr>
          <w:color w:val="000000"/>
        </w:rPr>
        <w:instrText>ADDIN CSL_CITATION {"citationItems":[{"id":"ITEM-1","itemData":{"DOI":"10.1007/BF00386231","ISSN":"0032-0935","author":[{"dropping-particle":"","family":"Farquhar","given":"Graham D","non-dropping-particle":"","parse-names":false,"suffix":""},{"dropping-particle":"","family":"Caemmerer","given":"Susanne","non-dropping-particle":"von","parse-names":false,"suffix":""},{"dropping-particle":"","family":"Berry","given":"Joe A","non-dropping-particle":"","parse-names":false,"suffix":""}],"container-title":"Planta","id":"ITEM-1","issue":"1","issued":{"date-parts":[["1980","6"]]},"page":"78-90","title":"A biochemical model of photosynthetic CO&lt;i&gt;2&lt;/i&gt; assimilation in leaves of C3 species","type":"article-journal","volume":"149"},"uris":["http://www.mendeley.com/documents/?uuid=2717909d-c70a-4937-a66c-ae5cfba2cde5"]}],"mendeley":{"formattedCitation":"(Farquhar et al., 1980)","plainTextFormattedCitation":"(Farquhar et al., 1980)","previouslyFormattedCitation":"(Farquhar et al., 1980)"},"properties":{"noteIndex":0},"schema":"https://github.com/citation-style-language/schema/raw/master/csl-citation.json"}</w:instrText>
      </w:r>
      <w:r>
        <w:rPr>
          <w:color w:val="000000"/>
        </w:rPr>
        <w:fldChar w:fldCharType="separate"/>
      </w:r>
      <w:r w:rsidRPr="006344D3">
        <w:rPr>
          <w:noProof/>
          <w:color w:val="000000"/>
        </w:rPr>
        <w:t>(Farquhar et al., 1980)</w:t>
      </w:r>
      <w:r>
        <w:rPr>
          <w:color w:val="000000"/>
        </w:rPr>
        <w:fldChar w:fldCharType="end"/>
      </w:r>
      <w:r w:rsidRPr="00863849">
        <w:rPr>
          <w:color w:val="000000"/>
        </w:rPr>
        <w:t>.</w:t>
      </w:r>
      <w:r>
        <w:rPr>
          <w:color w:val="000000"/>
        </w:rPr>
        <w:t xml:space="preserve"> For each curve fit, we removed points along the curve that we visually inferred as TPU limited points</w:t>
      </w:r>
      <w:r>
        <w:t>. Kinetic parameters and CO</w:t>
      </w:r>
      <w:r>
        <w:rPr>
          <w:vertAlign w:val="subscript"/>
        </w:rPr>
        <w:t>2</w:t>
      </w:r>
      <w:r>
        <w:t xml:space="preserve"> compensation points were estimated using leaf temperature and equations derived in </w:t>
      </w:r>
      <w:r>
        <w:fldChar w:fldCharType="begin" w:fldLock="1"/>
      </w:r>
      <w:r w:rsidR="007B67A6">
        <w:instrText>ADDIN CSL_CITATION {"citationItems":[{"id":"ITEM-1","itemData":{"DOI":"10.1046/j.1365-3040.2001.00668.x","ISSN":"01407791","abstract":"Predicting the environmental responses of leaf photosynthesis is central to many models of changes in the future global carbon cycle and terrestrial biosphere. The steady-state biochemical model of C-3 photosynthesis of Farquhar et al. (Planta 149, 78-90, 1980) provides a basis for these larger scale predictions; but a weakness in the application of the model as currently parameterized is the inability to accurately predict carbon assimilation at the range of temperatures over which significant photosynthesis occurs in the natural environment. The temperature functions used in this model have been based on in vitro measurements made over a limited temperature range and require several assumptions of in vivo conditions. Since photosynthetic rates are often Rubisco-limited (ribulose, 1-5 bisphosphate carboxylase/oxygenase) under natural steady-state conditions, inaccuracies in the functions predicting Rubisco kinetic properties at different temperatures may cause significant error. In this study, transgenic tobacco containing only 10% normal levels of Rubisco were used to measure Rubisco-limited photosynthesis over a large range of CO2 concentrations. From the responses of the rate of CO2 assimilation at a wide range of temperatures, and CO2 and O-2 concentrations, the temperature functions of Rubisco kinetic properties were estimated in vivo. These differed substantially from previously published functions. These new functions were then used to predict photosynthesis in lemon and found to faithfully mimic the observed pattern of temperature response. There was also a close correspondence with published C-3 photosynthesis temperature responses. The results represent an improved ability to model leaf photosynthesis over a wide range of temperatures (10-40 degreesC) necessary for predicting carbon uptake by terrestrial C-3 systems.","author":[{"dropping-particle":"","family":"Bernacchi","given":"Carl J","non-dropping-particle":"","parse-names":false,"suffix":""},{"dropping-particle":"","family":"Singsaas","given":"Eric L","non-dropping-particle":"","parse-names":false,"suffix":""},{"dropping-particle":"","family":"Pimentel","given":"Carlos","non-dropping-particle":"","parse-names":false,"suffix":""},{"dropping-particle":"","family":"Portis","given":"Archie R","non-dropping-particle":"","parse-names":false,"suffix":""},{"dropping-particle":"","family":"Long","given":"Stephen P","non-dropping-particle":"","parse-names":false,"suffix":""}],"container-title":"Plant, Cell and Environment","id":"ITEM-1","issue":"2","issued":{"date-parts":[["2001"]]},"page":"253-259","title":"Improved temperature response functions for models of Rubisco-limited photosynthesis","type":"article-journal","volume":"24"},"uris":["http://www.mendeley.com/documents/?uuid=ccd6a28a-9e53-4361-b47f-71144c38a242"]}],"mendeley":{"formattedCitation":"(Bernacchi et al., 2001)","manualFormatting":"Bernacchi et al. (2001)","plainTextFormattedCitation":"(Bernacchi et al., 2001)","previouslyFormattedCitation":"(Bernacchi et al., 2001)"},"properties":{"noteIndex":0},"schema":"https://github.com/citation-style-language/schema/raw/master/csl-citation.json"}</w:instrText>
      </w:r>
      <w:r>
        <w:fldChar w:fldCharType="separate"/>
      </w:r>
      <w:r w:rsidRPr="00BA3A8F">
        <w:rPr>
          <w:noProof/>
        </w:rPr>
        <w:t xml:space="preserve">Bernacchi et al. </w:t>
      </w:r>
      <w:r>
        <w:rPr>
          <w:noProof/>
        </w:rPr>
        <w:t>(</w:t>
      </w:r>
      <w:r w:rsidRPr="00BA3A8F">
        <w:rPr>
          <w:noProof/>
        </w:rPr>
        <w:t>2001)</w:t>
      </w:r>
      <w:r>
        <w:fldChar w:fldCharType="end"/>
      </w:r>
      <w:r>
        <w:t xml:space="preserve"> and </w:t>
      </w:r>
      <w:r>
        <w:fldChar w:fldCharType="begin" w:fldLock="1"/>
      </w:r>
      <w:r>
        <w:instrText>ADDIN CSL_CITATION {"citationItems":[{"id":"ITEM-1","itemData":{"DOI":"10.1046/j.1365-3040.2002.00891.x","ISSN":"01407791","author":[{"dropping-particle":"","family":"Medlyn","given":"Belinda E","non-dropping-particle":"","parse-names":false,"suffix":""},{"dropping-particle":"","family":"Dreyer","given":"Erwin","non-dropping-particle":"","parse-names":false,"suffix":""},{"dropping-particle":"","family":"Ellsworth","given":"David S","non-dropping-particle":"","parse-names":false,"suffix":""},{"dropping-particle":"","family":"Forstreuter","given":"Manfred","non-dropping-particle":"","parse-names":false,"suffix":""},{"dropping-particle":"","family":"Harley","given":"Peter C","non-dropping-particle":"","parse-names":false,"suffix":""},{"dropping-particle":"","family":"Kirschbaum","given":"Miko U F","non-dropping-particle":"","parse-names":false,"suffix":""},{"dropping-particle":"","family":"Roux","given":"Xavier","non-dropping-particle":"Le","parse-names":false,"suffix":""},{"dropping-particle":"","family":"Montpied","given":"Pierre","non-dropping-particle":"","parse-names":false,"suffix":""},{"dropping-particle":"","family":"Strassemeyer","given":"Jörn","non-dropping-particle":"","parse-names":false,"suffix":""},{"dropping-particle":"","family":"Walcroft","given":"A.","non-dropping-particle":"","parse-names":false,"suffix":""},{"dropping-particle":"","family":"Wang","given":"K","non-dropping-particle":"","parse-names":false,"suffix":""},{"dropping-particle":"","family":"Loustau","given":"Denis","non-dropping-particle":"","parse-names":false,"suffix":""}],"container-title":"Plant, Cell &amp; Environment","id":"ITEM-1","issue":"9","issued":{"date-parts":[["2002","9"]]},"page":"1167-1179","title":"Temperature response of parameters of a biochemically based model of photosynthesis. II. A review of experimental data","type":"article-journal","volume":"25"},"uris":["http://www.mendeley.com/documents/?uuid=f142b2ba-b924-4247-ad80-0bb3c892ffdc"]}],"mendeley":{"formattedCitation":"(Medlyn et al., 2002)","manualFormatting":"Medlyn et al. (2002)","plainTextFormattedCitation":"(Medlyn et al., 2002)","previouslyFormattedCitation":"(Medlyn et al., 2002)"},"properties":{"noteIndex":0},"schema":"https://github.com/citation-style-language/schema/raw/master/csl-citation.json"}</w:instrText>
      </w:r>
      <w:r>
        <w:fldChar w:fldCharType="separate"/>
      </w:r>
      <w:r w:rsidRPr="0031233C">
        <w:rPr>
          <w:noProof/>
        </w:rPr>
        <w:t xml:space="preserve">Medlyn et al. </w:t>
      </w:r>
      <w:r>
        <w:rPr>
          <w:noProof/>
        </w:rPr>
        <w:t>(</w:t>
      </w:r>
      <w:r w:rsidRPr="0031233C">
        <w:rPr>
          <w:noProof/>
        </w:rPr>
        <w:t>2002)</w:t>
      </w:r>
      <w:r>
        <w:fldChar w:fldCharType="end"/>
      </w:r>
      <w:r>
        <w:t xml:space="preserve">. We also included dark respiration survey measurements in our curve fits, which </w:t>
      </w:r>
      <w:r w:rsidR="0091040E">
        <w:t xml:space="preserve">optimized Rubisco-limited photosynthesis and electron transport limited photosynthesis fits. </w:t>
      </w:r>
      <w:r w:rsidR="00DB7CDA">
        <w:t>W</w:t>
      </w:r>
      <w:r w:rsidR="0091040E">
        <w:t>e standardized dark respiration measurements to the average temperature of each respective dynamic CO</w:t>
      </w:r>
      <w:r w:rsidR="0091040E">
        <w:rPr>
          <w:vertAlign w:val="subscript"/>
        </w:rPr>
        <w:t xml:space="preserve">2 </w:t>
      </w:r>
      <w:r w:rsidR="0091040E">
        <w:t xml:space="preserve">response curve following the </w:t>
      </w:r>
      <w:r w:rsidR="0091040E">
        <w:rPr>
          <w:color w:val="000000"/>
        </w:rPr>
        <w:t xml:space="preserve">using a log-polynomial approach explained in </w:t>
      </w:r>
      <w:r w:rsidR="0091040E">
        <w:rPr>
          <w:color w:val="000000"/>
        </w:rPr>
        <w:fldChar w:fldCharType="begin" w:fldLock="1"/>
      </w:r>
      <w:r w:rsidR="0091040E">
        <w:rPr>
          <w:color w:val="000000"/>
        </w:rPr>
        <w:instrText>ADDIN CSL_CITATION {"citationItems":[{"id":"ITEM-1","itemData":{"DOI":"10.1073/pnas.1520282113","ISSN":"0027-8424","abstract":"Plant respiration constitutes a massive carbon flux to the atmosphere, and a major control on the evolution of the global carbon cycle. It therefore has the potential to modulate levels of climate change due to the human burning of fossil fuels. Neither current physiological nor terrestrial biosphere models adequately describe its short-term temperature response, and even minor differences in the shape of the response curve can significantly impact estimates of ecosystem carbon release and/or storage. Given this, it is critical to establish whether there are predictable patterns in the shape of the respiration–temperature response curve, and thus in the intrinsic temperature sensitivity of respiration across the globe. Analyzing measurements in a comprehensive database for 231 species spanning 7 biomes, we demonstrate that temperature-dependent increases in leaf respiration do not follow a commonly used exponential function. Instead, we find a decelerating function as leaves warm, reflecting a declining sensitivity to higher temperatures that is remarkably uniform across all biomes and plant functional types. Such convergence in the temperature sensitivity of leaf respiration suggests that there are universally applicable controls on the temperature response of plant energy metabolism, such that a single new function can predict the temperature dependence of leaf respiration for global vegetation. This simple function enables straightforward description of plant respiration in the land-surface components of coupled earth system models. Our cross-biome analyses shows significant implications for such fluxes in cold climates, generally projecting lower values compared with previous estimates.","author":[{"dropping-particle":"","family":"Heskel","given":"Mary A","non-dropping-particle":"","parse-names":false,"suffix":""},{"dropping-particle":"","family":"O’Sullivan","given":"Odhran S","non-dropping-particle":"","parse-names":false,"suffix":""},{"dropping-particle":"","family":"Reich","given":"Peter B","non-dropping-particle":"","parse-names":false,"suffix":""},{"dropping-particle":"","family":"Tjoelker","given":"Mark G","non-dropping-particle":"","parse-names":false,"suffix":""},{"dropping-particle":"","family":"Weerasinghe","given":"K W Lasantha K","non-dropping-particle":"","parse-names":false,"suffix":""},{"dropping-particle":"","family":"Penillard","given":"Aurore","non-dropping-particle":"","parse-names":false,"suffix":""},{"dropping-particle":"","family":"Egerton","given":"John J G","non-dropping-particle":"","parse-names":false,"suffix":""},{"dropping-particle":"","family":"Creek","given":"Danielle","non-dropping-particle":"","parse-names":false,"suffix":""},{"dropping-particle":"","family":"Bloomfield","given":"Keith J","non-dropping-particle":"","parse-names":false,"suffix":""},{"dropping-particle":"","family":"Xiang","given":"Jen","non-dropping-particle":"","parse-names":false,"suffix":""},{"dropping-particle":"","family":"Sinca","given":"Felipe","non-dropping-particle":"","parse-names":false,"suffix":""},{"dropping-particle":"","family":"Stangl","given":"Zsofia R","non-dropping-particle":"","parse-names":false,"suffix":""},{"dropping-particle":"","family":"Martinez-de la Torre","given":"Alberto","non-dropping-particle":"","parse-names":false,"suffix":""},{"dropping-particle":"","family":"Griffin","given":"Kevin L","non-dropping-particle":"","parse-names":false,"suffix":""},{"dropping-particle":"","family":"Huntingford","given":"Chris","non-dropping-particle":"","parse-names":false,"suffix":""},{"dropping-particle":"","family":"Hurry","given":"Vaughan","non-dropping-particle":"","parse-names":false,"suffix":""},{"dropping-particle":"","family":"Meir","given":"Patrick","non-dropping-particle":"","parse-names":false,"suffix":""},{"dropping-particle":"","family":"Turnbull","given":"Matthew H","non-dropping-particle":"","parse-names":false,"suffix":""},{"dropping-particle":"","family":"Atkin","given":"Owen K","non-dropping-particle":"","parse-names":false,"suffix":""}],"container-title":"Proceedings of the National Academy of Sciences","id":"ITEM-1","issue":"14","issued":{"date-parts":[["2016","4","5"]]},"page":"3832-3837","title":"Convergence in the temperature response of leaf respiration across biomes and plant functional types","type":"article-journal","volume":"113"},"uris":["http://www.mendeley.com/documents/?uuid=e77ebbb1-5199-47a8-b370-deee6548aa9a"]}],"mendeley":{"formattedCitation":"(Heskel et al., 2016)","manualFormatting":"Heskel et al. (2016)","plainTextFormattedCitation":"(Heskel et al., 2016)","previouslyFormattedCitation":"(Heskel et al., 2016)"},"properties":{"noteIndex":0},"schema":"https://github.com/citation-style-language/schema/raw/master/csl-citation.json"}</w:instrText>
      </w:r>
      <w:r w:rsidR="0091040E">
        <w:rPr>
          <w:color w:val="000000"/>
        </w:rPr>
        <w:fldChar w:fldCharType="separate"/>
      </w:r>
      <w:r w:rsidR="0091040E" w:rsidRPr="00166B47">
        <w:rPr>
          <w:noProof/>
          <w:color w:val="000000"/>
        </w:rPr>
        <w:t xml:space="preserve">Heskel </w:t>
      </w:r>
      <w:r w:rsidR="0091040E" w:rsidRPr="00166B47">
        <w:rPr>
          <w:i/>
          <w:noProof/>
          <w:color w:val="000000"/>
        </w:rPr>
        <w:t>et al.</w:t>
      </w:r>
      <w:r w:rsidR="0091040E">
        <w:rPr>
          <w:noProof/>
          <w:color w:val="000000"/>
        </w:rPr>
        <w:t xml:space="preserve"> (</w:t>
      </w:r>
      <w:r w:rsidR="0091040E" w:rsidRPr="00166B47">
        <w:rPr>
          <w:noProof/>
          <w:color w:val="000000"/>
        </w:rPr>
        <w:t>2016)</w:t>
      </w:r>
      <w:r w:rsidR="0091040E">
        <w:rPr>
          <w:color w:val="000000"/>
        </w:rPr>
        <w:fldChar w:fldCharType="end"/>
      </w:r>
      <w:r w:rsidR="0091040E">
        <w:rPr>
          <w:color w:val="000000"/>
        </w:rPr>
        <w:t>, where:</w:t>
      </w:r>
    </w:p>
    <w:p w14:paraId="2D7AAD29" w14:textId="77777777" w:rsidR="0091040E" w:rsidRDefault="0091040E" w:rsidP="0091040E">
      <w:pPr>
        <w:spacing w:line="480" w:lineRule="auto"/>
        <w:ind w:firstLine="720"/>
        <w:rPr>
          <w:color w:val="000000"/>
        </w:rPr>
      </w:pPr>
    </w:p>
    <w:p w14:paraId="5651D483" w14:textId="3FE6D7FF" w:rsidR="0091040E" w:rsidRPr="00A46FE6" w:rsidRDefault="00000000" w:rsidP="0091040E">
      <w:pPr>
        <w:spacing w:line="480" w:lineRule="auto"/>
        <w:rPr>
          <w:rFonts w:eastAsiaTheme="minorEastAsia"/>
          <w:color w:val="000000"/>
        </w:rPr>
      </w:pP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T</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Tref</m:t>
            </m:r>
          </m:sub>
        </m:sSub>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e>
            </m:d>
            <m:r>
              <w:rPr>
                <w:rFonts w:ascii="Cambria Math" w:hAnsi="Cambria Math"/>
                <w:color w:val="000000"/>
              </w:rPr>
              <m:t>-c(</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2</m:t>
                </m:r>
              </m:sup>
            </m:sSup>
            <m:r>
              <w:rPr>
                <w:rFonts w:ascii="Cambria Math" w:hAnsi="Cambria Math"/>
                <w:color w:val="000000"/>
              </w:rPr>
              <m:t>-</m:t>
            </m:r>
            <m:sSup>
              <m:sSupPr>
                <m:ctrlPr>
                  <w:rPr>
                    <w:rFonts w:ascii="Cambria Math" w:hAnsi="Cambria Math"/>
                    <w:i/>
                    <w:color w:val="000000"/>
                  </w:rPr>
                </m:ctrlPr>
              </m:sSup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e>
              <m:sup>
                <m:r>
                  <w:rPr>
                    <w:rFonts w:ascii="Cambria Math" w:hAnsi="Cambria Math"/>
                    <w:color w:val="000000"/>
                  </w:rPr>
                  <m:t>2</m:t>
                </m:r>
              </m:sup>
            </m:sSup>
            <m:r>
              <w:rPr>
                <w:rFonts w:ascii="Cambria Math" w:hAnsi="Cambria Math"/>
                <w:color w:val="000000"/>
              </w:rPr>
              <m:t>)]</m:t>
            </m:r>
          </m:sup>
        </m:sSup>
      </m:oMath>
      <w:r w:rsidR="0091040E">
        <w:rPr>
          <w:rFonts w:eastAsiaTheme="minorEastAsia"/>
          <w:color w:val="000000"/>
        </w:rPr>
        <w:tab/>
      </w:r>
      <w:r w:rsidR="0091040E">
        <w:rPr>
          <w:rFonts w:eastAsiaTheme="minorEastAsia"/>
          <w:color w:val="000000"/>
        </w:rPr>
        <w:tab/>
      </w:r>
      <w:r w:rsidR="0091040E">
        <w:rPr>
          <w:rFonts w:eastAsiaTheme="minorEastAsia"/>
          <w:color w:val="000000"/>
        </w:rPr>
        <w:tab/>
      </w:r>
      <w:r w:rsidR="0091040E">
        <w:rPr>
          <w:rFonts w:eastAsiaTheme="minorEastAsia"/>
          <w:color w:val="000000"/>
        </w:rPr>
        <w:tab/>
      </w:r>
      <w:r w:rsidR="0091040E">
        <w:rPr>
          <w:rFonts w:eastAsiaTheme="minorEastAsia"/>
          <w:color w:val="000000"/>
        </w:rPr>
        <w:tab/>
      </w:r>
      <w:r w:rsidR="0091040E">
        <w:rPr>
          <w:rFonts w:eastAsiaTheme="minorEastAsia"/>
          <w:color w:val="000000"/>
        </w:rPr>
        <w:tab/>
        <w:t xml:space="preserve">(Eqn. </w:t>
      </w:r>
      <w:r w:rsidR="00247CFD">
        <w:rPr>
          <w:rFonts w:eastAsiaTheme="minorEastAsia"/>
          <w:color w:val="000000"/>
        </w:rPr>
        <w:t>3</w:t>
      </w:r>
      <w:r w:rsidR="0091040E">
        <w:rPr>
          <w:rFonts w:eastAsiaTheme="minorEastAsia"/>
          <w:color w:val="000000"/>
        </w:rPr>
        <w:t>)</w:t>
      </w:r>
    </w:p>
    <w:p w14:paraId="1C527E88" w14:textId="77777777" w:rsidR="0091040E" w:rsidRPr="00A46FE6" w:rsidRDefault="0091040E" w:rsidP="0091040E">
      <w:pPr>
        <w:spacing w:line="360" w:lineRule="auto"/>
        <w:rPr>
          <w:color w:val="000000"/>
        </w:rPr>
      </w:pPr>
    </w:p>
    <w:p w14:paraId="474DB397" w14:textId="23CCF230" w:rsidR="00BA3A8F" w:rsidRPr="0091040E" w:rsidRDefault="0091040E" w:rsidP="0091040E">
      <w:pPr>
        <w:spacing w:line="480" w:lineRule="auto"/>
      </w:pPr>
      <w:r>
        <w:rPr>
          <w:i/>
          <w:iCs/>
          <w:color w:val="000000"/>
        </w:rPr>
        <w:lastRenderedPageBreak/>
        <w:t>R</w:t>
      </w:r>
      <w:r>
        <w:rPr>
          <w:color w:val="000000"/>
          <w:vertAlign w:val="subscript"/>
        </w:rPr>
        <w:t>T</w:t>
      </w:r>
      <w:r>
        <w:rPr>
          <w:color w:val="000000"/>
        </w:rPr>
        <w:t xml:space="preserve"> is the temperature standardized respiration rate, </w:t>
      </w:r>
      <w:r>
        <w:rPr>
          <w:i/>
          <w:iCs/>
          <w:color w:val="000000"/>
        </w:rPr>
        <w:t>T</w:t>
      </w:r>
      <w:r>
        <w:rPr>
          <w:color w:val="000000"/>
        </w:rPr>
        <w:t xml:space="preserve"> is the temperature in which a given respiration rate is being standardized, and </w:t>
      </w:r>
      <w:proofErr w:type="spellStart"/>
      <w:r>
        <w:rPr>
          <w:i/>
          <w:iCs/>
          <w:color w:val="000000"/>
        </w:rPr>
        <w:t>T</w:t>
      </w:r>
      <w:r>
        <w:rPr>
          <w:color w:val="000000"/>
          <w:vertAlign w:val="subscript"/>
        </w:rPr>
        <w:t>ref</w:t>
      </w:r>
      <w:proofErr w:type="spellEnd"/>
      <w:r>
        <w:rPr>
          <w:color w:val="000000"/>
        </w:rPr>
        <w:t xml:space="preserve"> is the temperature of the respiration measurement </w:t>
      </w:r>
      <w:proofErr w:type="spellStart"/>
      <w:r>
        <w:rPr>
          <w:i/>
          <w:iCs/>
          <w:color w:val="000000"/>
        </w:rPr>
        <w:t>R</w:t>
      </w:r>
      <w:r>
        <w:rPr>
          <w:color w:val="000000"/>
          <w:vertAlign w:val="subscript"/>
        </w:rPr>
        <w:t>Tref</w:t>
      </w:r>
      <w:proofErr w:type="spellEnd"/>
      <w:r>
        <w:rPr>
          <w:color w:val="000000"/>
        </w:rPr>
        <w:t xml:space="preserve">. </w:t>
      </w:r>
      <w:r>
        <w:rPr>
          <w:i/>
          <w:iCs/>
          <w:color w:val="000000"/>
        </w:rPr>
        <w:t>b</w:t>
      </w:r>
      <w:r>
        <w:rPr>
          <w:color w:val="000000"/>
        </w:rPr>
        <w:t xml:space="preserve"> and </w:t>
      </w:r>
      <w:r>
        <w:rPr>
          <w:i/>
          <w:iCs/>
          <w:color w:val="000000"/>
        </w:rPr>
        <w:t>c</w:t>
      </w:r>
      <w:r>
        <w:rPr>
          <w:color w:val="000000"/>
        </w:rPr>
        <w:t xml:space="preserve"> are coefficients that </w:t>
      </w:r>
      <w:r>
        <w:rPr>
          <w:color w:val="000000"/>
        </w:rPr>
        <w:fldChar w:fldCharType="begin" w:fldLock="1"/>
      </w:r>
      <w:r>
        <w:rPr>
          <w:color w:val="000000"/>
        </w:rPr>
        <w:instrText>ADDIN CSL_CITATION {"citationItems":[{"id":"ITEM-1","itemData":{"DOI":"10.1073/pnas.1520282113","ISSN":"0027-8424","abstract":"Plant respiration constitutes a massive carbon flux to the atmosphere, and a major control on the evolution of the global carbon cycle. It therefore has the potential to modulate levels of climate change due to the human burning of fossil fuels. Neither current physiological nor terrestrial biosphere models adequately describe its short-term temperature response, and even minor differences in the shape of the response curve can significantly impact estimates of ecosystem carbon release and/or storage. Given this, it is critical to establish whether there are predictable patterns in the shape of the respiration–temperature response curve, and thus in the intrinsic temperature sensitivity of respiration across the globe. Analyzing measurements in a comprehensive database for 231 species spanning 7 biomes, we demonstrate that temperature-dependent increases in leaf respiration do not follow a commonly used exponential function. Instead, we find a decelerating function as leaves warm, reflecting a declining sensitivity to higher temperatures that is remarkably uniform across all biomes and plant functional types. Such convergence in the temperature sensitivity of leaf respiration suggests that there are universally applicable controls on the temperature response of plant energy metabolism, such that a single new function can predict the temperature dependence of leaf respiration for global vegetation. This simple function enables straightforward description of plant respiration in the land-surface components of coupled earth system models. Our cross-biome analyses shows significant implications for such fluxes in cold climates, generally projecting lower values compared with previous estimates.","author":[{"dropping-particle":"","family":"Heskel","given":"Mary A","non-dropping-particle":"","parse-names":false,"suffix":""},{"dropping-particle":"","family":"O’Sullivan","given":"Odhran S","non-dropping-particle":"","parse-names":false,"suffix":""},{"dropping-particle":"","family":"Reich","given":"Peter B","non-dropping-particle":"","parse-names":false,"suffix":""},{"dropping-particle":"","family":"Tjoelker","given":"Mark G","non-dropping-particle":"","parse-names":false,"suffix":""},{"dropping-particle":"","family":"Weerasinghe","given":"K W Lasantha K","non-dropping-particle":"","parse-names":false,"suffix":""},{"dropping-particle":"","family":"Penillard","given":"Aurore","non-dropping-particle":"","parse-names":false,"suffix":""},{"dropping-particle":"","family":"Egerton","given":"John J G","non-dropping-particle":"","parse-names":false,"suffix":""},{"dropping-particle":"","family":"Creek","given":"Danielle","non-dropping-particle":"","parse-names":false,"suffix":""},{"dropping-particle":"","family":"Bloomfield","given":"Keith J","non-dropping-particle":"","parse-names":false,"suffix":""},{"dropping-particle":"","family":"Xiang","given":"Jen","non-dropping-particle":"","parse-names":false,"suffix":""},{"dropping-particle":"","family":"Sinca","given":"Felipe","non-dropping-particle":"","parse-names":false,"suffix":""},{"dropping-particle":"","family":"Stangl","given":"Zsofia R","non-dropping-particle":"","parse-names":false,"suffix":""},{"dropping-particle":"","family":"Martinez-de la Torre","given":"Alberto","non-dropping-particle":"","parse-names":false,"suffix":""},{"dropping-particle":"","family":"Griffin","given":"Kevin L","non-dropping-particle":"","parse-names":false,"suffix":""},{"dropping-particle":"","family":"Huntingford","given":"Chris","non-dropping-particle":"","parse-names":false,"suffix":""},{"dropping-particle":"","family":"Hurry","given":"Vaughan","non-dropping-particle":"","parse-names":false,"suffix":""},{"dropping-particle":"","family":"Meir","given":"Patrick","non-dropping-particle":"","parse-names":false,"suffix":""},{"dropping-particle":"","family":"Turnbull","given":"Matthew H","non-dropping-particle":"","parse-names":false,"suffix":""},{"dropping-particle":"","family":"Atkin","given":"Owen K","non-dropping-particle":"","parse-names":false,"suffix":""}],"container-title":"Proceedings of the National Academy of Sciences","id":"ITEM-1","issue":"14","issued":{"date-parts":[["2016","4","5"]]},"page":"3832-3837","title":"Convergence in the temperature response of leaf respiration across biomes and plant functional types","type":"article-journal","volume":"113"},"uris":["http://www.mendeley.com/documents/?uuid=e77ebbb1-5199-47a8-b370-deee6548aa9a"]}],"mendeley":{"formattedCitation":"(Heskel et al., 2016)","manualFormatting":"Heskel et al. (2016)","plainTextFormattedCitation":"(Heskel et al., 2016)","previouslyFormattedCitation":"(Heskel et al., 2016)"},"properties":{"noteIndex":0},"schema":"https://github.com/citation-style-language/schema/raw/master/csl-citation.json"}</w:instrText>
      </w:r>
      <w:r>
        <w:rPr>
          <w:color w:val="000000"/>
        </w:rPr>
        <w:fldChar w:fldCharType="separate"/>
      </w:r>
      <w:r w:rsidRPr="00166B47">
        <w:rPr>
          <w:noProof/>
          <w:color w:val="000000"/>
        </w:rPr>
        <w:t xml:space="preserve">Heskel </w:t>
      </w:r>
      <w:r w:rsidRPr="00166B47">
        <w:rPr>
          <w:i/>
          <w:noProof/>
          <w:color w:val="000000"/>
        </w:rPr>
        <w:t>et al.</w:t>
      </w:r>
      <w:r>
        <w:rPr>
          <w:noProof/>
          <w:color w:val="000000"/>
        </w:rPr>
        <w:t xml:space="preserve"> (</w:t>
      </w:r>
      <w:r w:rsidRPr="00166B47">
        <w:rPr>
          <w:noProof/>
          <w:color w:val="000000"/>
        </w:rPr>
        <w:t>2016)</w:t>
      </w:r>
      <w:r>
        <w:rPr>
          <w:color w:val="000000"/>
        </w:rPr>
        <w:fldChar w:fldCharType="end"/>
      </w:r>
      <w:r>
        <w:rPr>
          <w:color w:val="000000"/>
        </w:rPr>
        <w:t xml:space="preserve"> derived from a log-polynomial approach described in </w:t>
      </w:r>
      <w:r>
        <w:rPr>
          <w:color w:val="000000"/>
        </w:rPr>
        <w:fldChar w:fldCharType="begin" w:fldLock="1"/>
      </w:r>
      <w:r>
        <w:rPr>
          <w:color w:val="000000"/>
        </w:rPr>
        <w:instrText>ADDIN CSL_CITATION {"citationItems":[{"id":"ITEM-1","itemData":{"DOI":"10.1111/pce.12057","ISSN":"01407791","author":[{"dropping-particle":"","family":"O'Sullivan","given":"Odhran S","non-dropping-particle":"","parse-names":false,"suffix":""},{"dropping-particle":"","family":"Weerasinghe","given":"K W Lasantha K","non-dropping-particle":"","parse-names":false,"suffix":""},{"dropping-particle":"","family":"Evans","given":"John R","non-dropping-particle":"","parse-names":false,"suffix":""},{"dropping-particle":"","family":"Egerton","given":"John J G","non-dropping-particle":"","parse-names":false,"suffix":""},{"dropping-particle":"","family":"Tjoelker","given":"Mark G","non-dropping-particle":"","parse-names":false,"suffix":""},{"dropping-particle":"","family":"Atkin","given":"Owen K","non-dropping-particle":"","parse-names":false,"suffix":""}],"container-title":"Plant, Cell &amp; Environment","id":"ITEM-1","issue":"7","issued":{"date-parts":[["2013","7"]]},"page":"1268-1284","title":"High-resolution temperature responses of leaf respiration in snow gum (&lt;i&gt;Eucalyptus pauciflora&lt;/i&gt;) reveal high-temperature limits to respiratory function","type":"article-journal","volume":"36"},"uris":["http://www.mendeley.com/documents/?uuid=3ae232c8-422b-4bc3-a4a9-8d138a179b21"]}],"mendeley":{"formattedCitation":"(O’Sullivan et al., 2013)","manualFormatting":"O’Sullivan et al. (2013)","plainTextFormattedCitation":"(O’Sullivan et al., 2013)","previouslyFormattedCitation":"(O’Sullivan et al., 2013)"},"properties":{"noteIndex":0},"schema":"https://github.com/citation-style-language/schema/raw/master/csl-citation.json"}</w:instrText>
      </w:r>
      <w:r>
        <w:rPr>
          <w:color w:val="000000"/>
        </w:rPr>
        <w:fldChar w:fldCharType="separate"/>
      </w:r>
      <w:r w:rsidRPr="0011017D">
        <w:rPr>
          <w:noProof/>
          <w:color w:val="000000"/>
        </w:rPr>
        <w:t xml:space="preserve">O’Sullivan </w:t>
      </w:r>
      <w:r w:rsidRPr="0011017D">
        <w:rPr>
          <w:i/>
          <w:noProof/>
          <w:color w:val="000000"/>
        </w:rPr>
        <w:t>et al.</w:t>
      </w:r>
      <w:r w:rsidRPr="0011017D">
        <w:rPr>
          <w:noProof/>
          <w:color w:val="000000"/>
        </w:rPr>
        <w:t xml:space="preserve"> </w:t>
      </w:r>
      <w:r>
        <w:rPr>
          <w:noProof/>
          <w:color w:val="000000"/>
        </w:rPr>
        <w:t>(</w:t>
      </w:r>
      <w:r w:rsidRPr="0011017D">
        <w:rPr>
          <w:noProof/>
          <w:color w:val="000000"/>
        </w:rPr>
        <w:t>2013)</w:t>
      </w:r>
      <w:r>
        <w:rPr>
          <w:color w:val="000000"/>
        </w:rPr>
        <w:fldChar w:fldCharType="end"/>
      </w:r>
      <w:r>
        <w:rPr>
          <w:color w:val="000000"/>
        </w:rPr>
        <w:t xml:space="preserve"> for plant functional types and biomes. </w:t>
      </w:r>
      <w:r>
        <w:rPr>
          <w:rFonts w:eastAsiaTheme="minorEastAsia"/>
          <w:color w:val="000000"/>
        </w:rPr>
        <w:t xml:space="preserve">We used coefficients set by </w:t>
      </w:r>
      <w:r>
        <w:rPr>
          <w:color w:val="000000"/>
        </w:rPr>
        <w:fldChar w:fldCharType="begin" w:fldLock="1"/>
      </w:r>
      <w:r>
        <w:rPr>
          <w:color w:val="000000"/>
        </w:rPr>
        <w:instrText>ADDIN CSL_CITATION {"citationItems":[{"id":"ITEM-1","itemData":{"DOI":"10.1073/pnas.1520282113","ISSN":"0027-8424","abstract":"Plant respiration constitutes a massive carbon flux to the atmosphere, and a major control on the evolution of the global carbon cycle. It therefore has the potential to modulate levels of climate change due to the human burning of fossil fuels. Neither current physiological nor terrestrial biosphere models adequately describe its short-term temperature response, and even minor differences in the shape of the response curve can significantly impact estimates of ecosystem carbon release and/or storage. Given this, it is critical to establish whether there are predictable patterns in the shape of the respiration–temperature response curve, and thus in the intrinsic temperature sensitivity of respiration across the globe. Analyzing measurements in a comprehensive database for 231 species spanning 7 biomes, we demonstrate that temperature-dependent increases in leaf respiration do not follow a commonly used exponential function. Instead, we find a decelerating function as leaves warm, reflecting a declining sensitivity to higher temperatures that is remarkably uniform across all biomes and plant functional types. Such convergence in the temperature sensitivity of leaf respiration suggests that there are universally applicable controls on the temperature response of plant energy metabolism, such that a single new function can predict the temperature dependence of leaf respiration for global vegetation. This simple function enables straightforward description of plant respiration in the land-surface components of coupled earth system models. Our cross-biome analyses shows significant implications for such fluxes in cold climates, generally projecting lower values compared with previous estimates.","author":[{"dropping-particle":"","family":"Heskel","given":"Mary A","non-dropping-particle":"","parse-names":false,"suffix":""},{"dropping-particle":"","family":"O’Sullivan","given":"Odhran S","non-dropping-particle":"","parse-names":false,"suffix":""},{"dropping-particle":"","family":"Reich","given":"Peter B","non-dropping-particle":"","parse-names":false,"suffix":""},{"dropping-particle":"","family":"Tjoelker","given":"Mark G","non-dropping-particle":"","parse-names":false,"suffix":""},{"dropping-particle":"","family":"Weerasinghe","given":"K W Lasantha K","non-dropping-particle":"","parse-names":false,"suffix":""},{"dropping-particle":"","family":"Penillard","given":"Aurore","non-dropping-particle":"","parse-names":false,"suffix":""},{"dropping-particle":"","family":"Egerton","given":"John J G","non-dropping-particle":"","parse-names":false,"suffix":""},{"dropping-particle":"","family":"Creek","given":"Danielle","non-dropping-particle":"","parse-names":false,"suffix":""},{"dropping-particle":"","family":"Bloomfield","given":"Keith J","non-dropping-particle":"","parse-names":false,"suffix":""},{"dropping-particle":"","family":"Xiang","given":"Jen","non-dropping-particle":"","parse-names":false,"suffix":""},{"dropping-particle":"","family":"Sinca","given":"Felipe","non-dropping-particle":"","parse-names":false,"suffix":""},{"dropping-particle":"","family":"Stangl","given":"Zsofia R","non-dropping-particle":"","parse-names":false,"suffix":""},{"dropping-particle":"","family":"Martinez-de la Torre","given":"Alberto","non-dropping-particle":"","parse-names":false,"suffix":""},{"dropping-particle":"","family":"Griffin","given":"Kevin L","non-dropping-particle":"","parse-names":false,"suffix":""},{"dropping-particle":"","family":"Huntingford","given":"Chris","non-dropping-particle":"","parse-names":false,"suffix":""},{"dropping-particle":"","family":"Hurry","given":"Vaughan","non-dropping-particle":"","parse-names":false,"suffix":""},{"dropping-particle":"","family":"Meir","given":"Patrick","non-dropping-particle":"","parse-names":false,"suffix":""},{"dropping-particle":"","family":"Turnbull","given":"Matthew H","non-dropping-particle":"","parse-names":false,"suffix":""},{"dropping-particle":"","family":"Atkin","given":"Owen K","non-dropping-particle":"","parse-names":false,"suffix":""}],"container-title":"Proceedings of the National Academy of Sciences","id":"ITEM-1","issue":"14","issued":{"date-parts":[["2016","4","5"]]},"page":"3832-3837","title":"Convergence in the temperature response of leaf respiration across biomes and plant functional types","type":"article-journal","volume":"113"},"uris":["http://www.mendeley.com/documents/?uuid=e77ebbb1-5199-47a8-b370-deee6548aa9a"]}],"mendeley":{"formattedCitation":"(Heskel et al., 2016)","manualFormatting":"Heskel et al. (2016)","plainTextFormattedCitation":"(Heskel et al., 2016)","previouslyFormattedCitation":"(Heskel et al., 2016)"},"properties":{"noteIndex":0},"schema":"https://github.com/citation-style-language/schema/raw/master/csl-citation.json"}</w:instrText>
      </w:r>
      <w:r>
        <w:rPr>
          <w:color w:val="000000"/>
        </w:rPr>
        <w:fldChar w:fldCharType="separate"/>
      </w:r>
      <w:r w:rsidRPr="00166B47">
        <w:rPr>
          <w:noProof/>
          <w:color w:val="000000"/>
        </w:rPr>
        <w:t xml:space="preserve">Heskel </w:t>
      </w:r>
      <w:r w:rsidRPr="00166B47">
        <w:rPr>
          <w:i/>
          <w:noProof/>
          <w:color w:val="000000"/>
        </w:rPr>
        <w:t>et al.</w:t>
      </w:r>
      <w:r>
        <w:rPr>
          <w:noProof/>
          <w:color w:val="000000"/>
        </w:rPr>
        <w:t xml:space="preserve"> (</w:t>
      </w:r>
      <w:r w:rsidRPr="00166B47">
        <w:rPr>
          <w:noProof/>
          <w:color w:val="000000"/>
        </w:rPr>
        <w:t>2016)</w:t>
      </w:r>
      <w:r>
        <w:rPr>
          <w:color w:val="000000"/>
        </w:rPr>
        <w:fldChar w:fldCharType="end"/>
      </w:r>
      <w:r>
        <w:rPr>
          <w:color w:val="000000"/>
        </w:rPr>
        <w:t xml:space="preserve"> for C</w:t>
      </w:r>
      <w:r>
        <w:rPr>
          <w:color w:val="000000"/>
          <w:vertAlign w:val="subscript"/>
        </w:rPr>
        <w:t>3</w:t>
      </w:r>
      <w:r>
        <w:rPr>
          <w:color w:val="000000"/>
        </w:rPr>
        <w:t xml:space="preserve"> herbaceous species, where </w:t>
      </w:r>
      <w:r>
        <w:rPr>
          <w:i/>
          <w:iCs/>
          <w:color w:val="000000"/>
        </w:rPr>
        <w:t>b</w:t>
      </w:r>
      <w:r>
        <w:rPr>
          <w:color w:val="000000"/>
        </w:rPr>
        <w:t xml:space="preserve"> was set to </w:t>
      </w:r>
      <w:r w:rsidRPr="00CF0D09">
        <w:rPr>
          <w:color w:val="000000"/>
        </w:rPr>
        <w:t>0.1271</w:t>
      </w:r>
      <w:r>
        <w:rPr>
          <w:color w:val="000000"/>
        </w:rPr>
        <w:t xml:space="preserve"> and </w:t>
      </w:r>
      <w:r>
        <w:rPr>
          <w:i/>
          <w:iCs/>
          <w:color w:val="000000"/>
        </w:rPr>
        <w:t>c</w:t>
      </w:r>
      <w:r>
        <w:rPr>
          <w:color w:val="000000"/>
        </w:rPr>
        <w:t xml:space="preserve"> was set to </w:t>
      </w:r>
      <w:r w:rsidRPr="00CF0D09">
        <w:rPr>
          <w:color w:val="000000"/>
        </w:rPr>
        <w:t>-0.00110</w:t>
      </w:r>
      <w:r>
        <w:rPr>
          <w:color w:val="000000"/>
        </w:rPr>
        <w:t>.</w:t>
      </w:r>
    </w:p>
    <w:p w14:paraId="0F882DD9" w14:textId="3C45F7BE" w:rsidR="00BA3A8F" w:rsidRPr="00BA3A8F" w:rsidRDefault="0091040E" w:rsidP="0091040E">
      <w:pPr>
        <w:spacing w:line="480" w:lineRule="auto"/>
        <w:ind w:firstLine="720"/>
      </w:pPr>
      <w:r>
        <w:t>W</w:t>
      </w:r>
      <w:r w:rsidR="00BA3A8F">
        <w:t>e</w:t>
      </w:r>
      <w:r>
        <w:t xml:space="preserve"> then</w:t>
      </w:r>
      <w:r w:rsidR="00BA3A8F">
        <w:rPr>
          <w:color w:val="000000"/>
        </w:rPr>
        <w:t xml:space="preserve"> manually </w:t>
      </w:r>
      <w:r w:rsidR="00BA3A8F" w:rsidRPr="00863849">
        <w:rPr>
          <w:color w:val="000000"/>
        </w:rPr>
        <w:t xml:space="preserve">standardized </w:t>
      </w:r>
      <w:r w:rsidR="00BA3A8F" w:rsidRPr="00DB6582">
        <w:rPr>
          <w:i/>
          <w:iCs/>
          <w:color w:val="000000"/>
        </w:rPr>
        <w:t>V</w:t>
      </w:r>
      <w:r w:rsidR="00BA3A8F" w:rsidRPr="00275258">
        <w:rPr>
          <w:color w:val="000000"/>
          <w:vertAlign w:val="subscript"/>
        </w:rPr>
        <w:t>cmax</w:t>
      </w:r>
      <w:r w:rsidR="00BA3A8F">
        <w:rPr>
          <w:color w:val="000000"/>
        </w:rPr>
        <w:t xml:space="preserve"> and </w:t>
      </w:r>
      <w:r w:rsidR="00BA3A8F" w:rsidRPr="00DB6582">
        <w:rPr>
          <w:i/>
          <w:iCs/>
        </w:rPr>
        <w:t>J</w:t>
      </w:r>
      <w:r w:rsidR="00BA3A8F" w:rsidRPr="00275258">
        <w:rPr>
          <w:vertAlign w:val="subscript"/>
        </w:rPr>
        <w:t>max</w:t>
      </w:r>
      <w:r w:rsidR="00BA3A8F" w:rsidRPr="00863849">
        <w:rPr>
          <w:color w:val="000000"/>
        </w:rPr>
        <w:t xml:space="preserve"> to</w:t>
      </w:r>
      <w:r w:rsidR="00BA3A8F" w:rsidRPr="00863849">
        <w:rPr>
          <w:color w:val="000000"/>
          <w:vertAlign w:val="subscript"/>
        </w:rPr>
        <w:t xml:space="preserve"> </w:t>
      </w:r>
      <w:r w:rsidR="00BA3A8F" w:rsidRPr="00863849">
        <w:rPr>
          <w:color w:val="000000"/>
        </w:rPr>
        <w:t>25</w:t>
      </w:r>
      <w:r w:rsidR="00BA3A8F" w:rsidRPr="00863849">
        <w:rPr>
          <w:rFonts w:ascii="Symbol" w:eastAsia="Symbol" w:hAnsi="Symbol" w:cs="Symbol"/>
          <w:color w:val="000000"/>
        </w:rPr>
        <w:t></w:t>
      </w:r>
      <w:r w:rsidR="00BA3A8F" w:rsidRPr="00863849">
        <w:rPr>
          <w:color w:val="000000"/>
        </w:rPr>
        <w:t xml:space="preserve">C </w:t>
      </w:r>
      <w:r w:rsidR="00BA3A8F">
        <w:rPr>
          <w:color w:val="000000"/>
        </w:rPr>
        <w:t>u</w:t>
      </w:r>
      <w:r w:rsidR="00BA3A8F" w:rsidRPr="00863849">
        <w:rPr>
          <w:color w:val="000000"/>
        </w:rPr>
        <w:t xml:space="preserve">sing a modified Arrhenius equation </w:t>
      </w:r>
      <w:r w:rsidR="00BA3A8F">
        <w:rPr>
          <w:color w:val="000000"/>
        </w:rPr>
        <w:t xml:space="preserve">(as in </w:t>
      </w:r>
      <w:r w:rsidR="00BA3A8F" w:rsidRPr="00863849">
        <w:rPr>
          <w:color w:val="000000"/>
        </w:rPr>
        <w:fldChar w:fldCharType="begin" w:fldLock="1"/>
      </w:r>
      <w:r w:rsidR="00BA3A8F">
        <w:rPr>
          <w:color w:val="000000"/>
        </w:rPr>
        <w:instrText>ADDIN CSL_CITATION {"citationItems":[{"id":"ITEM-1","itemData":{"DOI":"10.1111/j.1365-3040.2007.01690.x","ISSN":"01407791","author":[{"dropping-particle":"","family":"Kattge","given":"Jens","non-dropping-particle":"","parse-names":false,"suffix":""},{"dropping-particle":"","family":"Knorr","given":"Wolfgang","non-dropping-particle":"","parse-names":false,"suffix":""}],"container-title":"Plant, Cell &amp; Environment","id":"ITEM-1","issue":"9","issued":{"date-parts":[["2007","9"]]},"page":"1176-1190","title":"Temperature acclimation in a biochemical model of photosynthesis: a reanalysis of data from 36 species","type":"article-journal","volume":"30"},"uris":["http://www.mendeley.com/documents/?uuid=1386fefb-1f6f-4dfa-a3ee-a1b31dbc916c"]}],"mendeley":{"formattedCitation":"(Kattge &amp; Knorr, 2007)","manualFormatting":"Kattge &amp; Knorr, 2007)","plainTextFormattedCitation":"(Kattge &amp; Knorr, 2007)","previouslyFormattedCitation":"(Kattge &amp; Knorr, 2007)"},"properties":{"noteIndex":0},"schema":"https://github.com/citation-style-language/schema/raw/master/csl-citation.json"}</w:instrText>
      </w:r>
      <w:r w:rsidR="00BA3A8F" w:rsidRPr="00863849">
        <w:rPr>
          <w:color w:val="000000"/>
        </w:rPr>
        <w:fldChar w:fldCharType="separate"/>
      </w:r>
      <w:r w:rsidR="00BA3A8F" w:rsidRPr="00863849">
        <w:rPr>
          <w:noProof/>
          <w:color w:val="000000"/>
        </w:rPr>
        <w:t>Kattge &amp; Knorr, 2007)</w:t>
      </w:r>
      <w:r w:rsidR="00BA3A8F" w:rsidRPr="00863849">
        <w:rPr>
          <w:color w:val="000000"/>
        </w:rPr>
        <w:fldChar w:fldCharType="end"/>
      </w:r>
      <w:r w:rsidR="00BA3A8F" w:rsidRPr="00863849">
        <w:rPr>
          <w:color w:val="000000"/>
        </w:rPr>
        <w:t>:</w:t>
      </w:r>
    </w:p>
    <w:p w14:paraId="7653A935" w14:textId="77777777" w:rsidR="00BA3A8F" w:rsidRPr="00504E71" w:rsidRDefault="00BA3A8F" w:rsidP="00BA3A8F">
      <w:pPr>
        <w:spacing w:line="480" w:lineRule="auto"/>
        <w:ind w:firstLine="720"/>
      </w:pPr>
    </w:p>
    <w:p w14:paraId="028F4C1F" w14:textId="14FFA23C" w:rsidR="00BA3A8F" w:rsidRDefault="00000000" w:rsidP="00BA3A8F">
      <w:pPr>
        <w:tabs>
          <w:tab w:val="left" w:pos="593"/>
        </w:tabs>
        <w:autoSpaceDE w:val="0"/>
        <w:autoSpaceDN w:val="0"/>
        <w:adjustRightInd w:val="0"/>
        <w:spacing w:line="480" w:lineRule="auto"/>
        <w:rPr>
          <w:color w:val="000000"/>
        </w:rPr>
      </w:pP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25</m:t>
            </m:r>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obs</m:t>
                </m:r>
              </m:sub>
            </m:sSub>
          </m:num>
          <m:den>
            <m:sSup>
              <m:sSupPr>
                <m:ctrlPr>
                  <w:rPr>
                    <w:rFonts w:ascii="Cambria Math" w:hAnsi="Cambria Math"/>
                    <w:i/>
                    <w:color w:val="000000"/>
                  </w:rPr>
                </m:ctrlPr>
              </m:sSupPr>
              <m:e>
                <m:r>
                  <w:rPr>
                    <w:rFonts w:ascii="Cambria Math" w:hAnsi="Cambria Math"/>
                    <w:color w:val="000000"/>
                  </w:rPr>
                  <m:t>e</m:t>
                </m:r>
              </m:e>
              <m:sup>
                <m:d>
                  <m:dPr>
                    <m:begChr m:val="["/>
                    <m:endChr m:val="]"/>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a</m:t>
                            </m:r>
                          </m:sub>
                        </m:sSub>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obs</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e>
                        </m:d>
                      </m:num>
                      <m:den>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r>
                          <w:rPr>
                            <w:rFonts w:ascii="Cambria Math" w:hAnsi="Cambria Math"/>
                            <w:color w:val="000000"/>
                          </w:rPr>
                          <m:t>R</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obs</m:t>
                            </m:r>
                          </m:sub>
                        </m:sSub>
                      </m:den>
                    </m:f>
                  </m:e>
                </m:d>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r>
                          <m:rPr>
                            <m:sty m:val="p"/>
                          </m:rPr>
                          <w:rPr>
                            <w:rFonts w:ascii="Cambria Math" w:hAnsi="Cambria Math"/>
                            <w:color w:val="000000"/>
                          </w:rPr>
                          <m:t>Δ</m:t>
                        </m:r>
                        <m:r>
                          <w:rPr>
                            <w:rFonts w:ascii="Cambria Math" w:hAnsi="Cambria Math"/>
                            <w:color w:val="000000"/>
                          </w:rPr>
                          <m:t>S-</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d</m:t>
                            </m:r>
                          </m:sub>
                        </m:sSub>
                      </m:num>
                      <m:den>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den>
                    </m:f>
                    <m:r>
                      <w:rPr>
                        <w:rFonts w:ascii="Cambria Math" w:hAnsi="Cambria Math"/>
                        <w:color w:val="000000"/>
                      </w:rPr>
                      <m:t>)</m:t>
                    </m:r>
                  </m:sup>
                </m:sSup>
              </m:num>
              <m:den>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obs</m:t>
                            </m:r>
                          </m:sub>
                        </m:sSub>
                        <m:r>
                          <m:rPr>
                            <m:sty m:val="p"/>
                          </m:rPr>
                          <w:rPr>
                            <w:rFonts w:ascii="Cambria Math" w:hAnsi="Cambria Math"/>
                            <w:color w:val="000000"/>
                          </w:rPr>
                          <m:t>Δ</m:t>
                        </m:r>
                        <m:r>
                          <w:rPr>
                            <w:rFonts w:ascii="Cambria Math" w:hAnsi="Cambria Math"/>
                            <w:color w:val="000000"/>
                          </w:rPr>
                          <m:t>S-</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d</m:t>
                            </m:r>
                          </m:sub>
                        </m:sSub>
                      </m:num>
                      <m:den>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obs</m:t>
                            </m:r>
                          </m:sub>
                        </m:sSub>
                      </m:den>
                    </m:f>
                    <m:r>
                      <w:rPr>
                        <w:rFonts w:ascii="Cambria Math" w:hAnsi="Cambria Math"/>
                        <w:color w:val="000000"/>
                      </w:rPr>
                      <m:t>)</m:t>
                    </m:r>
                  </m:sup>
                </m:sSup>
              </m:den>
            </m:f>
          </m:den>
        </m:f>
      </m:oMath>
      <w:r w:rsidR="00BA3A8F">
        <w:rPr>
          <w:color w:val="000000"/>
        </w:rPr>
        <w:tab/>
      </w:r>
      <w:r w:rsidR="00BA3A8F">
        <w:rPr>
          <w:color w:val="000000"/>
        </w:rPr>
        <w:tab/>
      </w:r>
      <w:r w:rsidR="00BA3A8F">
        <w:rPr>
          <w:color w:val="000000"/>
        </w:rPr>
        <w:tab/>
      </w:r>
      <w:r w:rsidR="00BA3A8F">
        <w:rPr>
          <w:color w:val="000000"/>
        </w:rPr>
        <w:tab/>
      </w:r>
      <w:r w:rsidR="00BA3A8F">
        <w:rPr>
          <w:color w:val="000000"/>
        </w:rPr>
        <w:tab/>
      </w:r>
      <w:r w:rsidR="00BA3A8F">
        <w:rPr>
          <w:color w:val="000000"/>
        </w:rPr>
        <w:tab/>
      </w:r>
      <w:r w:rsidR="00BA3A8F">
        <w:rPr>
          <w:color w:val="000000"/>
        </w:rPr>
        <w:tab/>
        <w:t xml:space="preserve">(Eqn. </w:t>
      </w:r>
      <w:r w:rsidR="00247CFD">
        <w:rPr>
          <w:color w:val="000000"/>
        </w:rPr>
        <w:t>4</w:t>
      </w:r>
      <w:r w:rsidR="00BA3A8F">
        <w:rPr>
          <w:color w:val="000000"/>
        </w:rPr>
        <w:t>)</w:t>
      </w:r>
    </w:p>
    <w:p w14:paraId="4E67EA19" w14:textId="77777777" w:rsidR="00BA3A8F" w:rsidRDefault="00BA3A8F" w:rsidP="00BA3A8F">
      <w:pPr>
        <w:tabs>
          <w:tab w:val="left" w:pos="593"/>
        </w:tabs>
        <w:autoSpaceDE w:val="0"/>
        <w:autoSpaceDN w:val="0"/>
        <w:adjustRightInd w:val="0"/>
        <w:spacing w:line="480" w:lineRule="auto"/>
        <w:rPr>
          <w:iCs/>
          <w:color w:val="000000"/>
        </w:rPr>
      </w:pPr>
    </w:p>
    <w:p w14:paraId="038C9AB4" w14:textId="6C2D5A8A" w:rsidR="00BA3A8F" w:rsidRPr="00863849" w:rsidRDefault="00BA3A8F" w:rsidP="00BA3A8F">
      <w:pPr>
        <w:tabs>
          <w:tab w:val="left" w:pos="593"/>
        </w:tabs>
        <w:autoSpaceDE w:val="0"/>
        <w:autoSpaceDN w:val="0"/>
        <w:adjustRightInd w:val="0"/>
        <w:spacing w:line="480" w:lineRule="auto"/>
        <w:rPr>
          <w:color w:val="000000"/>
        </w:rPr>
      </w:pPr>
      <w:r w:rsidRPr="00C33C74">
        <w:rPr>
          <w:i/>
          <w:iCs/>
          <w:color w:val="000000"/>
        </w:rPr>
        <w:t>k</w:t>
      </w:r>
      <w:r w:rsidRPr="00863849">
        <w:rPr>
          <w:color w:val="000000"/>
          <w:vertAlign w:val="subscript"/>
        </w:rPr>
        <w:t>25</w:t>
      </w:r>
      <w:r w:rsidRPr="00863849">
        <w:rPr>
          <w:color w:val="000000"/>
        </w:rPr>
        <w:t xml:space="preserve"> </w:t>
      </w:r>
      <w:r>
        <w:rPr>
          <w:color w:val="000000"/>
        </w:rPr>
        <w:t>represents</w:t>
      </w:r>
      <w:r w:rsidRPr="00863849">
        <w:rPr>
          <w:color w:val="000000"/>
        </w:rPr>
        <w:t xml:space="preserve"> the standardized</w:t>
      </w:r>
      <w:r>
        <w:rPr>
          <w:color w:val="000000"/>
        </w:rPr>
        <w:t xml:space="preserve"> </w:t>
      </w:r>
      <w:r>
        <w:rPr>
          <w:i/>
          <w:iCs/>
          <w:color w:val="000000"/>
        </w:rPr>
        <w:t>V</w:t>
      </w:r>
      <w:r>
        <w:rPr>
          <w:color w:val="000000"/>
          <w:vertAlign w:val="subscript"/>
        </w:rPr>
        <w:t xml:space="preserve">cmax </w:t>
      </w:r>
      <w:r>
        <w:rPr>
          <w:color w:val="000000"/>
        </w:rPr>
        <w:t xml:space="preserve">or </w:t>
      </w:r>
      <w:r>
        <w:rPr>
          <w:i/>
          <w:iCs/>
          <w:color w:val="000000"/>
        </w:rPr>
        <w:t>J</w:t>
      </w:r>
      <w:r>
        <w:rPr>
          <w:color w:val="000000"/>
          <w:vertAlign w:val="subscript"/>
        </w:rPr>
        <w:t>max</w:t>
      </w:r>
      <w:r w:rsidRPr="00863849">
        <w:rPr>
          <w:color w:val="000000"/>
        </w:rPr>
        <w:t xml:space="preserve"> rate at 25</w:t>
      </w:r>
      <w:r w:rsidRPr="00863849">
        <w:rPr>
          <w:rFonts w:ascii="Symbol" w:eastAsia="Symbol" w:hAnsi="Symbol" w:cs="Symbol"/>
          <w:color w:val="000000"/>
        </w:rPr>
        <w:t></w:t>
      </w:r>
      <w:r w:rsidRPr="00863849">
        <w:rPr>
          <w:color w:val="000000"/>
        </w:rPr>
        <w:t>C</w:t>
      </w:r>
      <w:r>
        <w:rPr>
          <w:color w:val="000000"/>
        </w:rPr>
        <w:t>,</w:t>
      </w:r>
      <w:r>
        <w:rPr>
          <w:iCs/>
          <w:color w:val="000000"/>
        </w:rPr>
        <w:t xml:space="preserve"> </w:t>
      </w:r>
      <w:proofErr w:type="spellStart"/>
      <w:r w:rsidRPr="00F45847">
        <w:rPr>
          <w:i/>
          <w:iCs/>
          <w:color w:val="000000"/>
        </w:rPr>
        <w:t>k</w:t>
      </w:r>
      <w:r w:rsidRPr="00863849">
        <w:rPr>
          <w:color w:val="000000"/>
          <w:vertAlign w:val="subscript"/>
        </w:rPr>
        <w:t>obs</w:t>
      </w:r>
      <w:proofErr w:type="spellEnd"/>
      <w:r w:rsidRPr="00863849">
        <w:rPr>
          <w:color w:val="000000"/>
        </w:rPr>
        <w:t xml:space="preserve"> </w:t>
      </w:r>
      <w:r>
        <w:rPr>
          <w:color w:val="000000"/>
        </w:rPr>
        <w:t>represents</w:t>
      </w:r>
      <w:r w:rsidRPr="00863849">
        <w:rPr>
          <w:color w:val="000000"/>
        </w:rPr>
        <w:t xml:space="preserve"> the </w:t>
      </w:r>
      <w:r w:rsidRPr="00DB6582">
        <w:rPr>
          <w:i/>
          <w:iCs/>
          <w:color w:val="000000"/>
        </w:rPr>
        <w:t>V</w:t>
      </w:r>
      <w:r w:rsidRPr="00275258">
        <w:rPr>
          <w:color w:val="000000"/>
          <w:vertAlign w:val="subscript"/>
        </w:rPr>
        <w:t>cmax</w:t>
      </w:r>
      <w:r w:rsidRPr="00863849">
        <w:rPr>
          <w:color w:val="000000"/>
        </w:rPr>
        <w:t xml:space="preserve"> or </w:t>
      </w:r>
      <w:r w:rsidRPr="00DB6582">
        <w:rPr>
          <w:i/>
          <w:iCs/>
        </w:rPr>
        <w:t>J</w:t>
      </w:r>
      <w:r w:rsidRPr="00275258">
        <w:rPr>
          <w:vertAlign w:val="subscript"/>
        </w:rPr>
        <w:t>max</w:t>
      </w:r>
      <w:r w:rsidRPr="00863849">
        <w:rPr>
          <w:color w:val="000000"/>
        </w:rPr>
        <w:t xml:space="preserve"> estimate at the average leaf temperature measured inside the cuvette during the</w:t>
      </w:r>
      <w:r>
        <w:rPr>
          <w:color w:val="000000"/>
        </w:rPr>
        <w:t xml:space="preserve"> CO</w:t>
      </w:r>
      <w:r>
        <w:rPr>
          <w:color w:val="000000"/>
          <w:vertAlign w:val="subscript"/>
        </w:rPr>
        <w:t>2</w:t>
      </w:r>
      <w:r w:rsidRPr="00863849">
        <w:rPr>
          <w:color w:val="000000"/>
        </w:rPr>
        <w:t xml:space="preserve"> response curve. </w:t>
      </w:r>
      <w:r w:rsidRPr="00F45847">
        <w:rPr>
          <w:i/>
          <w:iCs/>
          <w:color w:val="000000"/>
        </w:rPr>
        <w:t>H</w:t>
      </w:r>
      <w:r w:rsidRPr="00863849">
        <w:rPr>
          <w:color w:val="000000"/>
          <w:vertAlign w:val="subscript"/>
        </w:rPr>
        <w:t>a</w:t>
      </w:r>
      <w:r w:rsidRPr="00863849">
        <w:rPr>
          <w:color w:val="000000"/>
        </w:rPr>
        <w:t xml:space="preserve"> is the activation energy of </w:t>
      </w:r>
      <w:r w:rsidRPr="006337C2">
        <w:rPr>
          <w:i/>
          <w:iCs/>
          <w:color w:val="000000"/>
        </w:rPr>
        <w:t>V</w:t>
      </w:r>
      <w:r w:rsidRPr="00275258">
        <w:rPr>
          <w:color w:val="000000"/>
          <w:vertAlign w:val="subscript"/>
        </w:rPr>
        <w:t>cmax</w:t>
      </w:r>
      <w:r w:rsidRPr="00863849">
        <w:rPr>
          <w:color w:val="000000"/>
        </w:rPr>
        <w:t xml:space="preserve"> (71,513 J mol</w:t>
      </w:r>
      <w:r w:rsidRPr="00863849">
        <w:rPr>
          <w:color w:val="000000"/>
          <w:vertAlign w:val="superscript"/>
        </w:rPr>
        <w:t>-1</w:t>
      </w:r>
      <w:r w:rsidRPr="00863849">
        <w:rPr>
          <w:color w:val="000000"/>
        </w:rPr>
        <w:t xml:space="preserve">; </w:t>
      </w:r>
      <w:r>
        <w:rPr>
          <w:color w:val="000000"/>
        </w:rPr>
        <w:fldChar w:fldCharType="begin" w:fldLock="1"/>
      </w:r>
      <w:r>
        <w:rPr>
          <w:color w:val="000000"/>
        </w:rPr>
        <w:instrText>ADDIN CSL_CITATION {"citationItems":[{"id":"ITEM-1","itemData":{"DOI":"10.1111/j.1365-3040.2007.01690.x","ISSN":"01407791","author":[{"dropping-particle":"","family":"Kattge","given":"Jens","non-dropping-particle":"","parse-names":false,"suffix":""},{"dropping-particle":"","family":"Knorr","given":"Wolfgang","non-dropping-particle":"","parse-names":false,"suffix":""}],"container-title":"Plant, Cell &amp; Environment","id":"ITEM-1","issue":"9","issued":{"date-parts":[["2007","9"]]},"page":"1176-1190","title":"Temperature acclimation in a biochemical model of photosynthesis: a reanalysis of data from 36 species","type":"article-journal","volume":"30"},"uris":["http://www.mendeley.com/documents/?uuid=1386fefb-1f6f-4dfa-a3ee-a1b31dbc916c"]}],"mendeley":{"formattedCitation":"(Kattge &amp; Knorr, 2007)","manualFormatting":"Kattge &amp; Knorr, 2007)","plainTextFormattedCitation":"(Kattge &amp; Knorr, 2007)","previouslyFormattedCitation":"(Kattge &amp; Knorr, 2007)"},"properties":{"noteIndex":0},"schema":"https://github.com/citation-style-language/schema/raw/master/csl-citation.json"}</w:instrText>
      </w:r>
      <w:r>
        <w:rPr>
          <w:color w:val="000000"/>
        </w:rPr>
        <w:fldChar w:fldCharType="separate"/>
      </w:r>
      <w:r w:rsidRPr="00007008">
        <w:rPr>
          <w:noProof/>
          <w:color w:val="000000"/>
        </w:rPr>
        <w:t>Kattge &amp; Knorr, 2007)</w:t>
      </w:r>
      <w:r>
        <w:rPr>
          <w:color w:val="000000"/>
        </w:rPr>
        <w:fldChar w:fldCharType="end"/>
      </w:r>
      <w:r>
        <w:rPr>
          <w:color w:val="000000"/>
        </w:rPr>
        <w:t xml:space="preserve"> </w:t>
      </w:r>
      <w:r w:rsidRPr="00863849">
        <w:rPr>
          <w:color w:val="000000"/>
        </w:rPr>
        <w:t xml:space="preserve">or </w:t>
      </w:r>
      <w:r w:rsidRPr="00DB6582">
        <w:rPr>
          <w:i/>
          <w:iCs/>
        </w:rPr>
        <w:t>J</w:t>
      </w:r>
      <w:r w:rsidRPr="00275258">
        <w:rPr>
          <w:vertAlign w:val="subscript"/>
        </w:rPr>
        <w:t>max</w:t>
      </w:r>
      <w:r>
        <w:rPr>
          <w:color w:val="000000"/>
        </w:rPr>
        <w:t xml:space="preserve"> </w:t>
      </w:r>
      <w:r w:rsidRPr="00863849">
        <w:rPr>
          <w:color w:val="000000"/>
        </w:rPr>
        <w:t>(49,884 J mol</w:t>
      </w:r>
      <w:r w:rsidRPr="00863849">
        <w:rPr>
          <w:color w:val="000000"/>
          <w:vertAlign w:val="superscript"/>
        </w:rPr>
        <w:t>-1</w:t>
      </w:r>
      <w:r w:rsidRPr="00863849">
        <w:rPr>
          <w:color w:val="000000"/>
        </w:rPr>
        <w:t xml:space="preserve">; </w:t>
      </w:r>
      <w:r>
        <w:rPr>
          <w:color w:val="000000"/>
        </w:rPr>
        <w:fldChar w:fldCharType="begin" w:fldLock="1"/>
      </w:r>
      <w:r>
        <w:rPr>
          <w:color w:val="000000"/>
        </w:rPr>
        <w:instrText>ADDIN CSL_CITATION {"citationItems":[{"id":"ITEM-1","itemData":{"DOI":"10.1111/j.1365-3040.2007.01690.x","ISSN":"01407791","author":[{"dropping-particle":"","family":"Kattge","given":"Jens","non-dropping-particle":"","parse-names":false,"suffix":""},{"dropping-particle":"","family":"Knorr","given":"Wolfgang","non-dropping-particle":"","parse-names":false,"suffix":""}],"container-title":"Plant, Cell &amp; Environment","id":"ITEM-1","issue":"9","issued":{"date-parts":[["2007","9"]]},"page":"1176-1190","title":"Temperature acclimation in a biochemical model of photosynthesis: a reanalysis of data from 36 species","type":"article-journal","volume":"30"},"uris":["http://www.mendeley.com/documents/?uuid=1386fefb-1f6f-4dfa-a3ee-a1b31dbc916c"]}],"mendeley":{"formattedCitation":"(Kattge &amp; Knorr, 2007)","manualFormatting":"Kattge &amp; Knorr, 2007)","plainTextFormattedCitation":"(Kattge &amp; Knorr, 2007)","previouslyFormattedCitation":"(Kattge &amp; Knorr, 2007)"},"properties":{"noteIndex":0},"schema":"https://github.com/citation-style-language/schema/raw/master/csl-citation.json"}</w:instrText>
      </w:r>
      <w:r>
        <w:rPr>
          <w:color w:val="000000"/>
        </w:rPr>
        <w:fldChar w:fldCharType="separate"/>
      </w:r>
      <w:r w:rsidRPr="00007008">
        <w:rPr>
          <w:noProof/>
          <w:color w:val="000000"/>
        </w:rPr>
        <w:t>Kattge &amp; Knorr, 2007)</w:t>
      </w:r>
      <w:r>
        <w:rPr>
          <w:color w:val="000000"/>
        </w:rPr>
        <w:fldChar w:fldCharType="end"/>
      </w:r>
      <w:r>
        <w:rPr>
          <w:color w:val="000000"/>
        </w:rPr>
        <w:t xml:space="preserve">. </w:t>
      </w:r>
      <w:proofErr w:type="spellStart"/>
      <w:r w:rsidRPr="00F45847">
        <w:rPr>
          <w:i/>
          <w:iCs/>
          <w:color w:val="000000"/>
        </w:rPr>
        <w:t>H</w:t>
      </w:r>
      <w:r w:rsidRPr="00863849">
        <w:rPr>
          <w:color w:val="000000"/>
          <w:vertAlign w:val="subscript"/>
        </w:rPr>
        <w:t>d</w:t>
      </w:r>
      <w:proofErr w:type="spellEnd"/>
      <w:r w:rsidRPr="00863849">
        <w:rPr>
          <w:color w:val="000000"/>
        </w:rPr>
        <w:t xml:space="preserve"> represents the deactivation energy of both </w:t>
      </w:r>
      <w:r w:rsidRPr="008D17BE">
        <w:rPr>
          <w:i/>
          <w:iCs/>
          <w:color w:val="000000"/>
        </w:rPr>
        <w:t>V</w:t>
      </w:r>
      <w:r w:rsidRPr="00275258">
        <w:rPr>
          <w:color w:val="000000"/>
          <w:vertAlign w:val="subscript"/>
        </w:rPr>
        <w:t>cmax</w:t>
      </w:r>
      <w:r w:rsidRPr="00863849">
        <w:rPr>
          <w:color w:val="000000"/>
        </w:rPr>
        <w:t xml:space="preserve"> and </w:t>
      </w:r>
      <w:r w:rsidRPr="00DB6582">
        <w:rPr>
          <w:i/>
          <w:iCs/>
        </w:rPr>
        <w:t>J</w:t>
      </w:r>
      <w:r w:rsidRPr="00275258">
        <w:rPr>
          <w:vertAlign w:val="subscript"/>
        </w:rPr>
        <w:t>max</w:t>
      </w:r>
      <w:r w:rsidRPr="00863849">
        <w:rPr>
          <w:color w:val="000000"/>
        </w:rPr>
        <w:t xml:space="preserve"> </w:t>
      </w:r>
      <w:r>
        <w:rPr>
          <w:color w:val="000000"/>
        </w:rPr>
        <w:t>(200,000 J mol</w:t>
      </w:r>
      <w:r>
        <w:rPr>
          <w:color w:val="000000"/>
          <w:vertAlign w:val="superscript"/>
        </w:rPr>
        <w:t>-1</w:t>
      </w:r>
      <w:r>
        <w:rPr>
          <w:color w:val="000000"/>
        </w:rPr>
        <w:t xml:space="preserve">; </w:t>
      </w:r>
      <w:r>
        <w:rPr>
          <w:color w:val="000000"/>
        </w:rPr>
        <w:fldChar w:fldCharType="begin" w:fldLock="1"/>
      </w:r>
      <w:r>
        <w:rPr>
          <w:color w:val="000000"/>
        </w:rPr>
        <w:instrText>ADDIN CSL_CITATION {"citationItems":[{"id":"ITEM-1","itemData":{"DOI":"10.1046/j.1365-3040.2002.00891.x","ISSN":"01407791","author":[{"dropping-particle":"","family":"Medlyn","given":"Belinda E","non-dropping-particle":"","parse-names":false,"suffix":""},{"dropping-particle":"","family":"Dreyer","given":"Erwin","non-dropping-particle":"","parse-names":false,"suffix":""},{"dropping-particle":"","family":"Ellsworth","given":"David S","non-dropping-particle":"","parse-names":false,"suffix":""},{"dropping-particle":"","family":"Forstreuter","given":"Manfred","non-dropping-particle":"","parse-names":false,"suffix":""},{"dropping-particle":"","family":"Harley","given":"Peter C","non-dropping-particle":"","parse-names":false,"suffix":""},{"dropping-particle":"","family":"Kirschbaum","given":"Miko U F","non-dropping-particle":"","parse-names":false,"suffix":""},{"dropping-particle":"","family":"Roux","given":"Xavier","non-dropping-particle":"Le","parse-names":false,"suffix":""},{"dropping-particle":"","family":"Montpied","given":"Pierre","non-dropping-particle":"","parse-names":false,"suffix":""},{"dropping-particle":"","family":"Strassemeyer","given":"Jörn","non-dropping-particle":"","parse-names":false,"suffix":""},{"dropping-particle":"","family":"Walcroft","given":"A.","non-dropping-particle":"","parse-names":false,"suffix":""},{"dropping-particle":"","family":"Wang","given":"K","non-dropping-particle":"","parse-names":false,"suffix":""},{"dropping-particle":"","family":"Loustau","given":"Denis","non-dropping-particle":"","parse-names":false,"suffix":""}],"container-title":"Plant, Cell &amp; Environment","id":"ITEM-1","issue":"9","issued":{"date-parts":[["2002","9"]]},"page":"1167-1179","title":"Temperature response of parameters of a biochemically based model of photosynthesis. II. A review of experimental data","type":"article-journal","volume":"25"},"uris":["http://www.mendeley.com/documents/?uuid=f142b2ba-b924-4247-ad80-0bb3c892ffdc"]}],"mendeley":{"formattedCitation":"(Medlyn et al., 2002)","manualFormatting":"Medlyn et al., 2002)","plainTextFormattedCitation":"(Medlyn et al., 2002)","previouslyFormattedCitation":"(Medlyn et al., 2002)"},"properties":{"noteIndex":0},"schema":"https://github.com/citation-style-language/schema/raw/master/csl-citation.json"}</w:instrText>
      </w:r>
      <w:r>
        <w:rPr>
          <w:color w:val="000000"/>
        </w:rPr>
        <w:fldChar w:fldCharType="separate"/>
      </w:r>
      <w:r w:rsidRPr="00275729">
        <w:rPr>
          <w:noProof/>
          <w:color w:val="000000"/>
        </w:rPr>
        <w:t>Medlyn et al., 2002)</w:t>
      </w:r>
      <w:r>
        <w:rPr>
          <w:color w:val="000000"/>
        </w:rPr>
        <w:fldChar w:fldCharType="end"/>
      </w:r>
      <w:r w:rsidRPr="00863849">
        <w:rPr>
          <w:color w:val="000000"/>
        </w:rPr>
        <w:t xml:space="preserve">, and R </w:t>
      </w:r>
      <w:r>
        <w:rPr>
          <w:color w:val="000000"/>
        </w:rPr>
        <w:t>represents</w:t>
      </w:r>
      <w:r w:rsidRPr="00863849">
        <w:rPr>
          <w:color w:val="000000"/>
        </w:rPr>
        <w:t xml:space="preserve"> the universal gas constant (8.314 J mol</w:t>
      </w:r>
      <w:r w:rsidRPr="00863849">
        <w:rPr>
          <w:color w:val="000000"/>
          <w:vertAlign w:val="superscript"/>
        </w:rPr>
        <w:t>-1</w:t>
      </w:r>
      <w:r w:rsidRPr="00863849">
        <w:rPr>
          <w:color w:val="000000"/>
        </w:rPr>
        <w:t xml:space="preserve"> K</w:t>
      </w:r>
      <w:r w:rsidRPr="00863849">
        <w:rPr>
          <w:color w:val="000000"/>
          <w:vertAlign w:val="superscript"/>
        </w:rPr>
        <w:t>-1</w:t>
      </w:r>
      <w:r w:rsidRPr="00863849">
        <w:rPr>
          <w:color w:val="000000"/>
        </w:rPr>
        <w:t xml:space="preserve">). </w:t>
      </w:r>
      <w:proofErr w:type="spellStart"/>
      <w:r w:rsidRPr="00C33C74">
        <w:rPr>
          <w:i/>
          <w:iCs/>
          <w:color w:val="000000"/>
        </w:rPr>
        <w:t>T</w:t>
      </w:r>
      <w:r w:rsidRPr="00863849">
        <w:rPr>
          <w:color w:val="000000"/>
          <w:vertAlign w:val="subscript"/>
        </w:rPr>
        <w:t>ref</w:t>
      </w:r>
      <w:proofErr w:type="spellEnd"/>
      <w:r w:rsidRPr="00863849">
        <w:rPr>
          <w:color w:val="000000"/>
        </w:rPr>
        <w:t xml:space="preserve"> represents the standardized temperature of 298.15 K </w:t>
      </w:r>
      <w:r>
        <w:rPr>
          <w:color w:val="000000"/>
        </w:rPr>
        <w:t>(</w:t>
      </w:r>
      <w:r w:rsidRPr="00863849">
        <w:rPr>
          <w:color w:val="000000"/>
        </w:rPr>
        <w:t>25</w:t>
      </w:r>
      <w:r w:rsidRPr="00863849">
        <w:rPr>
          <w:rFonts w:ascii="Symbol" w:eastAsia="Symbol" w:hAnsi="Symbol" w:cs="Symbol"/>
          <w:color w:val="000000"/>
        </w:rPr>
        <w:t></w:t>
      </w:r>
      <w:r w:rsidRPr="00863849">
        <w:rPr>
          <w:color w:val="000000"/>
        </w:rPr>
        <w:t>C</w:t>
      </w:r>
      <w:r>
        <w:rPr>
          <w:color w:val="000000"/>
        </w:rPr>
        <w:t xml:space="preserve">) </w:t>
      </w:r>
      <w:r w:rsidRPr="00863849">
        <w:rPr>
          <w:color w:val="000000"/>
        </w:rPr>
        <w:t xml:space="preserve">and </w:t>
      </w:r>
      <w:r w:rsidRPr="00C33C74">
        <w:rPr>
          <w:i/>
          <w:iCs/>
          <w:color w:val="000000"/>
        </w:rPr>
        <w:t>T</w:t>
      </w:r>
      <w:r w:rsidRPr="00863849">
        <w:rPr>
          <w:color w:val="000000"/>
          <w:vertAlign w:val="subscript"/>
        </w:rPr>
        <w:t>obs</w:t>
      </w:r>
      <w:r w:rsidRPr="00863849">
        <w:rPr>
          <w:color w:val="000000"/>
        </w:rPr>
        <w:t xml:space="preserve"> represents the mean leaf temperature (</w:t>
      </w:r>
      <w:r>
        <w:rPr>
          <w:color w:val="000000"/>
        </w:rPr>
        <w:t xml:space="preserve">in </w:t>
      </w:r>
      <w:r w:rsidRPr="00863849">
        <w:rPr>
          <w:color w:val="000000"/>
        </w:rPr>
        <w:t>K) during each CO</w:t>
      </w:r>
      <w:r w:rsidRPr="00863849">
        <w:rPr>
          <w:color w:val="000000"/>
          <w:vertAlign w:val="subscript"/>
        </w:rPr>
        <w:t>2</w:t>
      </w:r>
      <w:r w:rsidRPr="00863849">
        <w:rPr>
          <w:color w:val="000000"/>
        </w:rPr>
        <w:t xml:space="preserve"> response curve.</w:t>
      </w:r>
      <w:r>
        <w:rPr>
          <w:color w:val="000000"/>
        </w:rPr>
        <w:t xml:space="preserve"> </w:t>
      </w:r>
      <w:r w:rsidRPr="00863849">
        <w:rPr>
          <w:color w:val="000000"/>
          <w:lang w:val="el-GR"/>
        </w:rPr>
        <w:t>Δ</w:t>
      </w:r>
      <w:r w:rsidRPr="00863849">
        <w:rPr>
          <w:color w:val="000000"/>
        </w:rPr>
        <w:t xml:space="preserve">S is an entropy term that </w:t>
      </w:r>
      <w:proofErr w:type="spellStart"/>
      <w:r w:rsidRPr="00863849">
        <w:rPr>
          <w:color w:val="000000"/>
        </w:rPr>
        <w:t>Kattge</w:t>
      </w:r>
      <w:proofErr w:type="spellEnd"/>
      <w:r w:rsidRPr="00863849">
        <w:rPr>
          <w:color w:val="000000"/>
        </w:rPr>
        <w:t xml:space="preserve"> &amp; Knorr (2007) derived as a linear relationship with average growing season temperature (</w:t>
      </w:r>
      <w:proofErr w:type="spellStart"/>
      <w:r w:rsidRPr="00C33C74">
        <w:rPr>
          <w:i/>
          <w:iCs/>
          <w:color w:val="000000"/>
        </w:rPr>
        <w:t>T</w:t>
      </w:r>
      <w:r w:rsidRPr="00863849">
        <w:rPr>
          <w:color w:val="000000"/>
          <w:vertAlign w:val="subscript"/>
        </w:rPr>
        <w:t>g</w:t>
      </w:r>
      <w:proofErr w:type="spellEnd"/>
      <w:r w:rsidRPr="00863849">
        <w:rPr>
          <w:color w:val="000000"/>
        </w:rPr>
        <w:t xml:space="preserve">; °C), where: </w:t>
      </w:r>
    </w:p>
    <w:p w14:paraId="441798CC" w14:textId="77777777" w:rsidR="00BA3A8F" w:rsidRPr="00AA4F47" w:rsidRDefault="00BA3A8F" w:rsidP="00BA3A8F">
      <w:pPr>
        <w:tabs>
          <w:tab w:val="left" w:pos="593"/>
        </w:tabs>
        <w:autoSpaceDE w:val="0"/>
        <w:autoSpaceDN w:val="0"/>
        <w:adjustRightInd w:val="0"/>
        <w:spacing w:line="480" w:lineRule="auto"/>
        <w:rPr>
          <w:color w:val="000000"/>
        </w:rPr>
      </w:pPr>
    </w:p>
    <w:p w14:paraId="584DA6CB" w14:textId="400788AC" w:rsidR="00BA3A8F" w:rsidRDefault="00000000" w:rsidP="00BA3A8F">
      <w:pPr>
        <w:tabs>
          <w:tab w:val="left" w:pos="593"/>
        </w:tabs>
        <w:autoSpaceDE w:val="0"/>
        <w:autoSpaceDN w:val="0"/>
        <w:adjustRightInd w:val="0"/>
        <w:spacing w:line="480" w:lineRule="auto"/>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vcmax</m:t>
            </m:r>
          </m:sub>
        </m:sSub>
        <m:r>
          <w:rPr>
            <w:rFonts w:ascii="Cambria Math" w:hAnsi="Cambria Math"/>
            <w:color w:val="000000"/>
          </w:rPr>
          <m:t>=-1.07</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g</m:t>
            </m:r>
          </m:sub>
        </m:sSub>
        <m:r>
          <w:rPr>
            <w:rFonts w:ascii="Cambria Math" w:hAnsi="Cambria Math"/>
            <w:color w:val="000000"/>
          </w:rPr>
          <m:t>+668.39</m:t>
        </m:r>
      </m:oMath>
      <w:r w:rsidR="00BA3A8F" w:rsidRPr="00863849">
        <w:rPr>
          <w:color w:val="000000"/>
        </w:rPr>
        <w:tab/>
      </w:r>
      <w:r w:rsidR="00BA3A8F" w:rsidRPr="00863849">
        <w:rPr>
          <w:color w:val="000000"/>
        </w:rPr>
        <w:tab/>
      </w:r>
      <w:r w:rsidR="00BA3A8F" w:rsidRPr="00863849">
        <w:rPr>
          <w:color w:val="000000"/>
        </w:rPr>
        <w:tab/>
      </w:r>
      <w:r w:rsidR="00BA3A8F" w:rsidRPr="00863849">
        <w:rPr>
          <w:color w:val="000000"/>
        </w:rPr>
        <w:tab/>
      </w:r>
      <w:r w:rsidR="00BA3A8F" w:rsidRPr="00863849">
        <w:rPr>
          <w:color w:val="000000"/>
        </w:rPr>
        <w:tab/>
      </w:r>
      <w:r w:rsidR="00BA3A8F" w:rsidRPr="00863849">
        <w:rPr>
          <w:color w:val="000000"/>
        </w:rPr>
        <w:tab/>
      </w:r>
      <w:r w:rsidR="00BA3A8F" w:rsidRPr="00863849">
        <w:rPr>
          <w:color w:val="000000"/>
        </w:rPr>
        <w:tab/>
        <w:t xml:space="preserve">(Eqn. </w:t>
      </w:r>
      <w:r w:rsidR="00247CFD">
        <w:rPr>
          <w:color w:val="000000"/>
        </w:rPr>
        <w:t>5</w:t>
      </w:r>
      <w:r w:rsidR="00BA3A8F">
        <w:rPr>
          <w:color w:val="000000"/>
        </w:rPr>
        <w:t>a</w:t>
      </w:r>
      <w:r w:rsidR="00BA3A8F" w:rsidRPr="00863849">
        <w:rPr>
          <w:color w:val="000000"/>
        </w:rPr>
        <w:t>)</w:t>
      </w:r>
    </w:p>
    <w:p w14:paraId="3604AE09" w14:textId="77777777" w:rsidR="00BA3A8F" w:rsidRPr="00AA4F47" w:rsidRDefault="00BA3A8F" w:rsidP="00BA3A8F">
      <w:pPr>
        <w:tabs>
          <w:tab w:val="left" w:pos="593"/>
        </w:tabs>
        <w:autoSpaceDE w:val="0"/>
        <w:autoSpaceDN w:val="0"/>
        <w:adjustRightInd w:val="0"/>
        <w:spacing w:line="480" w:lineRule="auto"/>
        <w:rPr>
          <w:color w:val="000000"/>
        </w:rPr>
      </w:pPr>
      <w:r w:rsidRPr="00863849">
        <w:rPr>
          <w:color w:val="000000"/>
        </w:rPr>
        <w:t>and:</w:t>
      </w:r>
    </w:p>
    <w:p w14:paraId="6C956582" w14:textId="7E30CC7B" w:rsidR="00BA3A8F" w:rsidRDefault="00000000" w:rsidP="00BA3A8F">
      <w:pPr>
        <w:tabs>
          <w:tab w:val="left" w:pos="593"/>
        </w:tabs>
        <w:autoSpaceDE w:val="0"/>
        <w:autoSpaceDN w:val="0"/>
        <w:adjustRightInd w:val="0"/>
        <w:spacing w:line="480" w:lineRule="auto"/>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jmax</m:t>
            </m:r>
          </m:sub>
        </m:sSub>
        <m:r>
          <w:rPr>
            <w:rFonts w:ascii="Cambria Math" w:hAnsi="Cambria Math"/>
            <w:color w:val="000000"/>
          </w:rPr>
          <m:t>=-0.75</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g</m:t>
            </m:r>
          </m:sub>
        </m:sSub>
        <m:r>
          <w:rPr>
            <w:rFonts w:ascii="Cambria Math" w:hAnsi="Cambria Math"/>
            <w:color w:val="000000"/>
          </w:rPr>
          <m:t>+659.70</m:t>
        </m:r>
      </m:oMath>
      <w:r w:rsidR="00BA3A8F" w:rsidRPr="00863849">
        <w:rPr>
          <w:color w:val="000000"/>
        </w:rPr>
        <w:tab/>
      </w:r>
      <w:r w:rsidR="00BA3A8F" w:rsidRPr="00863849">
        <w:rPr>
          <w:color w:val="000000"/>
        </w:rPr>
        <w:tab/>
      </w:r>
      <w:r w:rsidR="00BA3A8F" w:rsidRPr="00863849">
        <w:rPr>
          <w:color w:val="000000"/>
        </w:rPr>
        <w:tab/>
      </w:r>
      <w:r w:rsidR="00BA3A8F" w:rsidRPr="00863849">
        <w:rPr>
          <w:color w:val="000000"/>
        </w:rPr>
        <w:tab/>
      </w:r>
      <w:r w:rsidR="00BA3A8F" w:rsidRPr="00863849">
        <w:rPr>
          <w:color w:val="000000"/>
        </w:rPr>
        <w:tab/>
      </w:r>
      <w:r w:rsidR="00BA3A8F" w:rsidRPr="00863849">
        <w:rPr>
          <w:color w:val="000000"/>
        </w:rPr>
        <w:tab/>
      </w:r>
      <w:r w:rsidR="00BA3A8F" w:rsidRPr="00863849">
        <w:rPr>
          <w:color w:val="000000"/>
        </w:rPr>
        <w:tab/>
      </w:r>
      <w:r w:rsidR="00BA3A8F" w:rsidRPr="00863849">
        <w:rPr>
          <w:color w:val="000000"/>
        </w:rPr>
        <w:tab/>
        <w:t xml:space="preserve">(Eqn. </w:t>
      </w:r>
      <w:r w:rsidR="00247CFD">
        <w:rPr>
          <w:color w:val="000000"/>
        </w:rPr>
        <w:t>5</w:t>
      </w:r>
      <w:r w:rsidR="00BA3A8F">
        <w:rPr>
          <w:color w:val="000000"/>
        </w:rPr>
        <w:t>b</w:t>
      </w:r>
      <w:r w:rsidR="00BA3A8F" w:rsidRPr="00863849">
        <w:rPr>
          <w:color w:val="000000"/>
        </w:rPr>
        <w:t>)</w:t>
      </w:r>
    </w:p>
    <w:p w14:paraId="3A642F0D" w14:textId="77777777" w:rsidR="00BA3A8F" w:rsidRDefault="00BA3A8F" w:rsidP="00BA3A8F">
      <w:pPr>
        <w:tabs>
          <w:tab w:val="left" w:pos="593"/>
        </w:tabs>
        <w:autoSpaceDE w:val="0"/>
        <w:autoSpaceDN w:val="0"/>
        <w:adjustRightInd w:val="0"/>
        <w:spacing w:line="480" w:lineRule="auto"/>
        <w:rPr>
          <w:color w:val="000000"/>
        </w:rPr>
      </w:pPr>
    </w:p>
    <w:p w14:paraId="306DE542" w14:textId="5C8F2FF2" w:rsidR="00BA3A8F" w:rsidRDefault="00BA3A8F" w:rsidP="00BA3A8F">
      <w:pPr>
        <w:tabs>
          <w:tab w:val="left" w:pos="593"/>
        </w:tabs>
        <w:autoSpaceDE w:val="0"/>
        <w:autoSpaceDN w:val="0"/>
        <w:adjustRightInd w:val="0"/>
        <w:spacing w:line="480" w:lineRule="auto"/>
        <w:rPr>
          <w:color w:val="000000"/>
        </w:rPr>
      </w:pPr>
      <w:r w:rsidRPr="00863849">
        <w:rPr>
          <w:color w:val="000000"/>
        </w:rPr>
        <w:t xml:space="preserve">We estimated </w:t>
      </w:r>
      <w:proofErr w:type="spellStart"/>
      <w:r w:rsidRPr="00C33C74">
        <w:rPr>
          <w:i/>
          <w:iCs/>
          <w:color w:val="000000"/>
        </w:rPr>
        <w:t>T</w:t>
      </w:r>
      <w:r w:rsidRPr="00863849">
        <w:rPr>
          <w:color w:val="000000"/>
          <w:vertAlign w:val="subscript"/>
        </w:rPr>
        <w:t>g</w:t>
      </w:r>
      <w:proofErr w:type="spellEnd"/>
      <w:r w:rsidRPr="00863849">
        <w:rPr>
          <w:color w:val="000000"/>
        </w:rPr>
        <w:t xml:space="preserve"> in equations </w:t>
      </w:r>
      <w:r w:rsidR="00CF3DB6" w:rsidRPr="00CF3DB6">
        <w:rPr>
          <w:color w:val="000000"/>
          <w:highlight w:val="yellow"/>
        </w:rPr>
        <w:t>XX</w:t>
      </w:r>
      <w:r w:rsidRPr="00863849">
        <w:rPr>
          <w:color w:val="000000"/>
        </w:rPr>
        <w:t xml:space="preserve"> and </w:t>
      </w:r>
      <w:r w:rsidR="00CF3DB6" w:rsidRPr="00CF3DB6">
        <w:rPr>
          <w:color w:val="000000"/>
          <w:highlight w:val="yellow"/>
        </w:rPr>
        <w:t>XX</w:t>
      </w:r>
      <w:r w:rsidRPr="00863849">
        <w:rPr>
          <w:color w:val="000000"/>
        </w:rPr>
        <w:t xml:space="preserve"> based on mean daily</w:t>
      </w:r>
      <w:r>
        <w:rPr>
          <w:color w:val="000000"/>
        </w:rPr>
        <w:t xml:space="preserve"> (24-hour)</w:t>
      </w:r>
      <w:r w:rsidRPr="00863849">
        <w:rPr>
          <w:color w:val="000000"/>
        </w:rPr>
        <w:t xml:space="preserve"> air temperature of the </w:t>
      </w:r>
      <w:r w:rsidR="00CF3DB6">
        <w:rPr>
          <w:color w:val="000000"/>
        </w:rPr>
        <w:t xml:space="preserve">chamber during the entire experiment. Temperature data were collected using </w:t>
      </w:r>
      <w:r w:rsidR="00242D25">
        <w:rPr>
          <w:color w:val="000000"/>
        </w:rPr>
        <w:t xml:space="preserve">chamber sensors, which were cross validated with a LI-6800 at random weekly timepoints during the experiment. </w:t>
      </w:r>
      <w:r>
        <w:rPr>
          <w:color w:val="000000"/>
        </w:rPr>
        <w:t xml:space="preserve">We then used </w:t>
      </w:r>
      <w:r w:rsidRPr="00DB6582">
        <w:rPr>
          <w:i/>
          <w:iCs/>
          <w:color w:val="000000"/>
        </w:rPr>
        <w:t>V</w:t>
      </w:r>
      <w:r w:rsidRPr="00275258">
        <w:rPr>
          <w:color w:val="000000"/>
          <w:vertAlign w:val="subscript"/>
        </w:rPr>
        <w:t>cmax25</w:t>
      </w:r>
      <w:r>
        <w:rPr>
          <w:color w:val="000000"/>
        </w:rPr>
        <w:t xml:space="preserve"> and </w:t>
      </w:r>
      <w:r w:rsidRPr="00DB6582">
        <w:rPr>
          <w:i/>
          <w:iCs/>
        </w:rPr>
        <w:t>J</w:t>
      </w:r>
      <w:r w:rsidRPr="00275258">
        <w:rPr>
          <w:vertAlign w:val="subscript"/>
        </w:rPr>
        <w:t>max25</w:t>
      </w:r>
      <w:r>
        <w:rPr>
          <w:vertAlign w:val="subscript"/>
        </w:rPr>
        <w:t xml:space="preserve"> </w:t>
      </w:r>
      <w:r>
        <w:t xml:space="preserve">estimates to calculate the ratio </w:t>
      </w:r>
      <w:r>
        <w:rPr>
          <w:color w:val="000000"/>
        </w:rPr>
        <w:t xml:space="preserve">of </w:t>
      </w:r>
      <w:r w:rsidRPr="00DB6582">
        <w:rPr>
          <w:i/>
          <w:iCs/>
        </w:rPr>
        <w:t>J</w:t>
      </w:r>
      <w:r w:rsidRPr="00275258">
        <w:rPr>
          <w:vertAlign w:val="subscript"/>
        </w:rPr>
        <w:t>max25</w:t>
      </w:r>
      <w:r>
        <w:t xml:space="preserve"> to </w:t>
      </w:r>
      <w:r w:rsidRPr="00DB6582">
        <w:rPr>
          <w:i/>
          <w:iCs/>
          <w:color w:val="000000"/>
        </w:rPr>
        <w:t>V</w:t>
      </w:r>
      <w:r w:rsidRPr="00275258">
        <w:rPr>
          <w:color w:val="000000"/>
          <w:vertAlign w:val="subscript"/>
        </w:rPr>
        <w:t>cmax25</w:t>
      </w:r>
      <w:r>
        <w:rPr>
          <w:color w:val="000000"/>
        </w:rPr>
        <w:t xml:space="preserve"> (</w:t>
      </w:r>
      <w:r w:rsidRPr="00DB6582">
        <w:rPr>
          <w:i/>
          <w:iCs/>
        </w:rPr>
        <w:t>J</w:t>
      </w:r>
      <w:r w:rsidRPr="00275258">
        <w:rPr>
          <w:vertAlign w:val="subscript"/>
        </w:rPr>
        <w:t>max25</w:t>
      </w:r>
      <w:r>
        <w:t>:</w:t>
      </w:r>
      <w:r w:rsidRPr="00DB6582">
        <w:rPr>
          <w:i/>
          <w:iCs/>
          <w:color w:val="000000"/>
        </w:rPr>
        <w:t>V</w:t>
      </w:r>
      <w:r w:rsidRPr="00275258">
        <w:rPr>
          <w:color w:val="000000"/>
          <w:vertAlign w:val="subscript"/>
        </w:rPr>
        <w:t>cmax25</w:t>
      </w:r>
      <w:r>
        <w:rPr>
          <w:color w:val="000000"/>
        </w:rPr>
        <w:t>; unitless).</w:t>
      </w:r>
    </w:p>
    <w:p w14:paraId="5E254EC6" w14:textId="79B508A6" w:rsidR="0091040E" w:rsidRDefault="0091040E" w:rsidP="00BA3A8F">
      <w:pPr>
        <w:tabs>
          <w:tab w:val="left" w:pos="593"/>
        </w:tabs>
        <w:autoSpaceDE w:val="0"/>
        <w:autoSpaceDN w:val="0"/>
        <w:adjustRightInd w:val="0"/>
        <w:spacing w:line="480" w:lineRule="auto"/>
        <w:rPr>
          <w:color w:val="000000"/>
        </w:rPr>
      </w:pPr>
      <w:r>
        <w:rPr>
          <w:color w:val="000000"/>
        </w:rPr>
        <w:tab/>
        <w:t>Finally, we standardized dark respiration</w:t>
      </w:r>
      <w:r w:rsidR="005459FB">
        <w:rPr>
          <w:color w:val="000000"/>
        </w:rPr>
        <w:t xml:space="preserve"> to 25</w:t>
      </w:r>
      <w:r w:rsidR="005459FB" w:rsidRPr="00863849">
        <w:rPr>
          <w:rFonts w:ascii="Symbol" w:eastAsia="Symbol" w:hAnsi="Symbol" w:cs="Symbol"/>
          <w:color w:val="000000"/>
        </w:rPr>
        <w:t></w:t>
      </w:r>
      <w:r w:rsidR="005459FB" w:rsidRPr="00863849">
        <w:rPr>
          <w:color w:val="000000"/>
        </w:rPr>
        <w:t>C</w:t>
      </w:r>
      <w:r w:rsidR="005459FB">
        <w:rPr>
          <w:color w:val="000000"/>
        </w:rPr>
        <w:t xml:space="preserve"> (</w:t>
      </w:r>
      <w:r w:rsidR="005459FB">
        <w:rPr>
          <w:i/>
          <w:iCs/>
          <w:color w:val="000000"/>
        </w:rPr>
        <w:t>R</w:t>
      </w:r>
      <w:r w:rsidR="005459FB">
        <w:rPr>
          <w:color w:val="000000"/>
          <w:vertAlign w:val="subscript"/>
        </w:rPr>
        <w:t>d25</w:t>
      </w:r>
      <w:r w:rsidR="005459FB">
        <w:rPr>
          <w:color w:val="000000"/>
        </w:rPr>
        <w:t xml:space="preserve">; </w:t>
      </w:r>
      <w:r w:rsidR="005459FB">
        <w:rPr>
          <w:color w:val="000000"/>
          <w:lang w:val="el-GR"/>
        </w:rPr>
        <w:t>μ</w:t>
      </w:r>
      <w:r w:rsidR="005459FB">
        <w:rPr>
          <w:color w:val="000000"/>
        </w:rPr>
        <w:t>mol m</w:t>
      </w:r>
      <w:r w:rsidR="005459FB">
        <w:rPr>
          <w:color w:val="000000"/>
          <w:vertAlign w:val="superscript"/>
        </w:rPr>
        <w:t>-2</w:t>
      </w:r>
      <w:r w:rsidR="005459FB" w:rsidRPr="00E83939">
        <w:rPr>
          <w:color w:val="000000"/>
        </w:rPr>
        <w:t xml:space="preserve"> </w:t>
      </w:r>
      <w:r w:rsidR="005459FB">
        <w:rPr>
          <w:color w:val="000000"/>
        </w:rPr>
        <w:t>s</w:t>
      </w:r>
      <w:r w:rsidR="005459FB">
        <w:rPr>
          <w:color w:val="000000"/>
          <w:vertAlign w:val="superscript"/>
        </w:rPr>
        <w:t>-1</w:t>
      </w:r>
      <w:r w:rsidR="005459FB">
        <w:rPr>
          <w:color w:val="000000"/>
        </w:rPr>
        <w:t>)</w:t>
      </w:r>
      <w:r>
        <w:rPr>
          <w:color w:val="000000"/>
        </w:rPr>
        <w:t xml:space="preserve"> using </w:t>
      </w:r>
      <w:r w:rsidR="005459FB">
        <w:rPr>
          <w:color w:val="000000"/>
        </w:rPr>
        <w:t>the</w:t>
      </w:r>
      <w:r>
        <w:rPr>
          <w:color w:val="000000"/>
        </w:rPr>
        <w:t xml:space="preserve"> log-polynomial </w:t>
      </w:r>
      <w:r w:rsidR="005459FB">
        <w:rPr>
          <w:color w:val="000000"/>
        </w:rPr>
        <w:t xml:space="preserve">explained in Eq. </w:t>
      </w:r>
      <w:r w:rsidR="005459FB" w:rsidRPr="005459FB">
        <w:rPr>
          <w:color w:val="000000"/>
          <w:highlight w:val="yellow"/>
        </w:rPr>
        <w:t>XX</w:t>
      </w:r>
      <w:r w:rsidR="005459FB">
        <w:rPr>
          <w:color w:val="000000"/>
        </w:rPr>
        <w:t xml:space="preserve"> and the same coefficients explained above, with </w:t>
      </w:r>
      <w:proofErr w:type="spellStart"/>
      <w:r w:rsidR="005459FB">
        <w:rPr>
          <w:i/>
          <w:iCs/>
          <w:color w:val="000000"/>
        </w:rPr>
        <w:t>T</w:t>
      </w:r>
      <w:r w:rsidR="005459FB">
        <w:rPr>
          <w:color w:val="000000"/>
          <w:vertAlign w:val="subscript"/>
        </w:rPr>
        <w:t>ref</w:t>
      </w:r>
      <w:proofErr w:type="spellEnd"/>
      <w:r w:rsidR="005459FB">
        <w:rPr>
          <w:color w:val="000000"/>
        </w:rPr>
        <w:t xml:space="preserve"> set to 25</w:t>
      </w:r>
      <w:r w:rsidR="005459FB" w:rsidRPr="00863849">
        <w:rPr>
          <w:rFonts w:ascii="Symbol" w:eastAsia="Symbol" w:hAnsi="Symbol" w:cs="Symbol"/>
          <w:color w:val="000000"/>
        </w:rPr>
        <w:t></w:t>
      </w:r>
      <w:r w:rsidR="005459FB" w:rsidRPr="00863849">
        <w:rPr>
          <w:color w:val="000000"/>
        </w:rPr>
        <w:t>C</w:t>
      </w:r>
      <w:r w:rsidR="005459FB">
        <w:rPr>
          <w:color w:val="000000"/>
        </w:rPr>
        <w:t>.</w:t>
      </w:r>
    </w:p>
    <w:p w14:paraId="0300DF29" w14:textId="77777777" w:rsidR="00BA3A8F" w:rsidRDefault="00BA3A8F" w:rsidP="00BA3A8F">
      <w:pPr>
        <w:tabs>
          <w:tab w:val="left" w:pos="593"/>
        </w:tabs>
        <w:autoSpaceDE w:val="0"/>
        <w:autoSpaceDN w:val="0"/>
        <w:adjustRightInd w:val="0"/>
        <w:spacing w:line="480" w:lineRule="auto"/>
        <w:rPr>
          <w:color w:val="000000"/>
        </w:rPr>
      </w:pPr>
    </w:p>
    <w:p w14:paraId="537DD4A0" w14:textId="77777777" w:rsidR="00BA3A8F" w:rsidRPr="00A02C71" w:rsidRDefault="00BA3A8F" w:rsidP="00BA3A8F">
      <w:pPr>
        <w:tabs>
          <w:tab w:val="left" w:pos="593"/>
        </w:tabs>
        <w:autoSpaceDE w:val="0"/>
        <w:autoSpaceDN w:val="0"/>
        <w:adjustRightInd w:val="0"/>
        <w:spacing w:line="480" w:lineRule="auto"/>
        <w:rPr>
          <w:i/>
          <w:iCs/>
          <w:color w:val="000000"/>
        </w:rPr>
      </w:pPr>
      <w:r>
        <w:rPr>
          <w:i/>
          <w:iCs/>
          <w:color w:val="000000"/>
        </w:rPr>
        <w:t>Stomatal limitation</w:t>
      </w:r>
    </w:p>
    <w:p w14:paraId="1D52E8D4" w14:textId="77777777" w:rsidR="00BA3A8F" w:rsidRDefault="00BA3A8F" w:rsidP="00BA3A8F">
      <w:pPr>
        <w:autoSpaceDE w:val="0"/>
        <w:autoSpaceDN w:val="0"/>
        <w:adjustRightInd w:val="0"/>
        <w:spacing w:line="480" w:lineRule="auto"/>
        <w:ind w:firstLine="720"/>
        <w:rPr>
          <w:color w:val="000000" w:themeColor="text1"/>
        </w:rPr>
      </w:pPr>
      <w:r w:rsidRPr="14AB8DC9">
        <w:rPr>
          <w:color w:val="000000" w:themeColor="text1"/>
        </w:rPr>
        <w:t>We quantified the extent by which stomatal conductance limited photosynthesis (</w:t>
      </w:r>
      <w:r w:rsidRPr="14AB8DC9">
        <w:rPr>
          <w:i/>
          <w:iCs/>
          <w:color w:val="000000" w:themeColor="text1"/>
        </w:rPr>
        <w:t>l</w:t>
      </w:r>
      <w:r w:rsidRPr="14AB8DC9">
        <w:rPr>
          <w:color w:val="000000" w:themeColor="text1"/>
        </w:rPr>
        <w:t>; unitless)</w:t>
      </w:r>
      <w:r>
        <w:rPr>
          <w:color w:val="000000" w:themeColor="text1"/>
        </w:rPr>
        <w:t xml:space="preserve"> following equations originally described in </w:t>
      </w:r>
      <w:r>
        <w:rPr>
          <w:color w:val="000000" w:themeColor="text1"/>
        </w:rPr>
        <w:fldChar w:fldCharType="begin" w:fldLock="1"/>
      </w:r>
      <w:r>
        <w:rPr>
          <w:color w:val="000000" w:themeColor="text1"/>
        </w:rPr>
        <w:instrText>ADDIN CSL_CITATION {"citationItems":[{"id":"ITEM-1","itemData":{"DOI":"10.1146/annurev.pp.33.060182.001533","ISSN":"0066-4294","author":[{"dropping-particle":"","family":"Farquhar","given":"Graham D","non-dropping-particle":"","parse-names":false,"suffix":""},{"dropping-particle":"","family":"Sharkey","given":"Thomas D","non-dropping-particle":"","parse-names":false,"suffix":""}],"container-title":"Annual Review of Plant Physiology","id":"ITEM-1","issue":"1","issued":{"date-parts":[["1982","6"]]},"page":"317-345","title":"Stomatal conductance and photosynthesis","type":"article-journal","volume":"33"},"uris":["http://www.mendeley.com/documents/?uuid=d676a7bf-ee47-4c07-89b5-841506553b89"]}],"mendeley":{"formattedCitation":"(Farquhar &amp; Sharkey, 1982)","manualFormatting":"Farquhar &amp; Sharkey (1982)","plainTextFormattedCitation":"(Farquhar &amp; Sharkey, 1982)","previouslyFormattedCitation":"(Farquhar &amp; Sharkey, 1982)"},"properties":{"noteIndex":0},"schema":"https://github.com/citation-style-language/schema/raw/master/csl-citation.json"}</w:instrText>
      </w:r>
      <w:r>
        <w:rPr>
          <w:color w:val="000000" w:themeColor="text1"/>
        </w:rPr>
        <w:fldChar w:fldCharType="separate"/>
      </w:r>
      <w:r w:rsidRPr="00447B77">
        <w:rPr>
          <w:noProof/>
          <w:color w:val="000000" w:themeColor="text1"/>
        </w:rPr>
        <w:t>Farquhar &amp; Sharkey</w:t>
      </w:r>
      <w:r>
        <w:rPr>
          <w:noProof/>
          <w:color w:val="000000" w:themeColor="text1"/>
        </w:rPr>
        <w:t xml:space="preserve"> (</w:t>
      </w:r>
      <w:r w:rsidRPr="00447B77">
        <w:rPr>
          <w:noProof/>
          <w:color w:val="000000" w:themeColor="text1"/>
        </w:rPr>
        <w:t>1982)</w:t>
      </w:r>
      <w:r>
        <w:rPr>
          <w:color w:val="000000" w:themeColor="text1"/>
        </w:rPr>
        <w:fldChar w:fldCharType="end"/>
      </w:r>
      <w:r>
        <w:rPr>
          <w:color w:val="000000" w:themeColor="text1"/>
        </w:rPr>
        <w:t xml:space="preserve">. </w:t>
      </w:r>
      <w:r w:rsidRPr="14AB8DC9">
        <w:rPr>
          <w:color w:val="000000" w:themeColor="text1"/>
        </w:rPr>
        <w:t xml:space="preserve">Stomatal limitation is an index where values that approach 1 indicate that </w:t>
      </w:r>
      <w:r>
        <w:rPr>
          <w:color w:val="000000" w:themeColor="text1"/>
        </w:rPr>
        <w:t xml:space="preserve">net </w:t>
      </w:r>
      <w:r w:rsidRPr="14AB8DC9">
        <w:rPr>
          <w:color w:val="000000" w:themeColor="text1"/>
        </w:rPr>
        <w:t>photosynthesis is</w:t>
      </w:r>
      <w:r>
        <w:rPr>
          <w:color w:val="000000" w:themeColor="text1"/>
        </w:rPr>
        <w:t xml:space="preserve"> becoming </w:t>
      </w:r>
      <w:r w:rsidRPr="14AB8DC9">
        <w:rPr>
          <w:color w:val="000000" w:themeColor="text1"/>
        </w:rPr>
        <w:t>more limited by stomatal conductance</w:t>
      </w:r>
      <w:r>
        <w:rPr>
          <w:color w:val="000000" w:themeColor="text1"/>
        </w:rPr>
        <w:t>, and is calculated as</w:t>
      </w:r>
      <w:r w:rsidRPr="14AB8DC9">
        <w:rPr>
          <w:color w:val="000000" w:themeColor="text1"/>
        </w:rPr>
        <w:t>:</w:t>
      </w:r>
    </w:p>
    <w:p w14:paraId="10BACA4F" w14:textId="77777777" w:rsidR="00BA3A8F" w:rsidRPr="00AA4F47" w:rsidRDefault="00BA3A8F" w:rsidP="00BA3A8F">
      <w:pPr>
        <w:autoSpaceDE w:val="0"/>
        <w:autoSpaceDN w:val="0"/>
        <w:adjustRightInd w:val="0"/>
        <w:spacing w:line="480" w:lineRule="auto"/>
        <w:ind w:firstLine="720"/>
        <w:rPr>
          <w:color w:val="000000" w:themeColor="text1"/>
        </w:rPr>
      </w:pPr>
    </w:p>
    <w:p w14:paraId="68F00280" w14:textId="6D9806B2" w:rsidR="00BA3A8F" w:rsidRPr="00504E71" w:rsidRDefault="00BA3A8F" w:rsidP="00BA3A8F">
      <w:pPr>
        <w:tabs>
          <w:tab w:val="left" w:pos="593"/>
        </w:tabs>
        <w:autoSpaceDE w:val="0"/>
        <w:autoSpaceDN w:val="0"/>
        <w:adjustRightInd w:val="0"/>
        <w:spacing w:line="480" w:lineRule="auto"/>
        <w:rPr>
          <w:color w:val="000000"/>
        </w:rPr>
      </w:pPr>
      <m:oMath>
        <m:r>
          <w:rPr>
            <w:rFonts w:ascii="Cambria Math" w:hAnsi="Cambria Math"/>
            <w:color w:val="000000"/>
          </w:rPr>
          <m:t>l=1-</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net</m:t>
                </m:r>
              </m:sub>
            </m:sSub>
          </m:num>
          <m:den>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mod</m:t>
                </m:r>
              </m:sub>
            </m:sSub>
          </m:den>
        </m:f>
      </m:oMath>
      <w:r w:rsidRPr="00863849">
        <w:rPr>
          <w:color w:val="000000"/>
        </w:rPr>
        <w:tab/>
      </w:r>
      <w:r w:rsidRPr="00863849">
        <w:rPr>
          <w:color w:val="000000"/>
        </w:rPr>
        <w:tab/>
      </w:r>
      <w:r w:rsidRPr="00863849">
        <w:rPr>
          <w:color w:val="000000"/>
        </w:rPr>
        <w:tab/>
      </w:r>
      <w:r w:rsidRPr="00863849">
        <w:rPr>
          <w:color w:val="000000"/>
        </w:rPr>
        <w:tab/>
      </w:r>
      <w:r w:rsidRPr="00863849">
        <w:rPr>
          <w:color w:val="000000"/>
        </w:rPr>
        <w:tab/>
      </w:r>
      <w:r w:rsidRPr="00863849">
        <w:rPr>
          <w:color w:val="000000"/>
        </w:rPr>
        <w:tab/>
      </w:r>
      <w:r w:rsidRPr="00863849">
        <w:rPr>
          <w:color w:val="000000"/>
        </w:rPr>
        <w:tab/>
      </w:r>
      <w:r w:rsidRPr="00863849">
        <w:rPr>
          <w:color w:val="000000"/>
        </w:rPr>
        <w:tab/>
      </w:r>
      <w:r w:rsidRPr="00863849">
        <w:rPr>
          <w:color w:val="000000"/>
        </w:rPr>
        <w:tab/>
      </w:r>
      <w:r>
        <w:rPr>
          <w:color w:val="000000"/>
        </w:rPr>
        <w:tab/>
      </w:r>
      <w:r w:rsidRPr="00863849">
        <w:rPr>
          <w:color w:val="000000"/>
        </w:rPr>
        <w:t xml:space="preserve">(Eqn. </w:t>
      </w:r>
      <w:r w:rsidR="00247CFD">
        <w:rPr>
          <w:color w:val="000000"/>
        </w:rPr>
        <w:t>6</w:t>
      </w:r>
      <w:r w:rsidRPr="00863849">
        <w:rPr>
          <w:color w:val="000000"/>
        </w:rPr>
        <w:t>)</w:t>
      </w:r>
    </w:p>
    <w:p w14:paraId="5A9CE57B" w14:textId="77777777" w:rsidR="00BA3A8F" w:rsidRDefault="00BA3A8F" w:rsidP="00BA3A8F">
      <w:pPr>
        <w:tabs>
          <w:tab w:val="left" w:pos="593"/>
        </w:tabs>
        <w:autoSpaceDE w:val="0"/>
        <w:autoSpaceDN w:val="0"/>
        <w:adjustRightInd w:val="0"/>
        <w:spacing w:line="480" w:lineRule="auto"/>
        <w:rPr>
          <w:i/>
          <w:iCs/>
          <w:color w:val="000000"/>
        </w:rPr>
      </w:pPr>
    </w:p>
    <w:p w14:paraId="501C789F" w14:textId="77777777" w:rsidR="00BA3A8F" w:rsidRPr="00705A56" w:rsidRDefault="00BA3A8F" w:rsidP="00BA3A8F">
      <w:pPr>
        <w:tabs>
          <w:tab w:val="left" w:pos="593"/>
        </w:tabs>
        <w:autoSpaceDE w:val="0"/>
        <w:autoSpaceDN w:val="0"/>
        <w:adjustRightInd w:val="0"/>
        <w:spacing w:line="480" w:lineRule="auto"/>
        <w:rPr>
          <w:color w:val="000000"/>
        </w:rPr>
      </w:pPr>
      <w:proofErr w:type="spellStart"/>
      <w:r w:rsidRPr="008C415D">
        <w:rPr>
          <w:i/>
          <w:iCs/>
          <w:color w:val="000000"/>
        </w:rPr>
        <w:t>A</w:t>
      </w:r>
      <w:r>
        <w:rPr>
          <w:color w:val="000000"/>
          <w:vertAlign w:val="subscript"/>
        </w:rPr>
        <w:t>net</w:t>
      </w:r>
      <w:proofErr w:type="spellEnd"/>
      <w:r w:rsidRPr="00863849">
        <w:rPr>
          <w:color w:val="000000"/>
        </w:rPr>
        <w:t xml:space="preserve"> </w:t>
      </w:r>
      <w:r>
        <w:rPr>
          <w:color w:val="000000"/>
        </w:rPr>
        <w:t xml:space="preserve">represents the net photosynthesis rate measured at </w:t>
      </w:r>
      <w:r>
        <w:rPr>
          <w:color w:val="000000" w:themeColor="text1"/>
        </w:rPr>
        <w:t xml:space="preserve">400 </w:t>
      </w:r>
      <w:r>
        <w:rPr>
          <w:color w:val="000000" w:themeColor="text1"/>
          <w:lang w:val="el-GR"/>
        </w:rPr>
        <w:t>μ</w:t>
      </w:r>
      <w:r>
        <w:rPr>
          <w:color w:val="000000" w:themeColor="text1"/>
        </w:rPr>
        <w:t>mol mol</w:t>
      </w:r>
      <w:r>
        <w:rPr>
          <w:color w:val="000000" w:themeColor="text1"/>
          <w:vertAlign w:val="superscript"/>
        </w:rPr>
        <w:t>-1</w:t>
      </w:r>
      <w:r>
        <w:rPr>
          <w:color w:val="000000" w:themeColor="text1"/>
        </w:rPr>
        <w:t xml:space="preserve"> CO</w:t>
      </w:r>
      <w:r>
        <w:rPr>
          <w:color w:val="000000" w:themeColor="text1"/>
          <w:vertAlign w:val="subscript"/>
        </w:rPr>
        <w:t>2</w:t>
      </w:r>
      <w:r>
        <w:rPr>
          <w:color w:val="000000" w:themeColor="text1"/>
        </w:rPr>
        <w:t>, while</w:t>
      </w:r>
      <w:r>
        <w:rPr>
          <w:color w:val="000000"/>
        </w:rPr>
        <w:t xml:space="preserve"> </w:t>
      </w:r>
      <w:proofErr w:type="spellStart"/>
      <w:r w:rsidRPr="008C415D">
        <w:rPr>
          <w:i/>
          <w:iCs/>
          <w:color w:val="000000"/>
        </w:rPr>
        <w:t>A</w:t>
      </w:r>
      <w:r w:rsidRPr="008C415D">
        <w:rPr>
          <w:color w:val="000000"/>
          <w:vertAlign w:val="subscript"/>
        </w:rPr>
        <w:t>mod</w:t>
      </w:r>
      <w:proofErr w:type="spellEnd"/>
      <w:r w:rsidRPr="00863849">
        <w:rPr>
          <w:color w:val="000000"/>
        </w:rPr>
        <w:t xml:space="preserve"> represents the photosynthetic rate </w:t>
      </w:r>
      <w:r>
        <w:rPr>
          <w:color w:val="000000"/>
        </w:rPr>
        <w:t>where</w:t>
      </w:r>
      <w:r w:rsidRPr="00863849">
        <w:rPr>
          <w:color w:val="000000"/>
        </w:rPr>
        <w:t xml:space="preserve"> </w:t>
      </w:r>
      <w:r w:rsidRPr="00272F85">
        <w:rPr>
          <w:i/>
          <w:iCs/>
          <w:color w:val="000000"/>
        </w:rPr>
        <w:t>C</w:t>
      </w:r>
      <w:r w:rsidRPr="000F06C7">
        <w:rPr>
          <w:color w:val="000000"/>
          <w:vertAlign w:val="subscript"/>
        </w:rPr>
        <w:t>i</w:t>
      </w:r>
      <w:r w:rsidRPr="00863849">
        <w:rPr>
          <w:color w:val="000000"/>
        </w:rPr>
        <w:t xml:space="preserve"> = </w:t>
      </w:r>
      <w:r w:rsidRPr="00272F85">
        <w:rPr>
          <w:i/>
          <w:iCs/>
          <w:color w:val="000000"/>
        </w:rPr>
        <w:t>C</w:t>
      </w:r>
      <w:r w:rsidRPr="000F06C7">
        <w:rPr>
          <w:color w:val="000000"/>
          <w:vertAlign w:val="subscript"/>
        </w:rPr>
        <w:t>a</w:t>
      </w:r>
      <w:r w:rsidRPr="00863849">
        <w:rPr>
          <w:color w:val="000000"/>
        </w:rPr>
        <w:t xml:space="preserve">. </w:t>
      </w:r>
      <w:proofErr w:type="spellStart"/>
      <w:r w:rsidRPr="00272F85">
        <w:rPr>
          <w:i/>
          <w:iCs/>
          <w:color w:val="000000"/>
        </w:rPr>
        <w:t>A</w:t>
      </w:r>
      <w:r w:rsidRPr="00863849">
        <w:rPr>
          <w:color w:val="000000"/>
          <w:vertAlign w:val="subscript"/>
        </w:rPr>
        <w:t>mod</w:t>
      </w:r>
      <w:proofErr w:type="spellEnd"/>
      <w:r w:rsidRPr="00863849">
        <w:rPr>
          <w:color w:val="000000"/>
        </w:rPr>
        <w:t xml:space="preserve"> </w:t>
      </w:r>
      <w:r>
        <w:rPr>
          <w:color w:val="000000"/>
        </w:rPr>
        <w:t>was</w:t>
      </w:r>
      <w:r w:rsidRPr="00863849">
        <w:rPr>
          <w:color w:val="000000"/>
        </w:rPr>
        <w:t xml:space="preserve"> calculated as:</w:t>
      </w:r>
    </w:p>
    <w:p w14:paraId="6F4C5CE7" w14:textId="77777777" w:rsidR="00BA3A8F" w:rsidRPr="00AA4F47" w:rsidRDefault="00BA3A8F" w:rsidP="00BA3A8F">
      <w:pPr>
        <w:tabs>
          <w:tab w:val="left" w:pos="593"/>
        </w:tabs>
        <w:autoSpaceDE w:val="0"/>
        <w:autoSpaceDN w:val="0"/>
        <w:adjustRightInd w:val="0"/>
        <w:spacing w:line="480" w:lineRule="auto"/>
        <w:rPr>
          <w:color w:val="000000"/>
        </w:rPr>
      </w:pPr>
    </w:p>
    <w:p w14:paraId="5F94EE65" w14:textId="1A529D5E" w:rsidR="00BA3A8F" w:rsidRPr="00504E71" w:rsidRDefault="00000000" w:rsidP="00BA3A8F">
      <w:pPr>
        <w:tabs>
          <w:tab w:val="left" w:pos="593"/>
        </w:tabs>
        <w:autoSpaceDE w:val="0"/>
        <w:autoSpaceDN w:val="0"/>
        <w:adjustRightInd w:val="0"/>
        <w:spacing w:line="480" w:lineRule="auto"/>
        <w:rPr>
          <w:iCs/>
          <w:color w:val="000000"/>
        </w:rPr>
      </w:pP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mod</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cmax</m:t>
            </m:r>
          </m:sub>
        </m:sSub>
        <m:f>
          <m:fPr>
            <m:ctrlPr>
              <w:rPr>
                <w:rFonts w:ascii="Cambria Math" w:hAnsi="Cambria Math"/>
                <w:i/>
                <w:color w:val="000000"/>
              </w:rPr>
            </m:ctrlPr>
          </m:fPr>
          <m:num>
            <m:r>
              <w:rPr>
                <w:rFonts w:ascii="Cambria Math" w:hAnsi="Cambria Math"/>
                <w:color w:val="000000"/>
              </w:rPr>
              <m:t>400-</m:t>
            </m:r>
            <m:sSup>
              <m:sSupPr>
                <m:ctrlPr>
                  <w:rPr>
                    <w:rFonts w:ascii="Cambria Math" w:hAnsi="Cambria Math"/>
                    <w:i/>
                    <w:color w:val="000000"/>
                    <w:lang w:val="el-GR"/>
                  </w:rPr>
                </m:ctrlPr>
              </m:sSupPr>
              <m:e>
                <m:r>
                  <w:rPr>
                    <w:rFonts w:ascii="Cambria Math" w:hAnsi="Cambria Math"/>
                    <w:color w:val="000000"/>
                    <w:lang w:val="el-GR"/>
                  </w:rPr>
                  <m:t>Γ</m:t>
                </m:r>
              </m:e>
              <m:sup>
                <m:r>
                  <w:rPr>
                    <w:rFonts w:ascii="Cambria Math" w:hAnsi="Cambria Math"/>
                    <w:color w:val="000000"/>
                  </w:rPr>
                  <m:t>*</m:t>
                </m:r>
              </m:sup>
            </m:sSup>
          </m:num>
          <m:den>
            <m:r>
              <w:rPr>
                <w:rFonts w:ascii="Cambria Math" w:hAnsi="Cambria Math"/>
                <w:color w:val="000000"/>
              </w:rPr>
              <m:t>400+</m:t>
            </m:r>
            <m:sSub>
              <m:sSubPr>
                <m:ctrlPr>
                  <w:rPr>
                    <w:rFonts w:ascii="Cambria Math" w:hAnsi="Cambria Math"/>
                    <w:i/>
                    <w:color w:val="000000"/>
                  </w:rPr>
                </m:ctrlPr>
              </m:sSubPr>
              <m:e>
                <m:r>
                  <w:rPr>
                    <w:rFonts w:ascii="Cambria Math" w:hAnsi="Cambria Math"/>
                    <w:color w:val="000000"/>
                  </w:rPr>
                  <m:t>Κ</m:t>
                </m:r>
              </m:e>
              <m:sub>
                <m:r>
                  <w:rPr>
                    <w:rFonts w:ascii="Cambria Math" w:hAnsi="Cambria Math"/>
                    <w:color w:val="000000"/>
                  </w:rPr>
                  <m:t>m</m:t>
                </m:r>
              </m:sub>
            </m:sSub>
          </m:den>
        </m:f>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d</m:t>
            </m:r>
          </m:sub>
        </m:sSub>
      </m:oMath>
      <w:r w:rsidR="00BA3A8F" w:rsidRPr="00863849">
        <w:rPr>
          <w:rFonts w:eastAsiaTheme="minorEastAsia"/>
          <w:color w:val="000000"/>
        </w:rPr>
        <w:tab/>
      </w:r>
      <w:r w:rsidR="00BA3A8F" w:rsidRPr="00863849">
        <w:rPr>
          <w:rFonts w:eastAsiaTheme="minorEastAsia"/>
          <w:color w:val="000000"/>
        </w:rPr>
        <w:tab/>
      </w:r>
      <w:r w:rsidR="00BA3A8F" w:rsidRPr="00863849">
        <w:rPr>
          <w:rFonts w:eastAsiaTheme="minorEastAsia"/>
          <w:color w:val="000000"/>
        </w:rPr>
        <w:tab/>
      </w:r>
      <w:r w:rsidR="00BA3A8F" w:rsidRPr="00863849">
        <w:rPr>
          <w:rFonts w:eastAsiaTheme="minorEastAsia"/>
          <w:color w:val="000000"/>
        </w:rPr>
        <w:tab/>
      </w:r>
      <w:r w:rsidR="00BA3A8F" w:rsidRPr="00863849">
        <w:rPr>
          <w:rFonts w:eastAsiaTheme="minorEastAsia"/>
          <w:color w:val="000000"/>
        </w:rPr>
        <w:tab/>
      </w:r>
      <w:r w:rsidR="00BA3A8F" w:rsidRPr="00863849">
        <w:rPr>
          <w:rFonts w:eastAsiaTheme="minorEastAsia"/>
          <w:color w:val="000000"/>
        </w:rPr>
        <w:tab/>
      </w:r>
      <w:r w:rsidR="00BA3A8F" w:rsidRPr="00863849">
        <w:rPr>
          <w:rFonts w:eastAsiaTheme="minorEastAsia"/>
          <w:color w:val="000000"/>
        </w:rPr>
        <w:tab/>
      </w:r>
      <w:r w:rsidR="00BA3A8F" w:rsidRPr="00863849">
        <w:rPr>
          <w:rFonts w:eastAsiaTheme="minorEastAsia"/>
          <w:color w:val="000000"/>
        </w:rPr>
        <w:tab/>
      </w:r>
      <w:r w:rsidR="00BA3A8F" w:rsidRPr="00863849">
        <w:rPr>
          <w:iCs/>
          <w:color w:val="000000"/>
        </w:rPr>
        <w:t xml:space="preserve">(Eqn. </w:t>
      </w:r>
      <w:r w:rsidR="00247CFD">
        <w:rPr>
          <w:iCs/>
          <w:color w:val="000000"/>
        </w:rPr>
        <w:t>7</w:t>
      </w:r>
      <w:r w:rsidR="00BA3A8F" w:rsidRPr="00863849">
        <w:rPr>
          <w:iCs/>
          <w:color w:val="000000"/>
        </w:rPr>
        <w:t>)</w:t>
      </w:r>
    </w:p>
    <w:p w14:paraId="6F8A88DB" w14:textId="77777777" w:rsidR="00BA3A8F" w:rsidRDefault="00BA3A8F" w:rsidP="00BA3A8F">
      <w:pPr>
        <w:spacing w:line="480" w:lineRule="auto"/>
        <w:rPr>
          <w:i/>
          <w:iCs/>
          <w:color w:val="000000"/>
        </w:rPr>
      </w:pPr>
    </w:p>
    <w:p w14:paraId="30B1368A" w14:textId="2679C2F6" w:rsidR="00BA3A8F" w:rsidRDefault="00BA3A8F" w:rsidP="00BA3A8F">
      <w:pPr>
        <w:spacing w:line="480" w:lineRule="auto"/>
        <w:rPr>
          <w:color w:val="000000"/>
        </w:rPr>
      </w:pPr>
      <w:r w:rsidRPr="00AD3606">
        <w:rPr>
          <w:i/>
          <w:iCs/>
          <w:color w:val="000000"/>
        </w:rPr>
        <w:lastRenderedPageBreak/>
        <w:t>V</w:t>
      </w:r>
      <w:r w:rsidRPr="000F06C7">
        <w:rPr>
          <w:color w:val="000000"/>
          <w:vertAlign w:val="subscript"/>
        </w:rPr>
        <w:t>cmax</w:t>
      </w:r>
      <w:r w:rsidRPr="00863849">
        <w:rPr>
          <w:color w:val="000000"/>
        </w:rPr>
        <w:t xml:space="preserve"> represents the </w:t>
      </w:r>
      <w:r>
        <w:rPr>
          <w:color w:val="000000"/>
        </w:rPr>
        <w:t xml:space="preserve">temperature </w:t>
      </w:r>
      <w:r w:rsidRPr="00863849">
        <w:rPr>
          <w:color w:val="000000"/>
        </w:rPr>
        <w:t>unstandardized maximum rate of Rubisco carboxylation</w:t>
      </w:r>
      <w:r>
        <w:rPr>
          <w:color w:val="000000"/>
        </w:rPr>
        <w:t xml:space="preserve">. </w:t>
      </w:r>
      <w:r w:rsidRPr="00863849">
        <w:rPr>
          <w:color w:val="000000"/>
        </w:rPr>
        <w:t>We used</w:t>
      </w:r>
      <w:r>
        <w:rPr>
          <w:color w:val="000000"/>
        </w:rPr>
        <w:t xml:space="preserve"> the temperature unstandardized</w:t>
      </w:r>
      <w:r w:rsidRPr="00863849">
        <w:rPr>
          <w:color w:val="000000"/>
        </w:rPr>
        <w:t xml:space="preserve"> </w:t>
      </w:r>
      <w:r w:rsidRPr="00AD3606">
        <w:rPr>
          <w:i/>
          <w:iCs/>
          <w:color w:val="000000"/>
        </w:rPr>
        <w:t>V</w:t>
      </w:r>
      <w:r w:rsidRPr="000F06C7">
        <w:rPr>
          <w:color w:val="000000"/>
          <w:vertAlign w:val="subscript"/>
        </w:rPr>
        <w:t>cmax</w:t>
      </w:r>
      <w:r w:rsidRPr="00863849">
        <w:rPr>
          <w:color w:val="000000"/>
        </w:rPr>
        <w:t xml:space="preserve"> </w:t>
      </w:r>
      <w:r>
        <w:rPr>
          <w:color w:val="000000"/>
        </w:rPr>
        <w:t xml:space="preserve">value </w:t>
      </w:r>
      <w:r w:rsidRPr="00863849">
        <w:rPr>
          <w:iCs/>
          <w:color w:val="000000"/>
        </w:rPr>
        <w:t xml:space="preserve">because </w:t>
      </w:r>
      <w:proofErr w:type="spellStart"/>
      <w:r w:rsidRPr="00863849">
        <w:rPr>
          <w:i/>
          <w:color w:val="000000"/>
        </w:rPr>
        <w:t>A</w:t>
      </w:r>
      <w:r>
        <w:rPr>
          <w:iCs/>
          <w:color w:val="000000"/>
          <w:vertAlign w:val="subscript"/>
        </w:rPr>
        <w:t>net</w:t>
      </w:r>
      <w:proofErr w:type="spellEnd"/>
      <w:r w:rsidRPr="00863849">
        <w:rPr>
          <w:iCs/>
          <w:color w:val="000000"/>
        </w:rPr>
        <w:t xml:space="preserve"> </w:t>
      </w:r>
      <w:r>
        <w:rPr>
          <w:iCs/>
          <w:color w:val="000000"/>
        </w:rPr>
        <w:t>values were</w:t>
      </w:r>
      <w:r w:rsidRPr="00863849">
        <w:rPr>
          <w:iCs/>
          <w:color w:val="000000"/>
        </w:rPr>
        <w:t xml:space="preserve"> not standardized to 25</w:t>
      </w:r>
      <w:r w:rsidRPr="00863849">
        <w:rPr>
          <w:color w:val="000000"/>
        </w:rPr>
        <w:t>°C.</w:t>
      </w:r>
      <w:r>
        <w:rPr>
          <w:color w:val="000000"/>
        </w:rPr>
        <w:t xml:space="preserve"> </w:t>
      </w:r>
      <w:r>
        <w:rPr>
          <w:i/>
          <w:iCs/>
          <w:color w:val="000000"/>
        </w:rPr>
        <w:t>R</w:t>
      </w:r>
      <w:r>
        <w:rPr>
          <w:color w:val="000000"/>
          <w:vertAlign w:val="subscript"/>
        </w:rPr>
        <w:t>d</w:t>
      </w:r>
      <w:r>
        <w:rPr>
          <w:color w:val="000000"/>
        </w:rPr>
        <w:t xml:space="preserve"> represents dark respiration,</w:t>
      </w:r>
      <w:r w:rsidR="005459FB">
        <w:rPr>
          <w:color w:val="000000"/>
        </w:rPr>
        <w:t xml:space="preserve"> which was the dark respiration value we </w:t>
      </w:r>
      <w:r w:rsidR="00BC73C6">
        <w:rPr>
          <w:color w:val="000000"/>
        </w:rPr>
        <w:t>temperature standardized to the CO</w:t>
      </w:r>
      <w:r w:rsidR="00BC73C6">
        <w:rPr>
          <w:color w:val="000000"/>
          <w:vertAlign w:val="subscript"/>
        </w:rPr>
        <w:t>2</w:t>
      </w:r>
      <w:r w:rsidR="00BC73C6">
        <w:rPr>
          <w:color w:val="000000"/>
        </w:rPr>
        <w:t xml:space="preserve"> response curve fit. </w:t>
      </w:r>
      <w:r w:rsidRPr="00F84209">
        <w:rPr>
          <w:color w:val="000000"/>
          <w:lang w:val="el-GR"/>
        </w:rPr>
        <w:t>Γ</w:t>
      </w:r>
      <w:r>
        <w:rPr>
          <w:color w:val="000000"/>
          <w:vertAlign w:val="superscript"/>
        </w:rPr>
        <w:t>*</w:t>
      </w:r>
      <w:r>
        <w:rPr>
          <w:color w:val="000000"/>
        </w:rPr>
        <w:t xml:space="preserve"> (Pa) is the CO</w:t>
      </w:r>
      <w:r>
        <w:rPr>
          <w:color w:val="000000"/>
          <w:vertAlign w:val="subscript"/>
        </w:rPr>
        <w:t>2</w:t>
      </w:r>
      <w:r>
        <w:rPr>
          <w:color w:val="000000"/>
        </w:rPr>
        <w:t xml:space="preserve"> compensation point in the absence of dark respiration, while </w:t>
      </w:r>
      <w:r>
        <w:rPr>
          <w:i/>
          <w:iCs/>
          <w:color w:val="000000"/>
        </w:rPr>
        <w:t>K</w:t>
      </w:r>
      <w:r>
        <w:rPr>
          <w:color w:val="000000"/>
          <w:vertAlign w:val="subscript"/>
        </w:rPr>
        <w:t>m</w:t>
      </w:r>
      <w:r>
        <w:rPr>
          <w:color w:val="000000"/>
        </w:rPr>
        <w:t xml:space="preserve"> is the Michaelis-Menten coefficient for Rubisco-limited photosynthesis. </w:t>
      </w:r>
      <w:r>
        <w:rPr>
          <w:i/>
          <w:iCs/>
          <w:color w:val="000000"/>
        </w:rPr>
        <w:t>K</w:t>
      </w:r>
      <w:r>
        <w:rPr>
          <w:color w:val="000000"/>
          <w:vertAlign w:val="subscript"/>
        </w:rPr>
        <w:t>m</w:t>
      </w:r>
      <w:r>
        <w:rPr>
          <w:color w:val="000000"/>
        </w:rPr>
        <w:t xml:space="preserve"> was calculated as:</w:t>
      </w:r>
    </w:p>
    <w:p w14:paraId="19862513" w14:textId="77777777" w:rsidR="00BA3A8F" w:rsidRPr="00504E71" w:rsidRDefault="00BA3A8F" w:rsidP="00BA3A8F">
      <w:pPr>
        <w:spacing w:line="480" w:lineRule="auto"/>
        <w:rPr>
          <w:i/>
          <w:iCs/>
          <w:color w:val="000000"/>
        </w:rPr>
      </w:pPr>
    </w:p>
    <w:p w14:paraId="4A4914AE" w14:textId="3B2582A8" w:rsidR="00BA3A8F" w:rsidRPr="00504E71" w:rsidRDefault="00000000" w:rsidP="00BA3A8F">
      <w:pPr>
        <w:spacing w:line="480" w:lineRule="auto"/>
        <w:rPr>
          <w:iCs/>
          <w:color w:val="000000"/>
        </w:rPr>
      </w:pPr>
      <m:oMath>
        <m:sSub>
          <m:sSubPr>
            <m:ctrlPr>
              <w:rPr>
                <w:rFonts w:ascii="Cambria Math" w:hAnsi="Cambria Math"/>
                <w:i/>
                <w:iCs/>
                <w:color w:val="000000"/>
              </w:rPr>
            </m:ctrlPr>
          </m:sSubPr>
          <m:e>
            <m:r>
              <w:rPr>
                <w:rFonts w:ascii="Cambria Math" w:hAnsi="Cambria Math"/>
                <w:color w:val="000000"/>
              </w:rPr>
              <m:t>K</m:t>
            </m:r>
          </m:e>
          <m:sub>
            <m:r>
              <w:rPr>
                <w:rFonts w:ascii="Cambria Math" w:hAnsi="Cambria Math"/>
                <w:color w:val="000000"/>
              </w:rPr>
              <m:t>m</m:t>
            </m:r>
          </m:sub>
        </m:sSub>
        <m:r>
          <w:rPr>
            <w:rFonts w:ascii="Cambria Math" w:hAnsi="Cambria Math"/>
            <w:color w:val="000000"/>
          </w:rPr>
          <m:t>=</m:t>
        </m:r>
        <m:sSub>
          <m:sSubPr>
            <m:ctrlPr>
              <w:rPr>
                <w:rFonts w:ascii="Cambria Math" w:hAnsi="Cambria Math"/>
                <w:i/>
                <w:iCs/>
                <w:color w:val="000000"/>
              </w:rPr>
            </m:ctrlPr>
          </m:sSubPr>
          <m:e>
            <m:r>
              <w:rPr>
                <w:rFonts w:ascii="Cambria Math" w:hAnsi="Cambria Math"/>
                <w:color w:val="000000"/>
              </w:rPr>
              <m:t>K</m:t>
            </m:r>
          </m:e>
          <m:sub>
            <m:r>
              <w:rPr>
                <w:rFonts w:ascii="Cambria Math" w:hAnsi="Cambria Math"/>
                <w:color w:val="000000"/>
              </w:rPr>
              <m:t>c</m:t>
            </m:r>
          </m:sub>
        </m:sSub>
        <m:r>
          <w:rPr>
            <w:rFonts w:ascii="Cambria Math" w:hAnsi="Cambria Math"/>
            <w:color w:val="000000"/>
          </w:rPr>
          <m:t>*</m:t>
        </m:r>
        <m:d>
          <m:dPr>
            <m:ctrlPr>
              <w:rPr>
                <w:rFonts w:ascii="Cambria Math" w:hAnsi="Cambria Math"/>
                <w:i/>
                <w:iCs/>
                <w:color w:val="000000"/>
              </w:rPr>
            </m:ctrlPr>
          </m:dPr>
          <m:e>
            <m:r>
              <w:rPr>
                <w:rFonts w:ascii="Cambria Math" w:hAnsi="Cambria Math"/>
                <w:color w:val="000000"/>
              </w:rPr>
              <m:t>1+</m:t>
            </m:r>
            <m:f>
              <m:fPr>
                <m:ctrlPr>
                  <w:rPr>
                    <w:rFonts w:ascii="Cambria Math" w:hAnsi="Cambria Math"/>
                    <w:i/>
                    <w:iCs/>
                    <w:color w:val="000000"/>
                  </w:rPr>
                </m:ctrlPr>
              </m:fPr>
              <m:num>
                <m:sSub>
                  <m:sSubPr>
                    <m:ctrlPr>
                      <w:rPr>
                        <w:rFonts w:ascii="Cambria Math" w:hAnsi="Cambria Math"/>
                        <w:i/>
                        <w:iCs/>
                        <w:color w:val="000000"/>
                      </w:rPr>
                    </m:ctrlPr>
                  </m:sSubPr>
                  <m:e>
                    <m:r>
                      <w:rPr>
                        <w:rFonts w:ascii="Cambria Math" w:hAnsi="Cambria Math"/>
                        <w:color w:val="000000"/>
                      </w:rPr>
                      <m:t>O</m:t>
                    </m:r>
                  </m:e>
                  <m:sub>
                    <m:r>
                      <w:rPr>
                        <w:rFonts w:ascii="Cambria Math" w:hAnsi="Cambria Math"/>
                        <w:color w:val="000000"/>
                      </w:rPr>
                      <m:t>i</m:t>
                    </m:r>
                  </m:sub>
                </m:sSub>
              </m:num>
              <m:den>
                <m:sSub>
                  <m:sSubPr>
                    <m:ctrlPr>
                      <w:rPr>
                        <w:rFonts w:ascii="Cambria Math" w:hAnsi="Cambria Math"/>
                        <w:i/>
                        <w:iCs/>
                        <w:color w:val="000000"/>
                      </w:rPr>
                    </m:ctrlPr>
                  </m:sSubPr>
                  <m:e>
                    <m:r>
                      <w:rPr>
                        <w:rFonts w:ascii="Cambria Math" w:hAnsi="Cambria Math"/>
                        <w:color w:val="000000"/>
                      </w:rPr>
                      <m:t>K</m:t>
                    </m:r>
                  </m:e>
                  <m:sub>
                    <m:r>
                      <w:rPr>
                        <w:rFonts w:ascii="Cambria Math" w:hAnsi="Cambria Math"/>
                        <w:color w:val="000000"/>
                      </w:rPr>
                      <m:t>o</m:t>
                    </m:r>
                  </m:sub>
                </m:sSub>
              </m:den>
            </m:f>
          </m:e>
        </m:d>
      </m:oMath>
      <w:r w:rsidR="00BA3A8F">
        <w:rPr>
          <w:iCs/>
          <w:color w:val="000000"/>
        </w:rPr>
        <w:tab/>
      </w:r>
      <w:r w:rsidR="00BA3A8F">
        <w:rPr>
          <w:iCs/>
          <w:color w:val="000000"/>
        </w:rPr>
        <w:tab/>
      </w:r>
      <w:r w:rsidR="00BA3A8F">
        <w:rPr>
          <w:iCs/>
          <w:color w:val="000000"/>
        </w:rPr>
        <w:tab/>
      </w:r>
      <w:r w:rsidR="00BA3A8F">
        <w:rPr>
          <w:iCs/>
          <w:color w:val="000000"/>
        </w:rPr>
        <w:tab/>
      </w:r>
      <w:r w:rsidR="00BA3A8F">
        <w:rPr>
          <w:iCs/>
          <w:color w:val="000000"/>
        </w:rPr>
        <w:tab/>
      </w:r>
      <w:r w:rsidR="00BA3A8F">
        <w:rPr>
          <w:iCs/>
          <w:color w:val="000000"/>
        </w:rPr>
        <w:tab/>
      </w:r>
      <w:r w:rsidR="00BA3A8F">
        <w:rPr>
          <w:iCs/>
          <w:color w:val="000000"/>
        </w:rPr>
        <w:tab/>
      </w:r>
      <w:r w:rsidR="00BA3A8F">
        <w:rPr>
          <w:iCs/>
          <w:color w:val="000000"/>
        </w:rPr>
        <w:tab/>
      </w:r>
      <w:r w:rsidR="00BA3A8F">
        <w:rPr>
          <w:iCs/>
          <w:color w:val="000000"/>
        </w:rPr>
        <w:tab/>
        <w:t xml:space="preserve">(Eqn. </w:t>
      </w:r>
      <w:r w:rsidR="00247CFD">
        <w:rPr>
          <w:iCs/>
          <w:color w:val="000000"/>
        </w:rPr>
        <w:t>8</w:t>
      </w:r>
      <w:r w:rsidR="00BA3A8F">
        <w:rPr>
          <w:iCs/>
          <w:color w:val="000000"/>
        </w:rPr>
        <w:t>)</w:t>
      </w:r>
    </w:p>
    <w:p w14:paraId="70AB3BB0" w14:textId="77777777" w:rsidR="00BA3A8F" w:rsidRDefault="00BA3A8F" w:rsidP="00BA3A8F">
      <w:pPr>
        <w:spacing w:line="480" w:lineRule="auto"/>
        <w:rPr>
          <w:i/>
          <w:iCs/>
          <w:color w:val="000000"/>
        </w:rPr>
      </w:pPr>
    </w:p>
    <w:p w14:paraId="741DBF07" w14:textId="77777777" w:rsidR="00BA3A8F" w:rsidRDefault="00BA3A8F" w:rsidP="00BA3A8F">
      <w:pPr>
        <w:spacing w:line="480" w:lineRule="auto"/>
        <w:rPr>
          <w:color w:val="000000"/>
        </w:rPr>
      </w:pPr>
      <w:r>
        <w:rPr>
          <w:i/>
          <w:iCs/>
          <w:color w:val="000000"/>
        </w:rPr>
        <w:t>K</w:t>
      </w:r>
      <w:r>
        <w:rPr>
          <w:color w:val="000000"/>
          <w:vertAlign w:val="subscript"/>
        </w:rPr>
        <w:t>c</w:t>
      </w:r>
      <w:r>
        <w:rPr>
          <w:color w:val="000000"/>
        </w:rPr>
        <w:t xml:space="preserve"> refers to the Michaelis-Menten coefficient for Rubisco affinity to CO</w:t>
      </w:r>
      <w:r>
        <w:rPr>
          <w:color w:val="000000"/>
          <w:vertAlign w:val="subscript"/>
        </w:rPr>
        <w:t>2</w:t>
      </w:r>
      <w:r>
        <w:rPr>
          <w:color w:val="000000"/>
        </w:rPr>
        <w:t xml:space="preserve">, </w:t>
      </w:r>
      <w:r>
        <w:rPr>
          <w:i/>
          <w:iCs/>
          <w:color w:val="000000"/>
        </w:rPr>
        <w:t>K</w:t>
      </w:r>
      <w:r>
        <w:rPr>
          <w:color w:val="000000"/>
          <w:vertAlign w:val="subscript"/>
        </w:rPr>
        <w:t>o</w:t>
      </w:r>
      <w:r>
        <w:rPr>
          <w:color w:val="000000"/>
        </w:rPr>
        <w:t xml:space="preserve"> refers to the Michaelis-Menten coefficient for Rubisco affinity to O</w:t>
      </w:r>
      <w:r>
        <w:rPr>
          <w:color w:val="000000"/>
          <w:vertAlign w:val="subscript"/>
        </w:rPr>
        <w:t>2</w:t>
      </w:r>
      <w:r>
        <w:rPr>
          <w:color w:val="000000"/>
        </w:rPr>
        <w:t xml:space="preserve">, and </w:t>
      </w:r>
      <w:r>
        <w:rPr>
          <w:i/>
          <w:iCs/>
          <w:color w:val="000000"/>
        </w:rPr>
        <w:t>O</w:t>
      </w:r>
      <w:r>
        <w:rPr>
          <w:color w:val="000000"/>
          <w:vertAlign w:val="subscript"/>
        </w:rPr>
        <w:t>i</w:t>
      </w:r>
      <w:r>
        <w:rPr>
          <w:color w:val="000000"/>
        </w:rPr>
        <w:t xml:space="preserve"> refers to leaf intercellular O</w:t>
      </w:r>
      <w:r>
        <w:rPr>
          <w:color w:val="000000"/>
          <w:vertAlign w:val="subscript"/>
        </w:rPr>
        <w:t>2</w:t>
      </w:r>
      <w:r>
        <w:rPr>
          <w:color w:val="000000"/>
        </w:rPr>
        <w:t xml:space="preserve"> concentrations. </w:t>
      </w:r>
      <w:r w:rsidRPr="00F84209">
        <w:rPr>
          <w:color w:val="000000"/>
          <w:lang w:val="el-GR"/>
        </w:rPr>
        <w:t>Γ</w:t>
      </w:r>
      <w:r>
        <w:rPr>
          <w:color w:val="000000"/>
          <w:vertAlign w:val="superscript"/>
        </w:rPr>
        <w:t>*</w:t>
      </w:r>
      <w:r>
        <w:rPr>
          <w:color w:val="000000"/>
        </w:rPr>
        <w:t xml:space="preserve"> and </w:t>
      </w:r>
      <w:r>
        <w:rPr>
          <w:i/>
          <w:iCs/>
          <w:color w:val="000000"/>
        </w:rPr>
        <w:t>K</w:t>
      </w:r>
      <w:r>
        <w:rPr>
          <w:color w:val="000000"/>
          <w:vertAlign w:val="subscript"/>
        </w:rPr>
        <w:t>m</w:t>
      </w:r>
      <w:r>
        <w:rPr>
          <w:color w:val="000000"/>
        </w:rPr>
        <w:t xml:space="preserve"> were standardized to the average temperature of each CO</w:t>
      </w:r>
      <w:r>
        <w:rPr>
          <w:color w:val="000000"/>
          <w:vertAlign w:val="subscript"/>
        </w:rPr>
        <w:t>2</w:t>
      </w:r>
      <w:r>
        <w:rPr>
          <w:color w:val="000000"/>
        </w:rPr>
        <w:t xml:space="preserve"> response curve using equations and parameters described in </w:t>
      </w:r>
      <w:r>
        <w:rPr>
          <w:color w:val="000000"/>
        </w:rPr>
        <w:fldChar w:fldCharType="begin" w:fldLock="1"/>
      </w:r>
      <w:r>
        <w:rPr>
          <w:color w:val="000000"/>
        </w:rPr>
        <w:instrText>ADDIN CSL_CITATION {"citationItems":[{"id":"ITEM-1","itemData":{"DOI":"10.1046/j.1365-3040.2001.00668.x","ISSN":"01407791","abstract":"Predicting the environmental responses of leaf photosynthesis is central to many models of changes in the future global carbon cycle and terrestrial biosphere. The steady-state biochemical model of C-3 photosynthesis of Farquhar et al. (Planta 149, 78-90, 1980) provides a basis for these larger scale predictions; but a weakness in the application of the model as currently parameterized is the inability to accurately predict carbon assimilation at the range of temperatures over which significant photosynthesis occurs in the natural environment. The temperature functions used in this model have been based on in vitro measurements made over a limited temperature range and require several assumptions of in vivo conditions. Since photosynthetic rates are often Rubisco-limited (ribulose, 1-5 bisphosphate carboxylase/oxygenase) under natural steady-state conditions, inaccuracies in the functions predicting Rubisco kinetic properties at different temperatures may cause significant error. In this study, transgenic tobacco containing only 10% normal levels of Rubisco were used to measure Rubisco-limited photosynthesis over a large range of CO2 concentrations. From the responses of the rate of CO2 assimilation at a wide range of temperatures, and CO2 and O-2 concentrations, the temperature functions of Rubisco kinetic properties were estimated in vivo. These differed substantially from previously published functions. These new functions were then used to predict photosynthesis in lemon and found to faithfully mimic the observed pattern of temperature response. There was also a close correspondence with published C-3 photosynthesis temperature responses. The results represent an improved ability to model leaf photosynthesis over a wide range of temperatures (10-40 degreesC) necessary for predicting carbon uptake by terrestrial C-3 systems.","author":[{"dropping-particle":"","family":"Bernacchi","given":"Carl J","non-dropping-particle":"","parse-names":false,"suffix":""},{"dropping-particle":"","family":"Singsaas","given":"Eric L","non-dropping-particle":"","parse-names":false,"suffix":""},{"dropping-particle":"","family":"Pimentel","given":"Carlos","non-dropping-particle":"","parse-names":false,"suffix":""},{"dropping-particle":"","family":"Portis","given":"Archie R","non-dropping-particle":"","parse-names":false,"suffix":""},{"dropping-particle":"","family":"Long","given":"Stephen P","non-dropping-particle":"","parse-names":false,"suffix":""}],"container-title":"Plant, Cell and Environment","id":"ITEM-1","issue":"2","issued":{"date-parts":[["2001"]]},"page":"253-259","title":"Improved temperature response functions for models of Rubisco-limited photosynthesis","type":"article-journal","volume":"24"},"uris":["http://www.mendeley.com/documents/?uuid=ccd6a28a-9e53-4361-b47f-71144c38a242"]}],"mendeley":{"formattedCitation":"(Bernacchi et al., 2001)","manualFormatting":"Bernacchi et al. (2001)","plainTextFormattedCitation":"(Bernacchi et al., 2001)","previouslyFormattedCitation":"(Bernacchi et al., 2001)"},"properties":{"noteIndex":0},"schema":"https://github.com/citation-style-language/schema/raw/master/csl-citation.json"}</w:instrText>
      </w:r>
      <w:r>
        <w:rPr>
          <w:color w:val="000000"/>
        </w:rPr>
        <w:fldChar w:fldCharType="separate"/>
      </w:r>
      <w:r w:rsidRPr="00275729">
        <w:rPr>
          <w:noProof/>
          <w:color w:val="000000"/>
        </w:rPr>
        <w:t xml:space="preserve">Bernacchi et al. </w:t>
      </w:r>
      <w:r>
        <w:rPr>
          <w:noProof/>
          <w:color w:val="000000"/>
        </w:rPr>
        <w:t>(</w:t>
      </w:r>
      <w:r w:rsidRPr="00275729">
        <w:rPr>
          <w:noProof/>
          <w:color w:val="000000"/>
        </w:rPr>
        <w:t>2001)</w:t>
      </w:r>
      <w:r>
        <w:rPr>
          <w:color w:val="000000"/>
        </w:rPr>
        <w:fldChar w:fldCharType="end"/>
      </w:r>
      <w:r>
        <w:rPr>
          <w:color w:val="000000"/>
        </w:rPr>
        <w:t>.</w:t>
      </w:r>
    </w:p>
    <w:p w14:paraId="3436658E" w14:textId="77777777" w:rsidR="00BA3A8F" w:rsidRDefault="00BA3A8F" w:rsidP="00BA3A8F">
      <w:pPr>
        <w:spacing w:line="480" w:lineRule="auto"/>
        <w:rPr>
          <w:color w:val="000000"/>
        </w:rPr>
      </w:pPr>
    </w:p>
    <w:p w14:paraId="25E2D5B9" w14:textId="77777777" w:rsidR="00BA3A8F" w:rsidRPr="006130E2" w:rsidRDefault="00BA3A8F" w:rsidP="00BA3A8F">
      <w:pPr>
        <w:spacing w:line="480" w:lineRule="auto"/>
        <w:rPr>
          <w:i/>
          <w:iCs/>
          <w:color w:val="000000"/>
        </w:rPr>
      </w:pPr>
      <w:r>
        <w:rPr>
          <w:i/>
          <w:iCs/>
          <w:color w:val="000000"/>
        </w:rPr>
        <w:t>Tradeoffs between nitrogen and water use</w:t>
      </w:r>
    </w:p>
    <w:p w14:paraId="0A2DEB95" w14:textId="0D295EC9" w:rsidR="00BA3A8F" w:rsidRDefault="00BA3A8F" w:rsidP="00BA3A8F">
      <w:pPr>
        <w:autoSpaceDE w:val="0"/>
        <w:autoSpaceDN w:val="0"/>
        <w:adjustRightInd w:val="0"/>
        <w:spacing w:line="480" w:lineRule="auto"/>
        <w:ind w:firstLine="720"/>
        <w:rPr>
          <w:color w:val="000000"/>
        </w:rPr>
      </w:pPr>
      <w:r>
        <w:rPr>
          <w:color w:val="000000" w:themeColor="text1"/>
        </w:rPr>
        <w:t>Photosynthetic nitrogen use efficiency (</w:t>
      </w:r>
      <w:r w:rsidRPr="00F45847">
        <w:rPr>
          <w:i/>
          <w:iCs/>
          <w:color w:val="000000" w:themeColor="text1"/>
        </w:rPr>
        <w:t>PNUE</w:t>
      </w:r>
      <w:r>
        <w:rPr>
          <w:color w:val="000000" w:themeColor="text1"/>
        </w:rPr>
        <w:t xml:space="preserve">; </w:t>
      </w:r>
      <w:r w:rsidRPr="14AB8DC9">
        <w:rPr>
          <w:color w:val="000000" w:themeColor="text1"/>
        </w:rPr>
        <w:t>µmol</w:t>
      </w:r>
      <w:r>
        <w:rPr>
          <w:color w:val="000000" w:themeColor="text1"/>
        </w:rPr>
        <w:t xml:space="preserve"> CO</w:t>
      </w:r>
      <w:r>
        <w:rPr>
          <w:color w:val="000000" w:themeColor="text1"/>
          <w:vertAlign w:val="subscript"/>
        </w:rPr>
        <w:t>2</w:t>
      </w:r>
      <w:r w:rsidRPr="14AB8DC9">
        <w:rPr>
          <w:color w:val="000000" w:themeColor="text1"/>
        </w:rPr>
        <w:t xml:space="preserve"> </w:t>
      </w:r>
      <w:r w:rsidR="00DB7CDA">
        <w:rPr>
          <w:color w:val="000000" w:themeColor="text1"/>
        </w:rPr>
        <w:t xml:space="preserve">mol </w:t>
      </w:r>
      <w:r>
        <w:rPr>
          <w:color w:val="000000" w:themeColor="text1"/>
        </w:rPr>
        <w:t>N</w:t>
      </w:r>
      <w:r w:rsidRPr="14AB8DC9">
        <w:rPr>
          <w:color w:val="000000" w:themeColor="text1"/>
          <w:vertAlign w:val="superscript"/>
        </w:rPr>
        <w:t xml:space="preserve">-1 </w:t>
      </w:r>
      <w:r w:rsidRPr="14AB8DC9">
        <w:rPr>
          <w:color w:val="000000" w:themeColor="text1"/>
        </w:rPr>
        <w:t>s</w:t>
      </w:r>
      <w:r w:rsidRPr="14AB8DC9">
        <w:rPr>
          <w:color w:val="000000" w:themeColor="text1"/>
          <w:vertAlign w:val="superscript"/>
        </w:rPr>
        <w:t>-1</w:t>
      </w:r>
      <w:r>
        <w:rPr>
          <w:color w:val="000000" w:themeColor="text1"/>
        </w:rPr>
        <w:t xml:space="preserve">) was calculated by dividing </w:t>
      </w:r>
      <w:proofErr w:type="spellStart"/>
      <w:r w:rsidRPr="008C415D">
        <w:rPr>
          <w:i/>
          <w:iCs/>
          <w:color w:val="000000" w:themeColor="text1"/>
        </w:rPr>
        <w:t>A</w:t>
      </w:r>
      <w:r>
        <w:rPr>
          <w:color w:val="000000"/>
          <w:vertAlign w:val="subscript"/>
        </w:rPr>
        <w:t>net</w:t>
      </w:r>
      <w:proofErr w:type="spellEnd"/>
      <w:r>
        <w:rPr>
          <w:color w:val="000000" w:themeColor="text1"/>
        </w:rPr>
        <w:t xml:space="preserve"> measured at 4</w:t>
      </w:r>
      <w:r w:rsidR="00BC73C6">
        <w:rPr>
          <w:color w:val="000000" w:themeColor="text1"/>
        </w:rPr>
        <w:t>2</w:t>
      </w:r>
      <w:r>
        <w:rPr>
          <w:color w:val="000000" w:themeColor="text1"/>
        </w:rPr>
        <w:t xml:space="preserve">0 </w:t>
      </w:r>
      <w:r>
        <w:rPr>
          <w:color w:val="000000" w:themeColor="text1"/>
          <w:lang w:val="el-GR"/>
        </w:rPr>
        <w:t>μ</w:t>
      </w:r>
      <w:r>
        <w:rPr>
          <w:color w:val="000000" w:themeColor="text1"/>
        </w:rPr>
        <w:t>mol mol</w:t>
      </w:r>
      <w:r>
        <w:rPr>
          <w:color w:val="000000" w:themeColor="text1"/>
          <w:vertAlign w:val="superscript"/>
        </w:rPr>
        <w:t>-1</w:t>
      </w:r>
      <w:r>
        <w:rPr>
          <w:color w:val="000000" w:themeColor="text1"/>
        </w:rPr>
        <w:t xml:space="preserve"> CO</w:t>
      </w:r>
      <w:r>
        <w:rPr>
          <w:color w:val="000000" w:themeColor="text1"/>
          <w:vertAlign w:val="subscript"/>
        </w:rPr>
        <w:t>2</w:t>
      </w:r>
      <w:r>
        <w:rPr>
          <w:color w:val="000000" w:themeColor="text1"/>
        </w:rPr>
        <w:t xml:space="preserve"> by </w:t>
      </w:r>
      <w:proofErr w:type="spellStart"/>
      <w:r>
        <w:rPr>
          <w:i/>
          <w:iCs/>
          <w:color w:val="000000" w:themeColor="text1"/>
        </w:rPr>
        <w:t>N</w:t>
      </w:r>
      <w:r>
        <w:rPr>
          <w:color w:val="000000" w:themeColor="text1"/>
          <w:vertAlign w:val="subscript"/>
        </w:rPr>
        <w:t>area</w:t>
      </w:r>
      <w:proofErr w:type="spellEnd"/>
      <w:r w:rsidR="00DB7CDA">
        <w:rPr>
          <w:color w:val="000000" w:themeColor="text1"/>
        </w:rPr>
        <w:t>, where the numerator (</w:t>
      </w:r>
      <w:proofErr w:type="spellStart"/>
      <w:r w:rsidR="00DB7CDA">
        <w:rPr>
          <w:color w:val="000000" w:themeColor="text1"/>
        </w:rPr>
        <w:t>gN</w:t>
      </w:r>
      <w:proofErr w:type="spellEnd"/>
      <w:r w:rsidR="00DB7CDA">
        <w:rPr>
          <w:color w:val="000000" w:themeColor="text1"/>
        </w:rPr>
        <w:t xml:space="preserve">) was converted to mol N by dividing by 14 </w:t>
      </w:r>
      <w:proofErr w:type="spellStart"/>
      <w:r w:rsidR="00DB7CDA">
        <w:rPr>
          <w:color w:val="000000" w:themeColor="text1"/>
        </w:rPr>
        <w:t>gN</w:t>
      </w:r>
      <w:proofErr w:type="spellEnd"/>
      <w:r w:rsidR="00DB7CDA">
        <w:rPr>
          <w:color w:val="000000" w:themeColor="text1"/>
        </w:rPr>
        <w:t xml:space="preserve"> mol</w:t>
      </w:r>
      <w:r w:rsidR="00DB7CDA">
        <w:rPr>
          <w:color w:val="000000" w:themeColor="text1"/>
          <w:vertAlign w:val="superscript"/>
        </w:rPr>
        <w:t>-1</w:t>
      </w:r>
      <w:r w:rsidR="00DB7CDA">
        <w:rPr>
          <w:color w:val="000000" w:themeColor="text1"/>
        </w:rPr>
        <w:t xml:space="preserve"> N</w:t>
      </w:r>
      <w:r>
        <w:rPr>
          <w:color w:val="000000" w:themeColor="text1"/>
        </w:rPr>
        <w:t xml:space="preserve">. We used </w:t>
      </w:r>
      <w:r>
        <w:rPr>
          <w:color w:val="000000" w:themeColor="text1"/>
          <w:lang w:val="el-GR"/>
        </w:rPr>
        <w:t>χ</w:t>
      </w:r>
      <w:r>
        <w:rPr>
          <w:color w:val="000000" w:themeColor="text1"/>
        </w:rPr>
        <w:t xml:space="preserve">, mentioned above, to estimate water use efficiency. Tradeoffs between nitrogen and water use were determined by calculating the ratio of </w:t>
      </w:r>
      <w:proofErr w:type="spellStart"/>
      <w:r>
        <w:rPr>
          <w:i/>
          <w:iCs/>
          <w:color w:val="000000" w:themeColor="text1"/>
        </w:rPr>
        <w:t>N</w:t>
      </w:r>
      <w:r w:rsidRPr="00364127">
        <w:rPr>
          <w:color w:val="000000" w:themeColor="text1"/>
          <w:vertAlign w:val="subscript"/>
        </w:rPr>
        <w:t>area</w:t>
      </w:r>
      <w:proofErr w:type="spellEnd"/>
      <w:r>
        <w:rPr>
          <w:color w:val="000000" w:themeColor="text1"/>
        </w:rPr>
        <w:t xml:space="preserve"> to</w:t>
      </w:r>
      <w:r w:rsidRPr="008C415D">
        <w:rPr>
          <w:i/>
          <w:iCs/>
          <w:color w:val="000000" w:themeColor="text1"/>
        </w:rPr>
        <w:t xml:space="preserve"> </w:t>
      </w:r>
      <w:r w:rsidR="00DB7CDA">
        <w:rPr>
          <w:color w:val="000000" w:themeColor="text1"/>
          <w:lang w:val="el-GR"/>
        </w:rPr>
        <w:t>χ</w:t>
      </w:r>
      <w:r>
        <w:rPr>
          <w:color w:val="000000" w:themeColor="text1"/>
        </w:rPr>
        <w:t xml:space="preserve"> (</w:t>
      </w:r>
      <w:proofErr w:type="spellStart"/>
      <w:r>
        <w:rPr>
          <w:i/>
          <w:iCs/>
          <w:color w:val="000000" w:themeColor="text1"/>
        </w:rPr>
        <w:t>N</w:t>
      </w:r>
      <w:r w:rsidRPr="00364127">
        <w:rPr>
          <w:color w:val="000000" w:themeColor="text1"/>
          <w:vertAlign w:val="subscript"/>
        </w:rPr>
        <w:t>area</w:t>
      </w:r>
      <w:proofErr w:type="spellEnd"/>
      <w:r>
        <w:rPr>
          <w:color w:val="000000" w:themeColor="text1"/>
        </w:rPr>
        <w:t>:</w:t>
      </w:r>
      <w:r w:rsidR="00BC73C6">
        <w:rPr>
          <w:color w:val="000000" w:themeColor="text1"/>
        </w:rPr>
        <w:t xml:space="preserve"> </w:t>
      </w:r>
      <w:r w:rsidR="00DB7CDA">
        <w:rPr>
          <w:color w:val="000000" w:themeColor="text1"/>
          <w:lang w:val="el-GR"/>
        </w:rPr>
        <w:t>χ</w:t>
      </w:r>
      <w:r>
        <w:rPr>
          <w:color w:val="000000" w:themeColor="text1"/>
        </w:rPr>
        <w:t xml:space="preserve">; </w:t>
      </w:r>
      <w:proofErr w:type="spellStart"/>
      <w:r>
        <w:rPr>
          <w:color w:val="000000" w:themeColor="text1"/>
        </w:rPr>
        <w:t>gN</w:t>
      </w:r>
      <w:proofErr w:type="spellEnd"/>
      <w:r>
        <w:rPr>
          <w:color w:val="000000" w:themeColor="text1"/>
        </w:rPr>
        <w:t xml:space="preserve"> </w:t>
      </w:r>
      <w:r w:rsidR="00DB7CDA">
        <w:rPr>
          <w:color w:val="000000" w:themeColor="text1"/>
        </w:rPr>
        <w:t>m</w:t>
      </w:r>
      <w:r w:rsidR="00DB7CDA">
        <w:rPr>
          <w:color w:val="000000" w:themeColor="text1"/>
          <w:vertAlign w:val="superscript"/>
        </w:rPr>
        <w:t>-2</w:t>
      </w:r>
      <w:r>
        <w:rPr>
          <w:color w:val="000000" w:themeColor="text1"/>
        </w:rPr>
        <w:t xml:space="preserve">) and </w:t>
      </w:r>
      <w:r w:rsidRPr="000048CE">
        <w:rPr>
          <w:i/>
          <w:iCs/>
          <w:color w:val="000000" w:themeColor="text1"/>
        </w:rPr>
        <w:t>V</w:t>
      </w:r>
      <w:r w:rsidRPr="00F15977">
        <w:rPr>
          <w:color w:val="000000" w:themeColor="text1"/>
          <w:vertAlign w:val="subscript"/>
        </w:rPr>
        <w:t>cmax</w:t>
      </w:r>
      <w:r w:rsidR="00DB7CDA">
        <w:rPr>
          <w:color w:val="000000" w:themeColor="text1"/>
          <w:vertAlign w:val="subscript"/>
        </w:rPr>
        <w:t>25</w:t>
      </w:r>
      <w:r w:rsidRPr="14AB8DC9">
        <w:rPr>
          <w:color w:val="000000" w:themeColor="text1"/>
        </w:rPr>
        <w:t xml:space="preserve"> </w:t>
      </w:r>
      <w:r>
        <w:rPr>
          <w:color w:val="000000" w:themeColor="text1"/>
        </w:rPr>
        <w:t xml:space="preserve">to </w:t>
      </w:r>
      <w:r w:rsidR="00DB7CDA">
        <w:rPr>
          <w:color w:val="000000" w:themeColor="text1"/>
          <w:lang w:val="el-GR"/>
        </w:rPr>
        <w:t>χ</w:t>
      </w:r>
      <w:r>
        <w:rPr>
          <w:color w:val="000000" w:themeColor="text1"/>
          <w:vertAlign w:val="subscript"/>
        </w:rPr>
        <w:t xml:space="preserve"> </w:t>
      </w:r>
      <w:r w:rsidRPr="14AB8DC9">
        <w:rPr>
          <w:color w:val="000000" w:themeColor="text1"/>
        </w:rPr>
        <w:t>(</w:t>
      </w:r>
      <w:r w:rsidRPr="000048CE">
        <w:rPr>
          <w:i/>
          <w:iCs/>
          <w:color w:val="000000" w:themeColor="text1"/>
        </w:rPr>
        <w:t>V</w:t>
      </w:r>
      <w:r w:rsidRPr="00F15977">
        <w:rPr>
          <w:color w:val="000000" w:themeColor="text1"/>
          <w:vertAlign w:val="subscript"/>
        </w:rPr>
        <w:t>cmax</w:t>
      </w:r>
      <w:r w:rsidRPr="00F15977">
        <w:rPr>
          <w:color w:val="000000" w:themeColor="text1"/>
        </w:rPr>
        <w:t>:</w:t>
      </w:r>
      <w:r w:rsidR="00BC73C6">
        <w:rPr>
          <w:color w:val="000000" w:themeColor="text1"/>
        </w:rPr>
        <w:t xml:space="preserve"> </w:t>
      </w:r>
      <w:r w:rsidR="00DB7CDA">
        <w:rPr>
          <w:color w:val="000000" w:themeColor="text1"/>
          <w:lang w:val="el-GR"/>
        </w:rPr>
        <w:t>χ</w:t>
      </w:r>
      <w:r w:rsidRPr="14AB8DC9">
        <w:rPr>
          <w:color w:val="000000" w:themeColor="text1"/>
        </w:rPr>
        <w:t xml:space="preserve">; </w:t>
      </w:r>
      <w:r>
        <w:rPr>
          <w:color w:val="000000" w:themeColor="text1"/>
          <w:lang w:val="el-GR"/>
        </w:rPr>
        <w:t>μ</w:t>
      </w:r>
      <w:r w:rsidRPr="007037E1">
        <w:rPr>
          <w:color w:val="000000" w:themeColor="text1"/>
        </w:rPr>
        <w:t>mol</w:t>
      </w:r>
      <w:r w:rsidR="00DB7CDA">
        <w:rPr>
          <w:color w:val="000000" w:themeColor="text1"/>
        </w:rPr>
        <w:t xml:space="preserve"> m</w:t>
      </w:r>
      <w:r w:rsidR="00DB7CDA">
        <w:rPr>
          <w:color w:val="000000" w:themeColor="text1"/>
          <w:vertAlign w:val="superscript"/>
        </w:rPr>
        <w:t>-2</w:t>
      </w:r>
      <w:r w:rsidR="00DB7CDA">
        <w:rPr>
          <w:color w:val="000000" w:themeColor="text1"/>
        </w:rPr>
        <w:t>s</w:t>
      </w:r>
      <w:r w:rsidR="00DB7CDA">
        <w:rPr>
          <w:color w:val="000000" w:themeColor="text1"/>
          <w:vertAlign w:val="superscript"/>
        </w:rPr>
        <w:t>-1</w:t>
      </w:r>
      <w:r w:rsidRPr="14AB8DC9">
        <w:rPr>
          <w:color w:val="000000" w:themeColor="text1"/>
        </w:rPr>
        <w:t>)</w:t>
      </w:r>
      <w:r w:rsidR="00DB7CDA">
        <w:rPr>
          <w:color w:val="000000" w:themeColor="text1"/>
        </w:rPr>
        <w:t>.</w:t>
      </w:r>
    </w:p>
    <w:p w14:paraId="6EB201A2" w14:textId="3DF583E9" w:rsidR="00BC73C6" w:rsidRDefault="00BC73C6" w:rsidP="00BC73C6">
      <w:pPr>
        <w:autoSpaceDE w:val="0"/>
        <w:autoSpaceDN w:val="0"/>
        <w:adjustRightInd w:val="0"/>
        <w:spacing w:line="480" w:lineRule="auto"/>
        <w:rPr>
          <w:color w:val="000000"/>
        </w:rPr>
      </w:pPr>
    </w:p>
    <w:p w14:paraId="0ED25664" w14:textId="655371D5" w:rsidR="00BC73C6" w:rsidRDefault="00BC73C6" w:rsidP="00BC73C6">
      <w:pPr>
        <w:autoSpaceDE w:val="0"/>
        <w:autoSpaceDN w:val="0"/>
        <w:adjustRightInd w:val="0"/>
        <w:spacing w:line="480" w:lineRule="auto"/>
        <w:rPr>
          <w:color w:val="000000"/>
        </w:rPr>
      </w:pPr>
      <w:r>
        <w:rPr>
          <w:i/>
          <w:iCs/>
          <w:color w:val="000000"/>
        </w:rPr>
        <w:t>Whole plant traits</w:t>
      </w:r>
    </w:p>
    <w:p w14:paraId="56E2B5CB" w14:textId="3F45EC37" w:rsidR="00BC73C6" w:rsidRPr="00875F70" w:rsidRDefault="00DB7CDA" w:rsidP="00875F70">
      <w:pPr>
        <w:autoSpaceDE w:val="0"/>
        <w:autoSpaceDN w:val="0"/>
        <w:adjustRightInd w:val="0"/>
        <w:spacing w:line="480" w:lineRule="auto"/>
        <w:ind w:firstLine="720"/>
      </w:pPr>
      <w:r>
        <w:rPr>
          <w:color w:val="000000"/>
        </w:rPr>
        <w:lastRenderedPageBreak/>
        <w:t xml:space="preserve">Fifty days after experiment initiation, we harvested all experimental individuals </w:t>
      </w:r>
      <w:r w:rsidR="00BC73C6">
        <w:rPr>
          <w:color w:val="000000"/>
        </w:rPr>
        <w:t xml:space="preserve">and separated </w:t>
      </w:r>
      <w:r w:rsidR="00BC73C6">
        <w:t xml:space="preserve">biomass of </w:t>
      </w:r>
      <w:r w:rsidR="00BC73C6" w:rsidRPr="00360D30">
        <w:t>each experimental individual into major organ types (leaves, stems, roots</w:t>
      </w:r>
      <w:r w:rsidR="00BC73C6">
        <w:t>, and root nodules when present</w:t>
      </w:r>
      <w:r w:rsidR="00BC73C6" w:rsidRPr="00360D30">
        <w:t>). Leaf areas of all harvested leaves were measured using a</w:t>
      </w:r>
      <w:r w:rsidR="00BC73C6">
        <w:t>n</w:t>
      </w:r>
      <w:r w:rsidR="00BC73C6" w:rsidRPr="00360D30">
        <w:t xml:space="preserve"> </w:t>
      </w:r>
      <w:r w:rsidR="00BC73C6">
        <w:t>LI-3100C (</w:t>
      </w:r>
      <w:r w:rsidR="00BC73C6" w:rsidRPr="00863849">
        <w:rPr>
          <w:color w:val="000000"/>
        </w:rPr>
        <w:t>Li-COR Bioscience</w:t>
      </w:r>
      <w:r w:rsidR="00BC73C6">
        <w:rPr>
          <w:color w:val="000000"/>
        </w:rPr>
        <w:t>s</w:t>
      </w:r>
      <w:r w:rsidR="00BC73C6" w:rsidRPr="00863849">
        <w:rPr>
          <w:color w:val="000000"/>
        </w:rPr>
        <w:t>, Lincoln, Nebraska, USA</w:t>
      </w:r>
      <w:r w:rsidR="00BC73C6">
        <w:rPr>
          <w:color w:val="000000"/>
        </w:rPr>
        <w:t>)</w:t>
      </w:r>
      <w:r w:rsidR="00BC73C6">
        <w:t>. T</w:t>
      </w:r>
      <w:r w:rsidR="00BC73C6" w:rsidRPr="00360D30">
        <w:t>otal leaf area</w:t>
      </w:r>
      <w:r w:rsidR="00BC73C6">
        <w:t xml:space="preserve"> (cm</w:t>
      </w:r>
      <w:r w:rsidR="00BC73C6">
        <w:rPr>
          <w:vertAlign w:val="superscript"/>
        </w:rPr>
        <w:t>2</w:t>
      </w:r>
      <w:r w:rsidR="00BC73C6">
        <w:t>)</w:t>
      </w:r>
      <w:r w:rsidR="00BC73C6" w:rsidRPr="00360D30">
        <w:t xml:space="preserve"> was calculated as the sum of all leaf areas,</w:t>
      </w:r>
      <w:r w:rsidR="00BC73C6">
        <w:t xml:space="preserve"> and </w:t>
      </w:r>
      <w:r w:rsidR="00BC73C6" w:rsidRPr="00360D30">
        <w:t>includ</w:t>
      </w:r>
      <w:r w:rsidR="00BC73C6">
        <w:t>ed</w:t>
      </w:r>
      <w:r w:rsidR="00BC73C6" w:rsidRPr="00360D30">
        <w:t xml:space="preserve"> </w:t>
      </w:r>
      <w:r w:rsidR="00BC73C6">
        <w:t>the focal leaf measured during the dynamic CO</w:t>
      </w:r>
      <w:r w:rsidR="00BC73C6">
        <w:rPr>
          <w:vertAlign w:val="subscript"/>
        </w:rPr>
        <w:t>2</w:t>
      </w:r>
      <w:r w:rsidR="00BC73C6">
        <w:t xml:space="preserve"> response curve</w:t>
      </w:r>
      <w:r w:rsidR="00BC73C6" w:rsidRPr="00360D30">
        <w:t>. All harvested material was dried</w:t>
      </w:r>
      <w:r w:rsidR="00BC73C6">
        <w:t xml:space="preserve"> in an oven set to 65</w:t>
      </w:r>
      <w:r w:rsidR="00BC73C6">
        <w:sym w:font="Symbol" w:char="F0B0"/>
      </w:r>
      <w:r w:rsidR="00BC73C6">
        <w:t>C for at least 48 hours, weighed, and ground to homogeneity</w:t>
      </w:r>
      <w:r w:rsidR="00875F70">
        <w:t xml:space="preserve">. Leaves and nodules were manually ground with a mortar and </w:t>
      </w:r>
      <w:proofErr w:type="spellStart"/>
      <w:r w:rsidR="00875F70">
        <w:t>pestly</w:t>
      </w:r>
      <w:proofErr w:type="spellEnd"/>
      <w:r w:rsidR="00875F70">
        <w:t xml:space="preserve">, while stems and roots were mechanically ground by first passing material through a Wiley mill, then passing material through a </w:t>
      </w:r>
      <w:proofErr w:type="spellStart"/>
      <w:r w:rsidR="00875F70">
        <w:t>MiniG</w:t>
      </w:r>
      <w:proofErr w:type="spellEnd"/>
      <w:r w:rsidR="00875F70">
        <w:t xml:space="preserve"> tissue grinder () using vials equipped with steel balls. </w:t>
      </w:r>
      <w:r w:rsidR="00BC73C6">
        <w:t>Total dry biomass (g) was calculated as the sum of dry leaf, stem, root, and root nodule biomass. We also quantified carbon and nitrogen content through elemental combustion (</w:t>
      </w:r>
      <w:r w:rsidR="00BC73C6">
        <w:rPr>
          <w:color w:val="000000"/>
        </w:rPr>
        <w:t xml:space="preserve">Costech-4010, </w:t>
      </w:r>
      <w:proofErr w:type="spellStart"/>
      <w:r w:rsidR="00BC73C6">
        <w:rPr>
          <w:color w:val="000000"/>
        </w:rPr>
        <w:t>Costech</w:t>
      </w:r>
      <w:proofErr w:type="spellEnd"/>
      <w:r w:rsidR="00BC73C6">
        <w:rPr>
          <w:color w:val="000000"/>
        </w:rPr>
        <w:t>, Inc., Valencia, CA, USA)</w:t>
      </w:r>
      <w:r w:rsidR="00BC73C6">
        <w:t xml:space="preserve"> of each respective organ type using subsamples of ground and homogenized organ tissue. </w:t>
      </w:r>
    </w:p>
    <w:p w14:paraId="5264FE1E" w14:textId="5606F09B" w:rsidR="00BC73C6" w:rsidRDefault="00BC73C6" w:rsidP="00BC73C6">
      <w:pPr>
        <w:autoSpaceDE w:val="0"/>
        <w:autoSpaceDN w:val="0"/>
        <w:adjustRightInd w:val="0"/>
        <w:spacing w:line="480" w:lineRule="auto"/>
        <w:ind w:firstLine="720"/>
      </w:pPr>
      <w:r>
        <w:t xml:space="preserve">Following the approach explained in </w:t>
      </w:r>
      <w:r>
        <w:fldChar w:fldCharType="begin" w:fldLock="1"/>
      </w:r>
      <w:r>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strategies","type":"article-journal","volume":"72"},"uris":["http://www.mendeley.com/documents/?uuid=233b0f00-9a30-4c3a-a2bb-5e67ae9c0e5f"]}],"mendeley":{"formattedCitation":"(Perkowski et al., 2021)","manualFormatting":"Perkowski et al. (2021)","plainTextFormattedCitation":"(Perkowski et al., 2021)","previouslyFormattedCitation":"(Perkowski et al., 2021)"},"properties":{"noteIndex":0},"schema":"https://github.com/citation-style-language/schema/raw/master/csl-citation.json"}</w:instrText>
      </w:r>
      <w:r>
        <w:fldChar w:fldCharType="separate"/>
      </w:r>
      <w:r w:rsidRPr="00430044">
        <w:rPr>
          <w:noProof/>
        </w:rPr>
        <w:t xml:space="preserve">Perkowski </w:t>
      </w:r>
      <w:r w:rsidRPr="00412BAB">
        <w:rPr>
          <w:iCs/>
          <w:noProof/>
        </w:rPr>
        <w:t>et al. (</w:t>
      </w:r>
      <w:r w:rsidRPr="00430044">
        <w:rPr>
          <w:noProof/>
        </w:rPr>
        <w:t>2021)</w:t>
      </w:r>
      <w:r>
        <w:fldChar w:fldCharType="end"/>
      </w:r>
      <w:r>
        <w:t>, we calculated structural carbon costs to acquire nitrogen as the ratio of total belowground carbon biomass to whole plant nitrogen biomass (g C g</w:t>
      </w:r>
      <w:r>
        <w:rPr>
          <w:vertAlign w:val="superscript"/>
        </w:rPr>
        <w:t>-1</w:t>
      </w:r>
      <w:r>
        <w:t xml:space="preserve"> N). Belowground carbon biomass (g C) was calculated by multiplying the carbon content of roots and root nodules by total biomass of each respective organ type, then adding root carbon biomass and root nodule carbon biomass. Whole plant nitrogen biomass (g N) was calculated by multiplying the nitrogen content of leaves, stems, roots, and root nodules by biomass of each respective organ type, then calculating the sum of nitrogen biomass of each organ type. This calculation only quantifies plant structural carbon costs to acquire nitrogen and does not include any additional carbon costs of nitrogen acquisition that are associated with root </w:t>
      </w:r>
      <w:r>
        <w:lastRenderedPageBreak/>
        <w:t xml:space="preserve">respiration, root exudation, or root turnover. An explicit explanation of the limitations for interpreting this calculation can be found in </w:t>
      </w:r>
      <w:r>
        <w:fldChar w:fldCharType="begin" w:fldLock="1"/>
      </w:r>
      <w:r>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strategies","type":"article-journal","volume":"72"},"uris":["http://www.mendeley.com/documents/?uuid=233b0f00-9a30-4c3a-a2bb-5e67ae9c0e5f"]}],"mendeley":{"formattedCitation":"(Perkowski et al., 2021)","manualFormatting":"Perkowski et al. (2021)","plainTextFormattedCitation":"(Perkowski et al., 2021)","previouslyFormattedCitation":"(Perkowski et al., 2021)"},"properties":{"noteIndex":0},"schema":"https://github.com/citation-style-language/schema/raw/master/csl-citation.json"}</w:instrText>
      </w:r>
      <w:r>
        <w:fldChar w:fldCharType="separate"/>
      </w:r>
      <w:r w:rsidRPr="00B84938">
        <w:rPr>
          <w:noProof/>
        </w:rPr>
        <w:t>Perkowski</w:t>
      </w:r>
      <w:r w:rsidRPr="00F9445D">
        <w:rPr>
          <w:iCs/>
          <w:noProof/>
        </w:rPr>
        <w:t xml:space="preserve"> et al. </w:t>
      </w:r>
      <w:r>
        <w:rPr>
          <w:noProof/>
        </w:rPr>
        <w:t>(</w:t>
      </w:r>
      <w:r w:rsidRPr="00B84938">
        <w:rPr>
          <w:noProof/>
        </w:rPr>
        <w:t>2021)</w:t>
      </w:r>
      <w:r>
        <w:fldChar w:fldCharType="end"/>
      </w:r>
      <w:r>
        <w:t xml:space="preserve"> and </w:t>
      </w:r>
      <w:r>
        <w:fldChar w:fldCharType="begin" w:fldLock="1"/>
      </w:r>
      <w:r w:rsidR="00616ADB">
        <w:instrText>ADDIN CSL_CITATION {"citationItems":[{"id":"ITEM-1","itemData":{"DOI":"10.1111/nph.14872","ISBN":"7476820487","ISSN":"0028-646X","abstract":"Land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author":[{"dropping-particle":"","family":"Terrer","given":"César","non-dropping-particle":"","parse-names":false,"suffix":""},{"dropping-particle":"","family":"Vicca","given":"Sara","non-dropping-particle":"","parse-names":false,"suffix":""},{"dropping-particle":"","family":"Stocker","given":"Benjamin D.","non-dropping-particle":"","parse-names":false,"suffix":""},{"dropping-particle":"","family":"Hungate","given":"Bruce A","non-dropping-particle":"","parse-names":false,"suffix":""},{"dropping-particle":"","family":"Phillips","given":"Richard P","non-dropping-particle":"","parse-names":false,"suffix":""},{"dropping-particle":"","family":"Reich","given":"Peter B","non-dropping-particle":"","parse-names":false,"suffix":""},{"dropping-particle":"","family":"Finzi","given":"Adrien C","non-dropping-particle":"","parse-names":false,"suffix":""},{"dropping-particle":"","family":"Prentice","given":"I Colin","non-dropping-particle":"","parse-names":false,"suffix":""}],"container-title":"New Phytologist","id":"ITEM-1","issue":"2","issued":{"date-parts":[["2018","1","6"]]},"page":"507-522","title":"Ecosystem responses to elevated &lt;scp&gt;CO&lt;/scp&gt; &lt;sub&gt;2&lt;/sub&gt; governed by plant–soil interactions and the cost of nitrogen acquisition","type":"article-journal","volume":"217"},"uris":["http://www.mendeley.com/documents/?uuid=f5a032e4-11bd-468b-88f1-a7a4ce482036"]}],"mendeley":{"formattedCitation":"(Terrer et al., 2018)","manualFormatting":"Terrer et al. (2018)","plainTextFormattedCitation":"(Terrer et al., 2018)","previouslyFormattedCitation":"(Terrer et al., 2018)"},"properties":{"noteIndex":0},"schema":"https://github.com/citation-style-language/schema/raw/master/csl-citation.json"}</w:instrText>
      </w:r>
      <w:r>
        <w:fldChar w:fldCharType="separate"/>
      </w:r>
      <w:r w:rsidRPr="00F9445D">
        <w:rPr>
          <w:noProof/>
        </w:rPr>
        <w:t xml:space="preserve">Terrer et al. </w:t>
      </w:r>
      <w:r>
        <w:rPr>
          <w:noProof/>
        </w:rPr>
        <w:t>(</w:t>
      </w:r>
      <w:r w:rsidRPr="00F9445D">
        <w:rPr>
          <w:noProof/>
        </w:rPr>
        <w:t>2018)</w:t>
      </w:r>
      <w:r>
        <w:fldChar w:fldCharType="end"/>
      </w:r>
      <w:r>
        <w:t>.</w:t>
      </w:r>
    </w:p>
    <w:p w14:paraId="53858209" w14:textId="43DA7DD1" w:rsidR="00BC73C6" w:rsidRDefault="00BC73C6" w:rsidP="00BC73C6">
      <w:pPr>
        <w:autoSpaceDE w:val="0"/>
        <w:autoSpaceDN w:val="0"/>
        <w:adjustRightInd w:val="0"/>
        <w:spacing w:line="480" w:lineRule="auto"/>
      </w:pPr>
    </w:p>
    <w:p w14:paraId="3019A001" w14:textId="1EFF47A3" w:rsidR="00BC73C6" w:rsidRPr="00BC73C6" w:rsidRDefault="00BC73C6" w:rsidP="00BC73C6">
      <w:pPr>
        <w:autoSpaceDE w:val="0"/>
        <w:autoSpaceDN w:val="0"/>
        <w:adjustRightInd w:val="0"/>
        <w:spacing w:line="480" w:lineRule="auto"/>
        <w:rPr>
          <w:i/>
          <w:iCs/>
        </w:rPr>
      </w:pPr>
      <w:r>
        <w:rPr>
          <w:i/>
          <w:iCs/>
        </w:rPr>
        <w:t>Nitrogen fixation</w:t>
      </w:r>
    </w:p>
    <w:p w14:paraId="3BEB0E2C" w14:textId="5B4DB0C8" w:rsidR="00F917B0" w:rsidRDefault="00BC73C6" w:rsidP="00BC73C6">
      <w:pPr>
        <w:autoSpaceDE w:val="0"/>
        <w:autoSpaceDN w:val="0"/>
        <w:adjustRightInd w:val="0"/>
        <w:spacing w:line="480" w:lineRule="auto"/>
        <w:rPr>
          <w:color w:val="000000"/>
        </w:rPr>
      </w:pPr>
      <w:r>
        <w:rPr>
          <w:color w:val="000000"/>
        </w:rPr>
        <w:tab/>
        <w:t xml:space="preserve">We calculated plant investments in nitrogen fixation </w:t>
      </w:r>
      <w:r w:rsidR="007B67A6">
        <w:rPr>
          <w:color w:val="000000"/>
        </w:rPr>
        <w:t xml:space="preserve">as the ratio of root nodule biomass to root biomass, where increasing values </w:t>
      </w:r>
      <w:r w:rsidR="00F917B0">
        <w:rPr>
          <w:color w:val="000000"/>
        </w:rPr>
        <w:t>indicate an increase in plant investments to nitrogen fixation</w:t>
      </w:r>
      <w:r w:rsidR="007B67A6">
        <w:rPr>
          <w:color w:val="000000"/>
        </w:rPr>
        <w:t xml:space="preserve"> </w:t>
      </w:r>
      <w:r w:rsidR="007B67A6">
        <w:rPr>
          <w:color w:val="000000"/>
        </w:rPr>
        <w:fldChar w:fldCharType="begin" w:fldLock="1"/>
      </w:r>
      <w:r w:rsidR="00F917B0">
        <w:rPr>
          <w:color w:val="000000"/>
        </w:rPr>
        <w:instrText>ADDIN CSL_CITATION {"citationItems":[{"id":"ITEM-1","itemData":{"DOI":"10.1111/1365-2745.12940","ISSN":"00220477","abstract":"1. The importance of symbiotic dinitrogen (N2) fixation in shaping the coupled nitro- gen–carbon cycle is now known for most humid terrestrial ecosystems. However, whether N2 fixation can play a key role in the nitrogen and carbon budget of water-limited and seasonally dry ecosystems remains a mystery. 2. The maintenance of metabolically and physiologically costly symbiotic fixation in water-limited environments is highly complex. These costs are particularly high dur- ing the first developmental season, when allocation to deep rooting and drought re- sistance mechanisms is essential for seedling survival of prolonged seasonal drought. 3. We, therefore, evaluated how drought-adapted legume species change their alloca- tion to symbiotic nitrogen fixation as a function of soil nitrogen availability. We tested this on seedlings of a suite of four common Mediterranean legume shrubs with a strong seasonal behaviour, which we grew under controlled nitrogen and phospho- rus availabilities. We asked: (1) Do species differ in their investment and regulation of nitrogen fixation? (2) Is fixation regulated via plant allocation to nodules, fixation rate or both? and (3) Does phosphorus availability limit symbiotic nitrogen fixation? 4. All Mediterranean perennial legumes in the experiment established and grew, nodu- lated, and fixed nitrogen, even under severe nitrogen limitation. The four species reacted similarly to nitrogen supply, by strongly downregulating fixation through both decreased nodulation and lower rate of fixation. However, we found a signifi- cant interspecific difference in fixation (both nodulation and rate), biomass produc- tion and growth rate. Our experimental species presented a range of fixation investment strategies corresponding to life-history and resource partitioning pat- terns. Phosphorus limitation had a minor influence on both fixation and plant growth. 5. Synthesis. The high physiological cost of symbiotic fixation imposes the need to tightly regulate fixation in perennial legumes coping with severe water stress. Control of fixation allows legume species to colonize recently disturbed nitrogen- deficient habitats, cope with grazing, survive long seasonal droughts and recover nitrogen fixation later in the wet season, and survive over time by reducing nitro- gen inputs to the ecosystem.","author":[{"dropping-particle":"","family":"Dovrat","given":"Guy","non-dropping-particle":"","parse-names":false,"suffix":""},{"dropping-particle":"","family":"Masci","given":"Tania","non-dropping-particle":"","parse-names":false,"suffix":""},{"dropping-particle":"","family":"Bakhshian","given":"Hila","non-dropping-particle":"","parse-names":false,"suffix":""},{"dropping-particle":"","family":"Mayzlish Gati","given":"Einav","non-dropping-particle":"","parse-names":false,"suffix":""},{"dropping-particle":"","family":"Golan","given":"Sivan","non-dropping-particle":"","parse-names":false,"suffix":""},{"dropping-particle":"","family":"Sheffer","given":"Efrat","non-dropping-particle":"","parse-names":false,"suffix":""}],"container-title":"Journal of Ecology","id":"ITEM-1","issue":"4","issued":{"date-parts":[["2018","7"]]},"page":"1534-1544","title":"Drought-adapted plants dramatically downregulate dinitrogen fixation: Evidences from Mediterranean legume shrubs","type":"article-journal","volume":"106"},"uris":["http://www.mendeley.com/documents/?uuid=add23d48-cb58-4367-8e27-5a62a0466990"]},{"id":"ITEM-2","itemData":{"DOI":"10.1111/nph.16543","ISSN":"0028-646X","abstract":"\u000f Leaf nitrogen concentration often is higher in leguminous plants, which associate with dini- trogen-fixing bacteria, compared with nonlegume plants. However, the range of nitrogen concentrations in legumes is wide, likely related to the range of nitrogen fixation strategies. We evaluated how carbon and nitrogen allocation to roots, stems and leaves is influenced by the type of strategy of nitrogen fixation regulation. \u000f We grew herbaceous annual legumes (Medicago truncatula, Hymenocarpos circinnatus and Vicia palaestina) under two nitrogen availability treatments (none/sufficient), with and without bacterial inoculation. \u000f We found facultative downregulation of the rate of nitrogen fixation when nitrogen was available in H. circinnatus, and an obligate similar fixation rate in both nitrogen treatments in M. truncatula and V. palaestina. Uninoculated plants invested more biomass in roots and con- tained lower nitrogen concentrations. However, nitrogen concentration in the entire plant and in the leaves was lower and more plastic in the species with a facultative fixation strategy, whereas species with an obligate fixation strategy also maintained high nitrogen concentra- tions. \u000f Our results suggest a suite of functional traits associated with the strategies of allocation and symbiotic nitrogen fixation. This suite of traits probably shapes successional and func- tional niches of different leguminous species in specious plant communities.","author":[{"dropping-particle":"","family":"Dovrat","given":"Guy","non-dropping-particle":"","parse-names":false,"suffix":""},{"dropping-particle":"","family":"Bakhshian","given":"Hila","non-dropping-particle":"","parse-names":false,"suffix":""},{"dropping-particle":"","family":"Masci","given":"Tania","non-dropping-particle":"","parse-names":false,"suffix":""},{"dropping-particle":"","family":"Sheffer","given":"Efrat","non-dropping-particle":"","parse-names":false,"suffix":""}],"container-title":"New Phytologist","id":"ITEM-2","issue":"2","issued":{"date-parts":[["2020","7","23"]]},"page":"365-375","title":"The nitrogen economic spectrum of legume stoichiometry and fixation strategy","type":"article-journal","volume":"227"},"uris":["http://www.mendeley.com/documents/?uuid=3e1867b2-844f-4b4e-8956-000b43ae68c4"]},{"id":"ITEM-3","itemData":{"DOI":"10.1093/jxb/erab253","ISSN":"0022-0957","abstract":"Plant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Botany","editor":[{"dropping-particle":"","family":"Rogers","given":"Alistair","non-dropping-particle":"","parse-names":false,"suffix":""}],"id":"ITEM-3","issue":"15","issued":{"date-parts":[["2021","7","28"]]},"page":"5766-5776","title":"Root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strategies","type":"article-journal","volume":"72"},"uris":["http://www.mendeley.com/documents/?uuid=233b0f00-9a30-4c3a-a2bb-5e67ae9c0e5f"]}],"mendeley":{"formattedCitation":"(Dovrat et al., 2018, 2020; Perkowski et al., 2021)","plainTextFormattedCitation":"(Dovrat et al., 2018, 2020; Perkowski et al., 2021)","previouslyFormattedCitation":"(Dovrat et al., 2018, 2020; Perkowski et al., 2021)"},"properties":{"noteIndex":0},"schema":"https://github.com/citation-style-language/schema/raw/master/csl-citation.json"}</w:instrText>
      </w:r>
      <w:r w:rsidR="007B67A6">
        <w:rPr>
          <w:color w:val="000000"/>
        </w:rPr>
        <w:fldChar w:fldCharType="separate"/>
      </w:r>
      <w:r w:rsidR="007B67A6" w:rsidRPr="007B67A6">
        <w:rPr>
          <w:noProof/>
          <w:color w:val="000000"/>
        </w:rPr>
        <w:t>(Dovrat et al., 2018, 2020; Perkowski et al., 2021)</w:t>
      </w:r>
      <w:r w:rsidR="007B67A6">
        <w:rPr>
          <w:color w:val="000000"/>
        </w:rPr>
        <w:fldChar w:fldCharType="end"/>
      </w:r>
      <w:r w:rsidR="00F917B0">
        <w:rPr>
          <w:color w:val="000000"/>
        </w:rPr>
        <w:t>. We also calculated the percent of leaf nitrogen acquired from the atmosphere</w:t>
      </w:r>
      <w:r>
        <w:rPr>
          <w:color w:val="000000"/>
        </w:rPr>
        <w:t xml:space="preserve"> (</w:t>
      </w:r>
      <w:r w:rsidR="00875F70">
        <w:rPr>
          <w:color w:val="000000"/>
        </w:rPr>
        <w:t>%</w:t>
      </w:r>
      <w:proofErr w:type="spellStart"/>
      <w:r w:rsidR="00875F70">
        <w:rPr>
          <w:color w:val="000000"/>
        </w:rPr>
        <w:t>Ndfa</w:t>
      </w:r>
      <w:proofErr w:type="spellEnd"/>
      <w:r>
        <w:rPr>
          <w:color w:val="000000"/>
        </w:rPr>
        <w:t xml:space="preserve">) using leaf </w:t>
      </w:r>
      <w:r>
        <w:rPr>
          <w:color w:val="000000"/>
          <w:lang w:val="el-GR"/>
        </w:rPr>
        <w:t>δ</w:t>
      </w:r>
      <w:r>
        <w:rPr>
          <w:color w:val="000000"/>
          <w:vertAlign w:val="superscript"/>
        </w:rPr>
        <w:t>15</w:t>
      </w:r>
      <w:r>
        <w:rPr>
          <w:color w:val="000000"/>
        </w:rPr>
        <w:t>N</w:t>
      </w:r>
      <w:r w:rsidR="00F917B0">
        <w:rPr>
          <w:color w:val="000000"/>
        </w:rPr>
        <w:t xml:space="preserve"> and the following equation</w:t>
      </w:r>
      <w:r w:rsidR="00385BDF">
        <w:rPr>
          <w:color w:val="000000"/>
        </w:rPr>
        <w:t xml:space="preserve"> from </w:t>
      </w:r>
      <w:r w:rsidR="00385BDF">
        <w:rPr>
          <w:color w:val="000000"/>
        </w:rPr>
        <w:fldChar w:fldCharType="begin" w:fldLock="1"/>
      </w:r>
      <w:r w:rsidR="00385BDF">
        <w:rPr>
          <w:color w:val="000000"/>
        </w:rPr>
        <w:instrText>ADDIN CSL_CITATION {"citationItems":[{"id":"ITEM-1","itemData":{"DOI":"10.1080/17550874.2011.644343","ISSN":"17551668","abstract":"Background: Nitrogen fixation has been quantified for a range of crop legumes and actinorhizal plants under different agricultural/agroforestry conditions, but much less is known of legume and actinorhizal plant N2fixation in natural ecosystems. Aims: To assess the proportion of total plant N derived from the atmosphere via the process of N2fixation (%Ndfa) by actinorhizal and legume plants in natural ecosystems and their N input into these ecosystems as indicated by their 15N natural abundance. Methods: A comprehensive collation of published values of %Ndfa for legumes and actinorhizal plants in natural ecosystems and their N input into these ecosystems as estimated by their 15N natural abundance was carried out by searching the ISI Web of Science database using relevant key words. Results: The %Ndfa was consistently large for actinorhizal plants but very variable for legumes in natural ecosystems, and the average value for %Ndfa was substantially greater for actinorhizal plants. High soil N, in particular, but also low soil P and water content were correlated with low legume N2fixation. N input into ecosystems from N2fixation was very variable for actinorhizal and legume plants and greatly dependent on their biomass within the system. Conclusions: Measurement of 15N natural abundance has given greater understanding of where legume and actinorhizal plant N2fixation is important in natural ecosystems. Across studies, the average value for %Ndfa was substantially greater for actinorhizal plants than for legumes, and the relative abilities of the two groups of plants to utilise mineral N requires further study. © 2011 Botanical Society of Scotland and Taylor &amp; Francis.","author":[{"dropping-particle":"","family":"Andrews","given":"Mitchell","non-dropping-particle":"","parse-names":false,"suffix":""},{"dropping-particle":"","family":"James","given":"Euan K","non-dropping-particle":"","parse-names":false,"suffix":""},{"dropping-particle":"","family":"Sprent","given":"Janet I","non-dropping-particle":"","parse-names":false,"suffix":""},{"dropping-particle":"","family":"Boddey","given":"Robert M","non-dropping-particle":"","parse-names":false,"suffix":""},{"dropping-particle":"","family":"Gross","given":"Eduardo","non-dropping-particle":"","parse-names":false,"suffix":""},{"dropping-particle":"","family":"Reis","given":"Fabio Bueno","non-dropping-particle":"dos","parse-names":false,"suffix":""}],"container-title":"Plant Ecology and Diversity","id":"ITEM-1","issue":"2-3","issued":{"date-parts":[["2011"]]},"page":"117-130","title":"Nitrogen fixation in legumes and actinorhizal plants in natural ecosystems: Values obtained using 15N natural abundance","type":"article-journal","volume":"4"},"uris":["http://www.mendeley.com/documents/?uuid=b28a4f31-9653-4a96-b5f8-75bd088e83d1"]}],"mendeley":{"formattedCitation":"(Andrews et al., 2011)","manualFormatting":"Andrews et al. (2011)","plainTextFormattedCitation":"(Andrews et al., 2011)","previouslyFormattedCitation":"(Andrews et al., 2011)"},"properties":{"noteIndex":0},"schema":"https://github.com/citation-style-language/schema/raw/master/csl-citation.json"}</w:instrText>
      </w:r>
      <w:r w:rsidR="00385BDF">
        <w:rPr>
          <w:color w:val="000000"/>
        </w:rPr>
        <w:fldChar w:fldCharType="separate"/>
      </w:r>
      <w:r w:rsidR="00385BDF" w:rsidRPr="00385BDF">
        <w:rPr>
          <w:noProof/>
          <w:color w:val="000000"/>
        </w:rPr>
        <w:t xml:space="preserve">Andrews et al. </w:t>
      </w:r>
      <w:r w:rsidR="00385BDF">
        <w:rPr>
          <w:noProof/>
          <w:color w:val="000000"/>
        </w:rPr>
        <w:t>(</w:t>
      </w:r>
      <w:r w:rsidR="00385BDF" w:rsidRPr="00385BDF">
        <w:rPr>
          <w:noProof/>
          <w:color w:val="000000"/>
        </w:rPr>
        <w:t>2011)</w:t>
      </w:r>
      <w:r w:rsidR="00385BDF">
        <w:rPr>
          <w:color w:val="000000"/>
        </w:rPr>
        <w:fldChar w:fldCharType="end"/>
      </w:r>
      <w:r w:rsidR="00F917B0">
        <w:rPr>
          <w:color w:val="000000"/>
        </w:rPr>
        <w:t>:</w:t>
      </w:r>
    </w:p>
    <w:p w14:paraId="5C480B6A" w14:textId="77777777" w:rsidR="00F917B0" w:rsidRDefault="00F917B0" w:rsidP="00BC73C6">
      <w:pPr>
        <w:autoSpaceDE w:val="0"/>
        <w:autoSpaceDN w:val="0"/>
        <w:adjustRightInd w:val="0"/>
        <w:spacing w:line="480" w:lineRule="auto"/>
        <w:rPr>
          <w:color w:val="000000"/>
        </w:rPr>
      </w:pPr>
    </w:p>
    <w:p w14:paraId="0AB1D537" w14:textId="598B8003" w:rsidR="00BC73C6" w:rsidRDefault="00875F70" w:rsidP="00BC73C6">
      <w:pPr>
        <w:autoSpaceDE w:val="0"/>
        <w:autoSpaceDN w:val="0"/>
        <w:adjustRightInd w:val="0"/>
        <w:spacing w:line="480" w:lineRule="auto"/>
        <w:rPr>
          <w:color w:val="000000"/>
        </w:rPr>
      </w:pPr>
      <m:oMath>
        <m:r>
          <w:rPr>
            <w:rFonts w:ascii="Cambria Math" w:hAnsi="Cambria Math"/>
            <w:color w:val="000000"/>
          </w:rPr>
          <m:t xml:space="preserve">% </m:t>
        </m:r>
        <m:r>
          <w:rPr>
            <w:rFonts w:ascii="Cambria Math" w:hAnsi="Cambria Math"/>
            <w:color w:val="000000"/>
          </w:rPr>
          <m:t>Nfda=</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lang w:val="el-GR"/>
                  </w:rPr>
                  <m:t>δ</m:t>
                </m:r>
              </m:e>
              <m:sup>
                <m:r>
                  <w:rPr>
                    <w:rFonts w:ascii="Cambria Math" w:hAnsi="Cambria Math"/>
                    <w:color w:val="000000"/>
                  </w:rPr>
                  <m:t>15</m:t>
                </m:r>
              </m:sup>
            </m:sSup>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reference</m:t>
                </m:r>
              </m:sub>
            </m:sSub>
            <m:r>
              <w:rPr>
                <w:rFonts w:ascii="Cambria Math" w:hAnsi="Cambria Math"/>
                <w:color w:val="000000"/>
              </w:rPr>
              <m:t>-</m:t>
            </m:r>
            <m:sSup>
              <m:sSupPr>
                <m:ctrlPr>
                  <w:rPr>
                    <w:rFonts w:ascii="Cambria Math" w:hAnsi="Cambria Math"/>
                    <w:i/>
                    <w:color w:val="000000"/>
                  </w:rPr>
                </m:ctrlPr>
              </m:sSupPr>
              <m:e>
                <m:r>
                  <w:rPr>
                    <w:rFonts w:ascii="Cambria Math" w:hAnsi="Cambria Math"/>
                    <w:color w:val="000000"/>
                    <w:lang w:val="el-GR"/>
                  </w:rPr>
                  <m:t>δ</m:t>
                </m:r>
              </m:e>
              <m:sup>
                <m:r>
                  <w:rPr>
                    <w:rFonts w:ascii="Cambria Math" w:hAnsi="Cambria Math"/>
                    <w:color w:val="000000"/>
                  </w:rPr>
                  <m:t>15</m:t>
                </m:r>
              </m:sup>
            </m:sSup>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sample</m:t>
                </m:r>
              </m:sub>
            </m:sSub>
          </m:num>
          <m:den>
            <m:sSup>
              <m:sSupPr>
                <m:ctrlPr>
                  <w:rPr>
                    <w:rFonts w:ascii="Cambria Math" w:hAnsi="Cambria Math"/>
                    <w:i/>
                    <w:color w:val="000000"/>
                  </w:rPr>
                </m:ctrlPr>
              </m:sSupPr>
              <m:e>
                <m:r>
                  <w:rPr>
                    <w:rFonts w:ascii="Cambria Math" w:hAnsi="Cambria Math"/>
                    <w:color w:val="000000"/>
                    <w:lang w:val="el-GR"/>
                  </w:rPr>
                  <m:t>δ</m:t>
                </m:r>
              </m:e>
              <m:sup>
                <m:r>
                  <w:rPr>
                    <w:rFonts w:ascii="Cambria Math" w:hAnsi="Cambria Math"/>
                    <w:color w:val="000000"/>
                  </w:rPr>
                  <m:t>15</m:t>
                </m:r>
              </m:sup>
            </m:sSup>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reference</m:t>
                </m:r>
              </m:sub>
            </m:sSub>
            <m:r>
              <w:rPr>
                <w:rFonts w:ascii="Cambria Math" w:hAnsi="Cambria Math"/>
                <w:color w:val="000000"/>
              </w:rPr>
              <m:t>-B</m:t>
            </m:r>
          </m:den>
        </m:f>
      </m:oMath>
      <w:r w:rsidR="00F917B0">
        <w:rPr>
          <w:color w:val="000000"/>
        </w:rPr>
        <w:t xml:space="preserve"> </w:t>
      </w:r>
      <w:r w:rsidR="00247CFD">
        <w:rPr>
          <w:color w:val="000000"/>
        </w:rPr>
        <w:tab/>
      </w:r>
      <w:r w:rsidR="00247CFD">
        <w:rPr>
          <w:color w:val="000000"/>
        </w:rPr>
        <w:tab/>
      </w:r>
      <w:r w:rsidR="00247CFD">
        <w:rPr>
          <w:color w:val="000000"/>
        </w:rPr>
        <w:tab/>
      </w:r>
      <w:r w:rsidR="00247CFD">
        <w:rPr>
          <w:color w:val="000000"/>
        </w:rPr>
        <w:tab/>
      </w:r>
      <w:r w:rsidR="00247CFD">
        <w:rPr>
          <w:color w:val="000000"/>
        </w:rPr>
        <w:tab/>
      </w:r>
      <w:r w:rsidR="00247CFD">
        <w:rPr>
          <w:color w:val="000000"/>
        </w:rPr>
        <w:tab/>
      </w:r>
      <w:r w:rsidR="00247CFD">
        <w:rPr>
          <w:color w:val="000000"/>
        </w:rPr>
        <w:tab/>
        <w:t>(Eqn. 9)</w:t>
      </w:r>
    </w:p>
    <w:p w14:paraId="01010357" w14:textId="77777777" w:rsidR="00F917B0" w:rsidRDefault="00F917B0" w:rsidP="00BC73C6">
      <w:pPr>
        <w:autoSpaceDE w:val="0"/>
        <w:autoSpaceDN w:val="0"/>
        <w:adjustRightInd w:val="0"/>
        <w:spacing w:line="480" w:lineRule="auto"/>
        <w:rPr>
          <w:color w:val="000000"/>
        </w:rPr>
      </w:pPr>
    </w:p>
    <w:p w14:paraId="2B2F376C" w14:textId="70E7718A" w:rsidR="00A14A1D" w:rsidRDefault="00F917B0" w:rsidP="00BC73C6">
      <w:pPr>
        <w:autoSpaceDE w:val="0"/>
        <w:autoSpaceDN w:val="0"/>
        <w:adjustRightInd w:val="0"/>
        <w:spacing w:line="480" w:lineRule="auto"/>
        <w:rPr>
          <w:color w:val="000000"/>
        </w:rPr>
      </w:pPr>
      <w:r>
        <w:rPr>
          <w:color w:val="000000"/>
        </w:rPr>
        <w:t xml:space="preserve">where </w:t>
      </w:r>
      <w:r>
        <w:rPr>
          <w:color w:val="000000"/>
          <w:lang w:val="el-GR"/>
        </w:rPr>
        <w:t>δ</w:t>
      </w:r>
      <w:r>
        <w:rPr>
          <w:color w:val="000000"/>
          <w:vertAlign w:val="superscript"/>
        </w:rPr>
        <w:t>15</w:t>
      </w:r>
      <w:r>
        <w:rPr>
          <w:color w:val="000000"/>
        </w:rPr>
        <w:t>N</w:t>
      </w:r>
      <w:r>
        <w:rPr>
          <w:color w:val="000000"/>
          <w:vertAlign w:val="subscript"/>
        </w:rPr>
        <w:t>reference</w:t>
      </w:r>
      <w:r>
        <w:rPr>
          <w:color w:val="000000"/>
        </w:rPr>
        <w:t xml:space="preserve"> refers to a reference plant that</w:t>
      </w:r>
      <w:r w:rsidR="00385BDF">
        <w:rPr>
          <w:color w:val="000000"/>
        </w:rPr>
        <w:t xml:space="preserve"> exclusively</w:t>
      </w:r>
      <w:r>
        <w:rPr>
          <w:color w:val="000000"/>
        </w:rPr>
        <w:t xml:space="preserve"> acquires nutrients via </w:t>
      </w:r>
      <w:r w:rsidR="00385BDF">
        <w:rPr>
          <w:color w:val="000000"/>
        </w:rPr>
        <w:t>direct uptake</w:t>
      </w:r>
      <w:r>
        <w:rPr>
          <w:color w:val="000000"/>
        </w:rPr>
        <w:t xml:space="preserve">, </w:t>
      </w:r>
      <w:r>
        <w:rPr>
          <w:color w:val="000000"/>
          <w:lang w:val="el-GR"/>
        </w:rPr>
        <w:t>δ</w:t>
      </w:r>
      <w:r>
        <w:rPr>
          <w:color w:val="000000"/>
          <w:vertAlign w:val="superscript"/>
        </w:rPr>
        <w:t>15</w:t>
      </w:r>
      <w:r>
        <w:rPr>
          <w:color w:val="000000"/>
        </w:rPr>
        <w:t>N</w:t>
      </w:r>
      <w:r>
        <w:rPr>
          <w:color w:val="000000"/>
          <w:vertAlign w:val="subscript"/>
        </w:rPr>
        <w:t>sample</w:t>
      </w:r>
      <w:r>
        <w:rPr>
          <w:color w:val="000000"/>
        </w:rPr>
        <w:t xml:space="preserve"> refers to an individual’s leaf </w:t>
      </w:r>
      <w:r>
        <w:rPr>
          <w:color w:val="000000"/>
          <w:lang w:val="el-GR"/>
        </w:rPr>
        <w:t>δ</w:t>
      </w:r>
      <w:r>
        <w:rPr>
          <w:color w:val="000000"/>
          <w:vertAlign w:val="superscript"/>
        </w:rPr>
        <w:t>15</w:t>
      </w:r>
      <w:r>
        <w:rPr>
          <w:color w:val="000000"/>
        </w:rPr>
        <w:t>N</w:t>
      </w:r>
      <w:r w:rsidR="00AF1373">
        <w:rPr>
          <w:color w:val="000000"/>
        </w:rPr>
        <w:t xml:space="preserve">, and </w:t>
      </w:r>
      <w:r w:rsidR="00385BDF">
        <w:rPr>
          <w:color w:val="000000"/>
        </w:rPr>
        <w:t>B</w:t>
      </w:r>
      <w:r w:rsidR="00AF1373">
        <w:rPr>
          <w:color w:val="000000"/>
        </w:rPr>
        <w:t xml:space="preserve"> refers to individuals that are entirely reliant on nitrogen fixation. Within each nitrogen fertilization treatment </w:t>
      </w:r>
      <w:r w:rsidR="00A14A1D">
        <w:rPr>
          <w:color w:val="000000"/>
        </w:rPr>
        <w:t>x</w:t>
      </w:r>
      <w:r w:rsidR="00AF1373">
        <w:rPr>
          <w:color w:val="000000"/>
        </w:rPr>
        <w:t xml:space="preserve"> CO</w:t>
      </w:r>
      <w:r w:rsidR="00AF1373">
        <w:rPr>
          <w:color w:val="000000"/>
          <w:vertAlign w:val="subscript"/>
        </w:rPr>
        <w:t>2</w:t>
      </w:r>
      <w:r w:rsidR="00AF1373">
        <w:rPr>
          <w:color w:val="000000"/>
        </w:rPr>
        <w:t xml:space="preserve"> treatment combination (n=18), we calculated the mean</w:t>
      </w:r>
      <w:r w:rsidR="00AF1373" w:rsidRPr="00AF1373">
        <w:rPr>
          <w:color w:val="000000"/>
        </w:rPr>
        <w:t xml:space="preserve"> </w:t>
      </w:r>
      <w:r w:rsidR="00AF1373">
        <w:rPr>
          <w:color w:val="000000"/>
        </w:rPr>
        <w:t xml:space="preserve">leaf </w:t>
      </w:r>
      <w:r w:rsidR="00AF1373">
        <w:rPr>
          <w:color w:val="000000"/>
          <w:lang w:val="el-GR"/>
        </w:rPr>
        <w:t>δ</w:t>
      </w:r>
      <w:r w:rsidR="00AF1373">
        <w:rPr>
          <w:color w:val="000000"/>
          <w:vertAlign w:val="superscript"/>
        </w:rPr>
        <w:t>15</w:t>
      </w:r>
      <w:r w:rsidR="00AF1373">
        <w:rPr>
          <w:color w:val="000000"/>
        </w:rPr>
        <w:t xml:space="preserve">N for individuals growing in the non-inoculated treatment for </w:t>
      </w:r>
      <w:r w:rsidR="00AF1373">
        <w:rPr>
          <w:color w:val="000000"/>
          <w:lang w:val="el-GR"/>
        </w:rPr>
        <w:t>δ</w:t>
      </w:r>
      <w:r w:rsidR="00AF1373">
        <w:rPr>
          <w:color w:val="000000"/>
          <w:vertAlign w:val="superscript"/>
        </w:rPr>
        <w:t>15</w:t>
      </w:r>
      <w:r w:rsidR="00AF1373">
        <w:rPr>
          <w:color w:val="000000"/>
        </w:rPr>
        <w:t>N</w:t>
      </w:r>
      <w:r w:rsidR="00AF1373">
        <w:rPr>
          <w:color w:val="000000"/>
          <w:vertAlign w:val="subscript"/>
        </w:rPr>
        <w:t>reference</w:t>
      </w:r>
      <w:r w:rsidR="00AF1373">
        <w:rPr>
          <w:color w:val="000000"/>
        </w:rPr>
        <w:t xml:space="preserve">. Any individuals with visual confirmation of root nodule formation or nodule initiation were omitted from the calculation of </w:t>
      </w:r>
      <w:r w:rsidR="00AF1373">
        <w:rPr>
          <w:color w:val="000000"/>
          <w:lang w:val="el-GR"/>
        </w:rPr>
        <w:t>δ</w:t>
      </w:r>
      <w:r w:rsidR="00AF1373">
        <w:rPr>
          <w:color w:val="000000"/>
          <w:vertAlign w:val="superscript"/>
        </w:rPr>
        <w:t>15</w:t>
      </w:r>
      <w:r w:rsidR="00AF1373">
        <w:rPr>
          <w:color w:val="000000"/>
        </w:rPr>
        <w:t>N</w:t>
      </w:r>
      <w:r w:rsidR="00AF1373">
        <w:rPr>
          <w:color w:val="000000"/>
          <w:vertAlign w:val="subscript"/>
        </w:rPr>
        <w:t>reference</w:t>
      </w:r>
      <w:r w:rsidR="00AF1373">
        <w:rPr>
          <w:color w:val="000000"/>
        </w:rPr>
        <w:t>.</w:t>
      </w:r>
      <w:r w:rsidR="00385BDF">
        <w:rPr>
          <w:color w:val="000000"/>
        </w:rPr>
        <w:t xml:space="preserve"> Following recommendations from </w:t>
      </w:r>
      <w:r w:rsidR="00385BDF">
        <w:rPr>
          <w:color w:val="000000"/>
        </w:rPr>
        <w:fldChar w:fldCharType="begin" w:fldLock="1"/>
      </w:r>
      <w:r w:rsidR="00A14A1D">
        <w:rPr>
          <w:color w:val="000000"/>
        </w:rPr>
        <w:instrText>ADDIN CSL_CITATION {"citationItems":[{"id":"ITEM-1","itemData":{"DOI":"10.1080/17550874.2011.644343","ISSN":"17551668","abstract":"Background: Nitrogen fixation has been quantified for a range of crop legumes and actinorhizal plants under different agricultural/agroforestry conditions, but much less is known of legume and actinorhizal plant N2fixation in natural ecosystems. Aims: To assess the proportion of total plant N derived from the atmosphere via the process of N2fixation (%Ndfa) by actinorhizal and legume plants in natural ecosystems and their N input into these ecosystems as indicated by their 15N natural abundance. Methods: A comprehensive collation of published values of %Ndfa for legumes and actinorhizal plants in natural ecosystems and their N input into these ecosystems as estimated by their 15N natural abundance was carried out by searching the ISI Web of Science database using relevant key words. Results: The %Ndfa was consistently large for actinorhizal plants but very variable for legumes in natural ecosystems, and the average value for %Ndfa was substantially greater for actinorhizal plants. High soil N, in particular, but also low soil P and water content were correlated with low legume N2fixation. N input into ecosystems from N2fixation was very variable for actinorhizal and legume plants and greatly dependent on their biomass within the system. Conclusions: Measurement of 15N natural abundance has given greater understanding of where legume and actinorhizal plant N2fixation is important in natural ecosystems. Across studies, the average value for %Ndfa was substantially greater for actinorhizal plants than for legumes, and the relative abilities of the two groups of plants to utilise mineral N requires further study. © 2011 Botanical Society of Scotland and Taylor &amp; Francis.","author":[{"dropping-particle":"","family":"Andrews","given":"Mitchell","non-dropping-particle":"","parse-names":false,"suffix":""},{"dropping-particle":"","family":"James","given":"Euan K","non-dropping-particle":"","parse-names":false,"suffix":""},{"dropping-particle":"","family":"Sprent","given":"Janet I","non-dropping-particle":"","parse-names":false,"suffix":""},{"dropping-particle":"","family":"Boddey","given":"Robert M","non-dropping-particle":"","parse-names":false,"suffix":""},{"dropping-particle":"","family":"Gross","given":"Eduardo","non-dropping-particle":"","parse-names":false,"suffix":""},{"dropping-particle":"","family":"Reis","given":"Fabio Bueno","non-dropping-particle":"dos","parse-names":false,"suffix":""}],"container-title":"Plant Ecology and Diversity","id":"ITEM-1","issue":"2-3","issued":{"date-parts":[["2011"]]},"page":"117-130","title":"Nitrogen fixation in legumes and actinorhizal plants in natural ecosystems: Values obtained using 15N natural abundance","type":"article-journal","volume":"4"},"uris":["http://www.mendeley.com/documents/?uuid=b28a4f31-9653-4a96-b5f8-75bd088e83d1"]}],"mendeley":{"formattedCitation":"(Andrews et al., 2011)","manualFormatting":"Andrews et al. (2011)","plainTextFormattedCitation":"(Andrews et al., 2011)","previouslyFormattedCitation":"(Andrews et al., 2011)"},"properties":{"noteIndex":0},"schema":"https://github.com/citation-style-language/schema/raw/master/csl-citation.json"}</w:instrText>
      </w:r>
      <w:r w:rsidR="00385BDF">
        <w:rPr>
          <w:color w:val="000000"/>
        </w:rPr>
        <w:fldChar w:fldCharType="separate"/>
      </w:r>
      <w:r w:rsidR="00385BDF" w:rsidRPr="00385BDF">
        <w:rPr>
          <w:noProof/>
          <w:color w:val="000000"/>
        </w:rPr>
        <w:t xml:space="preserve">Andrews et al. </w:t>
      </w:r>
      <w:r w:rsidR="00385BDF">
        <w:rPr>
          <w:noProof/>
          <w:color w:val="000000"/>
        </w:rPr>
        <w:t>(</w:t>
      </w:r>
      <w:r w:rsidR="00385BDF" w:rsidRPr="00385BDF">
        <w:rPr>
          <w:noProof/>
          <w:color w:val="000000"/>
        </w:rPr>
        <w:t>2011)</w:t>
      </w:r>
      <w:r w:rsidR="00385BDF">
        <w:rPr>
          <w:color w:val="000000"/>
        </w:rPr>
        <w:fldChar w:fldCharType="end"/>
      </w:r>
      <w:r w:rsidR="00385BDF">
        <w:rPr>
          <w:color w:val="000000"/>
        </w:rPr>
        <w:t xml:space="preserve"> we calculated B within each CO</w:t>
      </w:r>
      <w:r w:rsidR="00385BDF">
        <w:rPr>
          <w:color w:val="000000"/>
          <w:vertAlign w:val="subscript"/>
        </w:rPr>
        <w:t>2</w:t>
      </w:r>
      <w:r w:rsidR="00385BDF">
        <w:rPr>
          <w:color w:val="000000"/>
        </w:rPr>
        <w:t xml:space="preserve"> treatment by calculating the mean leaf </w:t>
      </w:r>
      <w:r w:rsidR="00385BDF">
        <w:rPr>
          <w:color w:val="000000"/>
          <w:lang w:val="el-GR"/>
        </w:rPr>
        <w:t>δ</w:t>
      </w:r>
      <w:r w:rsidR="00385BDF">
        <w:rPr>
          <w:color w:val="000000"/>
          <w:vertAlign w:val="superscript"/>
        </w:rPr>
        <w:t>15</w:t>
      </w:r>
      <w:r w:rsidR="00385BDF">
        <w:rPr>
          <w:color w:val="000000"/>
        </w:rPr>
        <w:t>N of inoculated individuals that formed nodules</w:t>
      </w:r>
      <w:r w:rsidR="00A14A1D">
        <w:rPr>
          <w:color w:val="000000"/>
        </w:rPr>
        <w:t>. We did not calculate B within each unique soil nitrogen x CO</w:t>
      </w:r>
      <w:r w:rsidR="00A14A1D">
        <w:rPr>
          <w:color w:val="000000"/>
          <w:vertAlign w:val="subscript"/>
        </w:rPr>
        <w:t>2</w:t>
      </w:r>
      <w:r w:rsidR="00A14A1D">
        <w:rPr>
          <w:color w:val="000000"/>
        </w:rPr>
        <w:t xml:space="preserve"> treatment combination, as previous studies suggest decreased reliance on nitrogen fixation with increasing soil nitrogen availability </w:t>
      </w:r>
      <w:r w:rsidR="00A14A1D">
        <w:rPr>
          <w:color w:val="000000"/>
        </w:rPr>
        <w:fldChar w:fldCharType="begin" w:fldLock="1"/>
      </w:r>
      <w:r w:rsidR="00616ADB">
        <w:rPr>
          <w:color w:val="000000"/>
        </w:rPr>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strategies","type":"article-journal","volume":"72"},"uris":["http://www.mendeley.com/documents/?uuid=233b0f00-9a30-4c3a-a2bb-5e67ae9c0e5f"]}],"mendeley":{"formattedCitation":"(Perkowski et al., 2021)","plainTextFormattedCitation":"(Perkowski et al., 2021)","previouslyFormattedCitation":"(Perkowski et al., 2021)"},"properties":{"noteIndex":0},"schema":"https://github.com/citation-style-language/schema/raw/master/csl-citation.json"}</w:instrText>
      </w:r>
      <w:r w:rsidR="00A14A1D">
        <w:rPr>
          <w:color w:val="000000"/>
        </w:rPr>
        <w:fldChar w:fldCharType="separate"/>
      </w:r>
      <w:r w:rsidR="00A14A1D" w:rsidRPr="00A14A1D">
        <w:rPr>
          <w:noProof/>
          <w:color w:val="000000"/>
        </w:rPr>
        <w:t>(Perkowski et al., 2021)</w:t>
      </w:r>
      <w:r w:rsidR="00A14A1D">
        <w:rPr>
          <w:color w:val="000000"/>
        </w:rPr>
        <w:fldChar w:fldCharType="end"/>
      </w:r>
      <w:r w:rsidR="00A14A1D">
        <w:rPr>
          <w:color w:val="000000"/>
        </w:rPr>
        <w:t xml:space="preserve">. This approach for estimating nitrogen fixation standardizes values such that approaching 1 indicates </w:t>
      </w:r>
      <w:r w:rsidR="00A14A1D">
        <w:rPr>
          <w:color w:val="000000"/>
        </w:rPr>
        <w:lastRenderedPageBreak/>
        <w:t>increasing reliance on nitrogen fixation, while values that approach 0 indicate decreasing reliance on nitrogen fixation.</w:t>
      </w:r>
    </w:p>
    <w:p w14:paraId="6EA69257" w14:textId="0748FCF5" w:rsidR="00BC73C6" w:rsidRDefault="00BC73C6" w:rsidP="00BC73C6">
      <w:pPr>
        <w:autoSpaceDE w:val="0"/>
        <w:autoSpaceDN w:val="0"/>
        <w:adjustRightInd w:val="0"/>
        <w:spacing w:line="480" w:lineRule="auto"/>
        <w:rPr>
          <w:color w:val="000000"/>
        </w:rPr>
      </w:pPr>
    </w:p>
    <w:p w14:paraId="161D0578" w14:textId="280FBEC7" w:rsidR="00BC73C6" w:rsidRDefault="00BC73C6" w:rsidP="00BC73C6">
      <w:pPr>
        <w:autoSpaceDE w:val="0"/>
        <w:autoSpaceDN w:val="0"/>
        <w:adjustRightInd w:val="0"/>
        <w:spacing w:line="480" w:lineRule="auto"/>
        <w:rPr>
          <w:color w:val="000000"/>
        </w:rPr>
      </w:pPr>
      <w:r>
        <w:rPr>
          <w:i/>
          <w:iCs/>
          <w:color w:val="000000"/>
        </w:rPr>
        <w:t>Statistical analyses</w:t>
      </w:r>
    </w:p>
    <w:p w14:paraId="030C3DFA" w14:textId="496838A8" w:rsidR="00A765F4" w:rsidRDefault="00A765F4" w:rsidP="00A63B5B">
      <w:pPr>
        <w:autoSpaceDE w:val="0"/>
        <w:autoSpaceDN w:val="0"/>
        <w:adjustRightInd w:val="0"/>
        <w:spacing w:line="480" w:lineRule="auto"/>
        <w:ind w:firstLine="720"/>
      </w:pPr>
      <w:r>
        <w:t xml:space="preserve">We built a series of linear </w:t>
      </w:r>
      <w:r w:rsidR="00242D25">
        <w:t xml:space="preserve">multiple regression </w:t>
      </w:r>
      <w:r>
        <w:t>models to investigate the impacts of atmospheric CO</w:t>
      </w:r>
      <w:r>
        <w:rPr>
          <w:vertAlign w:val="subscript"/>
        </w:rPr>
        <w:t>2</w:t>
      </w:r>
      <w:r>
        <w:t xml:space="preserve">, soil nitrogen fertilization, and inoculation with </w:t>
      </w:r>
      <w:r>
        <w:rPr>
          <w:i/>
          <w:iCs/>
        </w:rPr>
        <w:t>B. japonicum</w:t>
      </w:r>
      <w:r>
        <w:t xml:space="preserve"> on </w:t>
      </w:r>
      <w:r w:rsidRPr="00926F7B">
        <w:rPr>
          <w:i/>
          <w:iCs/>
        </w:rPr>
        <w:t>G. max</w:t>
      </w:r>
      <w:r>
        <w:t xml:space="preserve"> </w:t>
      </w:r>
      <w:r w:rsidRPr="00926F7B">
        <w:t>leaf</w:t>
      </w:r>
      <w:r>
        <w:t xml:space="preserve"> photosynthesis, tradeoffs between nitrogen and water use, whole plant growth, and reliance on nitrogen fixation. </w:t>
      </w:r>
      <w:r w:rsidR="00242D25">
        <w:t>All models included CO</w:t>
      </w:r>
      <w:r w:rsidR="00242D25">
        <w:rPr>
          <w:vertAlign w:val="subscript"/>
        </w:rPr>
        <w:t>2</w:t>
      </w:r>
      <w:r w:rsidR="00242D25">
        <w:t xml:space="preserve"> treatment as a categorical coefficient, inoculation as a categorical coefficient, nitrogen fertilization as a continuous coefficient. Models also included interaction terms between all three fixed effects. </w:t>
      </w:r>
      <w:r>
        <w:t xml:space="preserve">Models with this independent structure were created for each of the following dependent variables: </w:t>
      </w:r>
      <w:proofErr w:type="spellStart"/>
      <w:r w:rsidR="005B0115">
        <w:rPr>
          <w:i/>
          <w:iCs/>
        </w:rPr>
        <w:t>N</w:t>
      </w:r>
      <w:r w:rsidR="005B0115">
        <w:rPr>
          <w:vertAlign w:val="subscript"/>
        </w:rPr>
        <w:t>area</w:t>
      </w:r>
      <w:proofErr w:type="spellEnd"/>
      <w:r w:rsidR="005B0115">
        <w:t xml:space="preserve">, </w:t>
      </w:r>
      <w:r w:rsidR="005B0115">
        <w:rPr>
          <w:i/>
          <w:iCs/>
        </w:rPr>
        <w:t>SLA</w:t>
      </w:r>
      <w:r w:rsidR="005B0115">
        <w:t xml:space="preserve">, </w:t>
      </w:r>
      <w:proofErr w:type="spellStart"/>
      <w:r w:rsidR="005B0115">
        <w:rPr>
          <w:i/>
          <w:iCs/>
        </w:rPr>
        <w:t>N</w:t>
      </w:r>
      <w:r w:rsidR="005B0115">
        <w:rPr>
          <w:vertAlign w:val="subscript"/>
        </w:rPr>
        <w:t>mass</w:t>
      </w:r>
      <w:proofErr w:type="spellEnd"/>
      <w:r w:rsidR="005B0115">
        <w:t xml:space="preserve">, </w:t>
      </w:r>
      <w:proofErr w:type="spellStart"/>
      <w:r w:rsidR="005B0115">
        <w:rPr>
          <w:i/>
          <w:iCs/>
        </w:rPr>
        <w:t>A</w:t>
      </w:r>
      <w:r w:rsidR="005B0115">
        <w:rPr>
          <w:vertAlign w:val="subscript"/>
        </w:rPr>
        <w:t>net</w:t>
      </w:r>
      <w:proofErr w:type="spellEnd"/>
      <w:r w:rsidR="005B0115">
        <w:t xml:space="preserve">, </w:t>
      </w:r>
      <w:r w:rsidR="005B0115">
        <w:rPr>
          <w:i/>
          <w:iCs/>
        </w:rPr>
        <w:t>V</w:t>
      </w:r>
      <w:r w:rsidR="005B0115">
        <w:rPr>
          <w:vertAlign w:val="subscript"/>
        </w:rPr>
        <w:t>cmax25</w:t>
      </w:r>
      <w:r w:rsidR="005B0115">
        <w:t xml:space="preserve">, </w:t>
      </w:r>
      <w:r w:rsidR="005B0115">
        <w:rPr>
          <w:i/>
          <w:iCs/>
        </w:rPr>
        <w:t>J</w:t>
      </w:r>
      <w:r w:rsidR="005B0115">
        <w:rPr>
          <w:vertAlign w:val="subscript"/>
        </w:rPr>
        <w:t>max25</w:t>
      </w:r>
      <w:r w:rsidR="005B0115">
        <w:t xml:space="preserve">, </w:t>
      </w:r>
      <w:r w:rsidR="005B0115">
        <w:rPr>
          <w:i/>
          <w:iCs/>
        </w:rPr>
        <w:t>J</w:t>
      </w:r>
      <w:r w:rsidR="005B0115">
        <w:rPr>
          <w:vertAlign w:val="subscript"/>
        </w:rPr>
        <w:t>max25</w:t>
      </w:r>
      <w:r w:rsidR="005B0115">
        <w:t>:</w:t>
      </w:r>
      <w:r w:rsidR="005B0115">
        <w:rPr>
          <w:i/>
          <w:iCs/>
        </w:rPr>
        <w:t>V</w:t>
      </w:r>
      <w:r w:rsidR="005B0115">
        <w:rPr>
          <w:vertAlign w:val="subscript"/>
        </w:rPr>
        <w:t>cmax25</w:t>
      </w:r>
      <w:r w:rsidR="005B0115">
        <w:t xml:space="preserve">, </w:t>
      </w:r>
      <w:r w:rsidR="005B0115">
        <w:rPr>
          <w:i/>
          <w:iCs/>
        </w:rPr>
        <w:t>R</w:t>
      </w:r>
      <w:r w:rsidR="005B0115">
        <w:rPr>
          <w:vertAlign w:val="subscript"/>
        </w:rPr>
        <w:t>d25</w:t>
      </w:r>
      <w:r w:rsidR="005B0115">
        <w:t xml:space="preserve">, </w:t>
      </w:r>
      <w:r w:rsidR="005B0115">
        <w:rPr>
          <w:i/>
          <w:iCs/>
        </w:rPr>
        <w:t>R</w:t>
      </w:r>
      <w:r w:rsidR="005B0115">
        <w:rPr>
          <w:vertAlign w:val="subscript"/>
        </w:rPr>
        <w:t>d25</w:t>
      </w:r>
      <w:r w:rsidR="005B0115">
        <w:t>:</w:t>
      </w:r>
      <w:r w:rsidR="005B0115">
        <w:rPr>
          <w:i/>
          <w:iCs/>
        </w:rPr>
        <w:t>V</w:t>
      </w:r>
      <w:r w:rsidR="005B0115">
        <w:rPr>
          <w:vertAlign w:val="subscript"/>
        </w:rPr>
        <w:t>cmax25</w:t>
      </w:r>
      <w:r w:rsidR="005B0115">
        <w:t>,</w:t>
      </w:r>
      <w:r w:rsidR="005B0115" w:rsidRPr="00805B20">
        <w:rPr>
          <w:i/>
          <w:iCs/>
        </w:rPr>
        <w:t xml:space="preserve"> </w:t>
      </w:r>
      <w:r w:rsidR="005B0115">
        <w:t>total leaf area, whole plant biomass,</w:t>
      </w:r>
      <w:r w:rsidR="005B0115">
        <w:rPr>
          <w:i/>
          <w:iCs/>
        </w:rPr>
        <w:t xml:space="preserve"> </w:t>
      </w:r>
      <w:proofErr w:type="spellStart"/>
      <w:r w:rsidR="005B0115" w:rsidRPr="00A55A19">
        <w:rPr>
          <w:i/>
          <w:iCs/>
        </w:rPr>
        <w:t>g</w:t>
      </w:r>
      <w:r w:rsidR="005B0115">
        <w:rPr>
          <w:vertAlign w:val="subscript"/>
        </w:rPr>
        <w:t>s</w:t>
      </w:r>
      <w:proofErr w:type="spellEnd"/>
      <w:r w:rsidR="005B0115">
        <w:t xml:space="preserve">, </w:t>
      </w:r>
      <w:r w:rsidR="00247CFD">
        <w:rPr>
          <w:lang w:val="el-GR"/>
        </w:rPr>
        <w:t>χ</w:t>
      </w:r>
      <w:r w:rsidR="005B0115">
        <w:t xml:space="preserve">, </w:t>
      </w:r>
      <w:r w:rsidR="005B0115" w:rsidRPr="00F45847">
        <w:rPr>
          <w:i/>
          <w:iCs/>
        </w:rPr>
        <w:t>PNUE</w:t>
      </w:r>
      <w:r w:rsidR="005B0115">
        <w:t xml:space="preserve">, </w:t>
      </w:r>
      <w:proofErr w:type="spellStart"/>
      <w:r w:rsidR="005B0115" w:rsidRPr="00F45847">
        <w:rPr>
          <w:i/>
          <w:iCs/>
        </w:rPr>
        <w:t>iWUE</w:t>
      </w:r>
      <w:proofErr w:type="spellEnd"/>
      <w:r w:rsidR="005B0115">
        <w:t xml:space="preserve">, </w:t>
      </w:r>
      <w:proofErr w:type="spellStart"/>
      <w:r w:rsidR="005B0115">
        <w:rPr>
          <w:i/>
          <w:iCs/>
        </w:rPr>
        <w:t>N</w:t>
      </w:r>
      <w:r w:rsidR="005B0115">
        <w:rPr>
          <w:vertAlign w:val="subscript"/>
        </w:rPr>
        <w:t>area</w:t>
      </w:r>
      <w:r w:rsidR="005B0115">
        <w:t>:</w:t>
      </w:r>
      <w:r w:rsidR="005B0115" w:rsidRPr="00A55A19">
        <w:rPr>
          <w:i/>
          <w:iCs/>
        </w:rPr>
        <w:t>g</w:t>
      </w:r>
      <w:r w:rsidR="005B0115">
        <w:rPr>
          <w:vertAlign w:val="subscript"/>
        </w:rPr>
        <w:t>s</w:t>
      </w:r>
      <w:proofErr w:type="spellEnd"/>
      <w:r w:rsidR="005B0115">
        <w:t xml:space="preserve">, </w:t>
      </w:r>
      <w:proofErr w:type="spellStart"/>
      <w:r w:rsidR="005B0115">
        <w:rPr>
          <w:i/>
          <w:iCs/>
        </w:rPr>
        <w:t>V</w:t>
      </w:r>
      <w:r w:rsidR="005B0115">
        <w:rPr>
          <w:vertAlign w:val="subscript"/>
        </w:rPr>
        <w:t>cmax</w:t>
      </w:r>
      <w:r w:rsidR="005B0115">
        <w:t>:</w:t>
      </w:r>
      <w:r w:rsidR="005B0115">
        <w:rPr>
          <w:i/>
          <w:iCs/>
        </w:rPr>
        <w:t>g</w:t>
      </w:r>
      <w:r w:rsidR="005B0115">
        <w:rPr>
          <w:vertAlign w:val="subscript"/>
        </w:rPr>
        <w:t>s</w:t>
      </w:r>
      <w:proofErr w:type="spellEnd"/>
      <w:r w:rsidR="005B0115">
        <w:t>, structural carbon costs to acquire nitrogen, belowground carbon biomass, whole plant nitrogen biomass, total biomass, total leaf area,</w:t>
      </w:r>
      <w:r w:rsidR="005B0115" w:rsidRPr="00AD6759">
        <w:t xml:space="preserve"> </w:t>
      </w:r>
      <w:r w:rsidR="005B0115">
        <w:t>root nodule biomass: root biomass, root nodule biomass, root biomass, and %N from the atmosphere.</w:t>
      </w:r>
    </w:p>
    <w:p w14:paraId="5971C827" w14:textId="0DF06008" w:rsidR="005B0115" w:rsidRPr="00DF652A" w:rsidRDefault="005B0115" w:rsidP="005B0115">
      <w:pPr>
        <w:spacing w:line="480" w:lineRule="auto"/>
        <w:ind w:firstLine="720"/>
      </w:pPr>
      <w:r>
        <w:t xml:space="preserve">We used Shapiro-Wilk tests of normality to determine whether linear mixed-effects models satisfied residual normality assumptions. All models satisfied residual normality assumptions except </w:t>
      </w:r>
      <w:r w:rsidR="00247CFD" w:rsidRPr="00247CFD">
        <w:rPr>
          <w:highlight w:val="yellow"/>
        </w:rPr>
        <w:t>[add traits here]</w:t>
      </w:r>
      <w:r>
        <w:t xml:space="preserve"> (Shapiro-Wilk: p&lt;0.05 in all cases). We attempted to satisfy residual normality assumptions for these dependent variables by first fitting models using dependent variables that were natural log transformed. If residual normality assumptions were still not met after a natural-log transformation (Shapiro-Wilk: p&lt;0.05), then models were fit using dependent variables that were square root transformed. All residual normality assumptions were met with either a natural log or square root data transformation (Shapiro-Wilk: p&gt;0.05 in all </w:t>
      </w:r>
      <w:r>
        <w:lastRenderedPageBreak/>
        <w:t>cases</w:t>
      </w:r>
      <w:r w:rsidRPr="00166B47">
        <w:t>). Specifically, we natural log transformed</w:t>
      </w:r>
      <w:r w:rsidR="00247CFD">
        <w:rPr>
          <w:i/>
          <w:iCs/>
        </w:rPr>
        <w:t xml:space="preserve"> </w:t>
      </w:r>
      <w:r w:rsidR="00247CFD" w:rsidRPr="00247CFD">
        <w:rPr>
          <w:highlight w:val="yellow"/>
        </w:rPr>
        <w:t>[add traits here]</w:t>
      </w:r>
      <w:r w:rsidR="00247CFD">
        <w:t xml:space="preserve"> and square root transformed </w:t>
      </w:r>
      <w:r w:rsidR="00247CFD" w:rsidRPr="00247CFD">
        <w:rPr>
          <w:highlight w:val="yellow"/>
        </w:rPr>
        <w:t>[add traits here]</w:t>
      </w:r>
      <w:r w:rsidRPr="00166B47">
        <w:t>.</w:t>
      </w:r>
    </w:p>
    <w:p w14:paraId="252D01F6" w14:textId="098DFC44" w:rsidR="00E60BAC" w:rsidRDefault="005B0115" w:rsidP="005B0115">
      <w:pPr>
        <w:spacing w:line="480" w:lineRule="auto"/>
        <w:ind w:firstLine="720"/>
        <w:rPr>
          <w:bCs/>
          <w:sz w:val="22"/>
          <w:szCs w:val="22"/>
        </w:rPr>
      </w:pPr>
      <w:r>
        <w:t>In all statistical models, w</w:t>
      </w:r>
      <w:r w:rsidRPr="00863849">
        <w:t>e used the '</w:t>
      </w:r>
      <w:proofErr w:type="spellStart"/>
      <w:r w:rsidRPr="00863849">
        <w:t>lmer</w:t>
      </w:r>
      <w:proofErr w:type="spellEnd"/>
      <w:r w:rsidRPr="00863849">
        <w:t xml:space="preserve">' function in the 'lme4' R package </w:t>
      </w:r>
      <w:r w:rsidRPr="00863849">
        <w:fldChar w:fldCharType="begin" w:fldLock="1"/>
      </w:r>
      <w:r>
        <w:instrText>ADDIN CSL_CITATION {"citationItems":[{"id":"ITEM-1","itemData":{"DOI":"10.18637/jss.v067.i01","ISSN":"1548-7660","abstract":"Maximum likelihood or restricted maximum likelihood (REML) estimates of the pa- 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 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Journal of Statistical Software","id":"ITEM-1","issue":"1","issued":{"date-parts":[["2015"]]},"page":"1-48","title":"Fitting linear mixed-effects models using lme4","type":"article-journal","volume":"67"},"uris":["http://www.mendeley.com/documents/?uuid=f767e28f-55eb-4f77-816b-8c8474093c4e"]}],"mendeley":{"formattedCitation":"(Bates et al., 2015)","plainTextFormattedCitation":"(Bates et al., 2015)","previouslyFormattedCitation":"(Bates et al., 2015)"},"properties":{"noteIndex":0},"schema":"https://github.com/citation-style-language/schema/raw/master/csl-citation.json"}</w:instrText>
      </w:r>
      <w:r w:rsidRPr="00863849">
        <w:fldChar w:fldCharType="separate"/>
      </w:r>
      <w:r w:rsidRPr="001B21C7">
        <w:rPr>
          <w:noProof/>
        </w:rPr>
        <w:t>(Bates et al., 2015)</w:t>
      </w:r>
      <w:r w:rsidRPr="00863849">
        <w:fldChar w:fldCharType="end"/>
      </w:r>
      <w:r w:rsidRPr="00863849">
        <w:t xml:space="preserve"> to fit each model and the '</w:t>
      </w:r>
      <w:proofErr w:type="spellStart"/>
      <w:r w:rsidRPr="00863849">
        <w:t>Anova</w:t>
      </w:r>
      <w:proofErr w:type="spellEnd"/>
      <w:r w:rsidRPr="00863849">
        <w:t xml:space="preserve">' function in the 'car' R package </w:t>
      </w:r>
      <w:r w:rsidRPr="00863849">
        <w:fldChar w:fldCharType="begin" w:fldLock="1"/>
      </w:r>
      <w:r>
        <w:instrText>ADDIN CSL_CITATION {"citationItems":[{"id":"ITEM-1","itemData":{"author":[{"dropping-particle":"","family":"Fox","given":"John","non-dropping-particle":"","parse-names":false,"suffix":""},{"dropping-particle":"","family":"Weisberg","given":"Sanford","non-dropping-particle":"","parse-names":false,"suffix":""}],"edition":"Third edit","id":"ITEM-1","issued":{"date-parts":[["2019"]]},"publisher":"Sage","publisher-place":"Thousand Oaks, California","title":"An R companion to applied regression","type":"book"},"uris":["http://www.mendeley.com/documents/?uuid=98b582d2-93ad-46f6-98d2-ede9c11c6d15"]}],"mendeley":{"formattedCitation":"(Fox &amp; Weisberg, 2019)","plainTextFormattedCitation":"(Fox &amp; Weisberg, 2019)","previouslyFormattedCitation":"(Fox &amp; Weisberg, 2019)"},"properties":{"noteIndex":0},"schema":"https://github.com/citation-style-language/schema/raw/master/csl-citation.json"}</w:instrText>
      </w:r>
      <w:r w:rsidRPr="00863849">
        <w:fldChar w:fldCharType="separate"/>
      </w:r>
      <w:r w:rsidRPr="007C0C43">
        <w:rPr>
          <w:noProof/>
        </w:rPr>
        <w:t>(Fox &amp; Weisberg, 2019)</w:t>
      </w:r>
      <w:r w:rsidRPr="00863849">
        <w:fldChar w:fldCharType="end"/>
      </w:r>
      <w:r w:rsidRPr="00863849">
        <w:t xml:space="preserve"> to calculate</w:t>
      </w:r>
      <w:r>
        <w:t xml:space="preserve"> Type II</w:t>
      </w:r>
      <w:r w:rsidRPr="00863849">
        <w:t xml:space="preserve"> Wald's χ</w:t>
      </w:r>
      <w:r w:rsidRPr="00863849">
        <w:rPr>
          <w:vertAlign w:val="superscript"/>
        </w:rPr>
        <w:t>2</w:t>
      </w:r>
      <w:r w:rsidRPr="00863849">
        <w:t xml:space="preserve"> and determine the significance (α=0.05) of each fixed effect coefficient.</w:t>
      </w:r>
      <w:r>
        <w:t xml:space="preserve"> W</w:t>
      </w:r>
      <w:r w:rsidRPr="00863849">
        <w:t>e</w:t>
      </w:r>
      <w:r>
        <w:t xml:space="preserve"> then</w:t>
      </w:r>
      <w:r w:rsidRPr="00863849">
        <w:t xml:space="preserve"> used the 'emmeans' R package </w:t>
      </w:r>
      <w:r w:rsidRPr="00863849">
        <w:fldChar w:fldCharType="begin" w:fldLock="1"/>
      </w:r>
      <w:r w:rsidRPr="00863849">
        <w:instrText>ADDIN CSL_CITATION {"citationItems":[{"id":"ITEM-1","itemData":{"author":[{"dropping-particle":"","family":"Lenth","given":"Russell","non-dropping-particle":"","parse-names":false,"suffix":""}],"id":"ITEM-1","issued":{"date-parts":[["2019"]]},"title":"emmeans: estimated marginal means, aka least-squares means","type":"article"},"uris":["http://www.mendeley.com/documents/?uuid=2f4fc7f4-f350-4d86-b210-f111a74f7704"]}],"mendeley":{"formattedCitation":"(Lenth, 2019)","plainTextFormattedCitation":"(Lenth, 2019)","previouslyFormattedCitation":"(Lenth, 2019)"},"properties":{"noteIndex":0},"schema":"https://github.com/citation-style-language/schema/raw/master/csl-citation.json"}</w:instrText>
      </w:r>
      <w:r w:rsidRPr="00863849">
        <w:fldChar w:fldCharType="separate"/>
      </w:r>
      <w:r w:rsidRPr="00863849">
        <w:rPr>
          <w:noProof/>
        </w:rPr>
        <w:t>(Lenth, 2019)</w:t>
      </w:r>
      <w:r w:rsidRPr="00863849">
        <w:fldChar w:fldCharType="end"/>
      </w:r>
      <w:r w:rsidRPr="00863849">
        <w:t xml:space="preserve"> to conduct post-hoc comparisons using Tukey's tests</w:t>
      </w:r>
      <w:r>
        <w:t xml:space="preserve">, where degrees of freedom were approximated using the Kenward-Roger approach </w:t>
      </w:r>
      <w:r>
        <w:fldChar w:fldCharType="begin" w:fldLock="1"/>
      </w:r>
      <w:r>
        <w:instrText>ADDIN CSL_CITATION {"citationItems":[{"id":"ITEM-1","itemData":{"DOI":"10.2307/2533558","ISSN":"0006341X","author":[{"dropping-particle":"","family":"Kenward","given":"Michael G","non-dropping-particle":"","parse-names":false,"suffix":""},{"dropping-particle":"","family":"Roger","given":"James H","non-dropping-particle":"","parse-names":false,"suffix":""}],"container-title":"Biometrics","id":"ITEM-1","issue":"3","issued":{"date-parts":[["1997","9"]]},"page":"983","title":"Small sample inference for fixed effects from restricted maximum likelihood","type":"article-journal","volume":"53"},"uris":["http://www.mendeley.com/documents/?uuid=04f42785-fd4a-4d10-b732-f053f063390e"]}],"mendeley":{"formattedCitation":"(Kenward &amp; Roger, 1997)","plainTextFormattedCitation":"(Kenward &amp; Roger, 1997)","previouslyFormattedCitation":"(Kenward &amp; Roger, 1997)"},"properties":{"noteIndex":0},"schema":"https://github.com/citation-style-language/schema/raw/master/csl-citation.json"}</w:instrText>
      </w:r>
      <w:r>
        <w:fldChar w:fldCharType="separate"/>
      </w:r>
      <w:r w:rsidRPr="007C0C43">
        <w:rPr>
          <w:noProof/>
        </w:rPr>
        <w:t>(Kenward &amp; Roger, 1997)</w:t>
      </w:r>
      <w:r>
        <w:fldChar w:fldCharType="end"/>
      </w:r>
      <w:r>
        <w:t xml:space="preserve">. </w:t>
      </w:r>
      <w:r w:rsidRPr="00863849">
        <w:t xml:space="preserve">All analyses and plots were conducted in R version </w:t>
      </w:r>
      <w:r>
        <w:t xml:space="preserve">4.2.0 </w:t>
      </w:r>
      <w:r>
        <w:fldChar w:fldCharType="begin" w:fldLock="1"/>
      </w:r>
      <w:r>
        <w:instrText>ADDIN CSL_CITATION {"citationItems":[{"id":"ITEM-1","itemData":{"author":[{"dropping-particle":"","family":"R Core Team","given":"","non-dropping-particle":"","parse-names":false,"suffix":""}],"id":"ITEM-1","issued":{"date-parts":[["2021"]]},"number":"4.1.1","publisher":"R Foundation for Statistical Computing","publisher-place":"Vienna, Austria","title":"R: A language and environment for statistical computing","type":"article"},"uris":["http://www.mendeley.com/documents/?uuid=9df2246d-8bff-4e78-8053-1da2f14fc848"]}],"mendeley":{"formattedCitation":"(R Core Team, 2021)","plainTextFormattedCitation":"(R Core Team, 2021)","previouslyFormattedCitation":"(R Core Team, 2021)"},"properties":{"noteIndex":0},"schema":"https://github.com/citation-style-language/schema/raw/master/csl-citation.json"}</w:instrText>
      </w:r>
      <w:r>
        <w:fldChar w:fldCharType="separate"/>
      </w:r>
      <w:r w:rsidRPr="00430044">
        <w:rPr>
          <w:noProof/>
        </w:rPr>
        <w:t>(R Core Team, 2021)</w:t>
      </w:r>
      <w:r>
        <w:fldChar w:fldCharType="end"/>
      </w:r>
      <w:r>
        <w:t>.</w:t>
      </w:r>
    </w:p>
    <w:p w14:paraId="056CB1EC" w14:textId="35F262C8" w:rsidR="00E60BAC" w:rsidRDefault="00E60BAC" w:rsidP="005B0115">
      <w:pPr>
        <w:spacing w:line="480" w:lineRule="auto"/>
        <w:rPr>
          <w:bCs/>
          <w:sz w:val="22"/>
          <w:szCs w:val="22"/>
        </w:rPr>
      </w:pPr>
      <w:r>
        <w:rPr>
          <w:bCs/>
          <w:sz w:val="22"/>
          <w:szCs w:val="22"/>
        </w:rPr>
        <w:br w:type="page"/>
      </w:r>
    </w:p>
    <w:p w14:paraId="4461AA25" w14:textId="623211DD" w:rsidR="00E60BAC" w:rsidRDefault="00E60BAC" w:rsidP="00E60BAC">
      <w:pPr>
        <w:rPr>
          <w:b/>
          <w:bCs/>
        </w:rPr>
      </w:pPr>
      <w:r w:rsidRPr="00E60BAC">
        <w:rPr>
          <w:b/>
          <w:bCs/>
        </w:rPr>
        <w:lastRenderedPageBreak/>
        <w:t>References</w:t>
      </w:r>
    </w:p>
    <w:p w14:paraId="6E801A35" w14:textId="70A51E89" w:rsidR="00B01F60" w:rsidRPr="00B01F60" w:rsidRDefault="00E60BAC" w:rsidP="00B01F60">
      <w:pPr>
        <w:widowControl w:val="0"/>
        <w:autoSpaceDE w:val="0"/>
        <w:autoSpaceDN w:val="0"/>
        <w:adjustRightInd w:val="0"/>
        <w:ind w:left="480" w:hanging="480"/>
        <w:rPr>
          <w:noProof/>
        </w:rPr>
      </w:pPr>
      <w:r>
        <w:rPr>
          <w:b/>
          <w:bCs/>
        </w:rPr>
        <w:fldChar w:fldCharType="begin" w:fldLock="1"/>
      </w:r>
      <w:r>
        <w:rPr>
          <w:b/>
          <w:bCs/>
        </w:rPr>
        <w:instrText xml:space="preserve">ADDIN Mendeley Bibliography CSL_BIBLIOGRAPHY </w:instrText>
      </w:r>
      <w:r>
        <w:rPr>
          <w:b/>
          <w:bCs/>
        </w:rPr>
        <w:fldChar w:fldCharType="separate"/>
      </w:r>
      <w:r w:rsidR="00B01F60" w:rsidRPr="00B01F60">
        <w:rPr>
          <w:noProof/>
        </w:rPr>
        <w:t xml:space="preserve">Ainsworth, E. A., Davey, P. A., Bernacchi, C. J., Dermody, O. C., Heaton, E. A., Moore, D. J., Morgan, P. B., Naidu, S. L., Ra, H. S. Y., Zhu, X. G., Curtis, P. S., &amp; Long, S. P. (2002). A meta-analysis of elevated [CO2] effects on soybean (Glycine max) physiology, growth and yield. </w:t>
      </w:r>
      <w:r w:rsidR="00B01F60" w:rsidRPr="00B01F60">
        <w:rPr>
          <w:i/>
          <w:iCs/>
          <w:noProof/>
        </w:rPr>
        <w:t>Global Change Biology</w:t>
      </w:r>
      <w:r w:rsidR="00B01F60" w:rsidRPr="00B01F60">
        <w:rPr>
          <w:noProof/>
        </w:rPr>
        <w:t xml:space="preserve">, </w:t>
      </w:r>
      <w:r w:rsidR="00B01F60" w:rsidRPr="00B01F60">
        <w:rPr>
          <w:i/>
          <w:iCs/>
          <w:noProof/>
        </w:rPr>
        <w:t>8</w:t>
      </w:r>
      <w:r w:rsidR="00B01F60" w:rsidRPr="00B01F60">
        <w:rPr>
          <w:noProof/>
        </w:rPr>
        <w:t>(8), 695–709. https://doi.org/10.1046/j.1365-2486.2002.00498.x</w:t>
      </w:r>
    </w:p>
    <w:p w14:paraId="437A4B8E"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Ainsworth, E. A., &amp; Rogers, A. (2007). The response of photosynthesis and stomatal conductance to rising [CO2]: mechanisms and environmental interactions. </w:t>
      </w:r>
      <w:r w:rsidRPr="00B01F60">
        <w:rPr>
          <w:i/>
          <w:iCs/>
          <w:noProof/>
        </w:rPr>
        <w:t>Plant, Cell &amp; Environment</w:t>
      </w:r>
      <w:r w:rsidRPr="00B01F60">
        <w:rPr>
          <w:noProof/>
        </w:rPr>
        <w:t xml:space="preserve">, </w:t>
      </w:r>
      <w:r w:rsidRPr="00B01F60">
        <w:rPr>
          <w:i/>
          <w:iCs/>
          <w:noProof/>
        </w:rPr>
        <w:t>30</w:t>
      </w:r>
      <w:r w:rsidRPr="00B01F60">
        <w:rPr>
          <w:noProof/>
        </w:rPr>
        <w:t>(3), 258–270. https://doi.org/10.1111/j.1365-3040.2007.01641.x</w:t>
      </w:r>
    </w:p>
    <w:p w14:paraId="45B15A6E"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Andrews, M., James, E. K., Sprent, J. I., Boddey, R. M., Gross, E., &amp; dos Reis, F. B. (2011). Nitrogen fixation in legumes and actinorhizal plants in natural ecosystems: Values obtained using 15N natural abundance. </w:t>
      </w:r>
      <w:r w:rsidRPr="00B01F60">
        <w:rPr>
          <w:i/>
          <w:iCs/>
          <w:noProof/>
        </w:rPr>
        <w:t>Plant Ecology and Diversity</w:t>
      </w:r>
      <w:r w:rsidRPr="00B01F60">
        <w:rPr>
          <w:noProof/>
        </w:rPr>
        <w:t xml:space="preserve">, </w:t>
      </w:r>
      <w:r w:rsidRPr="00B01F60">
        <w:rPr>
          <w:i/>
          <w:iCs/>
          <w:noProof/>
        </w:rPr>
        <w:t>4</w:t>
      </w:r>
      <w:r w:rsidRPr="00B01F60">
        <w:rPr>
          <w:noProof/>
        </w:rPr>
        <w:t>(2–3), 117–130. https://doi.org/10.1080/17550874.2011.644343</w:t>
      </w:r>
    </w:p>
    <w:p w14:paraId="3FE7119E"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Bates, D., Mächler, M., Bolker, B., &amp; Walker, S. (2015). Fitting linear mixed-effects models using lme4. </w:t>
      </w:r>
      <w:r w:rsidRPr="00B01F60">
        <w:rPr>
          <w:i/>
          <w:iCs/>
          <w:noProof/>
        </w:rPr>
        <w:t>Journal of Statistical Software</w:t>
      </w:r>
      <w:r w:rsidRPr="00B01F60">
        <w:rPr>
          <w:noProof/>
        </w:rPr>
        <w:t xml:space="preserve">, </w:t>
      </w:r>
      <w:r w:rsidRPr="00B01F60">
        <w:rPr>
          <w:i/>
          <w:iCs/>
          <w:noProof/>
        </w:rPr>
        <w:t>67</w:t>
      </w:r>
      <w:r w:rsidRPr="00B01F60">
        <w:rPr>
          <w:noProof/>
        </w:rPr>
        <w:t>(1), 1–48. https://doi.org/10.18637/jss.v067.i01</w:t>
      </w:r>
    </w:p>
    <w:p w14:paraId="1E9BA435"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Bengtson, P., Barker, J., &amp; Grayston, S. J. (2012). Evidence of a strong coupling between root exudation, C and N availability, and stimulated SOM decomposition caused by rhizosphere priming effects. </w:t>
      </w:r>
      <w:r w:rsidRPr="00B01F60">
        <w:rPr>
          <w:i/>
          <w:iCs/>
          <w:noProof/>
        </w:rPr>
        <w:t>Ecology and Evolution</w:t>
      </w:r>
      <w:r w:rsidRPr="00B01F60">
        <w:rPr>
          <w:noProof/>
        </w:rPr>
        <w:t xml:space="preserve">, </w:t>
      </w:r>
      <w:r w:rsidRPr="00B01F60">
        <w:rPr>
          <w:i/>
          <w:iCs/>
          <w:noProof/>
        </w:rPr>
        <w:t>2</w:t>
      </w:r>
      <w:r w:rsidRPr="00B01F60">
        <w:rPr>
          <w:noProof/>
        </w:rPr>
        <w:t>(8), 1843–1852. https://doi.org/10.1002/ece3.311</w:t>
      </w:r>
    </w:p>
    <w:p w14:paraId="53F73582"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Bernacchi, C. J., Singsaas, E. L., Pimentel, C., Portis, A. R., &amp; Long, S. P. (2001). Improved temperature response functions for models of Rubisco-limited photosynthesis. </w:t>
      </w:r>
      <w:r w:rsidRPr="00B01F60">
        <w:rPr>
          <w:i/>
          <w:iCs/>
          <w:noProof/>
        </w:rPr>
        <w:t>Plant, Cell and Environment</w:t>
      </w:r>
      <w:r w:rsidRPr="00B01F60">
        <w:rPr>
          <w:noProof/>
        </w:rPr>
        <w:t xml:space="preserve">, </w:t>
      </w:r>
      <w:r w:rsidRPr="00B01F60">
        <w:rPr>
          <w:i/>
          <w:iCs/>
          <w:noProof/>
        </w:rPr>
        <w:t>24</w:t>
      </w:r>
      <w:r w:rsidRPr="00B01F60">
        <w:rPr>
          <w:noProof/>
        </w:rPr>
        <w:t>(2), 253–259. https://doi.org/10.1046/j.1365-3040.2001.00668.x</w:t>
      </w:r>
    </w:p>
    <w:p w14:paraId="4DCC952A"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Bialic‐Murphy, L., Smith, N. G., Voothuluru, P., McElderry, R. M., Roche, M. D., Cassidy, S. T., Kivlin, S. N., &amp; Kalisz, S. (2021). Invasion‐induced root–fungal disruptions alter plant water and nitrogen economies. </w:t>
      </w:r>
      <w:r w:rsidRPr="00B01F60">
        <w:rPr>
          <w:i/>
          <w:iCs/>
          <w:noProof/>
        </w:rPr>
        <w:t>Ecology Letters</w:t>
      </w:r>
      <w:r w:rsidRPr="00B01F60">
        <w:rPr>
          <w:noProof/>
        </w:rPr>
        <w:t xml:space="preserve">, </w:t>
      </w:r>
      <w:r w:rsidRPr="00B01F60">
        <w:rPr>
          <w:i/>
          <w:iCs/>
          <w:noProof/>
        </w:rPr>
        <w:t>24</w:t>
      </w:r>
      <w:r w:rsidRPr="00B01F60">
        <w:rPr>
          <w:noProof/>
        </w:rPr>
        <w:t>(6), 1145–1156. https://doi.org/10.1111/ele.13724</w:t>
      </w:r>
    </w:p>
    <w:p w14:paraId="3C835D66"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Cernusak, L. A., Ubierna, N., Winter, K., Holtum, J. A. M., Marshall, J. D., &amp; Farquhar, G. D. (2013). Environmental and physiological determinants of carbon isotope discrimination in terrestrial plants. </w:t>
      </w:r>
      <w:r w:rsidRPr="00B01F60">
        <w:rPr>
          <w:i/>
          <w:iCs/>
          <w:noProof/>
        </w:rPr>
        <w:t>New Phytologist</w:t>
      </w:r>
      <w:r w:rsidRPr="00B01F60">
        <w:rPr>
          <w:noProof/>
        </w:rPr>
        <w:t xml:space="preserve">, </w:t>
      </w:r>
      <w:r w:rsidRPr="00B01F60">
        <w:rPr>
          <w:i/>
          <w:iCs/>
          <w:noProof/>
        </w:rPr>
        <w:t>200</w:t>
      </w:r>
      <w:r w:rsidRPr="00B01F60">
        <w:rPr>
          <w:noProof/>
        </w:rPr>
        <w:t>(4), 950–965. https://doi.org/10.1111/nph.12423</w:t>
      </w:r>
    </w:p>
    <w:p w14:paraId="16A2F689"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Curtis, P. S. (1996). A meta-analysis of leaf gas exchange and nitrogen in trees grown under elevated carbon dioxide. </w:t>
      </w:r>
      <w:r w:rsidRPr="00B01F60">
        <w:rPr>
          <w:i/>
          <w:iCs/>
          <w:noProof/>
        </w:rPr>
        <w:t>Plant, Cell and Environment</w:t>
      </w:r>
      <w:r w:rsidRPr="00B01F60">
        <w:rPr>
          <w:noProof/>
        </w:rPr>
        <w:t xml:space="preserve">, </w:t>
      </w:r>
      <w:r w:rsidRPr="00B01F60">
        <w:rPr>
          <w:i/>
          <w:iCs/>
          <w:noProof/>
        </w:rPr>
        <w:t>19</w:t>
      </w:r>
      <w:r w:rsidRPr="00B01F60">
        <w:rPr>
          <w:noProof/>
        </w:rPr>
        <w:t>(2), 127–137. https://doi.org/10.1111/j.1365-3040.1996.tb00234.x</w:t>
      </w:r>
    </w:p>
    <w:p w14:paraId="04D8AF81"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Dovrat, G., Bakhshian, H., Masci, T., &amp; Sheffer, E. (2020). The nitrogen economic spectrum of legume stoichiometry and fixation strategy. </w:t>
      </w:r>
      <w:r w:rsidRPr="00B01F60">
        <w:rPr>
          <w:i/>
          <w:iCs/>
          <w:noProof/>
        </w:rPr>
        <w:t>New Phytologist</w:t>
      </w:r>
      <w:r w:rsidRPr="00B01F60">
        <w:rPr>
          <w:noProof/>
        </w:rPr>
        <w:t xml:space="preserve">, </w:t>
      </w:r>
      <w:r w:rsidRPr="00B01F60">
        <w:rPr>
          <w:i/>
          <w:iCs/>
          <w:noProof/>
        </w:rPr>
        <w:t>227</w:t>
      </w:r>
      <w:r w:rsidRPr="00B01F60">
        <w:rPr>
          <w:noProof/>
        </w:rPr>
        <w:t>(2), 365–375. https://doi.org/10.1111/nph.16543</w:t>
      </w:r>
    </w:p>
    <w:p w14:paraId="07D19127"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Dovrat, G., Masci, T., Bakhshian, H., Mayzlish Gati, E., Golan, S., &amp; Sheffer, E. (2018). Drought-adapted plants dramatically downregulate dinitrogen fixation: Evidences from Mediterranean legume shrubs. </w:t>
      </w:r>
      <w:r w:rsidRPr="00B01F60">
        <w:rPr>
          <w:i/>
          <w:iCs/>
          <w:noProof/>
        </w:rPr>
        <w:t>Journal of Ecology</w:t>
      </w:r>
      <w:r w:rsidRPr="00B01F60">
        <w:rPr>
          <w:noProof/>
        </w:rPr>
        <w:t xml:space="preserve">, </w:t>
      </w:r>
      <w:r w:rsidRPr="00B01F60">
        <w:rPr>
          <w:i/>
          <w:iCs/>
          <w:noProof/>
        </w:rPr>
        <w:t>106</w:t>
      </w:r>
      <w:r w:rsidRPr="00B01F60">
        <w:rPr>
          <w:noProof/>
        </w:rPr>
        <w:t>(4), 1534–1544. https://doi.org/10.1111/1365-2745.12940</w:t>
      </w:r>
    </w:p>
    <w:p w14:paraId="0DBA3BDE"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Evans, J. R. (1989). Photosynthesis and nitrogen relationships in leaves of C3 plants. </w:t>
      </w:r>
      <w:r w:rsidRPr="00B01F60">
        <w:rPr>
          <w:i/>
          <w:iCs/>
          <w:noProof/>
        </w:rPr>
        <w:t>Oecologia</w:t>
      </w:r>
      <w:r w:rsidRPr="00B01F60">
        <w:rPr>
          <w:noProof/>
        </w:rPr>
        <w:t xml:space="preserve">, </w:t>
      </w:r>
      <w:r w:rsidRPr="00B01F60">
        <w:rPr>
          <w:i/>
          <w:iCs/>
          <w:noProof/>
        </w:rPr>
        <w:t>78</w:t>
      </w:r>
      <w:r w:rsidRPr="00B01F60">
        <w:rPr>
          <w:noProof/>
        </w:rPr>
        <w:t>(1), 9–19. https://doi.org/10.1007/BF00377192</w:t>
      </w:r>
    </w:p>
    <w:p w14:paraId="3C977E0E"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Farquhar, G. D., Ehleringer, J. R., &amp; Hubick, K. T. (1989). Carbon isotope discrimination and photosynthesis. </w:t>
      </w:r>
      <w:r w:rsidRPr="00B01F60">
        <w:rPr>
          <w:i/>
          <w:iCs/>
          <w:noProof/>
        </w:rPr>
        <w:t>Annual Review of Plant Physiology and Plant Molecular Biology</w:t>
      </w:r>
      <w:r w:rsidRPr="00B01F60">
        <w:rPr>
          <w:noProof/>
        </w:rPr>
        <w:t xml:space="preserve">, </w:t>
      </w:r>
      <w:r w:rsidRPr="00B01F60">
        <w:rPr>
          <w:i/>
          <w:iCs/>
          <w:noProof/>
        </w:rPr>
        <w:t>40</w:t>
      </w:r>
      <w:r w:rsidRPr="00B01F60">
        <w:rPr>
          <w:noProof/>
        </w:rPr>
        <w:t>(1), 503–537. https://doi.org/10.1146/annurev.pp.40.060189.002443</w:t>
      </w:r>
    </w:p>
    <w:p w14:paraId="1ACBA0BA"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Farquhar, G. D., &amp; Sharkey, T. D. (1982). Stomatal conductance and photosynthesis. </w:t>
      </w:r>
      <w:r w:rsidRPr="00B01F60">
        <w:rPr>
          <w:i/>
          <w:iCs/>
          <w:noProof/>
        </w:rPr>
        <w:t>Annual Review of Plant Physiology</w:t>
      </w:r>
      <w:r w:rsidRPr="00B01F60">
        <w:rPr>
          <w:noProof/>
        </w:rPr>
        <w:t xml:space="preserve">, </w:t>
      </w:r>
      <w:r w:rsidRPr="00B01F60">
        <w:rPr>
          <w:i/>
          <w:iCs/>
          <w:noProof/>
        </w:rPr>
        <w:t>33</w:t>
      </w:r>
      <w:r w:rsidRPr="00B01F60">
        <w:rPr>
          <w:noProof/>
        </w:rPr>
        <w:t xml:space="preserve">(1), 317–345. </w:t>
      </w:r>
      <w:r w:rsidRPr="00B01F60">
        <w:rPr>
          <w:noProof/>
        </w:rPr>
        <w:lastRenderedPageBreak/>
        <w:t>https://doi.org/10.1146/annurev.pp.33.060182.001533</w:t>
      </w:r>
    </w:p>
    <w:p w14:paraId="10E1B78C" w14:textId="77777777" w:rsidR="00B01F60" w:rsidRPr="00B01F60" w:rsidRDefault="00B01F60" w:rsidP="00B01F60">
      <w:pPr>
        <w:widowControl w:val="0"/>
        <w:autoSpaceDE w:val="0"/>
        <w:autoSpaceDN w:val="0"/>
        <w:adjustRightInd w:val="0"/>
        <w:ind w:left="480" w:hanging="480"/>
        <w:rPr>
          <w:noProof/>
        </w:rPr>
      </w:pPr>
      <w:r w:rsidRPr="00B01F60">
        <w:rPr>
          <w:noProof/>
        </w:rPr>
        <w:t>Farquhar, G. D., von Caemmerer, S., &amp; Berry, J. A. (1980). A biochemical model of photosynthetic CO</w:t>
      </w:r>
      <w:r w:rsidRPr="00B01F60">
        <w:rPr>
          <w:i/>
          <w:iCs/>
          <w:noProof/>
        </w:rPr>
        <w:t>2</w:t>
      </w:r>
      <w:r w:rsidRPr="00B01F60">
        <w:rPr>
          <w:noProof/>
        </w:rPr>
        <w:t xml:space="preserve"> assimilation in leaves of C3 species. </w:t>
      </w:r>
      <w:r w:rsidRPr="00B01F60">
        <w:rPr>
          <w:i/>
          <w:iCs/>
          <w:noProof/>
        </w:rPr>
        <w:t>Planta</w:t>
      </w:r>
      <w:r w:rsidRPr="00B01F60">
        <w:rPr>
          <w:noProof/>
        </w:rPr>
        <w:t xml:space="preserve">, </w:t>
      </w:r>
      <w:r w:rsidRPr="00B01F60">
        <w:rPr>
          <w:i/>
          <w:iCs/>
          <w:noProof/>
        </w:rPr>
        <w:t>149</w:t>
      </w:r>
      <w:r w:rsidRPr="00B01F60">
        <w:rPr>
          <w:noProof/>
        </w:rPr>
        <w:t>(1), 78–90. https://doi.org/10.1007/BF00386231</w:t>
      </w:r>
    </w:p>
    <w:p w14:paraId="3E4B1D46"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Fay, P. A., Prober, S. M., Harpole, W. S., Knops, J. M. H., Bakker, J. D., Borer, E. T., Lind, E. M., MacDougall, A. S., Seabloom, E. W., Wragg, P. D., Adler, P. B., Blumenthal, D. M., Buckley, Y. M., Chu, C., Cleland, E. E., Collins, S. L., Davies, K. F., Du, G., Feng, X., … Yang, L. H. (2015). Grassland productivity limited by multiple nutrients. </w:t>
      </w:r>
      <w:r w:rsidRPr="00B01F60">
        <w:rPr>
          <w:i/>
          <w:iCs/>
          <w:noProof/>
        </w:rPr>
        <w:t>Nature Plants</w:t>
      </w:r>
      <w:r w:rsidRPr="00B01F60">
        <w:rPr>
          <w:noProof/>
        </w:rPr>
        <w:t xml:space="preserve">, </w:t>
      </w:r>
      <w:r w:rsidRPr="00B01F60">
        <w:rPr>
          <w:i/>
          <w:iCs/>
          <w:noProof/>
        </w:rPr>
        <w:t>1</w:t>
      </w:r>
      <w:r w:rsidRPr="00B01F60">
        <w:rPr>
          <w:noProof/>
        </w:rPr>
        <w:t>(7), 15080. https://doi.org/10.1038/nplants.2015.80</w:t>
      </w:r>
    </w:p>
    <w:p w14:paraId="62AECEBC"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Fox, J., &amp; Weisberg, S. (2019). </w:t>
      </w:r>
      <w:r w:rsidRPr="00B01F60">
        <w:rPr>
          <w:i/>
          <w:iCs/>
          <w:noProof/>
        </w:rPr>
        <w:t>An R companion to applied regression</w:t>
      </w:r>
      <w:r w:rsidRPr="00B01F60">
        <w:rPr>
          <w:noProof/>
        </w:rPr>
        <w:t xml:space="preserve"> (Third edit). Sage. https://socialsciences.mcmaster.ca/jfox/Books/Companion/</w:t>
      </w:r>
    </w:p>
    <w:p w14:paraId="673DE700"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Glover, J. (1973). The dark respiration of sugar-cane and the loss of photosynthate during the growth of a crop. </w:t>
      </w:r>
      <w:r w:rsidRPr="00B01F60">
        <w:rPr>
          <w:i/>
          <w:iCs/>
          <w:noProof/>
        </w:rPr>
        <w:t>Annals of Botany</w:t>
      </w:r>
      <w:r w:rsidRPr="00B01F60">
        <w:rPr>
          <w:noProof/>
        </w:rPr>
        <w:t xml:space="preserve">, </w:t>
      </w:r>
      <w:r w:rsidRPr="00B01F60">
        <w:rPr>
          <w:i/>
          <w:iCs/>
          <w:noProof/>
        </w:rPr>
        <w:t>37</w:t>
      </w:r>
      <w:r w:rsidRPr="00B01F60">
        <w:rPr>
          <w:noProof/>
        </w:rPr>
        <w:t>(4), 845–852. https://doi.org/10.1093/oxfordjournals.aob.a084753</w:t>
      </w:r>
    </w:p>
    <w:p w14:paraId="4CD3C9A2"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Heskel, M. A., O’Sullivan, O. S., Reich, P. B., Tjoelker, M. G., Weerasinghe, K. W. L. K., Penillard, A., Egerton, J. J. G., Creek, D., Bloomfield, K. J., Xiang, J., Sinca, F., Stangl, Z. R., Martinez-de la Torre, A., Griffin, K. L., Huntingford, C., Hurry, V., Meir, P., Turnbull, M. H., &amp; Atkin, O. K. (2016). Convergence in the temperature response of leaf respiration across biomes and plant functional types. </w:t>
      </w:r>
      <w:r w:rsidRPr="00B01F60">
        <w:rPr>
          <w:i/>
          <w:iCs/>
          <w:noProof/>
        </w:rPr>
        <w:t>Proceedings of the National Academy of Sciences</w:t>
      </w:r>
      <w:r w:rsidRPr="00B01F60">
        <w:rPr>
          <w:noProof/>
        </w:rPr>
        <w:t xml:space="preserve">, </w:t>
      </w:r>
      <w:r w:rsidRPr="00B01F60">
        <w:rPr>
          <w:i/>
          <w:iCs/>
          <w:noProof/>
        </w:rPr>
        <w:t>113</w:t>
      </w:r>
      <w:r w:rsidRPr="00B01F60">
        <w:rPr>
          <w:noProof/>
        </w:rPr>
        <w:t>(14), 3832–3837. https://doi.org/10.1073/pnas.1520282113</w:t>
      </w:r>
    </w:p>
    <w:p w14:paraId="73EB357F"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Hoagland, D. R., &amp; Arnon, D. I. (1950). The water-culture method for growing plants without soil. </w:t>
      </w:r>
      <w:r w:rsidRPr="00B01F60">
        <w:rPr>
          <w:i/>
          <w:iCs/>
          <w:noProof/>
        </w:rPr>
        <w:t>California Agricultural Experiment Station: 347</w:t>
      </w:r>
      <w:r w:rsidRPr="00B01F60">
        <w:rPr>
          <w:noProof/>
        </w:rPr>
        <w:t xml:space="preserve">, </w:t>
      </w:r>
      <w:r w:rsidRPr="00B01F60">
        <w:rPr>
          <w:i/>
          <w:iCs/>
          <w:noProof/>
        </w:rPr>
        <w:t>347</w:t>
      </w:r>
      <w:r w:rsidRPr="00B01F60">
        <w:rPr>
          <w:noProof/>
        </w:rPr>
        <w:t>(2), 1–32.</w:t>
      </w:r>
    </w:p>
    <w:p w14:paraId="21704DB0"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Hungate, B. A., Dukes, J. S., Shaw, M. R., Luo, Y., &amp; Field, C. B. (2003). Nitrogen and climate change. </w:t>
      </w:r>
      <w:r w:rsidRPr="00B01F60">
        <w:rPr>
          <w:i/>
          <w:iCs/>
          <w:noProof/>
        </w:rPr>
        <w:t>Science</w:t>
      </w:r>
      <w:r w:rsidRPr="00B01F60">
        <w:rPr>
          <w:noProof/>
        </w:rPr>
        <w:t xml:space="preserve">, </w:t>
      </w:r>
      <w:r w:rsidRPr="00B01F60">
        <w:rPr>
          <w:i/>
          <w:iCs/>
          <w:noProof/>
        </w:rPr>
        <w:t>302</w:t>
      </w:r>
      <w:r w:rsidRPr="00B01F60">
        <w:rPr>
          <w:noProof/>
        </w:rPr>
        <w:t>(5650), 1512–1513. https://doi.org/10.1126/science.1091390</w:t>
      </w:r>
    </w:p>
    <w:p w14:paraId="6C6118D9"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IPCC. (2013). </w:t>
      </w:r>
      <w:r w:rsidRPr="00B01F60">
        <w:rPr>
          <w:i/>
          <w:iCs/>
          <w:noProof/>
        </w:rPr>
        <w:t>Climate Change 2013: The Physical Science Basis. Contribution of Working Group I to the Fifth Assessment Report of the Intergovernmental Panel on Climate Change</w:t>
      </w:r>
      <w:r w:rsidRPr="00B01F60">
        <w:rPr>
          <w:noProof/>
        </w:rPr>
        <w:t>.</w:t>
      </w:r>
    </w:p>
    <w:p w14:paraId="64033AB6"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Katabuchi, M. (2015). LeafArea: An R package for rapid digital analysis of leaf area. </w:t>
      </w:r>
      <w:r w:rsidRPr="00B01F60">
        <w:rPr>
          <w:i/>
          <w:iCs/>
          <w:noProof/>
        </w:rPr>
        <w:t>Ecological Research</w:t>
      </w:r>
      <w:r w:rsidRPr="00B01F60">
        <w:rPr>
          <w:noProof/>
        </w:rPr>
        <w:t xml:space="preserve">, </w:t>
      </w:r>
      <w:r w:rsidRPr="00B01F60">
        <w:rPr>
          <w:i/>
          <w:iCs/>
          <w:noProof/>
        </w:rPr>
        <w:t>30</w:t>
      </w:r>
      <w:r w:rsidRPr="00B01F60">
        <w:rPr>
          <w:noProof/>
        </w:rPr>
        <w:t>(6), 1073–1077.</w:t>
      </w:r>
    </w:p>
    <w:p w14:paraId="6AF037F3"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Kattge, J., &amp; Knorr, W. (2007). Temperature acclimation in a biochemical model of photosynthesis: a reanalysis of data from 36 species. </w:t>
      </w:r>
      <w:r w:rsidRPr="00B01F60">
        <w:rPr>
          <w:i/>
          <w:iCs/>
          <w:noProof/>
        </w:rPr>
        <w:t>Plant, Cell &amp; Environment</w:t>
      </w:r>
      <w:r w:rsidRPr="00B01F60">
        <w:rPr>
          <w:noProof/>
        </w:rPr>
        <w:t xml:space="preserve">, </w:t>
      </w:r>
      <w:r w:rsidRPr="00B01F60">
        <w:rPr>
          <w:i/>
          <w:iCs/>
          <w:noProof/>
        </w:rPr>
        <w:t>30</w:t>
      </w:r>
      <w:r w:rsidRPr="00B01F60">
        <w:rPr>
          <w:noProof/>
        </w:rPr>
        <w:t>(9), 1176–1190. https://doi.org/10.1111/j.1365-3040.2007.01690.x</w:t>
      </w:r>
    </w:p>
    <w:p w14:paraId="1C9F4B55"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Keeling, C. D., Mook, W. G., &amp; Tans, P. P. (1979). Recent trends in the </w:t>
      </w:r>
      <w:r w:rsidRPr="00B01F60">
        <w:rPr>
          <w:noProof/>
          <w:vertAlign w:val="superscript"/>
        </w:rPr>
        <w:t>13</w:t>
      </w:r>
      <w:r w:rsidRPr="00B01F60">
        <w:rPr>
          <w:noProof/>
        </w:rPr>
        <w:t>C/</w:t>
      </w:r>
      <w:r w:rsidRPr="00B01F60">
        <w:rPr>
          <w:noProof/>
          <w:vertAlign w:val="superscript"/>
        </w:rPr>
        <w:t>12</w:t>
      </w:r>
      <w:r w:rsidRPr="00B01F60">
        <w:rPr>
          <w:noProof/>
        </w:rPr>
        <w:t xml:space="preserve">C ratio of atmospheric carbon dioxide. </w:t>
      </w:r>
      <w:r w:rsidRPr="00B01F60">
        <w:rPr>
          <w:i/>
          <w:iCs/>
          <w:noProof/>
        </w:rPr>
        <w:t>Nature</w:t>
      </w:r>
      <w:r w:rsidRPr="00B01F60">
        <w:rPr>
          <w:noProof/>
        </w:rPr>
        <w:t xml:space="preserve">, </w:t>
      </w:r>
      <w:r w:rsidRPr="00B01F60">
        <w:rPr>
          <w:i/>
          <w:iCs/>
          <w:noProof/>
        </w:rPr>
        <w:t>277</w:t>
      </w:r>
      <w:r w:rsidRPr="00B01F60">
        <w:rPr>
          <w:noProof/>
        </w:rPr>
        <w:t>(5692), 121–123. https://doi.org/10.1038/277121a0</w:t>
      </w:r>
    </w:p>
    <w:p w14:paraId="2619BEA4"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Kenward, M. G., &amp; Roger, J. H. (1997). Small sample inference for fixed effects from restricted maximum likelihood. </w:t>
      </w:r>
      <w:r w:rsidRPr="00B01F60">
        <w:rPr>
          <w:i/>
          <w:iCs/>
          <w:noProof/>
        </w:rPr>
        <w:t>Biometrics</w:t>
      </w:r>
      <w:r w:rsidRPr="00B01F60">
        <w:rPr>
          <w:noProof/>
        </w:rPr>
        <w:t xml:space="preserve">, </w:t>
      </w:r>
      <w:r w:rsidRPr="00B01F60">
        <w:rPr>
          <w:i/>
          <w:iCs/>
          <w:noProof/>
        </w:rPr>
        <w:t>53</w:t>
      </w:r>
      <w:r w:rsidRPr="00B01F60">
        <w:rPr>
          <w:noProof/>
        </w:rPr>
        <w:t>(3), 983. https://doi.org/10.2307/2533558</w:t>
      </w:r>
    </w:p>
    <w:p w14:paraId="44B36D59"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LeBauer, D. S., &amp; Treseder, K. (2008). Nitrogen limitation of net primary productivity. </w:t>
      </w:r>
      <w:r w:rsidRPr="00B01F60">
        <w:rPr>
          <w:i/>
          <w:iCs/>
          <w:noProof/>
        </w:rPr>
        <w:t>Ecology</w:t>
      </w:r>
      <w:r w:rsidRPr="00B01F60">
        <w:rPr>
          <w:noProof/>
        </w:rPr>
        <w:t xml:space="preserve">, </w:t>
      </w:r>
      <w:r w:rsidRPr="00B01F60">
        <w:rPr>
          <w:i/>
          <w:iCs/>
          <w:noProof/>
        </w:rPr>
        <w:t>89</w:t>
      </w:r>
      <w:r w:rsidRPr="00B01F60">
        <w:rPr>
          <w:noProof/>
        </w:rPr>
        <w:t>(2), 371–379. https://doi.org/10.1890/06-2057.1</w:t>
      </w:r>
    </w:p>
    <w:p w14:paraId="3276CC05"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Lenth, R. (2019). </w:t>
      </w:r>
      <w:r w:rsidRPr="00B01F60">
        <w:rPr>
          <w:i/>
          <w:iCs/>
          <w:noProof/>
        </w:rPr>
        <w:t>emmeans: estimated marginal means, aka least-squares means</w:t>
      </w:r>
      <w:r w:rsidRPr="00B01F60">
        <w:rPr>
          <w:noProof/>
        </w:rPr>
        <w:t>.</w:t>
      </w:r>
    </w:p>
    <w:p w14:paraId="127DA9BF"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Liang, J., Qi, X., Souza, L., &amp; Luo, Y. (2016). Processes regulating progressive nitrogen limitation under elevated carbon dioxide: a meta-analysis. </w:t>
      </w:r>
      <w:r w:rsidRPr="00B01F60">
        <w:rPr>
          <w:i/>
          <w:iCs/>
          <w:noProof/>
        </w:rPr>
        <w:t>Biogeosciences</w:t>
      </w:r>
      <w:r w:rsidRPr="00B01F60">
        <w:rPr>
          <w:noProof/>
        </w:rPr>
        <w:t xml:space="preserve">, </w:t>
      </w:r>
      <w:r w:rsidRPr="00B01F60">
        <w:rPr>
          <w:i/>
          <w:iCs/>
          <w:noProof/>
        </w:rPr>
        <w:t>13</w:t>
      </w:r>
      <w:r w:rsidRPr="00B01F60">
        <w:rPr>
          <w:noProof/>
        </w:rPr>
        <w:t>(9), 2689–2699. https://doi.org/10.5194/bg-13-2689-2016</w:t>
      </w:r>
    </w:p>
    <w:p w14:paraId="79E5B443"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Luo, Y., Currie, W. S., Dukes, J. S., Finzi, A. C., Hartwig, U. A., Hungate, B. A., McMurtrie, R. E., Oren, R., Parton, W. J., Pataki, D. E., Shaw, R. M., Zak, D. R., &amp; Field, C. B. (2004). Progressive nitrogen limitation of ecosystem responses to rising atmospheric carbon dioxide. </w:t>
      </w:r>
      <w:r w:rsidRPr="00B01F60">
        <w:rPr>
          <w:i/>
          <w:iCs/>
          <w:noProof/>
        </w:rPr>
        <w:t>BioScience</w:t>
      </w:r>
      <w:r w:rsidRPr="00B01F60">
        <w:rPr>
          <w:noProof/>
        </w:rPr>
        <w:t xml:space="preserve">, </w:t>
      </w:r>
      <w:r w:rsidRPr="00B01F60">
        <w:rPr>
          <w:i/>
          <w:iCs/>
          <w:noProof/>
        </w:rPr>
        <w:t>54</w:t>
      </w:r>
      <w:r w:rsidRPr="00B01F60">
        <w:rPr>
          <w:noProof/>
        </w:rPr>
        <w:t>(8), 731–739. https://doi.org/10.1641/0006-3568(2004)054[0731:PNLOER]2.0.CO;2</w:t>
      </w:r>
    </w:p>
    <w:p w14:paraId="7C417129" w14:textId="77777777" w:rsidR="00B01F60" w:rsidRPr="00B01F60" w:rsidRDefault="00B01F60" w:rsidP="00B01F60">
      <w:pPr>
        <w:widowControl w:val="0"/>
        <w:autoSpaceDE w:val="0"/>
        <w:autoSpaceDN w:val="0"/>
        <w:adjustRightInd w:val="0"/>
        <w:ind w:left="480" w:hanging="480"/>
        <w:rPr>
          <w:noProof/>
        </w:rPr>
      </w:pPr>
      <w:r w:rsidRPr="00B01F60">
        <w:rPr>
          <w:noProof/>
        </w:rPr>
        <w:lastRenderedPageBreak/>
        <w:t xml:space="preserve">Makino, A. (2003). Rubisco and nitrogen relationships in rice: leaf photosynthesis and plant growth. </w:t>
      </w:r>
      <w:r w:rsidRPr="00B01F60">
        <w:rPr>
          <w:i/>
          <w:iCs/>
          <w:noProof/>
        </w:rPr>
        <w:t>Soil Science and Plant Nutrition</w:t>
      </w:r>
      <w:r w:rsidRPr="00B01F60">
        <w:rPr>
          <w:noProof/>
        </w:rPr>
        <w:t xml:space="preserve">, </w:t>
      </w:r>
      <w:r w:rsidRPr="00B01F60">
        <w:rPr>
          <w:i/>
          <w:iCs/>
          <w:noProof/>
        </w:rPr>
        <w:t>49</w:t>
      </w:r>
      <w:r w:rsidRPr="00B01F60">
        <w:rPr>
          <w:noProof/>
        </w:rPr>
        <w:t>(3), 319–327.</w:t>
      </w:r>
    </w:p>
    <w:p w14:paraId="759F37CA"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Medlyn, B. E., Dreyer, E., Ellsworth, D. S., Forstreuter, M., Harley, P. C., Kirschbaum, M. U. F., Le Roux, X., Montpied, P., Strassemeyer, J., Walcroft, A., Wang, K., &amp; Loustau, D. (2002). Temperature response of parameters of a biochemically based model of photosynthesis. II. A review of experimental data. </w:t>
      </w:r>
      <w:r w:rsidRPr="00B01F60">
        <w:rPr>
          <w:i/>
          <w:iCs/>
          <w:noProof/>
        </w:rPr>
        <w:t>Plant, Cell &amp; Environment</w:t>
      </w:r>
      <w:r w:rsidRPr="00B01F60">
        <w:rPr>
          <w:noProof/>
        </w:rPr>
        <w:t xml:space="preserve">, </w:t>
      </w:r>
      <w:r w:rsidRPr="00B01F60">
        <w:rPr>
          <w:i/>
          <w:iCs/>
          <w:noProof/>
        </w:rPr>
        <w:t>25</w:t>
      </w:r>
      <w:r w:rsidRPr="00B01F60">
        <w:rPr>
          <w:noProof/>
        </w:rPr>
        <w:t>(9), 1167–1179. https://doi.org/10.1046/j.1365-3040.2002.00891.x</w:t>
      </w:r>
    </w:p>
    <w:p w14:paraId="782C30FF" w14:textId="77777777" w:rsidR="00B01F60" w:rsidRPr="00B01F60" w:rsidRDefault="00B01F60" w:rsidP="00B01F60">
      <w:pPr>
        <w:widowControl w:val="0"/>
        <w:autoSpaceDE w:val="0"/>
        <w:autoSpaceDN w:val="0"/>
        <w:adjustRightInd w:val="0"/>
        <w:ind w:left="480" w:hanging="480"/>
        <w:rPr>
          <w:noProof/>
        </w:rPr>
      </w:pPr>
      <w:r w:rsidRPr="00B01F60">
        <w:rPr>
          <w:noProof/>
        </w:rPr>
        <w:t>Morgan, J. A., Pataki, D. E., Körner, C., Clark, H., Del Grosso, S. J., Grünzweig, J. M., Knapp, A. K., Mosier, A. R., Newton, P. C. D., Niklaus, P. A., Nippert, J. B., Nowak, R. S., Parton, W. J., Polley, H. W., &amp; Shaw, M. R. (2004). Water relations in grassland and desert ecosystems exposed to elevated atmospheric CO</w:t>
      </w:r>
      <w:r w:rsidRPr="00B01F60">
        <w:rPr>
          <w:noProof/>
          <w:vertAlign w:val="subscript"/>
        </w:rPr>
        <w:t>2</w:t>
      </w:r>
      <w:r w:rsidRPr="00B01F60">
        <w:rPr>
          <w:noProof/>
        </w:rPr>
        <w:t xml:space="preserve">. </w:t>
      </w:r>
      <w:r w:rsidRPr="00B01F60">
        <w:rPr>
          <w:i/>
          <w:iCs/>
          <w:noProof/>
        </w:rPr>
        <w:t>Oecologia</w:t>
      </w:r>
      <w:r w:rsidRPr="00B01F60">
        <w:rPr>
          <w:noProof/>
        </w:rPr>
        <w:t xml:space="preserve">, </w:t>
      </w:r>
      <w:r w:rsidRPr="00B01F60">
        <w:rPr>
          <w:i/>
          <w:iCs/>
          <w:noProof/>
        </w:rPr>
        <w:t>140</w:t>
      </w:r>
      <w:r w:rsidRPr="00B01F60">
        <w:rPr>
          <w:noProof/>
        </w:rPr>
        <w:t>(1), 11–25. https://doi.org/10.1007/s00442-004-1550-2</w:t>
      </w:r>
    </w:p>
    <w:p w14:paraId="5260A723" w14:textId="77777777" w:rsidR="00B01F60" w:rsidRPr="00B01F60" w:rsidRDefault="00B01F60" w:rsidP="00B01F60">
      <w:pPr>
        <w:widowControl w:val="0"/>
        <w:autoSpaceDE w:val="0"/>
        <w:autoSpaceDN w:val="0"/>
        <w:adjustRightInd w:val="0"/>
        <w:ind w:left="480" w:hanging="480"/>
        <w:rPr>
          <w:noProof/>
        </w:rPr>
      </w:pPr>
      <w:r w:rsidRPr="00B01F60">
        <w:rPr>
          <w:noProof/>
        </w:rPr>
        <w:t>O’Sullivan, O. S., Weerasinghe, K. W. L. K., Evans, J. R., Egerton, J. J. G., Tjoelker, M. G., &amp; Atkin, O. K. (2013). High-resolution temperature responses of leaf respiration in snow gum (</w:t>
      </w:r>
      <w:r w:rsidRPr="00B01F60">
        <w:rPr>
          <w:i/>
          <w:iCs/>
          <w:noProof/>
        </w:rPr>
        <w:t>Eucalyptus pauciflora</w:t>
      </w:r>
      <w:r w:rsidRPr="00B01F60">
        <w:rPr>
          <w:noProof/>
        </w:rPr>
        <w:t xml:space="preserve">) reveal high-temperature limits to respiratory function. </w:t>
      </w:r>
      <w:r w:rsidRPr="00B01F60">
        <w:rPr>
          <w:i/>
          <w:iCs/>
          <w:noProof/>
        </w:rPr>
        <w:t>Plant, Cell &amp; Environment</w:t>
      </w:r>
      <w:r w:rsidRPr="00B01F60">
        <w:rPr>
          <w:noProof/>
        </w:rPr>
        <w:t xml:space="preserve">, </w:t>
      </w:r>
      <w:r w:rsidRPr="00B01F60">
        <w:rPr>
          <w:i/>
          <w:iCs/>
          <w:noProof/>
        </w:rPr>
        <w:t>36</w:t>
      </w:r>
      <w:r w:rsidRPr="00B01F60">
        <w:rPr>
          <w:noProof/>
        </w:rPr>
        <w:t>(7), 1268–1284. https://doi.org/10.1111/pce.12057</w:t>
      </w:r>
    </w:p>
    <w:p w14:paraId="60F8D755"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Paillassa, J., Wright, I. J., Prentice, I. C., Pepin, S., Smith, N. G., Ethier, G., Westerband, A. C., Lamarque, L. J., Wang, H., Cornwell, W. K., &amp; Maire, V. (2020). When and where soil is important to modify the carbon and water economy of leaves. </w:t>
      </w:r>
      <w:r w:rsidRPr="00B01F60">
        <w:rPr>
          <w:i/>
          <w:iCs/>
          <w:noProof/>
        </w:rPr>
        <w:t>New Phytologist</w:t>
      </w:r>
      <w:r w:rsidRPr="00B01F60">
        <w:rPr>
          <w:noProof/>
        </w:rPr>
        <w:t xml:space="preserve">, </w:t>
      </w:r>
      <w:r w:rsidRPr="00B01F60">
        <w:rPr>
          <w:i/>
          <w:iCs/>
          <w:noProof/>
        </w:rPr>
        <w:t>228</w:t>
      </w:r>
      <w:r w:rsidRPr="00B01F60">
        <w:rPr>
          <w:noProof/>
        </w:rPr>
        <w:t>(1), 121–135. https://doi.org/10.1111/nph.16702</w:t>
      </w:r>
    </w:p>
    <w:p w14:paraId="4569CE1E"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Perkowski, E. A., Waring, E. F., &amp; Smith, N. G. (2021). Root mass carbon costs to acquire nitrogen are determined by nitrogen and light availability in two species with different nitrogen acquisition strategies. </w:t>
      </w:r>
      <w:r w:rsidRPr="00B01F60">
        <w:rPr>
          <w:i/>
          <w:iCs/>
          <w:noProof/>
        </w:rPr>
        <w:t>Journal of Experimental Botany</w:t>
      </w:r>
      <w:r w:rsidRPr="00B01F60">
        <w:rPr>
          <w:noProof/>
        </w:rPr>
        <w:t xml:space="preserve">, </w:t>
      </w:r>
      <w:r w:rsidRPr="00B01F60">
        <w:rPr>
          <w:i/>
          <w:iCs/>
          <w:noProof/>
        </w:rPr>
        <w:t>72</w:t>
      </w:r>
      <w:r w:rsidRPr="00B01F60">
        <w:rPr>
          <w:noProof/>
        </w:rPr>
        <w:t>(15), 5766–5776. https://doi.org/10.1093/jxb/erab253</w:t>
      </w:r>
    </w:p>
    <w:p w14:paraId="07152081"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Poorter, H., Knopf, O., Wright, I. J., Temme, A. A., Hogewoning, S. W., Graf, A., Cernusak, L. A., &amp; Pons, T. L. (2022). A meta-analysis of responses of C3 plants to atmospheric CO2: dose–response curves for 85 traits ranging from the molecular to the whole-plant level. </w:t>
      </w:r>
      <w:r w:rsidRPr="00B01F60">
        <w:rPr>
          <w:i/>
          <w:iCs/>
          <w:noProof/>
        </w:rPr>
        <w:t>New Phytologist</w:t>
      </w:r>
      <w:r w:rsidRPr="00B01F60">
        <w:rPr>
          <w:noProof/>
        </w:rPr>
        <w:t xml:space="preserve">, </w:t>
      </w:r>
      <w:r w:rsidRPr="00B01F60">
        <w:rPr>
          <w:i/>
          <w:iCs/>
          <w:noProof/>
        </w:rPr>
        <w:t>233</w:t>
      </w:r>
      <w:r w:rsidRPr="00B01F60">
        <w:rPr>
          <w:noProof/>
        </w:rPr>
        <w:t>(4), 1560–1596. https://doi.org/10.1111/nph.17802</w:t>
      </w:r>
    </w:p>
    <w:p w14:paraId="508CB2E7"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Prentice, I. C., Dong, N., Gleason, S. M., Maire, V., &amp; Wright, I. J. (2014). Balancing the costs of carbon gain and water transport: testing a new theoretical framework for plant functional ecology. </w:t>
      </w:r>
      <w:r w:rsidRPr="00B01F60">
        <w:rPr>
          <w:i/>
          <w:iCs/>
          <w:noProof/>
        </w:rPr>
        <w:t>Ecology Letters</w:t>
      </w:r>
      <w:r w:rsidRPr="00B01F60">
        <w:rPr>
          <w:noProof/>
        </w:rPr>
        <w:t xml:space="preserve">, </w:t>
      </w:r>
      <w:r w:rsidRPr="00B01F60">
        <w:rPr>
          <w:i/>
          <w:iCs/>
          <w:noProof/>
        </w:rPr>
        <w:t>17</w:t>
      </w:r>
      <w:r w:rsidRPr="00B01F60">
        <w:rPr>
          <w:noProof/>
        </w:rPr>
        <w:t>(1), 82–91. https://doi.org/10.1111/ele.12211</w:t>
      </w:r>
    </w:p>
    <w:p w14:paraId="40B8310B"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R Core Team. (2021). </w:t>
      </w:r>
      <w:r w:rsidRPr="00B01F60">
        <w:rPr>
          <w:i/>
          <w:iCs/>
          <w:noProof/>
        </w:rPr>
        <w:t>R: A language and environment for statistical computing</w:t>
      </w:r>
      <w:r w:rsidRPr="00B01F60">
        <w:rPr>
          <w:noProof/>
        </w:rPr>
        <w:t xml:space="preserve"> (4.1.1). R Foundation for Statistical Computing. https://www.r-project.org/</w:t>
      </w:r>
    </w:p>
    <w:p w14:paraId="753E46C3"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Rastetter, E. B., Vitousek, P. M., Field, C. B., Shaver, G. R., Herbert, D., &amp; Ågren, G. I. (2001). Resource optimization and symbiotic nitrogen fixation. </w:t>
      </w:r>
      <w:r w:rsidRPr="00B01F60">
        <w:rPr>
          <w:i/>
          <w:iCs/>
          <w:noProof/>
        </w:rPr>
        <w:t>Ecosystems</w:t>
      </w:r>
      <w:r w:rsidRPr="00B01F60">
        <w:rPr>
          <w:noProof/>
        </w:rPr>
        <w:t xml:space="preserve">, </w:t>
      </w:r>
      <w:r w:rsidRPr="00B01F60">
        <w:rPr>
          <w:i/>
          <w:iCs/>
          <w:noProof/>
        </w:rPr>
        <w:t>4</w:t>
      </w:r>
      <w:r w:rsidRPr="00B01F60">
        <w:rPr>
          <w:noProof/>
        </w:rPr>
        <w:t>(4), 369–388. https://doi.org/10.1007/s10021-001-0018-z</w:t>
      </w:r>
    </w:p>
    <w:p w14:paraId="712DA9E3"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Saathoff, A. J., &amp; Welles, J. (2021). Gas exchange measurements in the unsteady state. </w:t>
      </w:r>
      <w:r w:rsidRPr="00B01F60">
        <w:rPr>
          <w:i/>
          <w:iCs/>
          <w:noProof/>
        </w:rPr>
        <w:t>Plant Cell and Environment</w:t>
      </w:r>
      <w:r w:rsidRPr="00B01F60">
        <w:rPr>
          <w:noProof/>
        </w:rPr>
        <w:t xml:space="preserve">, </w:t>
      </w:r>
      <w:r w:rsidRPr="00B01F60">
        <w:rPr>
          <w:i/>
          <w:iCs/>
          <w:noProof/>
        </w:rPr>
        <w:t>44</w:t>
      </w:r>
      <w:r w:rsidRPr="00B01F60">
        <w:rPr>
          <w:noProof/>
        </w:rPr>
        <w:t>(11), 3509–3523. https://doi.org/10.1111/pce.14178</w:t>
      </w:r>
    </w:p>
    <w:p w14:paraId="7FDB5DD3"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Schneider, C. A., Rasband, W. S., &amp; Eliceiri, K. W. (2012). NIH Image to ImageJ: 25 years of image analysis. </w:t>
      </w:r>
      <w:r w:rsidRPr="00B01F60">
        <w:rPr>
          <w:i/>
          <w:iCs/>
          <w:noProof/>
        </w:rPr>
        <w:t>Nature Methods</w:t>
      </w:r>
      <w:r w:rsidRPr="00B01F60">
        <w:rPr>
          <w:noProof/>
        </w:rPr>
        <w:t xml:space="preserve">, </w:t>
      </w:r>
      <w:r w:rsidRPr="00B01F60">
        <w:rPr>
          <w:i/>
          <w:iCs/>
          <w:noProof/>
        </w:rPr>
        <w:t>9</w:t>
      </w:r>
      <w:r w:rsidRPr="00B01F60">
        <w:rPr>
          <w:noProof/>
        </w:rPr>
        <w:t>(7), 671–675. https://doi.org/10.1038/nmeth.2089</w:t>
      </w:r>
    </w:p>
    <w:p w14:paraId="1DAB6B4E" w14:textId="77777777" w:rsidR="00B01F60" w:rsidRPr="00B01F60" w:rsidRDefault="00B01F60" w:rsidP="00B01F60">
      <w:pPr>
        <w:widowControl w:val="0"/>
        <w:autoSpaceDE w:val="0"/>
        <w:autoSpaceDN w:val="0"/>
        <w:adjustRightInd w:val="0"/>
        <w:ind w:left="480" w:hanging="480"/>
        <w:rPr>
          <w:noProof/>
        </w:rPr>
      </w:pPr>
      <w:r w:rsidRPr="00B01F60">
        <w:rPr>
          <w:noProof/>
        </w:rPr>
        <w:t>Smith, N. G., &amp; Dukes, J. S. (2013). Plant respiration and photosynthesis in global-scale models: Incorporating acclimation to temperature and CO</w:t>
      </w:r>
      <w:r w:rsidRPr="00B01F60">
        <w:rPr>
          <w:noProof/>
          <w:vertAlign w:val="subscript"/>
        </w:rPr>
        <w:t>2</w:t>
      </w:r>
      <w:r w:rsidRPr="00B01F60">
        <w:rPr>
          <w:noProof/>
        </w:rPr>
        <w:t xml:space="preserve">. </w:t>
      </w:r>
      <w:r w:rsidRPr="00B01F60">
        <w:rPr>
          <w:i/>
          <w:iCs/>
          <w:noProof/>
        </w:rPr>
        <w:t>Global Change Biology</w:t>
      </w:r>
      <w:r w:rsidRPr="00B01F60">
        <w:rPr>
          <w:noProof/>
        </w:rPr>
        <w:t xml:space="preserve">, </w:t>
      </w:r>
      <w:r w:rsidRPr="00B01F60">
        <w:rPr>
          <w:i/>
          <w:iCs/>
          <w:noProof/>
        </w:rPr>
        <w:t>19</w:t>
      </w:r>
      <w:r w:rsidRPr="00B01F60">
        <w:rPr>
          <w:noProof/>
        </w:rPr>
        <w:t>(1), 45–63. https://doi.org/10.1111/j.1365-2486.2012.02797.x</w:t>
      </w:r>
    </w:p>
    <w:p w14:paraId="5440485B"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Smith, N. G., &amp; Keenan, T. F. (2020). Mechanisms underlying leaf photosynthetic acclimation to warming and elevated CO2 as inferred from least‐cost optimality theory. </w:t>
      </w:r>
      <w:r w:rsidRPr="00B01F60">
        <w:rPr>
          <w:i/>
          <w:iCs/>
          <w:noProof/>
        </w:rPr>
        <w:t>Global Change Biology</w:t>
      </w:r>
      <w:r w:rsidRPr="00B01F60">
        <w:rPr>
          <w:noProof/>
        </w:rPr>
        <w:t xml:space="preserve">, </w:t>
      </w:r>
      <w:r w:rsidRPr="00B01F60">
        <w:rPr>
          <w:i/>
          <w:iCs/>
          <w:noProof/>
        </w:rPr>
        <w:t>26</w:t>
      </w:r>
      <w:r w:rsidRPr="00B01F60">
        <w:rPr>
          <w:noProof/>
        </w:rPr>
        <w:t>(9), 5202–5216. https://doi.org/10.1111/gcb.15212</w:t>
      </w:r>
    </w:p>
    <w:p w14:paraId="4124ADAA" w14:textId="77777777" w:rsidR="00B01F60" w:rsidRPr="00B01F60" w:rsidRDefault="00B01F60" w:rsidP="00B01F60">
      <w:pPr>
        <w:widowControl w:val="0"/>
        <w:autoSpaceDE w:val="0"/>
        <w:autoSpaceDN w:val="0"/>
        <w:adjustRightInd w:val="0"/>
        <w:ind w:left="480" w:hanging="480"/>
        <w:rPr>
          <w:noProof/>
        </w:rPr>
      </w:pPr>
      <w:r w:rsidRPr="00B01F60">
        <w:rPr>
          <w:noProof/>
        </w:rPr>
        <w:lastRenderedPageBreak/>
        <w:t xml:space="preserve">Smith, S. E., &amp; Read, D. J. (2008). </w:t>
      </w:r>
      <w:r w:rsidRPr="00B01F60">
        <w:rPr>
          <w:i/>
          <w:iCs/>
          <w:noProof/>
        </w:rPr>
        <w:t>Mycorrhizal Symbiosis</w:t>
      </w:r>
      <w:r w:rsidRPr="00B01F60">
        <w:rPr>
          <w:noProof/>
        </w:rPr>
        <w:t>.</w:t>
      </w:r>
    </w:p>
    <w:p w14:paraId="37272E19"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Terrer, C., Vicca, S., Hungate, B. A., Phillips, R. P., &amp; Prentice, I. C. (2016). Mycorrhizal association as a primary control of the CO2 fertilization effect. </w:t>
      </w:r>
      <w:r w:rsidRPr="00B01F60">
        <w:rPr>
          <w:i/>
          <w:iCs/>
          <w:noProof/>
        </w:rPr>
        <w:t>Science</w:t>
      </w:r>
      <w:r w:rsidRPr="00B01F60">
        <w:rPr>
          <w:noProof/>
        </w:rPr>
        <w:t xml:space="preserve">, </w:t>
      </w:r>
      <w:r w:rsidRPr="00B01F60">
        <w:rPr>
          <w:i/>
          <w:iCs/>
          <w:noProof/>
        </w:rPr>
        <w:t>353</w:t>
      </w:r>
      <w:r w:rsidRPr="00B01F60">
        <w:rPr>
          <w:noProof/>
        </w:rPr>
        <w:t>(6294), 72–74. https://doi.org/10.1126/science.aaf4610</w:t>
      </w:r>
    </w:p>
    <w:p w14:paraId="752038AA"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Terrer, C., Vicca, S., Stocker, B. D., Hungate, B. A., Phillips, R. P., Reich, P. B., Finzi, A. C., &amp; Prentice, I. C. (2018). Ecosystem responses to elevated &lt;scp&gt;CO&lt;/scp&gt; </w:t>
      </w:r>
      <w:r w:rsidRPr="00B01F60">
        <w:rPr>
          <w:noProof/>
          <w:vertAlign w:val="subscript"/>
        </w:rPr>
        <w:t>2</w:t>
      </w:r>
      <w:r w:rsidRPr="00B01F60">
        <w:rPr>
          <w:noProof/>
        </w:rPr>
        <w:t xml:space="preserve"> governed by plant–soil interactions and the cost of nitrogen acquisition. </w:t>
      </w:r>
      <w:r w:rsidRPr="00B01F60">
        <w:rPr>
          <w:i/>
          <w:iCs/>
          <w:noProof/>
        </w:rPr>
        <w:t>New Phytologist</w:t>
      </w:r>
      <w:r w:rsidRPr="00B01F60">
        <w:rPr>
          <w:noProof/>
        </w:rPr>
        <w:t xml:space="preserve">, </w:t>
      </w:r>
      <w:r w:rsidRPr="00B01F60">
        <w:rPr>
          <w:i/>
          <w:iCs/>
          <w:noProof/>
        </w:rPr>
        <w:t>217</w:t>
      </w:r>
      <w:r w:rsidRPr="00B01F60">
        <w:rPr>
          <w:noProof/>
        </w:rPr>
        <w:t>(2), 507–522. https://doi.org/10.1111/nph.14872</w:t>
      </w:r>
    </w:p>
    <w:p w14:paraId="702ACBD0"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Wright, I. J., Reich, P. B., &amp; Westoby, M. (2003). Least-cost input mixtures of water and nitrogen for photosynthesis. </w:t>
      </w:r>
      <w:r w:rsidRPr="00B01F60">
        <w:rPr>
          <w:i/>
          <w:iCs/>
          <w:noProof/>
        </w:rPr>
        <w:t>The American Naturalist</w:t>
      </w:r>
      <w:r w:rsidRPr="00B01F60">
        <w:rPr>
          <w:noProof/>
        </w:rPr>
        <w:t xml:space="preserve">, </w:t>
      </w:r>
      <w:r w:rsidRPr="00B01F60">
        <w:rPr>
          <w:i/>
          <w:iCs/>
          <w:noProof/>
        </w:rPr>
        <w:t>161</w:t>
      </w:r>
      <w:r w:rsidRPr="00B01F60">
        <w:rPr>
          <w:noProof/>
        </w:rPr>
        <w:t>(1), 98–111. https://doi.org/0003-0147/2003/16101-010387</w:t>
      </w:r>
    </w:p>
    <w:p w14:paraId="4B231BC7" w14:textId="34D9E6B8" w:rsidR="00E60BAC" w:rsidRPr="00E60BAC" w:rsidRDefault="00E60BAC" w:rsidP="00B01F60">
      <w:pPr>
        <w:widowControl w:val="0"/>
        <w:autoSpaceDE w:val="0"/>
        <w:autoSpaceDN w:val="0"/>
        <w:adjustRightInd w:val="0"/>
        <w:ind w:left="480" w:hanging="480"/>
        <w:rPr>
          <w:b/>
          <w:bCs/>
        </w:rPr>
      </w:pPr>
      <w:r>
        <w:rPr>
          <w:b/>
          <w:bCs/>
        </w:rPr>
        <w:fldChar w:fldCharType="end"/>
      </w:r>
    </w:p>
    <w:sectPr w:rsidR="00E60BAC" w:rsidRPr="00E60BAC" w:rsidSect="00770577">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BAC"/>
    <w:rsid w:val="00020C30"/>
    <w:rsid w:val="000662B7"/>
    <w:rsid w:val="000B5223"/>
    <w:rsid w:val="00133763"/>
    <w:rsid w:val="001339A7"/>
    <w:rsid w:val="001C0D32"/>
    <w:rsid w:val="002034D4"/>
    <w:rsid w:val="00242D25"/>
    <w:rsid w:val="00247CFD"/>
    <w:rsid w:val="00265007"/>
    <w:rsid w:val="00281236"/>
    <w:rsid w:val="002948B1"/>
    <w:rsid w:val="002A1426"/>
    <w:rsid w:val="002A3C9A"/>
    <w:rsid w:val="002C360E"/>
    <w:rsid w:val="002E2834"/>
    <w:rsid w:val="003350A2"/>
    <w:rsid w:val="00346EE6"/>
    <w:rsid w:val="00351DA7"/>
    <w:rsid w:val="00385BDF"/>
    <w:rsid w:val="003A20C6"/>
    <w:rsid w:val="003F1DED"/>
    <w:rsid w:val="00451F94"/>
    <w:rsid w:val="00470A8B"/>
    <w:rsid w:val="00487452"/>
    <w:rsid w:val="00497794"/>
    <w:rsid w:val="004B70BE"/>
    <w:rsid w:val="004C51F0"/>
    <w:rsid w:val="0053755A"/>
    <w:rsid w:val="005459FB"/>
    <w:rsid w:val="00550C18"/>
    <w:rsid w:val="0058238C"/>
    <w:rsid w:val="005A3AD9"/>
    <w:rsid w:val="005A591B"/>
    <w:rsid w:val="005B0115"/>
    <w:rsid w:val="005B353A"/>
    <w:rsid w:val="0061578C"/>
    <w:rsid w:val="00616ADB"/>
    <w:rsid w:val="006B2DB0"/>
    <w:rsid w:val="00770577"/>
    <w:rsid w:val="0079452B"/>
    <w:rsid w:val="007954B2"/>
    <w:rsid w:val="007A39EE"/>
    <w:rsid w:val="007B67A6"/>
    <w:rsid w:val="00816C54"/>
    <w:rsid w:val="00875F70"/>
    <w:rsid w:val="008E01D4"/>
    <w:rsid w:val="0091040E"/>
    <w:rsid w:val="00930CCC"/>
    <w:rsid w:val="009B2B3C"/>
    <w:rsid w:val="009D6030"/>
    <w:rsid w:val="00A14A1D"/>
    <w:rsid w:val="00A618EC"/>
    <w:rsid w:val="00A63B5B"/>
    <w:rsid w:val="00A765F4"/>
    <w:rsid w:val="00A87C8A"/>
    <w:rsid w:val="00AC0888"/>
    <w:rsid w:val="00AF1373"/>
    <w:rsid w:val="00B01F60"/>
    <w:rsid w:val="00BA3A8F"/>
    <w:rsid w:val="00BC73C6"/>
    <w:rsid w:val="00BE41BE"/>
    <w:rsid w:val="00C31060"/>
    <w:rsid w:val="00C77766"/>
    <w:rsid w:val="00CD368B"/>
    <w:rsid w:val="00CE09F1"/>
    <w:rsid w:val="00CF3DB6"/>
    <w:rsid w:val="00D47386"/>
    <w:rsid w:val="00D74B1E"/>
    <w:rsid w:val="00DA6299"/>
    <w:rsid w:val="00DB7CDA"/>
    <w:rsid w:val="00DD0204"/>
    <w:rsid w:val="00DF14FC"/>
    <w:rsid w:val="00E06DE0"/>
    <w:rsid w:val="00E070C2"/>
    <w:rsid w:val="00E40882"/>
    <w:rsid w:val="00E60BAC"/>
    <w:rsid w:val="00F42BEB"/>
    <w:rsid w:val="00F55823"/>
    <w:rsid w:val="00F83BCB"/>
    <w:rsid w:val="00F854A8"/>
    <w:rsid w:val="00F86D81"/>
    <w:rsid w:val="00F917B0"/>
    <w:rsid w:val="00F93A34"/>
    <w:rsid w:val="00FA7EF0"/>
    <w:rsid w:val="00FC6B3C"/>
    <w:rsid w:val="00FD7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D108C"/>
  <w15:chartTrackingRefBased/>
  <w15:docId w15:val="{811B2E17-3DCF-2C47-835D-1047632E3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BAC"/>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42BEB"/>
    <w:rPr>
      <w:sz w:val="16"/>
      <w:szCs w:val="16"/>
    </w:rPr>
  </w:style>
  <w:style w:type="paragraph" w:styleId="CommentText">
    <w:name w:val="annotation text"/>
    <w:basedOn w:val="Normal"/>
    <w:link w:val="CommentTextChar"/>
    <w:uiPriority w:val="99"/>
    <w:unhideWhenUsed/>
    <w:rsid w:val="00F42BEB"/>
    <w:rPr>
      <w:sz w:val="20"/>
      <w:szCs w:val="20"/>
    </w:rPr>
  </w:style>
  <w:style w:type="character" w:customStyle="1" w:styleId="CommentTextChar">
    <w:name w:val="Comment Text Char"/>
    <w:basedOn w:val="DefaultParagraphFont"/>
    <w:link w:val="CommentText"/>
    <w:uiPriority w:val="99"/>
    <w:rsid w:val="00F42BEB"/>
    <w:rPr>
      <w:rFonts w:eastAsia="Times New Roman" w:cs="Times New Roman"/>
      <w:sz w:val="20"/>
      <w:szCs w:val="20"/>
    </w:rPr>
  </w:style>
  <w:style w:type="character" w:styleId="PlaceholderText">
    <w:name w:val="Placeholder Text"/>
    <w:basedOn w:val="DefaultParagraphFont"/>
    <w:uiPriority w:val="99"/>
    <w:semiHidden/>
    <w:rsid w:val="00D74B1E"/>
    <w:rPr>
      <w:color w:val="808080"/>
    </w:rPr>
  </w:style>
  <w:style w:type="character" w:styleId="LineNumber">
    <w:name w:val="line number"/>
    <w:basedOn w:val="DefaultParagraphFont"/>
    <w:uiPriority w:val="99"/>
    <w:semiHidden/>
    <w:unhideWhenUsed/>
    <w:rsid w:val="005B0115"/>
  </w:style>
  <w:style w:type="paragraph" w:styleId="CommentSubject">
    <w:name w:val="annotation subject"/>
    <w:basedOn w:val="CommentText"/>
    <w:next w:val="CommentText"/>
    <w:link w:val="CommentSubjectChar"/>
    <w:uiPriority w:val="99"/>
    <w:semiHidden/>
    <w:unhideWhenUsed/>
    <w:rsid w:val="00247CFD"/>
    <w:rPr>
      <w:b/>
      <w:bCs/>
    </w:rPr>
  </w:style>
  <w:style w:type="character" w:customStyle="1" w:styleId="CommentSubjectChar">
    <w:name w:val="Comment Subject Char"/>
    <w:basedOn w:val="CommentTextChar"/>
    <w:link w:val="CommentSubject"/>
    <w:uiPriority w:val="99"/>
    <w:semiHidden/>
    <w:rsid w:val="00247CFD"/>
    <w:rPr>
      <w:rFonts w:eastAsia="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7FA6A-3201-0E4B-A322-72F3DB27D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21</Pages>
  <Words>26837</Words>
  <Characters>152972</Characters>
  <Application>Microsoft Office Word</Application>
  <DocSecurity>0</DocSecurity>
  <Lines>1274</Lines>
  <Paragraphs>358</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179451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12</cp:revision>
  <dcterms:created xsi:type="dcterms:W3CDTF">2022-05-18T14:45:00Z</dcterms:created>
  <dcterms:modified xsi:type="dcterms:W3CDTF">2022-09-29T23:05:00Z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d318f89c-753e-37fb-ba10-399a36a20455</vt:lpwstr>
  </property>
  <property fmtid="{D5CDD505-2E9C-101B-9397-08002B2CF9AE}" pid="4" name="Mendeley Citation Style_1">
    <vt:lpwstr>http://www.zotero.org/styles/global-change-biology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http://www.zotero.org/styles/global-change-biology</vt:lpwstr>
  </property>
  <property fmtid="{D5CDD505-2E9C-101B-9397-08002B2CF9AE}" pid="18" name="Mendeley Recent Style Name 6_1">
    <vt:lpwstr>Global Change Biology</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http://www.zotero.org/styles/new-phytologist</vt:lpwstr>
  </property>
  <property fmtid="{D5CDD505-2E9C-101B-9397-08002B2CF9AE}" pid="24" name="Mendeley Recent Style Name 9_1">
    <vt:lpwstr>New Phytologist</vt:lpwstr>
  </property>
</Properties>
</file>