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9E6F" w14:textId="5F8236EF" w:rsidR="002C360E" w:rsidRDefault="00323E9E" w:rsidP="005C6DC1">
      <w:pPr>
        <w:spacing w:line="360" w:lineRule="auto"/>
        <w:rPr>
          <w:b/>
          <w:bCs/>
        </w:rPr>
      </w:pPr>
      <w:r>
        <w:rPr>
          <w:b/>
          <w:bCs/>
        </w:rPr>
        <w:t>SUPPLEMENTARY MATERIAL FOR:</w:t>
      </w:r>
      <w:r w:rsidR="00BE5BCC">
        <w:rPr>
          <w:b/>
          <w:bCs/>
        </w:rPr>
        <w:t xml:space="preserve"> </w:t>
      </w:r>
      <w:r w:rsidR="00BE5BCC" w:rsidRPr="00FC634E">
        <w:rPr>
          <w:b/>
          <w:bCs/>
        </w:rPr>
        <w:t>“</w:t>
      </w:r>
      <w:r w:rsidR="00FC634E" w:rsidRPr="00FC634E">
        <w:rPr>
          <w:b/>
          <w:bCs/>
        </w:rPr>
        <w:t>Optimal coordination and progressive nitrogen limitation control plant responses to elevated CO</w:t>
      </w:r>
      <w:r w:rsidR="00FC634E" w:rsidRPr="00FC634E">
        <w:rPr>
          <w:b/>
          <w:bCs/>
          <w:vertAlign w:val="subscript"/>
        </w:rPr>
        <w:t>2</w:t>
      </w:r>
      <w:r w:rsidR="00FC634E" w:rsidRPr="00FC634E">
        <w:rPr>
          <w:b/>
          <w:bCs/>
        </w:rPr>
        <w:t xml:space="preserve"> at difference scales</w:t>
      </w:r>
      <w:r w:rsidR="00BE5BCC" w:rsidRPr="00FC634E">
        <w:rPr>
          <w:b/>
          <w:bCs/>
        </w:rPr>
        <w:t>”</w:t>
      </w:r>
    </w:p>
    <w:p w14:paraId="007BD409" w14:textId="293B3E2F" w:rsidR="00323E9E" w:rsidRDefault="00323E9E" w:rsidP="005C6DC1">
      <w:pPr>
        <w:spacing w:line="360" w:lineRule="auto"/>
        <w:rPr>
          <w:b/>
          <w:bCs/>
        </w:rPr>
      </w:pPr>
    </w:p>
    <w:p w14:paraId="60CD51F6" w14:textId="5F8CDAA4" w:rsidR="005C6DC1" w:rsidRDefault="005C6DC1" w:rsidP="005C6DC1">
      <w:pPr>
        <w:spacing w:line="360" w:lineRule="auto"/>
        <w:rPr>
          <w:b/>
          <w:bCs/>
        </w:rPr>
      </w:pPr>
      <w:r>
        <w:rPr>
          <w:b/>
          <w:bCs/>
        </w:rPr>
        <w:t>Results (cont.)</w:t>
      </w:r>
    </w:p>
    <w:p w14:paraId="566BED0E" w14:textId="77777777" w:rsidR="005C6DC1" w:rsidRPr="000E7383" w:rsidRDefault="005C6DC1" w:rsidP="005C6DC1">
      <w:pPr>
        <w:spacing w:line="360" w:lineRule="auto"/>
        <w:rPr>
          <w:bCs/>
        </w:rPr>
      </w:pPr>
      <w:r w:rsidRPr="000E7383">
        <w:rPr>
          <w:bCs/>
          <w:i/>
          <w:iCs/>
        </w:rPr>
        <w:t>Nitrogen fixation</w:t>
      </w:r>
    </w:p>
    <w:p w14:paraId="057217B1" w14:textId="701DDC99" w:rsidR="005C6DC1" w:rsidRPr="00586DDB" w:rsidRDefault="005C6DC1" w:rsidP="00FC634E">
      <w:pPr>
        <w:spacing w:line="360" w:lineRule="auto"/>
        <w:rPr>
          <w:bCs/>
        </w:rPr>
      </w:pPr>
      <w:r>
        <w:rPr>
          <w:bCs/>
        </w:rPr>
        <w:t>Nodule biomass was stimulated by 30% under elevated CO</w:t>
      </w:r>
      <w:r>
        <w:rPr>
          <w:bCs/>
          <w:vertAlign w:val="subscript"/>
        </w:rPr>
        <w:t>2</w:t>
      </w:r>
      <w:r>
        <w:rPr>
          <w:bCs/>
        </w:rPr>
        <w:t xml:space="preserve"> (</w:t>
      </w:r>
      <w:r w:rsidRPr="00E4133D">
        <w:rPr>
          <w:bCs/>
          <w:i/>
          <w:iCs/>
        </w:rPr>
        <w:t>p</w:t>
      </w:r>
      <w:r>
        <w:rPr>
          <w:bCs/>
        </w:rPr>
        <w:t xml:space="preserve">&lt;0.001; Table </w:t>
      </w:r>
      <w:r w:rsidR="00FC634E">
        <w:rPr>
          <w:bCs/>
        </w:rPr>
        <w:t>S3</w:t>
      </w:r>
      <w:r>
        <w:rPr>
          <w:bCs/>
        </w:rPr>
        <w:t>), a pattern that was modified across the fertilization gradient (p</w:t>
      </w:r>
      <w:r w:rsidR="00864692">
        <w:rPr>
          <w:bCs/>
        </w:rPr>
        <w:t>&gt;0.05</w:t>
      </w:r>
      <w:r>
        <w:rPr>
          <w:bCs/>
        </w:rPr>
        <w:t xml:space="preserve">; Table </w:t>
      </w:r>
      <w:r w:rsidR="00FC634E">
        <w:rPr>
          <w:bCs/>
        </w:rPr>
        <w:t>S3</w:t>
      </w:r>
      <w:r>
        <w:rPr>
          <w:bCs/>
        </w:rPr>
        <w:t>), but not between inoculation treatments (</w:t>
      </w:r>
      <w:r w:rsidRPr="00E4133D">
        <w:rPr>
          <w:bCs/>
          <w:i/>
          <w:iCs/>
        </w:rPr>
        <w:t>p</w:t>
      </w:r>
      <w:r w:rsidR="00864692">
        <w:rPr>
          <w:bCs/>
        </w:rPr>
        <w:t>&gt;0.05</w:t>
      </w:r>
      <w:r>
        <w:rPr>
          <w:bCs/>
        </w:rPr>
        <w:t xml:space="preserve">; Table </w:t>
      </w:r>
      <w:r w:rsidR="00FC634E">
        <w:rPr>
          <w:bCs/>
        </w:rPr>
        <w:t>S3</w:t>
      </w:r>
      <w:r>
        <w:rPr>
          <w:bCs/>
        </w:rPr>
        <w:t>). Specifically, the general negative effect of increasing fertilization on nodule biomass (</w:t>
      </w:r>
      <w:r w:rsidRPr="00E4133D">
        <w:rPr>
          <w:bCs/>
          <w:i/>
          <w:iCs/>
        </w:rPr>
        <w:t>p</w:t>
      </w:r>
      <w:r>
        <w:rPr>
          <w:bCs/>
        </w:rPr>
        <w:t xml:space="preserve">&lt;0.001; Table </w:t>
      </w:r>
      <w:r w:rsidR="00FC634E">
        <w:rPr>
          <w:bCs/>
        </w:rPr>
        <w:t>S3</w:t>
      </w:r>
      <w:r>
        <w:rPr>
          <w:bCs/>
        </w:rPr>
        <w:t>) was stronger under elevated CO</w:t>
      </w:r>
      <w:r>
        <w:rPr>
          <w:bCs/>
          <w:vertAlign w:val="subscript"/>
        </w:rPr>
        <w:t>2</w:t>
      </w:r>
      <w:r>
        <w:rPr>
          <w:bCs/>
        </w:rPr>
        <w:t xml:space="preserve"> than ambient CO</w:t>
      </w:r>
      <w:r>
        <w:rPr>
          <w:bCs/>
          <w:vertAlign w:val="subscript"/>
        </w:rPr>
        <w:t>2</w:t>
      </w:r>
      <w:r>
        <w:rPr>
          <w:bCs/>
        </w:rPr>
        <w:t xml:space="preserve"> (Tukey: </w:t>
      </w:r>
      <w:r w:rsidRPr="00E4133D">
        <w:rPr>
          <w:bCs/>
          <w:i/>
          <w:iCs/>
        </w:rPr>
        <w:t>p</w:t>
      </w:r>
      <w:r>
        <w:rPr>
          <w:bCs/>
        </w:rPr>
        <w:t xml:space="preserve">&lt;0.001; Fig. </w:t>
      </w:r>
      <w:r w:rsidR="00FC634E">
        <w:rPr>
          <w:bCs/>
        </w:rPr>
        <w:t>S3a</w:t>
      </w:r>
      <w:r>
        <w:rPr>
          <w:bCs/>
        </w:rPr>
        <w:t>), which reduced the stimulation in nodule biomass under elevated CO</w:t>
      </w:r>
      <w:r>
        <w:rPr>
          <w:bCs/>
          <w:vertAlign w:val="subscript"/>
        </w:rPr>
        <w:t>2</w:t>
      </w:r>
      <w:r>
        <w:rPr>
          <w:bCs/>
        </w:rPr>
        <w:t xml:space="preserve"> with increasing fertilization. A strong interaction between fertilization and inoculation (</w:t>
      </w:r>
      <w:r w:rsidRPr="00E4133D">
        <w:rPr>
          <w:bCs/>
          <w:i/>
          <w:iCs/>
        </w:rPr>
        <w:t>p</w:t>
      </w:r>
      <w:r>
        <w:rPr>
          <w:bCs/>
        </w:rPr>
        <w:t xml:space="preserve">&lt;0.001; Table </w:t>
      </w:r>
      <w:r w:rsidR="00FC634E">
        <w:rPr>
          <w:bCs/>
        </w:rPr>
        <w:t>S3</w:t>
      </w:r>
      <w:r>
        <w:rPr>
          <w:bCs/>
        </w:rPr>
        <w:t xml:space="preserve">) was driven by a stronger negative effect of increasing fertilization in inoculated pots (Tukey: </w:t>
      </w:r>
      <w:r w:rsidRPr="00E4133D">
        <w:rPr>
          <w:bCs/>
          <w:i/>
          <w:iCs/>
        </w:rPr>
        <w:t>p</w:t>
      </w:r>
      <w:r>
        <w:rPr>
          <w:bCs/>
        </w:rPr>
        <w:t xml:space="preserve">&lt;0.001; Fig. </w:t>
      </w:r>
      <w:r w:rsidR="00FC634E">
        <w:rPr>
          <w:bCs/>
        </w:rPr>
        <w:t>S3a</w:t>
      </w:r>
      <w:r>
        <w:rPr>
          <w:bCs/>
        </w:rPr>
        <w:t>).</w:t>
      </w:r>
    </w:p>
    <w:p w14:paraId="0503A078" w14:textId="12608F11" w:rsidR="005C6DC1" w:rsidRPr="00E648B5" w:rsidRDefault="005C6DC1" w:rsidP="005C6DC1">
      <w:pPr>
        <w:spacing w:line="360" w:lineRule="auto"/>
        <w:ind w:firstLine="720"/>
        <w:rPr>
          <w:bCs/>
        </w:rPr>
      </w:pPr>
      <w:r>
        <w:rPr>
          <w:bCs/>
        </w:rPr>
        <w:t>There was no effect of CO</w:t>
      </w:r>
      <w:r>
        <w:rPr>
          <w:bCs/>
          <w:vertAlign w:val="subscript"/>
        </w:rPr>
        <w:t>2</w:t>
      </w:r>
      <w:r>
        <w:rPr>
          <w:bCs/>
        </w:rPr>
        <w:t xml:space="preserve"> on nodule: root biomass (</w:t>
      </w:r>
      <w:r w:rsidRPr="00E4133D">
        <w:rPr>
          <w:bCs/>
          <w:i/>
          <w:iCs/>
        </w:rPr>
        <w:t>p</w:t>
      </w:r>
      <w:r w:rsidR="00864692">
        <w:rPr>
          <w:bCs/>
        </w:rPr>
        <w:t>&gt;0.05</w:t>
      </w:r>
      <w:r>
        <w:rPr>
          <w:bCs/>
        </w:rPr>
        <w:t xml:space="preserve">; Table </w:t>
      </w:r>
      <w:r w:rsidR="00FC634E">
        <w:rPr>
          <w:bCs/>
        </w:rPr>
        <w:t>S3</w:t>
      </w:r>
      <w:r w:rsidR="00FC634E">
        <w:rPr>
          <w:bCs/>
        </w:rPr>
        <w:t>b</w:t>
      </w:r>
      <w:r>
        <w:rPr>
          <w:bCs/>
        </w:rPr>
        <w:t>), although an interaction between CO</w:t>
      </w:r>
      <w:r>
        <w:rPr>
          <w:bCs/>
          <w:vertAlign w:val="subscript"/>
        </w:rPr>
        <w:t>2</w:t>
      </w:r>
      <w:r>
        <w:rPr>
          <w:bCs/>
        </w:rPr>
        <w:t xml:space="preserve"> and inoculation (</w:t>
      </w:r>
      <w:r w:rsidRPr="00E4133D">
        <w:rPr>
          <w:bCs/>
          <w:i/>
          <w:iCs/>
        </w:rPr>
        <w:t>p</w:t>
      </w:r>
      <w:r>
        <w:rPr>
          <w:bCs/>
        </w:rPr>
        <w:t xml:space="preserve">&lt;0.001; Table </w:t>
      </w:r>
      <w:r w:rsidR="00FC634E">
        <w:rPr>
          <w:bCs/>
        </w:rPr>
        <w:t>S3</w:t>
      </w:r>
      <w:r>
        <w:rPr>
          <w:bCs/>
        </w:rPr>
        <w:t>) indicated that the general positive effect of inoculation on nodule: root biomass (</w:t>
      </w:r>
      <w:r w:rsidRPr="00E4133D">
        <w:rPr>
          <w:bCs/>
          <w:i/>
          <w:iCs/>
        </w:rPr>
        <w:t>p</w:t>
      </w:r>
      <w:r>
        <w:rPr>
          <w:bCs/>
        </w:rPr>
        <w:t xml:space="preserve">&lt;0.001; Table </w:t>
      </w:r>
      <w:r w:rsidR="00FC634E">
        <w:rPr>
          <w:bCs/>
        </w:rPr>
        <w:t>S3</w:t>
      </w:r>
      <w:r>
        <w:rPr>
          <w:bCs/>
        </w:rPr>
        <w:t>) was stronger under ambient CO</w:t>
      </w:r>
      <w:r>
        <w:rPr>
          <w:bCs/>
          <w:vertAlign w:val="subscript"/>
        </w:rPr>
        <w:t>2</w:t>
      </w:r>
      <w:r>
        <w:rPr>
          <w:bCs/>
        </w:rPr>
        <w:t xml:space="preserve"> (3129% increase; Tukey: </w:t>
      </w:r>
      <w:r w:rsidRPr="00E4133D">
        <w:rPr>
          <w:bCs/>
          <w:i/>
          <w:iCs/>
        </w:rPr>
        <w:t>p</w:t>
      </w:r>
      <w:r>
        <w:rPr>
          <w:bCs/>
        </w:rPr>
        <w:t>&lt;0.001) than elevated CO</w:t>
      </w:r>
      <w:r>
        <w:rPr>
          <w:bCs/>
          <w:vertAlign w:val="subscript"/>
        </w:rPr>
        <w:t>2</w:t>
      </w:r>
      <w:r>
        <w:rPr>
          <w:bCs/>
        </w:rPr>
        <w:t xml:space="preserve"> (379% increase; Tukey: </w:t>
      </w:r>
      <w:r w:rsidRPr="00E4133D">
        <w:rPr>
          <w:bCs/>
          <w:i/>
          <w:iCs/>
        </w:rPr>
        <w:t>p</w:t>
      </w:r>
      <w:r>
        <w:rPr>
          <w:bCs/>
        </w:rPr>
        <w:t>&lt;0.001). The null effect of CO</w:t>
      </w:r>
      <w:r>
        <w:rPr>
          <w:bCs/>
          <w:vertAlign w:val="subscript"/>
        </w:rPr>
        <w:t>2</w:t>
      </w:r>
      <w:r>
        <w:rPr>
          <w:bCs/>
        </w:rPr>
        <w:t xml:space="preserve"> on nodule: root biomass was consistently observed across the fertilization gradient (</w:t>
      </w:r>
      <w:r w:rsidRPr="00E4133D">
        <w:rPr>
          <w:bCs/>
          <w:i/>
          <w:iCs/>
        </w:rPr>
        <w:t>p</w:t>
      </w:r>
      <w:r w:rsidR="00864692">
        <w:rPr>
          <w:bCs/>
        </w:rPr>
        <w:t>&gt;0.05</w:t>
      </w:r>
      <w:r>
        <w:rPr>
          <w:bCs/>
        </w:rPr>
        <w:t xml:space="preserve">; Table </w:t>
      </w:r>
      <w:r w:rsidR="00FC634E">
        <w:rPr>
          <w:bCs/>
        </w:rPr>
        <w:t>S3</w:t>
      </w:r>
      <w:r>
        <w:rPr>
          <w:bCs/>
        </w:rPr>
        <w:t xml:space="preserve">; Fig. </w:t>
      </w:r>
      <w:r w:rsidR="00FC634E">
        <w:rPr>
          <w:bCs/>
        </w:rPr>
        <w:t>S3b</w:t>
      </w:r>
      <w:r>
        <w:rPr>
          <w:bCs/>
        </w:rPr>
        <w:t>). An interaction between fertilization and inoculation (</w:t>
      </w:r>
      <w:r w:rsidRPr="00E4133D">
        <w:rPr>
          <w:bCs/>
          <w:i/>
          <w:iCs/>
        </w:rPr>
        <w:t>p</w:t>
      </w:r>
      <w:r>
        <w:rPr>
          <w:bCs/>
        </w:rPr>
        <w:t>&lt;0.001; Table 6) indicated that the general negative effect of increasing fertilization on nodule: root biomass (</w:t>
      </w:r>
      <w:r w:rsidRPr="00E4133D">
        <w:rPr>
          <w:bCs/>
          <w:i/>
          <w:iCs/>
        </w:rPr>
        <w:t>p</w:t>
      </w:r>
      <w:r>
        <w:rPr>
          <w:bCs/>
        </w:rPr>
        <w:t xml:space="preserve">&lt;0.001; Table </w:t>
      </w:r>
      <w:r w:rsidR="00FC634E">
        <w:rPr>
          <w:bCs/>
        </w:rPr>
        <w:t>S3</w:t>
      </w:r>
      <w:r>
        <w:rPr>
          <w:bCs/>
        </w:rPr>
        <w:t xml:space="preserve">) was stronger in inoculated pots (Tukey: </w:t>
      </w:r>
      <w:r w:rsidRPr="00E4133D">
        <w:rPr>
          <w:bCs/>
          <w:i/>
          <w:iCs/>
        </w:rPr>
        <w:t>p</w:t>
      </w:r>
      <w:r>
        <w:rPr>
          <w:bCs/>
        </w:rPr>
        <w:t xml:space="preserve">&lt;0.001; Fig. </w:t>
      </w:r>
      <w:r w:rsidR="00FC634E">
        <w:rPr>
          <w:bCs/>
        </w:rPr>
        <w:t>S3b</w:t>
      </w:r>
      <w:r>
        <w:rPr>
          <w:bCs/>
        </w:rPr>
        <w:t xml:space="preserve">). </w:t>
      </w:r>
    </w:p>
    <w:p w14:paraId="711497DC" w14:textId="3F818EAA" w:rsidR="005C6DC1" w:rsidRDefault="005C6DC1">
      <w:pPr>
        <w:rPr>
          <w:b/>
          <w:bCs/>
        </w:rPr>
      </w:pPr>
      <w:r>
        <w:rPr>
          <w:b/>
          <w:bCs/>
        </w:rPr>
        <w:br w:type="page"/>
      </w:r>
    </w:p>
    <w:p w14:paraId="1C68FD1B" w14:textId="1708BC4E" w:rsidR="00323E9E" w:rsidRPr="00EE0B37" w:rsidRDefault="00323E9E" w:rsidP="00864692">
      <w:pPr>
        <w:spacing w:line="360" w:lineRule="auto"/>
      </w:pPr>
      <w:r>
        <w:rPr>
          <w:b/>
          <w:bCs/>
        </w:rPr>
        <w:lastRenderedPageBreak/>
        <w:t>Table S1</w:t>
      </w:r>
      <w:r>
        <w:t xml:space="preserve"> Summary table containing volumes of compounds used to create modified Hoagland’s solutions for each soil nitrogen fertilization treatment. All volumes are expressed as milliliters per liter (mL/L)</w:t>
      </w:r>
    </w:p>
    <w:tbl>
      <w:tblPr>
        <w:tblW w:w="9208" w:type="dxa"/>
        <w:tblLook w:val="04A0" w:firstRow="1" w:lastRow="0" w:firstColumn="1" w:lastColumn="0" w:noHBand="0" w:noVBand="1"/>
      </w:tblPr>
      <w:tblGrid>
        <w:gridCol w:w="1923"/>
        <w:gridCol w:w="1457"/>
        <w:gridCol w:w="1457"/>
        <w:gridCol w:w="1457"/>
        <w:gridCol w:w="1457"/>
        <w:gridCol w:w="1457"/>
      </w:tblGrid>
      <w:tr w:rsidR="00EE0B37" w:rsidRPr="00323E9E" w14:paraId="40132FE0" w14:textId="77777777" w:rsidTr="00EE0B37">
        <w:trPr>
          <w:trHeight w:val="320"/>
        </w:trPr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D7A5" w14:textId="64C6E201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EC88F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0D3D7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35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BBA4A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70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6AB41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105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4DEEA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140 ppm N</w:t>
            </w:r>
          </w:p>
        </w:tc>
      </w:tr>
      <w:tr w:rsidR="00EE0B37" w:rsidRPr="00323E9E" w14:paraId="7E4B4CFB" w14:textId="77777777" w:rsidTr="00EE0B37">
        <w:trPr>
          <w:trHeight w:val="360"/>
        </w:trPr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6CFB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B365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1E3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0.165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9C0B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1FBB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157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</w:tr>
      <w:tr w:rsidR="00EE0B37" w:rsidRPr="00323E9E" w14:paraId="37454272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2768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KNO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7BBF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4CB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EBEA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24F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9B22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1.33</w:t>
            </w:r>
          </w:p>
        </w:tc>
      </w:tr>
      <w:tr w:rsidR="00EE0B37" w:rsidRPr="00323E9E" w14:paraId="4DEA365F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DD1D" w14:textId="0D5C4D81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Ca(NO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)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893D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AB9F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D10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99FD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4B5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1.33</w:t>
            </w:r>
          </w:p>
        </w:tc>
      </w:tr>
      <w:tr w:rsidR="00EE0B37" w:rsidRPr="00323E9E" w14:paraId="7F61621E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C13D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1C1F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BEB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0.165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F43B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C75A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9F84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</w:tr>
      <w:tr w:rsidR="00EE0B37" w:rsidRPr="00323E9E" w14:paraId="7E9CF3A2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E03D2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8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570ED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9DB3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B796A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DA655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2E803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EE0B37" w:rsidRPr="00323E9E" w14:paraId="673457CD" w14:textId="77777777" w:rsidTr="00EE0B37">
        <w:trPr>
          <w:trHeight w:val="360"/>
        </w:trPr>
        <w:tc>
          <w:tcPr>
            <w:tcW w:w="1923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93BF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KH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F702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BB6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2B2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2A60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743A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</w:t>
            </w:r>
          </w:p>
        </w:tc>
      </w:tr>
      <w:tr w:rsidR="00EE0B37" w:rsidRPr="00323E9E" w14:paraId="69269A73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3ED8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 xml:space="preserve">1 M </w:t>
            </w:r>
            <w:proofErr w:type="spellStart"/>
            <w:r w:rsidRPr="00EE0B37">
              <w:rPr>
                <w:rFonts w:eastAsia="Times New Roman" w:cs="Times New Roman"/>
                <w:b/>
                <w:bCs/>
                <w:color w:val="000000"/>
              </w:rPr>
              <w:t>KCl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C97A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FB19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2.45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ED9B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2598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8FF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E0B37" w:rsidRPr="00323E9E" w14:paraId="67852F21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2178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CaCO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BD73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0E235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3.33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E7A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2.67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56FD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F350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1.33</w:t>
            </w:r>
          </w:p>
        </w:tc>
      </w:tr>
      <w:tr w:rsidR="00EE0B37" w:rsidRPr="00323E9E" w14:paraId="077713A4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E08C" w14:textId="2915F9EC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MgSO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59B7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88E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4A4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4927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426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E0B37" w:rsidRPr="00323E9E" w14:paraId="1EBCD9F8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91EEA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10% Fe-EDTA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FAE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7DF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C8F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7977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7EE7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E0B37" w:rsidRPr="00323E9E" w14:paraId="52595961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2B198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Trace elements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3FE6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32AE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2B5D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5E618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91862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E0B37" w:rsidRPr="00323E9E" w14:paraId="29E05734" w14:textId="77777777" w:rsidTr="00EE0B37">
        <w:trPr>
          <w:trHeight w:val="320"/>
        </w:trPr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EB668B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C9D91B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9ACF53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10A048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E1D12F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2C88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436BAB12" w14:textId="77777777" w:rsidTr="00EE0B37">
        <w:trPr>
          <w:trHeight w:val="320"/>
        </w:trPr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32BE5F" w14:textId="0EC42D40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BE2DBC" w14:textId="107B78F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210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ED5C5C" w14:textId="6BDBD718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280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D382D" w14:textId="6BD7A53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350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60C87A" w14:textId="4AEACFD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630 ppm 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7B7A8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76A190A4" w14:textId="77777777" w:rsidTr="00EE0B37">
        <w:trPr>
          <w:trHeight w:val="320"/>
        </w:trPr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97C45" w14:textId="28FE3D9F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12887" w14:textId="2D33DA8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8521" w14:textId="3954013B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C24C5" w14:textId="66BFFC23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B74FC" w14:textId="6E38C465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38BBE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6F70102D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F9001" w14:textId="495C6236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KNO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47E5C" w14:textId="12D3564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05CFA" w14:textId="50A261F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B9638" w14:textId="0095686D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ED36A" w14:textId="7ED3BE5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157AA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49E22F75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6AD24" w14:textId="79461A77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Ca(NO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)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D3151" w14:textId="1C39F7E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9D834" w14:textId="76E85EA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80C53" w14:textId="4B84825D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D7FEE" w14:textId="358A0520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194A6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58237BFD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37233" w14:textId="68873AEE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0C813" w14:textId="0AF3603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8478F" w14:textId="35BECB50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3.5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E1DCD" w14:textId="738A91C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A2E32" w14:textId="260777B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AFD39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11ABB911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645890F2" w14:textId="6184C925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8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34BD6D4E" w14:textId="07880A5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6217178F" w14:textId="090145D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2AEFBB11" w14:textId="10E0C5E3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0.75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49E84727" w14:textId="1A14503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E840C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1D3353E8" w14:textId="77777777" w:rsidTr="00EE0B37">
        <w:trPr>
          <w:trHeight w:val="320"/>
        </w:trPr>
        <w:tc>
          <w:tcPr>
            <w:tcW w:w="1923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CBEDD" w14:textId="4078CF24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KH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2DA15" w14:textId="1855EAAE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54181" w14:textId="3318DE7E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EBE96" w14:textId="5C1C53F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280B1" w14:textId="45CE6D3F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FFE69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030475C5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A51D6" w14:textId="67E5A834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 xml:space="preserve">1 M </w:t>
            </w:r>
            <w:proofErr w:type="spellStart"/>
            <w:r w:rsidRPr="00EE0B37">
              <w:rPr>
                <w:rFonts w:eastAsia="Times New Roman" w:cs="Times New Roman"/>
                <w:b/>
                <w:bCs/>
                <w:color w:val="000000"/>
              </w:rPr>
              <w:t>KCl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263F8" w14:textId="1B41D20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20A25" w14:textId="4723C6C3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BFA3E" w14:textId="428D0DB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BFD54" w14:textId="38540E62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2736E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680E8E9B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6C7C1" w14:textId="7D3372C1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CaCO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A1201" w14:textId="0BB88478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18781" w14:textId="40BEB248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84338" w14:textId="6ECA40F5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78FA4" w14:textId="602AD7CF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E4750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669B30EF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1C653" w14:textId="073546D5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MgSO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214DA" w14:textId="66A6141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6B999" w14:textId="0C5E764D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B0A95" w14:textId="1EED32AE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1D477" w14:textId="0CBDF45D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0A701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28319F4A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AB12381" w14:textId="5435FE40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10% Fe-EDTA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ABEE2C" w14:textId="6E543B45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DCCD72" w14:textId="3072BBB5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C288D9" w14:textId="3C97C920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08BF08" w14:textId="260B973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55359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34F097B6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B8A770" w14:textId="3667CDF1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Trace elements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C2716" w14:textId="25B4AA2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74680E" w14:textId="1EEFF16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C8E4F6" w14:textId="760D03CF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047F38" w14:textId="6C58250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1569F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607B180C" w14:textId="6D5680BD" w:rsidR="00EE0B37" w:rsidRDefault="00EE0B37">
      <w:pPr>
        <w:rPr>
          <w:b/>
          <w:bCs/>
        </w:rPr>
      </w:pPr>
      <w:r>
        <w:rPr>
          <w:b/>
          <w:bCs/>
        </w:rPr>
        <w:br w:type="page"/>
      </w:r>
    </w:p>
    <w:p w14:paraId="74E8F841" w14:textId="17D792B1" w:rsidR="00147554" w:rsidRDefault="00147554" w:rsidP="00864692">
      <w:r>
        <w:rPr>
          <w:b/>
          <w:bCs/>
        </w:rPr>
        <w:lastRenderedPageBreak/>
        <w:t>Table S2</w:t>
      </w:r>
      <w:r>
        <w:t xml:space="preserve"> Summary of the daily growth chamber growing condition program</w:t>
      </w:r>
    </w:p>
    <w:p w14:paraId="58F8AD61" w14:textId="77777777" w:rsidR="00864692" w:rsidRDefault="00864692" w:rsidP="00864692"/>
    <w:tbl>
      <w:tblPr>
        <w:tblW w:w="6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2649"/>
        <w:gridCol w:w="2811"/>
      </w:tblGrid>
      <w:tr w:rsidR="008567FC" w:rsidRPr="008567FC" w14:paraId="60F70179" w14:textId="77777777" w:rsidTr="00CB4166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31CFB01E" w14:textId="77777777" w:rsidR="008567FC" w:rsidRPr="008567FC" w:rsidRDefault="008567FC" w:rsidP="008567F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8567FC">
              <w:rPr>
                <w:rFonts w:eastAsia="Times New Roman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07A4309D" w14:textId="1B7D04D2" w:rsidR="008567FC" w:rsidRPr="008567FC" w:rsidRDefault="008567FC" w:rsidP="008567F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8567FC">
              <w:rPr>
                <w:rFonts w:eastAsia="Times New Roman" w:cs="Times New Roman"/>
                <w:b/>
                <w:bCs/>
                <w:color w:val="000000"/>
              </w:rPr>
              <w:t>Air temperature (ºC)</w:t>
            </w:r>
          </w:p>
        </w:tc>
        <w:tc>
          <w:tcPr>
            <w:tcW w:w="2811" w:type="dxa"/>
            <w:shd w:val="clear" w:color="auto" w:fill="auto"/>
            <w:noWrap/>
            <w:vAlign w:val="bottom"/>
            <w:hideMark/>
          </w:tcPr>
          <w:p w14:paraId="40E9B5FA" w14:textId="34541216" w:rsidR="008567FC" w:rsidRPr="00CB4166" w:rsidRDefault="00CB4166" w:rsidP="008567FC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 xml:space="preserve">PAR </w:t>
            </w:r>
            <w:r>
              <w:rPr>
                <w:rFonts w:eastAsia="Times New Roman" w:cs="Times New Roman"/>
                <w:b/>
                <w:bCs/>
                <w:color w:val="000000"/>
              </w:rPr>
              <w:sym w:font="Symbol" w:char="F0B1"/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SD (</w:t>
            </w:r>
            <w:r>
              <w:rPr>
                <w:rFonts w:eastAsia="Times New Roman" w:cs="Times New Roman"/>
                <w:b/>
                <w:bCs/>
                <w:color w:val="000000"/>
                <w:lang w:val="el-GR"/>
              </w:rPr>
              <w:t>μ</w:t>
            </w:r>
            <w:r>
              <w:rPr>
                <w:rFonts w:eastAsia="Times New Roman" w:cs="Times New Roman"/>
                <w:b/>
                <w:bCs/>
                <w:color w:val="000000"/>
              </w:rPr>
              <w:t>mol m</w:t>
            </w:r>
            <w:r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-2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s</w:t>
            </w:r>
            <w:r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  <w:r>
              <w:rPr>
                <w:rFonts w:eastAsia="Times New Roman" w:cs="Times New Roman"/>
                <w:b/>
                <w:bCs/>
                <w:color w:val="000000"/>
              </w:rPr>
              <w:t>)</w:t>
            </w:r>
          </w:p>
        </w:tc>
      </w:tr>
      <w:tr w:rsidR="008567FC" w:rsidRPr="008567FC" w14:paraId="7C11E0D6" w14:textId="77777777" w:rsidTr="00CB4166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7F006DFF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09:00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4E88D72E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72B3F02D" w14:textId="591CBD21" w:rsidR="008567FC" w:rsidRPr="008567FC" w:rsidRDefault="00CB4166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278</w:t>
            </w:r>
            <w:r w:rsidRPr="00CB4166">
              <w:rPr>
                <w:rFonts w:eastAsia="Times New Roman" w:cs="Times New Roman"/>
                <w:color w:val="000000"/>
              </w:rPr>
              <w:sym w:font="Symbol" w:char="F0B1"/>
            </w: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8567FC" w:rsidRPr="008567FC" w14:paraId="235F402D" w14:textId="77777777" w:rsidTr="00CB4166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54EB608F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09:45</w:t>
            </w:r>
          </w:p>
        </w:tc>
        <w:tc>
          <w:tcPr>
            <w:tcW w:w="2649" w:type="dxa"/>
            <w:vMerge/>
            <w:vAlign w:val="center"/>
            <w:hideMark/>
          </w:tcPr>
          <w:p w14:paraId="64E440AA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2391971F" w14:textId="50395897" w:rsidR="008567FC" w:rsidRPr="008567FC" w:rsidRDefault="00CB4166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557</w:t>
            </w:r>
            <w:r w:rsidRPr="00CB4166">
              <w:rPr>
                <w:rFonts w:eastAsia="Times New Roman" w:cs="Times New Roman"/>
                <w:color w:val="000000"/>
              </w:rPr>
              <w:sym w:font="Symbol" w:char="F0B1"/>
            </w: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8567FC" w:rsidRPr="008567FC" w14:paraId="294A3E41" w14:textId="77777777" w:rsidTr="00CB4166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182DD5DE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10:30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31725F1F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0BB7E7F4" w14:textId="61C3C23E" w:rsidR="008567FC" w:rsidRPr="008567FC" w:rsidRDefault="00CB4166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797</w:t>
            </w:r>
            <w:r w:rsidRPr="00CB4166">
              <w:rPr>
                <w:rFonts w:eastAsia="Times New Roman" w:cs="Times New Roman"/>
                <w:color w:val="000000"/>
              </w:rPr>
              <w:sym w:font="Symbol" w:char="F0B1"/>
            </w: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8567FC" w:rsidRPr="008567FC" w14:paraId="2C83C8BB" w14:textId="77777777" w:rsidTr="00CB4166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20430973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11:15</w:t>
            </w:r>
          </w:p>
        </w:tc>
        <w:tc>
          <w:tcPr>
            <w:tcW w:w="2649" w:type="dxa"/>
            <w:vMerge/>
            <w:vAlign w:val="center"/>
            <w:hideMark/>
          </w:tcPr>
          <w:p w14:paraId="46CE3F58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7160E024" w14:textId="1CA02E82" w:rsidR="008567FC" w:rsidRPr="008567FC" w:rsidRDefault="00CB4166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1230</w:t>
            </w:r>
            <w:r w:rsidRPr="00CB4166">
              <w:rPr>
                <w:rFonts w:eastAsia="Times New Roman" w:cs="Times New Roman"/>
                <w:color w:val="000000"/>
              </w:rPr>
              <w:sym w:font="Symbol" w:char="F0B1"/>
            </w:r>
            <w:r>
              <w:rPr>
                <w:rFonts w:eastAsia="Times New Roman" w:cs="Times New Roman"/>
                <w:color w:val="000000"/>
              </w:rPr>
              <w:t>12</w:t>
            </w:r>
          </w:p>
        </w:tc>
      </w:tr>
      <w:tr w:rsidR="008567FC" w:rsidRPr="008567FC" w14:paraId="3D7B59BB" w14:textId="77777777" w:rsidTr="00CB4166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56B866F4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22:45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7B52813E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2735293A" w14:textId="771C343A" w:rsidR="008567FC" w:rsidRPr="008567FC" w:rsidRDefault="00CB4166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797</w:t>
            </w:r>
            <w:r w:rsidRPr="00CB4166">
              <w:rPr>
                <w:rFonts w:eastAsia="Times New Roman" w:cs="Times New Roman"/>
                <w:color w:val="000000"/>
              </w:rPr>
              <w:sym w:font="Symbol" w:char="F0B1"/>
            </w: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8567FC" w:rsidRPr="008567FC" w14:paraId="1BC865B3" w14:textId="77777777" w:rsidTr="00CB4166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402E3599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23:30</w:t>
            </w:r>
          </w:p>
        </w:tc>
        <w:tc>
          <w:tcPr>
            <w:tcW w:w="2649" w:type="dxa"/>
            <w:vMerge/>
            <w:vAlign w:val="center"/>
            <w:hideMark/>
          </w:tcPr>
          <w:p w14:paraId="47CB002E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51D2B722" w14:textId="474B085A" w:rsidR="008567FC" w:rsidRPr="008567FC" w:rsidRDefault="00CB4166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557</w:t>
            </w:r>
            <w:r w:rsidRPr="00CB4166">
              <w:rPr>
                <w:rFonts w:eastAsia="Times New Roman" w:cs="Times New Roman"/>
                <w:color w:val="000000"/>
              </w:rPr>
              <w:sym w:font="Symbol" w:char="F0B1"/>
            </w: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8567FC" w:rsidRPr="008567FC" w14:paraId="32B2E9C0" w14:textId="77777777" w:rsidTr="00CB4166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71F24F67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00:15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77DD1847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77F9515A" w14:textId="738870B2" w:rsidR="008567FC" w:rsidRPr="008567FC" w:rsidRDefault="00CB4166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278</w:t>
            </w:r>
            <w:r w:rsidRPr="00CB4166">
              <w:rPr>
                <w:rFonts w:eastAsia="Times New Roman" w:cs="Times New Roman"/>
                <w:color w:val="000000"/>
              </w:rPr>
              <w:sym w:font="Symbol" w:char="F0B1"/>
            </w: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8567FC" w:rsidRPr="008567FC" w14:paraId="364B6EF0" w14:textId="77777777" w:rsidTr="00CB4166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14BE2E90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01:00</w:t>
            </w:r>
          </w:p>
        </w:tc>
        <w:tc>
          <w:tcPr>
            <w:tcW w:w="2649" w:type="dxa"/>
            <w:vMerge/>
            <w:vAlign w:val="center"/>
            <w:hideMark/>
          </w:tcPr>
          <w:p w14:paraId="5F0D0C8C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12A74695" w14:textId="0D476AE1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</w:t>
            </w:r>
            <w:r w:rsidR="00CB4166" w:rsidRPr="00CB4166">
              <w:rPr>
                <w:rFonts w:eastAsia="Times New Roman" w:cs="Times New Roman"/>
                <w:color w:val="000000"/>
              </w:rPr>
              <w:sym w:font="Symbol" w:char="F0B1"/>
            </w:r>
            <w:r w:rsidR="00CB4166"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14:paraId="248DE3F4" w14:textId="1E16C632" w:rsidR="005C6DC1" w:rsidRDefault="005C6DC1"/>
    <w:p w14:paraId="1A7D4C01" w14:textId="77777777" w:rsidR="005C6DC1" w:rsidRDefault="005C6DC1">
      <w:pPr>
        <w:sectPr w:rsidR="005C6DC1" w:rsidSect="001475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8FC88C" w14:textId="6514C22A" w:rsidR="005C6DC1" w:rsidRPr="00BA14BF" w:rsidRDefault="005C6DC1" w:rsidP="005C6DC1">
      <w:pPr>
        <w:spacing w:line="360" w:lineRule="auto"/>
        <w:rPr>
          <w:b/>
        </w:rPr>
      </w:pPr>
      <w:r>
        <w:rPr>
          <w:b/>
        </w:rPr>
        <w:lastRenderedPageBreak/>
        <w:t xml:space="preserve">Table </w:t>
      </w:r>
      <w:r w:rsidR="00FC634E">
        <w:rPr>
          <w:b/>
        </w:rPr>
        <w:t>S3</w:t>
      </w:r>
      <w:r w:rsidRPr="000547B6">
        <w:rPr>
          <w:bCs/>
        </w:rPr>
        <w:t xml:space="preserve"> </w:t>
      </w:r>
      <w:r>
        <w:rPr>
          <w:bCs/>
        </w:rPr>
        <w:t>Effects of soil nitrogen fertilization, inoculation, and CO</w:t>
      </w:r>
      <w:r>
        <w:rPr>
          <w:bCs/>
          <w:vertAlign w:val="subscript"/>
        </w:rPr>
        <w:t>2</w:t>
      </w:r>
      <w:r>
        <w:rPr>
          <w:bCs/>
        </w:rPr>
        <w:t xml:space="preserve"> on the root nodule biomass: root biomass ratio and root nodule biomass</w:t>
      </w:r>
      <w:r>
        <w:rPr>
          <w:bCs/>
          <w:vertAlign w:val="superscript"/>
        </w:rPr>
        <w:t>*</w:t>
      </w:r>
    </w:p>
    <w:tbl>
      <w:tblPr>
        <w:tblW w:w="9687" w:type="dxa"/>
        <w:tblLook w:val="04A0" w:firstRow="1" w:lastRow="0" w:firstColumn="1" w:lastColumn="0" w:noHBand="0" w:noVBand="1"/>
      </w:tblPr>
      <w:tblGrid>
        <w:gridCol w:w="1975"/>
        <w:gridCol w:w="536"/>
        <w:gridCol w:w="1416"/>
        <w:gridCol w:w="1116"/>
        <w:gridCol w:w="1056"/>
        <w:gridCol w:w="1416"/>
        <w:gridCol w:w="1116"/>
        <w:gridCol w:w="1056"/>
      </w:tblGrid>
      <w:tr w:rsidR="00864692" w:rsidRPr="00151116" w14:paraId="1C168C28" w14:textId="77777777" w:rsidTr="00864692">
        <w:trPr>
          <w:trHeight w:val="320"/>
        </w:trPr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0D947B" w14:textId="77777777" w:rsidR="00864692" w:rsidRPr="00151116" w:rsidRDefault="00864692" w:rsidP="002C5BD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0629BF" w14:textId="77777777" w:rsidR="00864692" w:rsidRPr="00151116" w:rsidRDefault="00864692" w:rsidP="002C5BD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35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7C4FEA" w14:textId="77777777" w:rsidR="00864692" w:rsidRPr="00D924B1" w:rsidRDefault="00864692" w:rsidP="002C5BDB">
            <w:pPr>
              <w:spacing w:line="276" w:lineRule="auto"/>
              <w:rPr>
                <w:b/>
                <w:bCs/>
                <w:color w:val="000000"/>
                <w:vertAlign w:val="superscript"/>
              </w:rPr>
            </w:pPr>
            <w:r>
              <w:rPr>
                <w:b/>
                <w:bCs/>
                <w:color w:val="000000"/>
              </w:rPr>
              <w:t xml:space="preserve">Root nodule </w:t>
            </w:r>
            <w:proofErr w:type="spellStart"/>
            <w:r>
              <w:rPr>
                <w:b/>
                <w:bCs/>
                <w:color w:val="000000"/>
              </w:rPr>
              <w:t>biomass</w:t>
            </w:r>
            <w:r>
              <w:rPr>
                <w:b/>
                <w:bCs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35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12A171" w14:textId="77777777" w:rsidR="00864692" w:rsidRPr="00D924B1" w:rsidRDefault="00864692" w:rsidP="002C5BDB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Root nodule: root </w:t>
            </w:r>
            <w:proofErr w:type="spellStart"/>
            <w:r>
              <w:rPr>
                <w:b/>
                <w:bCs/>
                <w:color w:val="000000"/>
              </w:rPr>
              <w:t>biomass</w:t>
            </w:r>
            <w:r>
              <w:rPr>
                <w:b/>
                <w:bCs/>
                <w:color w:val="000000"/>
                <w:vertAlign w:val="superscript"/>
              </w:rPr>
              <w:t>b</w:t>
            </w:r>
            <w:proofErr w:type="spellEnd"/>
          </w:p>
        </w:tc>
      </w:tr>
      <w:tr w:rsidR="00864692" w:rsidRPr="00151116" w14:paraId="7A6DE16A" w14:textId="77777777" w:rsidTr="00864692">
        <w:trPr>
          <w:trHeight w:val="320"/>
        </w:trPr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BA250" w14:textId="77777777" w:rsidR="00864692" w:rsidRPr="00151116" w:rsidRDefault="00864692" w:rsidP="002C5BD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EB159" w14:textId="77777777" w:rsidR="00864692" w:rsidRPr="00151116" w:rsidRDefault="00864692" w:rsidP="002C5BDB">
            <w:pPr>
              <w:spacing w:line="276" w:lineRule="auto"/>
              <w:jc w:val="right"/>
              <w:rPr>
                <w:color w:val="000000"/>
              </w:rPr>
            </w:pPr>
            <w:r w:rsidRPr="00151116">
              <w:rPr>
                <w:color w:val="000000"/>
              </w:rPr>
              <w:t>df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69ED1" w14:textId="77777777" w:rsidR="00864692" w:rsidRPr="00151116" w:rsidRDefault="00864692" w:rsidP="002C5BDB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Coefficient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77897" w14:textId="77777777" w:rsidR="00864692" w:rsidRPr="00151116" w:rsidRDefault="00864692" w:rsidP="002C5BDB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i/>
                <w:iCs/>
                <w:color w:val="000000"/>
                <w:lang w:val="el-GR"/>
              </w:rPr>
              <w:t>χ</w:t>
            </w:r>
            <w:r w:rsidRPr="0005043C">
              <w:rPr>
                <w:color w:val="000000"/>
                <w:vertAlign w:val="superscript"/>
                <w:lang w:val="el-GR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A0953" w14:textId="77777777" w:rsidR="00864692" w:rsidRPr="00151116" w:rsidRDefault="00864692" w:rsidP="002C5BDB">
            <w:pPr>
              <w:spacing w:line="276" w:lineRule="auto"/>
              <w:jc w:val="right"/>
              <w:rPr>
                <w:color w:val="000000"/>
              </w:rPr>
            </w:pPr>
            <w:r w:rsidRPr="00E4133D">
              <w:rPr>
                <w:i/>
                <w:iCs/>
                <w:color w:val="000000"/>
              </w:rPr>
              <w:t>p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4B881" w14:textId="77777777" w:rsidR="00864692" w:rsidRPr="00151116" w:rsidRDefault="00864692" w:rsidP="002C5BDB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Coefficient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6F060" w14:textId="77777777" w:rsidR="00864692" w:rsidRPr="00151116" w:rsidRDefault="00864692" w:rsidP="002C5BDB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i/>
                <w:iCs/>
                <w:color w:val="000000"/>
                <w:lang w:val="el-GR"/>
              </w:rPr>
              <w:t>χ</w:t>
            </w:r>
            <w:r w:rsidRPr="0005043C">
              <w:rPr>
                <w:color w:val="000000"/>
                <w:vertAlign w:val="superscript"/>
                <w:lang w:val="el-GR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05F99" w14:textId="77777777" w:rsidR="00864692" w:rsidRPr="00151116" w:rsidRDefault="00864692" w:rsidP="002C5BDB">
            <w:pPr>
              <w:spacing w:line="276" w:lineRule="auto"/>
              <w:jc w:val="right"/>
              <w:rPr>
                <w:color w:val="000000"/>
              </w:rPr>
            </w:pPr>
            <w:r w:rsidRPr="00E4133D">
              <w:rPr>
                <w:i/>
                <w:iCs/>
                <w:color w:val="000000"/>
              </w:rPr>
              <w:t>p</w:t>
            </w:r>
          </w:p>
        </w:tc>
      </w:tr>
      <w:tr w:rsidR="00623BF6" w:rsidRPr="00151116" w14:paraId="09C2013B" w14:textId="77777777" w:rsidTr="00864692">
        <w:trPr>
          <w:trHeight w:val="320"/>
        </w:trPr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91FF" w14:textId="77777777" w:rsidR="00623BF6" w:rsidRPr="00151116" w:rsidRDefault="00623BF6" w:rsidP="00623BF6">
            <w:pPr>
              <w:spacing w:line="276" w:lineRule="auto"/>
              <w:rPr>
                <w:color w:val="000000"/>
              </w:rPr>
            </w:pPr>
            <w:r w:rsidRPr="00A075E5">
              <w:rPr>
                <w:color w:val="000000"/>
              </w:rPr>
              <w:t>(Intercept)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D274" w14:textId="77777777" w:rsidR="00623BF6" w:rsidRPr="00151116" w:rsidRDefault="00623BF6" w:rsidP="00623BF6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9EC9" w14:textId="11424713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9.41E-03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50D" w14:textId="34E97FCC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F7C2" w14:textId="18C04B2C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B015" w14:textId="2940A6AE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1.32E-02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F0F8" w14:textId="3464196B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1DAE" w14:textId="6BC66F3D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</w:t>
            </w:r>
          </w:p>
        </w:tc>
      </w:tr>
      <w:tr w:rsidR="00623BF6" w:rsidRPr="00151116" w14:paraId="0A779F1F" w14:textId="77777777" w:rsidTr="00864692">
        <w:trPr>
          <w:trHeight w:val="32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EE0D" w14:textId="77777777" w:rsidR="00623BF6" w:rsidRPr="00151116" w:rsidRDefault="00623BF6" w:rsidP="00623BF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CO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A5CB6" w14:textId="77777777" w:rsidR="00623BF6" w:rsidRPr="00151116" w:rsidRDefault="00623BF6" w:rsidP="00623BF6">
            <w:pPr>
              <w:spacing w:line="276" w:lineRule="auto"/>
              <w:jc w:val="right"/>
              <w:rPr>
                <w:color w:val="000000"/>
              </w:rPr>
            </w:pPr>
            <w:r w:rsidRPr="00A075E5">
              <w:rPr>
                <w:color w:val="00000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92DA" w14:textId="2916155D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1.20E-01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7BC7" w14:textId="275F7B61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19.258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5F2D" w14:textId="2D456B70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320B" w14:textId="7740B9F3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9.95E-02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8AAA" w14:textId="5828A89E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0.01</w:t>
            </w: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7E37" w14:textId="66A086E1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0.921</w:t>
            </w:r>
          </w:p>
        </w:tc>
      </w:tr>
      <w:tr w:rsidR="00623BF6" w:rsidRPr="00151116" w14:paraId="593A603B" w14:textId="77777777" w:rsidTr="00864692">
        <w:trPr>
          <w:trHeight w:val="32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1DC3" w14:textId="77777777" w:rsidR="00623BF6" w:rsidRPr="00151116" w:rsidRDefault="00623BF6" w:rsidP="00623BF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Inoculation (I)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8FD7" w14:textId="77777777" w:rsidR="00623BF6" w:rsidRPr="00151116" w:rsidRDefault="00623BF6" w:rsidP="00623BF6">
            <w:pPr>
              <w:spacing w:line="276" w:lineRule="auto"/>
              <w:jc w:val="right"/>
              <w:rPr>
                <w:color w:val="000000"/>
              </w:rPr>
            </w:pPr>
            <w:r w:rsidRPr="00A075E5">
              <w:rPr>
                <w:color w:val="00000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0852" w14:textId="7B1F8229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5.74E-01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E3C4" w14:textId="32ECCE6B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755.02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B5F6" w14:textId="3C9B504E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7D73" w14:textId="08D47281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5.45E-01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91DF" w14:textId="0C73FED1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902.063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03D5" w14:textId="6C3D196F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b/>
                <w:bCs/>
                <w:color w:val="000000"/>
              </w:rPr>
              <w:t>&lt;0.001</w:t>
            </w:r>
          </w:p>
        </w:tc>
      </w:tr>
      <w:tr w:rsidR="00623BF6" w:rsidRPr="00151116" w14:paraId="70BDD2B8" w14:textId="77777777" w:rsidTr="00864692">
        <w:trPr>
          <w:trHeight w:val="32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AD5F" w14:textId="77777777" w:rsidR="00623BF6" w:rsidRPr="00151116" w:rsidRDefault="00623BF6" w:rsidP="00623BF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 fertilization (N)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EB9A" w14:textId="77777777" w:rsidR="00623BF6" w:rsidRPr="00151116" w:rsidRDefault="00623BF6" w:rsidP="00623BF6">
            <w:pPr>
              <w:spacing w:line="276" w:lineRule="auto"/>
              <w:jc w:val="right"/>
              <w:rPr>
                <w:color w:val="000000"/>
              </w:rPr>
            </w:pPr>
            <w:r w:rsidRPr="00A075E5">
              <w:rPr>
                <w:color w:val="00000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67D5" w14:textId="199DC4F2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7.71E-06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3E01" w14:textId="17C87776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84.376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8E38" w14:textId="6FE6E87F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DCBA" w14:textId="225ECF77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-5.59E-06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9200" w14:textId="6CE05BD3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254.741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0050" w14:textId="1BCEF785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b/>
                <w:bCs/>
                <w:color w:val="000000"/>
              </w:rPr>
              <w:t>&lt;0.001</w:t>
            </w:r>
          </w:p>
        </w:tc>
      </w:tr>
      <w:tr w:rsidR="00623BF6" w:rsidRPr="00151116" w14:paraId="69CA5E5B" w14:textId="77777777" w:rsidTr="00864692">
        <w:trPr>
          <w:trHeight w:val="32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9CEBC" w14:textId="77777777" w:rsidR="00623BF6" w:rsidRPr="00151116" w:rsidRDefault="00623BF6" w:rsidP="00623BF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CO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*I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DFBB" w14:textId="77777777" w:rsidR="00623BF6" w:rsidRPr="00151116" w:rsidRDefault="00623BF6" w:rsidP="00623BF6">
            <w:pPr>
              <w:spacing w:line="276" w:lineRule="auto"/>
              <w:jc w:val="right"/>
              <w:rPr>
                <w:color w:val="000000"/>
              </w:rPr>
            </w:pPr>
            <w:r w:rsidRPr="00A075E5">
              <w:rPr>
                <w:color w:val="00000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F62D" w14:textId="3C8C7DF7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-4.68E-02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161C" w14:textId="1265D2D2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0.95</w:t>
            </w: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EA04" w14:textId="1CA9536C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0.33</w:t>
            </w: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7DFC" w14:textId="26948B71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-1.42E-01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00EB" w14:textId="07D76B33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21.632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FF14" w14:textId="7B8C4B16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b/>
                <w:bCs/>
                <w:color w:val="000000"/>
              </w:rPr>
              <w:t>&lt;0.001</w:t>
            </w:r>
          </w:p>
        </w:tc>
      </w:tr>
      <w:tr w:rsidR="00623BF6" w:rsidRPr="00151116" w14:paraId="16A0AF85" w14:textId="77777777" w:rsidTr="00864692">
        <w:trPr>
          <w:trHeight w:val="32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B688" w14:textId="77777777" w:rsidR="00623BF6" w:rsidRPr="00151116" w:rsidRDefault="00623BF6" w:rsidP="00623BF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CO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*N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14157" w14:textId="77777777" w:rsidR="00623BF6" w:rsidRPr="00151116" w:rsidRDefault="00623BF6" w:rsidP="00623BF6">
            <w:pPr>
              <w:spacing w:line="276" w:lineRule="auto"/>
              <w:jc w:val="right"/>
              <w:rPr>
                <w:color w:val="000000"/>
              </w:rPr>
            </w:pPr>
            <w:r w:rsidRPr="00A075E5">
              <w:rPr>
                <w:color w:val="00000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0D0" w14:textId="649FD0FA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-1.59E-04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2F4B" w14:textId="27736A3A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2.106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2105" w14:textId="64433328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i/>
                <w:iCs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0.147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8F50" w14:textId="2466F7E5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-1.74E-04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C961" w14:textId="67558DAA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1.59</w:t>
            </w: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557E" w14:textId="3F7449B0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0.207</w:t>
            </w:r>
          </w:p>
        </w:tc>
      </w:tr>
      <w:tr w:rsidR="00623BF6" w:rsidRPr="00151116" w14:paraId="125AAEC7" w14:textId="77777777" w:rsidTr="00864692">
        <w:trPr>
          <w:trHeight w:val="320"/>
        </w:trPr>
        <w:tc>
          <w:tcPr>
            <w:tcW w:w="19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2EB9" w14:textId="77777777" w:rsidR="00623BF6" w:rsidRPr="00151116" w:rsidRDefault="00623BF6" w:rsidP="00623BF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I*N</w:t>
            </w:r>
          </w:p>
        </w:tc>
        <w:tc>
          <w:tcPr>
            <w:tcW w:w="5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4BE5" w14:textId="77777777" w:rsidR="00623BF6" w:rsidRPr="00151116" w:rsidRDefault="00623BF6" w:rsidP="00623BF6">
            <w:pPr>
              <w:spacing w:line="276" w:lineRule="auto"/>
              <w:jc w:val="right"/>
              <w:rPr>
                <w:color w:val="000000"/>
              </w:rPr>
            </w:pPr>
            <w:r w:rsidRPr="00A075E5">
              <w:rPr>
                <w:color w:val="00000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5E1E" w14:textId="6C7A7C54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-5.82E-04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7B24" w14:textId="5913F0C5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44.622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F08A" w14:textId="7B950468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BD84" w14:textId="3C2808F7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-7.51E-04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5390" w14:textId="2319B296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132.463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7049" w14:textId="07352023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i/>
                <w:iCs/>
                <w:color w:val="000000"/>
              </w:rPr>
            </w:pPr>
            <w:r w:rsidRPr="00623BF6">
              <w:rPr>
                <w:rFonts w:cs="Times New Roman"/>
                <w:b/>
                <w:bCs/>
                <w:color w:val="000000"/>
              </w:rPr>
              <w:t>&lt;0.001</w:t>
            </w:r>
          </w:p>
        </w:tc>
      </w:tr>
      <w:tr w:rsidR="00623BF6" w:rsidRPr="00151116" w14:paraId="1CD0BFDB" w14:textId="77777777" w:rsidTr="00864692">
        <w:trPr>
          <w:trHeight w:val="320"/>
        </w:trPr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FB88C" w14:textId="77777777" w:rsidR="00623BF6" w:rsidRPr="00151116" w:rsidRDefault="00623BF6" w:rsidP="00623BF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CO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*I*N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7ABCC" w14:textId="77777777" w:rsidR="00623BF6" w:rsidRPr="00151116" w:rsidRDefault="00623BF6" w:rsidP="00623BF6">
            <w:pPr>
              <w:spacing w:line="276" w:lineRule="auto"/>
              <w:jc w:val="right"/>
              <w:rPr>
                <w:color w:val="000000"/>
              </w:rPr>
            </w:pPr>
            <w:r w:rsidRPr="00A075E5">
              <w:rPr>
                <w:color w:val="00000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6A240" w14:textId="5CF206ED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7.26E-05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B55E1" w14:textId="4F49C23A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0.196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A7068" w14:textId="1612A24C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b/>
                <w:bCs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0.658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70D30" w14:textId="79FFCFF7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1.82E-04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C840" w14:textId="7BFC48B7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2.481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C029D" w14:textId="47A2975C" w:rsidR="00623BF6" w:rsidRPr="00623BF6" w:rsidRDefault="00623BF6" w:rsidP="00623BF6">
            <w:pPr>
              <w:spacing w:line="276" w:lineRule="auto"/>
              <w:jc w:val="right"/>
              <w:rPr>
                <w:rFonts w:cs="Times New Roman"/>
                <w:color w:val="000000"/>
              </w:rPr>
            </w:pPr>
            <w:r w:rsidRPr="00623BF6">
              <w:rPr>
                <w:rFonts w:cs="Times New Roman"/>
                <w:color w:val="000000"/>
              </w:rPr>
              <w:t>0.115</w:t>
            </w:r>
          </w:p>
        </w:tc>
      </w:tr>
    </w:tbl>
    <w:p w14:paraId="0F5D0389" w14:textId="77777777" w:rsidR="005C6DC1" w:rsidRPr="00E90F4A" w:rsidRDefault="005C6DC1" w:rsidP="005C6DC1">
      <w:pPr>
        <w:spacing w:line="360" w:lineRule="auto"/>
      </w:pPr>
    </w:p>
    <w:p w14:paraId="7E5D637A" w14:textId="2AD9AAE3" w:rsidR="005C6DC1" w:rsidRDefault="005C6DC1" w:rsidP="005C6DC1">
      <w:pPr>
        <w:spacing w:line="360" w:lineRule="auto"/>
      </w:pPr>
      <w:r w:rsidRPr="00FC69E5">
        <w:rPr>
          <w:vertAlign w:val="superscript"/>
        </w:rPr>
        <w:t>*</w:t>
      </w:r>
      <w:r>
        <w:t xml:space="preserve">Significance determined using Type II Wald </w:t>
      </w:r>
      <w:r>
        <w:rPr>
          <w:lang w:val="el-GR"/>
        </w:rPr>
        <w:t>χ</w:t>
      </w:r>
      <w:r>
        <w:rPr>
          <w:vertAlign w:val="superscript"/>
        </w:rPr>
        <w:t>2</w:t>
      </w:r>
      <w:r>
        <w:t xml:space="preserve"> tests (</w:t>
      </w:r>
      <w:r>
        <w:rPr>
          <w:lang w:val="el-GR"/>
        </w:rPr>
        <w:t>α</w:t>
      </w:r>
      <w:r>
        <w:t>=0.05).</w:t>
      </w:r>
      <w:r w:rsidRPr="00D924B1">
        <w:t xml:space="preserve"> </w:t>
      </w:r>
      <w:r>
        <w:t xml:space="preserve">A superscript “b” is included after trait labels to indicate if models were fit with </w:t>
      </w:r>
      <w:proofErr w:type="gramStart"/>
      <w:r>
        <w:t>square-</w:t>
      </w:r>
      <w:proofErr w:type="spellStart"/>
      <w:r>
        <w:t>root</w:t>
      </w:r>
      <w:proofErr w:type="spellEnd"/>
      <w:proofErr w:type="gramEnd"/>
      <w:r>
        <w:t xml:space="preserve"> transformed response variables. </w:t>
      </w:r>
      <w:r>
        <w:rPr>
          <w:i/>
          <w:iCs/>
        </w:rPr>
        <w:t>P</w:t>
      </w:r>
      <w:r>
        <w:t>-values less than 0.05 are in bold and p-values where 0.05&lt;p&lt;0.1 are italicized. Key: df=degrees of freedom.</w:t>
      </w:r>
    </w:p>
    <w:p w14:paraId="6270FF02" w14:textId="77777777" w:rsidR="005C6DC1" w:rsidRDefault="005C6DC1">
      <w:pPr>
        <w:sectPr w:rsidR="005C6DC1" w:rsidSect="005C6DC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0F1A97" w14:textId="77777777" w:rsidR="00864692" w:rsidRDefault="00864692">
      <w:pPr>
        <w:rPr>
          <w:b/>
        </w:rPr>
      </w:pPr>
      <w:r>
        <w:rPr>
          <w:b/>
        </w:rPr>
        <w:lastRenderedPageBreak/>
        <w:t>Figure S1</w:t>
      </w:r>
    </w:p>
    <w:p w14:paraId="683F0ED8" w14:textId="77777777" w:rsidR="007E69AD" w:rsidRDefault="007E69AD">
      <w:pPr>
        <w:rPr>
          <w:b/>
        </w:rPr>
      </w:pPr>
    </w:p>
    <w:p w14:paraId="5AA6DE24" w14:textId="03BE1955" w:rsidR="00864692" w:rsidRDefault="007E69AD">
      <w:pPr>
        <w:rPr>
          <w:b/>
        </w:rPr>
      </w:pPr>
      <w:r>
        <w:rPr>
          <w:b/>
          <w:noProof/>
        </w:rPr>
        <w:drawing>
          <wp:inline distT="0" distB="0" distL="0" distR="0" wp14:anchorId="2EDE7925" wp14:editId="023CFD0F">
            <wp:extent cx="5246557" cy="4144555"/>
            <wp:effectExtent l="0" t="0" r="0" b="0"/>
            <wp:docPr id="1145654697" name="Picture 2" descr="A graph of different types of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4697" name="Picture 2" descr="A graph of different types of mas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42" cy="41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3748" w14:textId="01225A7B" w:rsidR="00864692" w:rsidRDefault="00864692" w:rsidP="007E69AD">
      <w:pPr>
        <w:spacing w:line="360" w:lineRule="auto"/>
        <w:rPr>
          <w:b/>
        </w:rPr>
      </w:pPr>
    </w:p>
    <w:p w14:paraId="5AB5F672" w14:textId="0C4966DA" w:rsidR="007E69AD" w:rsidRPr="007E69AD" w:rsidRDefault="007E69AD" w:rsidP="007E69AD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b/>
        </w:rPr>
        <w:t xml:space="preserve">Figure S1 </w:t>
      </w:r>
      <w:r>
        <w:rPr>
          <w:rFonts w:cs="Times New Roman"/>
        </w:rPr>
        <w:t>Relationships between area-based leaf nitrogen content (a), mass</w:t>
      </w:r>
      <w:r>
        <w:rPr>
          <w:rFonts w:cs="Times New Roman"/>
        </w:rPr>
        <w:t>-</w:t>
      </w:r>
      <w:r>
        <w:rPr>
          <w:rFonts w:cs="Times New Roman"/>
        </w:rPr>
        <w:t>based</w:t>
      </w:r>
      <w:r>
        <w:rPr>
          <w:rFonts w:cs="Times New Roman"/>
        </w:rPr>
        <w:t xml:space="preserve"> </w:t>
      </w:r>
      <w:r>
        <w:rPr>
          <w:rFonts w:cs="Times New Roman"/>
        </w:rPr>
        <w:t>leaf nitrogen content (b), and leaf mass per unit leaf area (c) measured</w:t>
      </w:r>
      <w:r>
        <w:rPr>
          <w:rFonts w:cs="Times New Roman"/>
        </w:rPr>
        <w:t xml:space="preserve"> </w:t>
      </w:r>
      <w:r>
        <w:rPr>
          <w:rFonts w:cs="Times New Roman"/>
        </w:rPr>
        <w:t>on the focal leaf used to generate CO</w:t>
      </w:r>
      <w:r>
        <w:rPr>
          <w:rFonts w:cs="Times New Roman"/>
          <w:sz w:val="16"/>
          <w:szCs w:val="16"/>
        </w:rPr>
        <w:t xml:space="preserve">2 </w:t>
      </w:r>
      <w:r>
        <w:rPr>
          <w:rFonts w:cs="Times New Roman"/>
        </w:rPr>
        <w:t>response curves (x-axis) and leaf nitrogen</w:t>
      </w:r>
      <w:r>
        <w:rPr>
          <w:rFonts w:cs="Times New Roman"/>
        </w:rPr>
        <w:t xml:space="preserve"> </w:t>
      </w:r>
      <w:r>
        <w:rPr>
          <w:rFonts w:cs="Times New Roman"/>
        </w:rPr>
        <w:t>content measured on the leaf used for chlorophyll extractions (y-axis). Blue points</w:t>
      </w:r>
      <w:r>
        <w:rPr>
          <w:rFonts w:cs="Times New Roman"/>
        </w:rPr>
        <w:t xml:space="preserve"> </w:t>
      </w:r>
      <w:r>
        <w:rPr>
          <w:rFonts w:cs="Times New Roman"/>
        </w:rPr>
        <w:t>refer to leaves grown under ambient CO</w:t>
      </w:r>
      <w:r>
        <w:rPr>
          <w:rFonts w:cs="Times New Roman"/>
          <w:sz w:val="16"/>
          <w:szCs w:val="16"/>
        </w:rPr>
        <w:t xml:space="preserve">2 </w:t>
      </w:r>
      <w:r>
        <w:rPr>
          <w:rFonts w:cs="Times New Roman"/>
        </w:rPr>
        <w:t>and red points refer leaves grown under</w:t>
      </w:r>
      <w:r>
        <w:rPr>
          <w:rFonts w:cs="Times New Roman"/>
        </w:rPr>
        <w:t xml:space="preserve"> </w:t>
      </w:r>
      <w:r>
        <w:rPr>
          <w:rFonts w:cs="Times New Roman"/>
        </w:rPr>
        <w:t>elevated CO</w:t>
      </w:r>
      <w:r>
        <w:rPr>
          <w:rFonts w:cs="Times New Roman"/>
          <w:sz w:val="16"/>
          <w:szCs w:val="16"/>
        </w:rPr>
        <w:t>2</w:t>
      </w:r>
      <w:r>
        <w:rPr>
          <w:rFonts w:cs="Times New Roman"/>
        </w:rPr>
        <w:t>. Square points indicate uninoculated pots and circular points indicate</w:t>
      </w:r>
      <w:r>
        <w:rPr>
          <w:rFonts w:cs="Times New Roman"/>
        </w:rPr>
        <w:t xml:space="preserve"> </w:t>
      </w:r>
      <w:r>
        <w:rPr>
          <w:rFonts w:cs="Times New Roman"/>
        </w:rPr>
        <w:t>inoculated pots. Pearson’s correlation coefficient, associated p-values, and</w:t>
      </w:r>
      <w:r>
        <w:rPr>
          <w:rFonts w:cs="Times New Roman"/>
        </w:rPr>
        <w:t xml:space="preserve"> </w:t>
      </w:r>
      <w:r>
        <w:rPr>
          <w:rFonts w:cs="Times New Roman"/>
        </w:rPr>
        <w:t>the line of the regression line that described each bivariate are included in the</w:t>
      </w:r>
      <w:r>
        <w:rPr>
          <w:rFonts w:cs="Times New Roman"/>
        </w:rPr>
        <w:t xml:space="preserve"> </w:t>
      </w:r>
      <w:r>
        <w:rPr>
          <w:rFonts w:cs="Times New Roman"/>
        </w:rPr>
        <w:t>top left corner of each plot. The solid black line visualizes the trend given a 1:1</w:t>
      </w:r>
      <w:r>
        <w:rPr>
          <w:rFonts w:cs="Times New Roman"/>
        </w:rPr>
        <w:t xml:space="preserve"> </w:t>
      </w:r>
      <w:r>
        <w:rPr>
          <w:rFonts w:cs="Times New Roman"/>
        </w:rPr>
        <w:t>bivariate relationship.</w:t>
      </w:r>
    </w:p>
    <w:p w14:paraId="3504A917" w14:textId="4EA4FACC" w:rsidR="00864692" w:rsidRDefault="00864692" w:rsidP="007E69AD">
      <w:pPr>
        <w:spacing w:line="360" w:lineRule="auto"/>
        <w:rPr>
          <w:b/>
        </w:rPr>
      </w:pPr>
      <w:r>
        <w:rPr>
          <w:b/>
        </w:rPr>
        <w:br w:type="page"/>
      </w:r>
    </w:p>
    <w:p w14:paraId="051571C1" w14:textId="3646F315" w:rsidR="00864692" w:rsidRPr="00864692" w:rsidRDefault="00864692">
      <w:pPr>
        <w:rPr>
          <w:b/>
        </w:rPr>
      </w:pPr>
      <w:r>
        <w:rPr>
          <w:b/>
        </w:rPr>
        <w:lastRenderedPageBreak/>
        <w:t>Figure S2</w:t>
      </w:r>
    </w:p>
    <w:p w14:paraId="4A4F754F" w14:textId="77777777" w:rsidR="00864692" w:rsidRDefault="00864692">
      <w:pPr>
        <w:rPr>
          <w:b/>
        </w:rPr>
      </w:pPr>
    </w:p>
    <w:p w14:paraId="6A39AA16" w14:textId="35DA70CA" w:rsidR="00864692" w:rsidRDefault="007E69AD">
      <w:pPr>
        <w:rPr>
          <w:b/>
        </w:rPr>
      </w:pPr>
      <w:r>
        <w:rPr>
          <w:b/>
          <w:noProof/>
        </w:rPr>
        <w:drawing>
          <wp:inline distT="0" distB="0" distL="0" distR="0" wp14:anchorId="1825C842" wp14:editId="771E7E81">
            <wp:extent cx="3944078" cy="2218544"/>
            <wp:effectExtent l="0" t="0" r="0" b="4445"/>
            <wp:docPr id="1787997493" name="Picture 178799749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9840" name="Picture 1" descr="A graph of different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620" cy="22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0003" w14:textId="77777777" w:rsidR="009E03F2" w:rsidRDefault="009E03F2">
      <w:pPr>
        <w:rPr>
          <w:b/>
        </w:rPr>
      </w:pPr>
    </w:p>
    <w:p w14:paraId="495DD6C8" w14:textId="6C246576" w:rsidR="009E03F2" w:rsidRPr="009E03F2" w:rsidRDefault="009E03F2" w:rsidP="009E03F2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b/>
        </w:rPr>
        <w:t xml:space="preserve">Figure S2 </w:t>
      </w:r>
      <w:r>
        <w:rPr>
          <w:rFonts w:cs="Times New Roman"/>
        </w:rPr>
        <w:t>Effects of C</w:t>
      </w:r>
      <w:r>
        <w:rPr>
          <w:rFonts w:cs="Times New Roman"/>
        </w:rPr>
        <w:t>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fertilization, and inoculation on the ratio of whole</w:t>
      </w:r>
      <w:r>
        <w:rPr>
          <w:rFonts w:cs="Times New Roman"/>
        </w:rPr>
        <w:t xml:space="preserve"> </w:t>
      </w:r>
      <w:r>
        <w:rPr>
          <w:rFonts w:cs="Times New Roman"/>
        </w:rPr>
        <w:t>plant biomass to pot volume. Soil nitrogen fertilization is represented on the x</w:t>
      </w:r>
      <w:r>
        <w:rPr>
          <w:rFonts w:cs="Times New Roman"/>
        </w:rPr>
        <w:t>-</w:t>
      </w:r>
      <w:r>
        <w:rPr>
          <w:rFonts w:cs="Times New Roman"/>
        </w:rPr>
        <w:t>axis. Yellow points and trendlines indicate inoculated individuals</w:t>
      </w:r>
      <w:r>
        <w:rPr>
          <w:rFonts w:cs="Times New Roman"/>
        </w:rPr>
        <w:t xml:space="preserve"> </w:t>
      </w:r>
      <w:r>
        <w:rPr>
          <w:rFonts w:cs="Times New Roman"/>
        </w:rPr>
        <w:t>grown under ambient CO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blue points and trendlines indicate uninoculated individuals</w:t>
      </w:r>
      <w:r>
        <w:rPr>
          <w:rFonts w:cs="Times New Roman"/>
        </w:rPr>
        <w:t xml:space="preserve"> </w:t>
      </w:r>
      <w:r>
        <w:rPr>
          <w:rFonts w:cs="Times New Roman"/>
        </w:rPr>
        <w:t>grown under ambient CO</w:t>
      </w:r>
      <w:r>
        <w:rPr>
          <w:rFonts w:cs="Times New Roman"/>
          <w:sz w:val="16"/>
          <w:szCs w:val="16"/>
        </w:rPr>
        <w:t>2</w:t>
      </w:r>
      <w:r>
        <w:rPr>
          <w:rFonts w:cs="Times New Roman"/>
        </w:rPr>
        <w:t>, red points and trendlines indicate inoculated</w:t>
      </w:r>
      <w:r>
        <w:rPr>
          <w:rFonts w:cs="Times New Roman"/>
        </w:rPr>
        <w:t xml:space="preserve"> </w:t>
      </w:r>
      <w:r>
        <w:rPr>
          <w:rFonts w:cs="Times New Roman"/>
        </w:rPr>
        <w:t>individuals grown under elevated CO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and gray points indicate uninoculated individuals</w:t>
      </w:r>
      <w:r>
        <w:rPr>
          <w:rFonts w:cs="Times New Roman"/>
        </w:rPr>
        <w:t xml:space="preserve"> </w:t>
      </w:r>
      <w:r>
        <w:rPr>
          <w:rFonts w:cs="Times New Roman"/>
        </w:rPr>
        <w:t>grown under elevated CO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. Solid trendlines indicate regression slopes</w:t>
      </w:r>
      <w:r>
        <w:rPr>
          <w:rFonts w:cs="Times New Roman"/>
        </w:rPr>
        <w:t xml:space="preserve"> </w:t>
      </w:r>
      <w:r>
        <w:rPr>
          <w:rFonts w:cs="Times New Roman"/>
        </w:rPr>
        <w:t>that are different from zero (</w:t>
      </w:r>
      <w:r w:rsidRPr="009E03F2">
        <w:rPr>
          <w:rFonts w:cs="Times New Roman"/>
          <w:i/>
          <w:iCs/>
        </w:rPr>
        <w:t>p</w:t>
      </w:r>
      <w:r>
        <w:rPr>
          <w:rFonts w:cs="Times New Roman"/>
        </w:rPr>
        <w:t>&lt;0.05). The dotted horizontal line indicates the</w:t>
      </w:r>
      <w:r>
        <w:rPr>
          <w:rFonts w:cs="Times New Roman"/>
        </w:rPr>
        <w:t xml:space="preserve"> </w:t>
      </w:r>
      <w:r>
        <w:rPr>
          <w:rFonts w:cs="Times New Roman"/>
        </w:rPr>
        <w:t>point where biomass:</w:t>
      </w:r>
      <w:r>
        <w:rPr>
          <w:rFonts w:cs="Times New Roman"/>
        </w:rPr>
        <w:t xml:space="preserve"> </w:t>
      </w:r>
      <w:r>
        <w:rPr>
          <w:rFonts w:cs="Times New Roman"/>
        </w:rPr>
        <w:t>pot volume exceeds 1 g L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, and the </w:t>
      </w:r>
      <w:r>
        <w:rPr>
          <w:rFonts w:cs="Times New Roman"/>
        </w:rPr>
        <w:t>dashed line indicates</w:t>
      </w:r>
      <w:r>
        <w:rPr>
          <w:rFonts w:cs="Times New Roman"/>
        </w:rPr>
        <w:t xml:space="preserve"> </w:t>
      </w:r>
      <w:r>
        <w:rPr>
          <w:rFonts w:cs="Times New Roman"/>
        </w:rPr>
        <w:t>the point where biomass:</w:t>
      </w:r>
      <w:r>
        <w:rPr>
          <w:rFonts w:cs="Times New Roman"/>
        </w:rPr>
        <w:t xml:space="preserve"> </w:t>
      </w:r>
      <w:r>
        <w:rPr>
          <w:rFonts w:cs="Times New Roman"/>
        </w:rPr>
        <w:t>pot volume exceeds 2 g L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>.</w:t>
      </w:r>
    </w:p>
    <w:p w14:paraId="2BB7DC42" w14:textId="1E0F3B2C" w:rsidR="00864692" w:rsidRDefault="00864692">
      <w:pPr>
        <w:rPr>
          <w:b/>
        </w:rPr>
      </w:pPr>
      <w:r>
        <w:rPr>
          <w:b/>
        </w:rPr>
        <w:br w:type="page"/>
      </w:r>
    </w:p>
    <w:p w14:paraId="7FEA4C90" w14:textId="11A2C04C" w:rsidR="005C6DC1" w:rsidRPr="00F97E90" w:rsidRDefault="005C6DC1" w:rsidP="005C6DC1">
      <w:pPr>
        <w:spacing w:line="360" w:lineRule="auto"/>
        <w:rPr>
          <w:bCs/>
        </w:rPr>
      </w:pPr>
      <w:r>
        <w:rPr>
          <w:b/>
        </w:rPr>
        <w:lastRenderedPageBreak/>
        <w:t xml:space="preserve">Figure </w:t>
      </w:r>
      <w:r w:rsidR="00864692">
        <w:rPr>
          <w:b/>
        </w:rPr>
        <w:t>S3</w:t>
      </w:r>
    </w:p>
    <w:p w14:paraId="5A882CFE" w14:textId="0887C30C" w:rsidR="005C6DC1" w:rsidRDefault="009E03F2" w:rsidP="005C6DC1">
      <w:pPr>
        <w:spacing w:line="360" w:lineRule="auto"/>
        <w:rPr>
          <w:bCs/>
        </w:rPr>
      </w:pPr>
      <w:r>
        <w:rPr>
          <w:bCs/>
          <w:noProof/>
        </w:rPr>
        <w:drawing>
          <wp:inline distT="0" distB="0" distL="0" distR="0" wp14:anchorId="5B52606D" wp14:editId="332A37BD">
            <wp:extent cx="5943600" cy="1981200"/>
            <wp:effectExtent l="0" t="0" r="0" b="0"/>
            <wp:docPr id="2110330797" name="Picture 3" descr="A diagram of soil fertil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30797" name="Picture 3" descr="A diagram of soil fertiliz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9E4" w14:textId="75A913B7" w:rsidR="00147554" w:rsidRPr="009E03F2" w:rsidRDefault="005C6DC1" w:rsidP="009E03F2">
      <w:pPr>
        <w:spacing w:line="360" w:lineRule="auto"/>
        <w:rPr>
          <w:bCs/>
        </w:rPr>
      </w:pPr>
      <w:r>
        <w:rPr>
          <w:b/>
        </w:rPr>
        <w:t xml:space="preserve">Figure </w:t>
      </w:r>
      <w:r w:rsidR="009E03F2">
        <w:rPr>
          <w:b/>
        </w:rPr>
        <w:t>S3</w:t>
      </w:r>
      <w:r>
        <w:rPr>
          <w:bCs/>
        </w:rPr>
        <w:t xml:space="preserve"> Effects of nitrogen fertilization, inoculation treatment, and CO</w:t>
      </w:r>
      <w:r>
        <w:rPr>
          <w:bCs/>
          <w:vertAlign w:val="subscript"/>
        </w:rPr>
        <w:t>2</w:t>
      </w:r>
      <w:r>
        <w:rPr>
          <w:bCs/>
        </w:rPr>
        <w:t xml:space="preserve"> treatment on nodule biomass (</w:t>
      </w:r>
      <w:r w:rsidR="009E03F2">
        <w:rPr>
          <w:bCs/>
        </w:rPr>
        <w:t>a</w:t>
      </w:r>
      <w:r>
        <w:rPr>
          <w:bCs/>
        </w:rPr>
        <w:t>)</w:t>
      </w:r>
      <w:r w:rsidR="009E03F2">
        <w:rPr>
          <w:bCs/>
        </w:rPr>
        <w:t xml:space="preserve"> and</w:t>
      </w:r>
      <w:r>
        <w:rPr>
          <w:bCs/>
        </w:rPr>
        <w:t xml:space="preserve"> </w:t>
      </w:r>
      <w:r w:rsidR="009E03F2">
        <w:rPr>
          <w:bCs/>
        </w:rPr>
        <w:t xml:space="preserve">root </w:t>
      </w:r>
      <w:r>
        <w:rPr>
          <w:bCs/>
        </w:rPr>
        <w:t>nodule</w:t>
      </w:r>
      <w:r w:rsidR="009E03F2">
        <w:rPr>
          <w:bCs/>
        </w:rPr>
        <w:t xml:space="preserve"> biomass</w:t>
      </w:r>
      <w:r>
        <w:rPr>
          <w:bCs/>
        </w:rPr>
        <w:t>: root biomass (</w:t>
      </w:r>
      <w:r w:rsidR="009E03F2">
        <w:rPr>
          <w:bCs/>
        </w:rPr>
        <w:t>b).</w:t>
      </w:r>
      <w:r>
        <w:rPr>
          <w:bCs/>
        </w:rPr>
        <w:t xml:space="preserve"> Soil nitrogen fertilization is represented on the x-axis. </w:t>
      </w:r>
      <w:r w:rsidRPr="006223F4">
        <w:rPr>
          <w:bCs/>
        </w:rPr>
        <w:t>Yellow points and</w:t>
      </w:r>
      <w:r>
        <w:rPr>
          <w:bCs/>
        </w:rPr>
        <w:t xml:space="preserve"> trendlines indicate inoculated individuals grown under ambient CO</w:t>
      </w:r>
      <w:r>
        <w:rPr>
          <w:bCs/>
          <w:vertAlign w:val="subscript"/>
        </w:rPr>
        <w:t>2</w:t>
      </w:r>
      <w:r>
        <w:rPr>
          <w:bCs/>
        </w:rPr>
        <w:t>, blue points and trendlines indicate uninoculated individuals grown under ambient CO</w:t>
      </w:r>
      <w:r>
        <w:rPr>
          <w:bCs/>
          <w:vertAlign w:val="subscript"/>
        </w:rPr>
        <w:t>2</w:t>
      </w:r>
      <w:r>
        <w:rPr>
          <w:bCs/>
        </w:rPr>
        <w:t>, red points and trendlines indicate inoculated individuals grown under elevated CO</w:t>
      </w:r>
      <w:r>
        <w:rPr>
          <w:bCs/>
          <w:vertAlign w:val="subscript"/>
        </w:rPr>
        <w:t>2</w:t>
      </w:r>
      <w:r>
        <w:rPr>
          <w:bCs/>
        </w:rPr>
        <w:t>, and grey points indicate uninoculated individuals grown under elevated CO</w:t>
      </w:r>
      <w:r>
        <w:rPr>
          <w:bCs/>
          <w:vertAlign w:val="subscript"/>
        </w:rPr>
        <w:t>2</w:t>
      </w:r>
      <w:r>
        <w:rPr>
          <w:bCs/>
        </w:rPr>
        <w:t>. Solid trendlines indicate slopes that are different from zero (</w:t>
      </w:r>
      <w:r w:rsidRPr="005C6DC1">
        <w:rPr>
          <w:bCs/>
          <w:i/>
          <w:iCs/>
        </w:rPr>
        <w:t>p</w:t>
      </w:r>
      <w:r>
        <w:rPr>
          <w:bCs/>
        </w:rPr>
        <w:t>&lt;0.05), while dashed trendlines indicate slopes that are not different from zero (</w:t>
      </w:r>
      <w:r w:rsidRPr="005C6DC1">
        <w:rPr>
          <w:bCs/>
          <w:i/>
          <w:iCs/>
        </w:rPr>
        <w:t>p</w:t>
      </w:r>
      <w:r>
        <w:rPr>
          <w:bCs/>
        </w:rPr>
        <w:t xml:space="preserve">&gt;0.05). Curvilinear trendlines occur as a result of back-transforming models where response variables received either a natural log or square root transformation prior to fitting. Error ribbons represent upper and lower 95% confidence intervals, calculated using the ‘emmeans’ R package </w:t>
      </w:r>
      <w:r>
        <w:rPr>
          <w:bCs/>
        </w:rPr>
        <w:fldChar w:fldCharType="begin" w:fldLock="1"/>
      </w:r>
      <w:r>
        <w:rPr>
          <w:bCs/>
        </w:rPr>
        <w:instrText>ADDIN CSL_CITATION {"citationItems":[{"id":"ITEM-1","itemData":{"author":[{"dropping-particle":"","family":"Lenth","given":"Russell","non-dropping-particle":"","parse-names":false,"suffix":""}],"id":"ITEM-1","issued":{"date-parts":[["2019"]]},"title":"emmeans: estimated marginal means, aka least-squares means","type":"article"},"uris":["http://www.mendeley.com/documents/?uuid=2f4fc7f4-f350-4d86-b210-f111a74f7704"]}],"mendeley":{"formattedCitation":"(Lenth, 2019)","plainTextFormattedCitation":"(Lenth, 2019)","previouslyFormattedCitation":"(Lenth, 2019)"},"properties":{"noteIndex":0},"schema":"https://github.com/citation-style-language/schema/raw/master/csl-citation.json"}</w:instrText>
      </w:r>
      <w:r>
        <w:rPr>
          <w:bCs/>
        </w:rPr>
        <w:fldChar w:fldCharType="separate"/>
      </w:r>
      <w:r w:rsidRPr="00F97E90">
        <w:rPr>
          <w:bCs/>
          <w:noProof/>
        </w:rPr>
        <w:t>(Lenth, 2019)</w:t>
      </w:r>
      <w:r>
        <w:rPr>
          <w:bCs/>
        </w:rPr>
        <w:fldChar w:fldCharType="end"/>
      </w:r>
      <w:r>
        <w:rPr>
          <w:bCs/>
        </w:rPr>
        <w:t>.</w:t>
      </w:r>
    </w:p>
    <w:sectPr w:rsidR="00147554" w:rsidRPr="009E03F2" w:rsidSect="007E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9E"/>
    <w:rsid w:val="00147554"/>
    <w:rsid w:val="002948B1"/>
    <w:rsid w:val="002C360E"/>
    <w:rsid w:val="00323E9E"/>
    <w:rsid w:val="00497794"/>
    <w:rsid w:val="004D7D3B"/>
    <w:rsid w:val="005A3AD9"/>
    <w:rsid w:val="005C6DC1"/>
    <w:rsid w:val="00623BF6"/>
    <w:rsid w:val="00727672"/>
    <w:rsid w:val="00787408"/>
    <w:rsid w:val="007E69AD"/>
    <w:rsid w:val="008567FC"/>
    <w:rsid w:val="00864692"/>
    <w:rsid w:val="009E03F2"/>
    <w:rsid w:val="00BE5BCC"/>
    <w:rsid w:val="00CA242A"/>
    <w:rsid w:val="00CB4166"/>
    <w:rsid w:val="00D16117"/>
    <w:rsid w:val="00EE0B37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F0F72"/>
  <w15:chartTrackingRefBased/>
  <w15:docId w15:val="{E18A6BBB-7034-B044-A43D-6BA1EF8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6D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6DC1"/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6DC1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1008</Words>
  <Characters>5940</Characters>
  <Application>Microsoft Office Word</Application>
  <DocSecurity>0</DocSecurity>
  <Lines>156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6</cp:revision>
  <dcterms:created xsi:type="dcterms:W3CDTF">2022-11-22T21:45:00Z</dcterms:created>
  <dcterms:modified xsi:type="dcterms:W3CDTF">2023-07-13T21:46:00Z</dcterms:modified>
</cp:coreProperties>
</file>