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7D68" w14:textId="0C22C59E" w:rsidR="00FB1420" w:rsidRDefault="00FB1420" w:rsidP="00FB1420">
      <w:pPr>
        <w:spacing w:after="120"/>
      </w:pPr>
      <w:r>
        <w:t xml:space="preserve">Dear Editorial Board at </w:t>
      </w:r>
      <w:r>
        <w:rPr>
          <w:i/>
          <w:iCs/>
        </w:rPr>
        <w:t>Nature</w:t>
      </w:r>
      <w:r w:rsidR="00353364">
        <w:rPr>
          <w:i/>
          <w:iCs/>
        </w:rPr>
        <w:t xml:space="preserve"> Communications</w:t>
      </w:r>
      <w:r>
        <w:t>,</w:t>
      </w:r>
    </w:p>
    <w:p w14:paraId="266BCDFB" w14:textId="076E3079" w:rsidR="00FB1420" w:rsidRPr="00101871" w:rsidRDefault="00353364" w:rsidP="00FB1420">
      <w:pPr>
        <w:spacing w:after="120"/>
      </w:pPr>
      <w:r>
        <w:t>I am</w:t>
      </w:r>
      <w:r w:rsidR="00FB1420">
        <w:t xml:space="preserve"> writing to submit our manuscript</w:t>
      </w:r>
      <w:r w:rsidR="00FB1420">
        <w:t>,</w:t>
      </w:r>
      <w:r w:rsidR="00FB1420">
        <w:t xml:space="preserve"> titled “Nitrogen demand, supply, and acquisition strategy control plant responses to elevated CO</w:t>
      </w:r>
      <w:r w:rsidR="00FB1420">
        <w:rPr>
          <w:vertAlign w:val="subscript"/>
        </w:rPr>
        <w:t>2</w:t>
      </w:r>
      <w:r w:rsidR="00FB1420">
        <w:t xml:space="preserve"> at different scales”</w:t>
      </w:r>
      <w:r w:rsidR="00FB1420">
        <w:t>,</w:t>
      </w:r>
      <w:r w:rsidR="00FB1420">
        <w:t xml:space="preserve"> for consideration as an article in </w:t>
      </w:r>
      <w:r w:rsidR="00FB1420">
        <w:rPr>
          <w:i/>
        </w:rPr>
        <w:t>Nature Communications</w:t>
      </w:r>
      <w:r w:rsidR="00FB1420">
        <w:t>.</w:t>
      </w:r>
    </w:p>
    <w:p w14:paraId="10C9EFCD" w14:textId="6C774447" w:rsidR="00FB1420" w:rsidRDefault="00FB1420" w:rsidP="00FB1420">
      <w:pPr>
        <w:spacing w:after="120"/>
      </w:pPr>
      <w:r>
        <w:t>Land surface model simulations of the future land carbon sink are particularly sensitive to the representation of photosynthetic processes and their response to increasing CO</w:t>
      </w:r>
      <w:r>
        <w:rPr>
          <w:vertAlign w:val="subscript"/>
        </w:rPr>
        <w:t>2</w:t>
      </w:r>
      <w:r>
        <w:t xml:space="preserve"> concentration</w:t>
      </w:r>
      <w:r w:rsidR="00C56D53">
        <w:t>s</w:t>
      </w:r>
      <w:r>
        <w:t>. Models that include photosynthetic acclimation to elevated CO</w:t>
      </w:r>
      <w:r>
        <w:rPr>
          <w:vertAlign w:val="subscript"/>
        </w:rPr>
        <w:t>2</w:t>
      </w:r>
      <w:r>
        <w:t xml:space="preserve"> simulate a downregulation in leaf nitrogen content and photosynthetic capacity that results from progressive soil nitrogen</w:t>
      </w:r>
      <w:r w:rsidDel="004B634C">
        <w:t xml:space="preserve"> </w:t>
      </w:r>
      <w:r>
        <w:t xml:space="preserve">limitation, an effect that reduces the future terrestrial carbon sink compared to models that do not simulate this </w:t>
      </w:r>
      <w:r w:rsidR="00B55A62">
        <w:t>acclimation response</w:t>
      </w:r>
      <w:r>
        <w:t xml:space="preserve">. </w:t>
      </w:r>
      <w:r w:rsidR="00CB1988">
        <w:rPr>
          <w:bCs/>
        </w:rPr>
        <w:t>H</w:t>
      </w:r>
      <w:r w:rsidR="00CB1988">
        <w:rPr>
          <w:bCs/>
        </w:rPr>
        <w:t xml:space="preserve">owever, recent work using eco-evolutionary optimality theory suggests that </w:t>
      </w:r>
      <w:r w:rsidR="00B55A62">
        <w:rPr>
          <w:bCs/>
        </w:rPr>
        <w:t>photosynthetic responses to elevated CO</w:t>
      </w:r>
      <w:r w:rsidR="00B55A62">
        <w:rPr>
          <w:bCs/>
          <w:vertAlign w:val="subscript"/>
        </w:rPr>
        <w:t>2</w:t>
      </w:r>
      <w:r w:rsidR="00B55A62">
        <w:rPr>
          <w:bCs/>
        </w:rPr>
        <w:t xml:space="preserve"> are </w:t>
      </w:r>
      <w:r w:rsidR="00CB1988">
        <w:rPr>
          <w:bCs/>
        </w:rPr>
        <w:t xml:space="preserve">driven by changes in leaf nitrogen demand to build and maintain photosynthetic enzymes, which optimizes </w:t>
      </w:r>
      <w:r w:rsidR="00CB1988">
        <w:rPr>
          <w:bCs/>
          <w:color w:val="000000"/>
        </w:rPr>
        <w:t>resource allocation to photosynthetic capacity and maximizes allocation to growth.</w:t>
      </w:r>
      <w:r w:rsidR="00CB1988">
        <w:t xml:space="preserve"> </w:t>
      </w:r>
      <w:r>
        <w:t xml:space="preserve">Here, for the first time, we provide experimental </w:t>
      </w:r>
      <w:r w:rsidR="00CB1988">
        <w:t>evidence that</w:t>
      </w:r>
      <w:r>
        <w:t xml:space="preserve"> reconcile</w:t>
      </w:r>
      <w:r w:rsidR="00CB1988">
        <w:t>s</w:t>
      </w:r>
      <w:r>
        <w:t xml:space="preserve"> these competing hypotheses, forging a path forward for implementing improved representations of plant responses to elevated CO</w:t>
      </w:r>
      <w:r>
        <w:rPr>
          <w:vertAlign w:val="subscript"/>
        </w:rPr>
        <w:t>2</w:t>
      </w:r>
      <w:r>
        <w:t xml:space="preserve"> across soil nitrogen availability gradients in land surface models.</w:t>
      </w:r>
    </w:p>
    <w:p w14:paraId="2E01483E" w14:textId="1E908739" w:rsidR="00FB1420" w:rsidRDefault="00FB1420" w:rsidP="00FB1420">
      <w:pPr>
        <w:spacing w:after="120"/>
      </w:pPr>
      <w:r>
        <w:rPr>
          <w:i/>
          <w:iCs/>
        </w:rPr>
        <w:t>Glycine max</w:t>
      </w:r>
      <w:r>
        <w:t xml:space="preserve"> L. (Merr) seedlings </w:t>
      </w:r>
      <w:r w:rsidR="00CB1988">
        <w:t xml:space="preserve">were grown </w:t>
      </w:r>
      <w:r>
        <w:t>under two CO</w:t>
      </w:r>
      <w:r>
        <w:rPr>
          <w:vertAlign w:val="subscript"/>
        </w:rPr>
        <w:t>2</w:t>
      </w:r>
      <w:r>
        <w:t xml:space="preserve"> concentrations (420 ppm and 1000 ppm), nine soil nitrogen fertilization treatments, two inoculation treatments (</w:t>
      </w:r>
      <w:r w:rsidR="00CB1988">
        <w:t xml:space="preserve">with and without </w:t>
      </w:r>
      <w:r>
        <w:t>inoculat</w:t>
      </w:r>
      <w:r w:rsidR="00CB1988">
        <w:t>ion</w:t>
      </w:r>
      <w:r>
        <w:t xml:space="preserve"> with </w:t>
      </w:r>
      <w:r>
        <w:rPr>
          <w:i/>
          <w:iCs/>
        </w:rPr>
        <w:t>Bradyrhizobium japonicum</w:t>
      </w:r>
      <w:r>
        <w:t xml:space="preserve">) in a full-factorial growth chamber experiment. After seven weeks of vegetative growth, </w:t>
      </w:r>
      <w:r w:rsidR="00C56D53">
        <w:t xml:space="preserve">net photosynthesis, </w:t>
      </w:r>
      <w:r>
        <w:t>maximum rates of Rubisco carboxylation and RuBP regeneration, total leaf area, and whole-plant biomass</w:t>
      </w:r>
      <w:r w:rsidR="00CB1988">
        <w:t xml:space="preserve"> were measured</w:t>
      </w:r>
      <w:r>
        <w:t>. We also calculated structural carbon costs to acquire nitrogen</w:t>
      </w:r>
      <w:r w:rsidRPr="00A47D07">
        <w:rPr>
          <w:color w:val="000000" w:themeColor="text1"/>
        </w:rPr>
        <w:t xml:space="preserve"> and </w:t>
      </w:r>
      <w:r w:rsidR="00CB1988">
        <w:rPr>
          <w:color w:val="000000" w:themeColor="text1"/>
        </w:rPr>
        <w:t xml:space="preserve">plant </w:t>
      </w:r>
      <w:r w:rsidRPr="00A47D07">
        <w:rPr>
          <w:color w:val="000000" w:themeColor="text1"/>
        </w:rPr>
        <w:t>investment to symbiotic nitrogen fixation</w:t>
      </w:r>
      <w:r>
        <w:t>.</w:t>
      </w:r>
    </w:p>
    <w:p w14:paraId="4B2EB65E" w14:textId="2F586183" w:rsidR="00C56D53" w:rsidRPr="00C56D53" w:rsidRDefault="00CB1988" w:rsidP="00FB1420">
      <w:pPr>
        <w:spacing w:after="120"/>
      </w:pPr>
      <w:r>
        <w:t>E</w:t>
      </w:r>
      <w:r w:rsidR="00FB1420">
        <w:t>levated CO</w:t>
      </w:r>
      <w:r w:rsidR="00FB1420">
        <w:rPr>
          <w:vertAlign w:val="subscript"/>
        </w:rPr>
        <w:t>2</w:t>
      </w:r>
      <w:r w:rsidR="00FB1420">
        <w:t xml:space="preserve"> </w:t>
      </w:r>
      <w:r>
        <w:t xml:space="preserve">increased net photosynthesis rates despite </w:t>
      </w:r>
      <w:r w:rsidR="00FB1420">
        <w:t>decreased maximum rate</w:t>
      </w:r>
      <w:r w:rsidR="00C56D53">
        <w:t>s</w:t>
      </w:r>
      <w:r w:rsidR="00FB1420">
        <w:t xml:space="preserve"> of Rubisco carboxylation</w:t>
      </w:r>
      <w:r w:rsidR="00C56D53">
        <w:t xml:space="preserve"> and electron transport for</w:t>
      </w:r>
      <w:r w:rsidR="00FB1420">
        <w:t xml:space="preserve"> RuBP regeneration. Elevated CO</w:t>
      </w:r>
      <w:r w:rsidR="00FB1420">
        <w:rPr>
          <w:vertAlign w:val="subscript"/>
        </w:rPr>
        <w:t>2</w:t>
      </w:r>
      <w:r w:rsidR="00FB1420">
        <w:t xml:space="preserve"> decreased the maximum rate of Rubisco carboxylation more strongly than </w:t>
      </w:r>
      <w:r>
        <w:t xml:space="preserve">it decreased </w:t>
      </w:r>
      <w:r w:rsidR="00FB1420">
        <w:t xml:space="preserve">the maximum rate of </w:t>
      </w:r>
      <w:r w:rsidR="00C56D53">
        <w:t xml:space="preserve">electron transport for </w:t>
      </w:r>
      <w:r w:rsidR="00FB1420">
        <w:t xml:space="preserve">RuBP regeneration, allowing </w:t>
      </w:r>
      <w:r>
        <w:t>net photosynthesis rates to be achieved through increasingly</w:t>
      </w:r>
      <w:r w:rsidR="00FB1420">
        <w:t xml:space="preserve"> optimal co-limitation of Rubisco</w:t>
      </w:r>
      <w:r w:rsidR="00C56D53">
        <w:t>-limited and RuBP-limited photosynthesis rates</w:t>
      </w:r>
      <w:r w:rsidR="00FB1420">
        <w:t xml:space="preserve">. </w:t>
      </w:r>
      <w:r>
        <w:t>L</w:t>
      </w:r>
      <w:r w:rsidR="00FB1420">
        <w:t xml:space="preserve">eaf </w:t>
      </w:r>
      <w:r>
        <w:t xml:space="preserve">photosynthetic </w:t>
      </w:r>
      <w:r w:rsidR="00FB1420">
        <w:t>responses to CO</w:t>
      </w:r>
      <w:r w:rsidR="00FB1420">
        <w:rPr>
          <w:vertAlign w:val="subscript"/>
        </w:rPr>
        <w:t>2</w:t>
      </w:r>
      <w:r w:rsidR="00FB1420">
        <w:t xml:space="preserve"> were independent of fertilization or inoculation treatment, </w:t>
      </w:r>
      <w:r>
        <w:t>suggesting that leaf photosynthetic responses to elevated CO</w:t>
      </w:r>
      <w:r>
        <w:rPr>
          <w:vertAlign w:val="subscript"/>
        </w:rPr>
        <w:t>2</w:t>
      </w:r>
      <w:r>
        <w:t xml:space="preserve"> were d</w:t>
      </w:r>
      <w:r w:rsidR="00C56D53">
        <w:t>riven by</w:t>
      </w:r>
      <w:r>
        <w:t xml:space="preserve"> altered demand to build and maintain photosynthetic enzymes. </w:t>
      </w:r>
      <w:r w:rsidR="00C56D53">
        <w:t>On the other hand, increasing soil nitrogen fertilization enhanced positive effects of elevated CO</w:t>
      </w:r>
      <w:r w:rsidR="00C56D53">
        <w:rPr>
          <w:vertAlign w:val="subscript"/>
        </w:rPr>
        <w:t>2</w:t>
      </w:r>
      <w:r w:rsidR="00C56D53">
        <w:t xml:space="preserve"> on total leaf area and total biomass, responses that were associated with enhanced nitrogen uptake efficiency. Inoculation had no effect on whole-plant responses to elevated CO</w:t>
      </w:r>
      <w:r w:rsidR="00C56D53">
        <w:rPr>
          <w:vertAlign w:val="subscript"/>
        </w:rPr>
        <w:t>2</w:t>
      </w:r>
      <w:r w:rsidR="00C56D53">
        <w:t xml:space="preserve"> due to similar plant investments toward symbiotic nitrogen fixation between CO</w:t>
      </w:r>
      <w:r w:rsidR="00C56D53">
        <w:rPr>
          <w:vertAlign w:val="subscript"/>
        </w:rPr>
        <w:t>2</w:t>
      </w:r>
      <w:r w:rsidR="00C56D53">
        <w:t xml:space="preserve"> treatments.</w:t>
      </w:r>
    </w:p>
    <w:p w14:paraId="00B0AB1D" w14:textId="6DC7EA18" w:rsidR="00FB1420" w:rsidRDefault="00FB1420" w:rsidP="00FB1420">
      <w:pPr>
        <w:spacing w:after="120"/>
      </w:pPr>
      <w:r>
        <w:t>Our results provide support for both the progressive nitrogen limitation and optimal resource allocation hypotheses, suggest</w:t>
      </w:r>
      <w:r w:rsidR="00C56D53">
        <w:t>ing</w:t>
      </w:r>
      <w:r>
        <w:t xml:space="preserve"> that each hypothesis operates at a different scale. Specifically, leaf </w:t>
      </w:r>
      <w:r w:rsidR="00CB1988">
        <w:t xml:space="preserve">photosynthetic </w:t>
      </w:r>
      <w:r>
        <w:t>responses to elevated CO</w:t>
      </w:r>
      <w:r>
        <w:rPr>
          <w:vertAlign w:val="subscript"/>
        </w:rPr>
        <w:t>2</w:t>
      </w:r>
      <w:r>
        <w:t xml:space="preserve"> were </w:t>
      </w:r>
      <w:r w:rsidR="00CB1988">
        <w:t>driven by changes in leaf nitrogen demand to build and maintain photosynthetic enzymes</w:t>
      </w:r>
      <w:r w:rsidR="00C56D53">
        <w:t>, supporting the optimal resource allocation hypothesis</w:t>
      </w:r>
      <w:r w:rsidR="00CB1988">
        <w:t xml:space="preserve">, while </w:t>
      </w:r>
      <w:r>
        <w:t>whole-plant responses to elevated CO</w:t>
      </w:r>
      <w:r>
        <w:rPr>
          <w:vertAlign w:val="subscript"/>
        </w:rPr>
        <w:t>2</w:t>
      </w:r>
      <w:r>
        <w:t xml:space="preserve"> were</w:t>
      </w:r>
      <w:r w:rsidR="00CB1988">
        <w:t xml:space="preserve"> driven by changes in soil nitrogen supply</w:t>
      </w:r>
      <w:r w:rsidR="00C56D53">
        <w:t>, supporting the progressive nitrogen limitation hypothesis</w:t>
      </w:r>
      <w:r w:rsidR="00CB1988">
        <w:t>.</w:t>
      </w:r>
      <w:r>
        <w:t xml:space="preserve"> </w:t>
      </w:r>
      <w:r w:rsidR="00C56D53">
        <w:t>These</w:t>
      </w:r>
      <w:r>
        <w:t xml:space="preserve"> results </w:t>
      </w:r>
      <w:r w:rsidR="00C56D53">
        <w:t xml:space="preserve">also </w:t>
      </w:r>
      <w:r>
        <w:t xml:space="preserve">suggest that optimal resource allocation to photosynthetic capacity </w:t>
      </w:r>
      <w:r w:rsidR="00C56D53">
        <w:t>could</w:t>
      </w:r>
      <w:r>
        <w:t xml:space="preserve"> result in nitrogen savings at the leaf level that may alleviate progressive </w:t>
      </w:r>
      <w:r w:rsidR="00CB1988">
        <w:t>nitrogen</w:t>
      </w:r>
      <w:r>
        <w:t xml:space="preserve"> limitation at the whole-plant level.</w:t>
      </w:r>
    </w:p>
    <w:p w14:paraId="6F2E97A3" w14:textId="091B25F4" w:rsidR="00B55A62" w:rsidRDefault="00B55A62" w:rsidP="00FB1420">
      <w:pPr>
        <w:spacing w:after="120"/>
      </w:pPr>
      <w:r>
        <w:lastRenderedPageBreak/>
        <w:t xml:space="preserve">We feel that this article would be of </w:t>
      </w:r>
      <w:r w:rsidR="00C56D53">
        <w:t xml:space="preserve">great </w:t>
      </w:r>
      <w:r>
        <w:t xml:space="preserve">interest to the broad readership of </w:t>
      </w:r>
      <w:r>
        <w:rPr>
          <w:i/>
          <w:iCs/>
        </w:rPr>
        <w:t>Nature Communications</w:t>
      </w:r>
      <w:r>
        <w:t xml:space="preserve">, as results provide a novel and potentially paradigm-shifting contribution to ecophysiological and modeling communities that will improve our ability to </w:t>
      </w:r>
      <w:r w:rsidR="00CF2533">
        <w:t xml:space="preserve">simulate and </w:t>
      </w:r>
      <w:r>
        <w:t>predict land surface carbon-nitrogen interactions under future novel environments.</w:t>
      </w:r>
    </w:p>
    <w:p w14:paraId="2308441A" w14:textId="782B6114" w:rsidR="00B55A62" w:rsidRDefault="00B55A62" w:rsidP="00B55A62">
      <w:pPr>
        <w:spacing w:after="120"/>
      </w:pPr>
      <w:r>
        <w:t>Please do not hesitate to contact me at the e-mail listed above over any questions or concerns.</w:t>
      </w:r>
    </w:p>
    <w:p w14:paraId="0574E0D7" w14:textId="32D4A69B" w:rsidR="00FB1420" w:rsidRDefault="00FB1420" w:rsidP="00FB1420">
      <w:r>
        <w:t>Sincerely,</w:t>
      </w:r>
    </w:p>
    <w:p w14:paraId="6FE2572C" w14:textId="77777777" w:rsidR="00FB1420" w:rsidRDefault="00FB1420" w:rsidP="00FB1420"/>
    <w:p w14:paraId="593738C9" w14:textId="77777777" w:rsidR="00FB1420" w:rsidRDefault="00FB1420" w:rsidP="00FB1420"/>
    <w:p w14:paraId="368A6889" w14:textId="77777777" w:rsidR="00FB1420" w:rsidRDefault="00FB1420" w:rsidP="00FB1420"/>
    <w:p w14:paraId="76D930B9" w14:textId="72B411C9" w:rsidR="00FB1420" w:rsidRDefault="00FB1420" w:rsidP="00FB1420">
      <w:r>
        <w:t>Evan A. Perkowski</w:t>
      </w:r>
      <w:r w:rsidR="00B55A62">
        <w:t>, Ph.D.</w:t>
      </w:r>
    </w:p>
    <w:p w14:paraId="052F2B10" w14:textId="77777777" w:rsidR="00FB1420" w:rsidRDefault="00FB1420" w:rsidP="00FB1420">
      <w:r>
        <w:rPr>
          <w:i/>
          <w:iCs/>
        </w:rPr>
        <w:t xml:space="preserve">On behalf of coauthors </w:t>
      </w:r>
      <w:proofErr w:type="spellStart"/>
      <w:r>
        <w:rPr>
          <w:i/>
          <w:iCs/>
        </w:rPr>
        <w:t>Ezinwanne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Ezekannagha</w:t>
      </w:r>
      <w:proofErr w:type="spellEnd"/>
      <w:r>
        <w:rPr>
          <w:i/>
          <w:iCs/>
        </w:rPr>
        <w:t xml:space="preserve"> and Nicholas G. Smith</w:t>
      </w:r>
    </w:p>
    <w:p w14:paraId="7D93B00B" w14:textId="77777777" w:rsidR="00FB1420" w:rsidRDefault="00FB1420" w:rsidP="00FB1420">
      <w:r>
        <w:br w:type="page"/>
      </w:r>
    </w:p>
    <w:p w14:paraId="2C94EBED" w14:textId="77777777" w:rsidR="00FB1420" w:rsidRDefault="00FB1420" w:rsidP="00FB1420"/>
    <w:p w14:paraId="682B9C6A" w14:textId="3111B1AE" w:rsidR="00FB1420" w:rsidRDefault="00FB1420" w:rsidP="00FB1420">
      <w:pPr>
        <w:spacing w:after="120"/>
      </w:pPr>
      <w:r>
        <w:t xml:space="preserve">Dear Editorial Board at </w:t>
      </w:r>
      <w:r>
        <w:rPr>
          <w:i/>
          <w:iCs/>
        </w:rPr>
        <w:t>Nature</w:t>
      </w:r>
      <w:r>
        <w:rPr>
          <w:i/>
          <w:iCs/>
        </w:rPr>
        <w:t xml:space="preserve"> Communications</w:t>
      </w:r>
      <w:r>
        <w:t>,</w:t>
      </w:r>
    </w:p>
    <w:p w14:paraId="6C1C8CFC" w14:textId="357A9449" w:rsidR="00FB1420" w:rsidRDefault="00FB1420" w:rsidP="00FB1420">
      <w:pPr>
        <w:spacing w:after="120"/>
      </w:pPr>
      <w:r>
        <w:t>We are writing to submit our manuscript</w:t>
      </w:r>
      <w:r>
        <w:t xml:space="preserve">, titled </w:t>
      </w:r>
      <w:r>
        <w:t>“Nitrogen demand, supply, and acquisition strategy control plant responses to elevated CO</w:t>
      </w:r>
      <w:r>
        <w:rPr>
          <w:vertAlign w:val="subscript"/>
        </w:rPr>
        <w:t>2</w:t>
      </w:r>
      <w:r>
        <w:t xml:space="preserve"> at different scales</w:t>
      </w:r>
      <w:r>
        <w:t xml:space="preserve">”, for consideration as an article for publication in </w:t>
      </w:r>
      <w:r>
        <w:rPr>
          <w:i/>
          <w:iCs/>
        </w:rPr>
        <w:t>Nature Communications</w:t>
      </w:r>
      <w:r>
        <w:t xml:space="preserve">. The manuscript reports findings from an experiment that reconciles </w:t>
      </w:r>
      <w:r>
        <w:t xml:space="preserve">competing hypotheses for </w:t>
      </w:r>
      <w:r>
        <w:t xml:space="preserve">explaining the role of soil nitrogen availability on </w:t>
      </w:r>
      <w:r>
        <w:t xml:space="preserve">plant </w:t>
      </w:r>
      <w:r>
        <w:t>responses to</w:t>
      </w:r>
      <w:r>
        <w:t xml:space="preserve"> elevated CO</w:t>
      </w:r>
      <w:r>
        <w:rPr>
          <w:vertAlign w:val="subscript"/>
        </w:rPr>
        <w:t>2</w:t>
      </w:r>
      <w:r>
        <w:t>, providing</w:t>
      </w:r>
      <w:r>
        <w:t xml:space="preserve"> an avenue for improving future land surface model simulations.</w:t>
      </w:r>
    </w:p>
    <w:p w14:paraId="216A6768" w14:textId="77777777" w:rsidR="00FB1420" w:rsidRDefault="00FB1420" w:rsidP="00FB1420">
      <w:pPr>
        <w:spacing w:after="120"/>
      </w:pPr>
    </w:p>
    <w:p w14:paraId="1395090A" w14:textId="6B0B98CF" w:rsidR="00FB1420" w:rsidRDefault="00FB1420" w:rsidP="00FB1420">
      <w:pPr>
        <w:spacing w:after="120"/>
        <w:rPr>
          <w:bCs/>
        </w:rPr>
      </w:pPr>
      <w:r>
        <w:t xml:space="preserve">In this study, we grew </w:t>
      </w:r>
      <w:r>
        <w:rPr>
          <w:i/>
          <w:iCs/>
        </w:rPr>
        <w:t>Glycine max</w:t>
      </w:r>
      <w:r>
        <w:t xml:space="preserve"> L. (Merr.) seedlings under two CO</w:t>
      </w:r>
      <w:r>
        <w:rPr>
          <w:vertAlign w:val="subscript"/>
        </w:rPr>
        <w:t>2</w:t>
      </w:r>
      <w:r>
        <w:t xml:space="preserve"> concentrations, two symbiotic nitrogen-fixing bacteria inoculation treatments, and nine soil nitrogen fertilization treatments in a full-factorial growth chamber experiment. E</w:t>
      </w:r>
      <w:r>
        <w:t xml:space="preserve">levated </w:t>
      </w:r>
      <w:r>
        <w:rPr>
          <w:bCs/>
        </w:rPr>
        <w:t>CO</w:t>
      </w:r>
      <w:r w:rsidRPr="00E0136E">
        <w:rPr>
          <w:bCs/>
          <w:vertAlign w:val="subscript"/>
        </w:rPr>
        <w:t>2</w:t>
      </w:r>
      <w:r>
        <w:rPr>
          <w:bCs/>
        </w:rPr>
        <w:t xml:space="preserve"> increased net photosynthesis rates despite reduced maximum rates of Ribulose-1,5-bisphosphate (RuBP) carboxylase/oxygenase (Rubisco) carboxylation and electron transport for RuBP regeneration. Leaf photosynthetic responses to </w:t>
      </w:r>
      <w:r>
        <w:t xml:space="preserve">elevated </w:t>
      </w:r>
      <w:r>
        <w:rPr>
          <w:bCs/>
        </w:rPr>
        <w:t>CO</w:t>
      </w:r>
      <w:r>
        <w:rPr>
          <w:bCs/>
          <w:vertAlign w:val="subscript"/>
        </w:rPr>
        <w:t>2</w:t>
      </w:r>
      <w:r>
        <w:rPr>
          <w:bCs/>
        </w:rPr>
        <w:t xml:space="preserve"> were independent of nitrogen fertilization</w:t>
      </w:r>
      <w:r w:rsidDel="00DA5BFD">
        <w:rPr>
          <w:bCs/>
        </w:rPr>
        <w:t xml:space="preserve"> </w:t>
      </w:r>
      <w:r>
        <w:rPr>
          <w:bCs/>
        </w:rPr>
        <w:t>and inoculation</w:t>
      </w:r>
      <w:r>
        <w:rPr>
          <w:bCs/>
        </w:rPr>
        <w:t xml:space="preserve">, and stronger </w:t>
      </w:r>
    </w:p>
    <w:p w14:paraId="28D3A316" w14:textId="77777777" w:rsidR="00FB1420" w:rsidRDefault="00FB1420" w:rsidP="00FB1420">
      <w:pPr>
        <w:spacing w:after="120"/>
        <w:rPr>
          <w:bCs/>
        </w:rPr>
      </w:pPr>
    </w:p>
    <w:p w14:paraId="4EA38107" w14:textId="578873E9" w:rsidR="00FB1420" w:rsidRPr="00FB1420" w:rsidRDefault="00FB1420" w:rsidP="00FB1420">
      <w:pPr>
        <w:spacing w:after="120"/>
      </w:pPr>
      <w:r>
        <w:rPr>
          <w:bCs/>
        </w:rPr>
        <w:t xml:space="preserve">. Increasing nitrogen fertilization enhanced positive effects of </w:t>
      </w:r>
      <w:r>
        <w:t xml:space="preserve">elevated </w:t>
      </w:r>
      <w:r>
        <w:rPr>
          <w:bCs/>
        </w:rPr>
        <w:t>CO</w:t>
      </w:r>
      <w:r>
        <w:rPr>
          <w:bCs/>
          <w:vertAlign w:val="subscript"/>
        </w:rPr>
        <w:t>2</w:t>
      </w:r>
      <w:r>
        <w:rPr>
          <w:bCs/>
        </w:rPr>
        <w:t xml:space="preserve"> on total leaf area and biomass due to increased nitrogen uptake and reduced nitrogen acquisition costs. These results reconcile the role of nitrogen supply and demand on plant responses to </w:t>
      </w:r>
      <w:r>
        <w:t xml:space="preserve">elevated </w:t>
      </w:r>
      <w:r>
        <w:rPr>
          <w:bCs/>
        </w:rPr>
        <w:t>CO</w:t>
      </w:r>
      <w:r>
        <w:rPr>
          <w:bCs/>
          <w:vertAlign w:val="subscript"/>
        </w:rPr>
        <w:t>2</w:t>
      </w:r>
      <w:r>
        <w:rPr>
          <w:bCs/>
        </w:rPr>
        <w:t xml:space="preserve">, showing that leaf nitrogen demand to build and maintain photosynthetic enzymes drives leaf photosynthetic responses to </w:t>
      </w:r>
      <w:r>
        <w:t xml:space="preserve">elevated </w:t>
      </w:r>
      <w:r>
        <w:rPr>
          <w:bCs/>
        </w:rPr>
        <w:t>CO</w:t>
      </w:r>
      <w:r>
        <w:rPr>
          <w:bCs/>
          <w:vertAlign w:val="subscript"/>
        </w:rPr>
        <w:t>2</w:t>
      </w:r>
      <w:r>
        <w:rPr>
          <w:bCs/>
        </w:rPr>
        <w:t>, while nitrogen supply regulates whole-plant responses.</w:t>
      </w:r>
    </w:p>
    <w:p w14:paraId="30F24EE8" w14:textId="77777777" w:rsidR="00FB1420" w:rsidRPr="00101871" w:rsidRDefault="00FB1420" w:rsidP="00FB1420">
      <w:pPr>
        <w:spacing w:after="120"/>
      </w:pPr>
    </w:p>
    <w:p w14:paraId="6D1DD1C0" w14:textId="77777777" w:rsidR="00726899" w:rsidRDefault="00726899"/>
    <w:sectPr w:rsidR="00726899" w:rsidSect="00CA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20"/>
    <w:rsid w:val="00353364"/>
    <w:rsid w:val="00726899"/>
    <w:rsid w:val="00AF5609"/>
    <w:rsid w:val="00B22402"/>
    <w:rsid w:val="00B55A62"/>
    <w:rsid w:val="00C56D53"/>
    <w:rsid w:val="00CA2C8B"/>
    <w:rsid w:val="00CB1988"/>
    <w:rsid w:val="00CF2533"/>
    <w:rsid w:val="00DF3F33"/>
    <w:rsid w:val="00FB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2D396"/>
  <w15:chartTrackingRefBased/>
  <w15:docId w15:val="{EB808BBD-149D-5249-A045-5819889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20"/>
    <w:rPr>
      <w:rFonts w:eastAsia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2024-01-05T21:20:00Z</dcterms:created>
  <dcterms:modified xsi:type="dcterms:W3CDTF">2024-01-05T23:22:00Z</dcterms:modified>
</cp:coreProperties>
</file>