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D991" w14:textId="581B7F5E" w:rsidR="00EB79CF" w:rsidRPr="00EB79CF" w:rsidRDefault="00EB79CF" w:rsidP="00FE3DC9">
      <w:pPr>
        <w:rPr>
          <w:rFonts w:ascii="Times New Roman" w:hAnsi="Times New Roman" w:cs="Times New Roman"/>
        </w:rPr>
      </w:pPr>
      <w:r w:rsidRPr="00EB79CF">
        <w:rPr>
          <w:rFonts w:ascii="Times New Roman" w:hAnsi="Times New Roman" w:cs="Times New Roman"/>
        </w:rPr>
        <w:t>Evan A. Perkowski, Ph.D.</w:t>
      </w:r>
    </w:p>
    <w:p w14:paraId="2F1A0239" w14:textId="1CB08FD8" w:rsidR="00EB79CF" w:rsidRPr="00EB79CF" w:rsidRDefault="00EB79CF" w:rsidP="00FE3DC9">
      <w:pPr>
        <w:rPr>
          <w:rFonts w:ascii="Times New Roman" w:hAnsi="Times New Roman" w:cs="Times New Roman"/>
        </w:rPr>
      </w:pPr>
      <w:r w:rsidRPr="00EB79CF">
        <w:rPr>
          <w:rFonts w:ascii="Times New Roman" w:hAnsi="Times New Roman" w:cs="Times New Roman"/>
        </w:rPr>
        <w:t>Postdoctoral Research Associate</w:t>
      </w:r>
    </w:p>
    <w:p w14:paraId="1E2F6FC3" w14:textId="1CDF4DC7" w:rsidR="00FE3DC9" w:rsidRPr="00EB79CF" w:rsidRDefault="00EB79CF" w:rsidP="00FE3DC9">
      <w:pPr>
        <w:rPr>
          <w:rFonts w:ascii="Times New Roman" w:hAnsi="Times New Roman" w:cs="Times New Roman"/>
        </w:rPr>
      </w:pPr>
      <w:r w:rsidRPr="00EB79CF">
        <w:rPr>
          <w:rFonts w:ascii="Times New Roman" w:hAnsi="Times New Roman" w:cs="Times New Roman"/>
        </w:rPr>
        <w:t>Dept. of Biological Sciences</w:t>
      </w:r>
    </w:p>
    <w:p w14:paraId="71F8CEFC" w14:textId="634154FA" w:rsidR="00FE3DC9" w:rsidRDefault="00EB79CF" w:rsidP="00FE3DC9">
      <w:pPr>
        <w:rPr>
          <w:rFonts w:ascii="Times New Roman" w:hAnsi="Times New Roman" w:cs="Times New Roman"/>
        </w:rPr>
      </w:pPr>
      <w:r w:rsidRPr="00EB79CF">
        <w:rPr>
          <w:rFonts w:ascii="Times New Roman" w:hAnsi="Times New Roman" w:cs="Times New Roman"/>
        </w:rPr>
        <w:t>Texas Tech University</w:t>
      </w:r>
    </w:p>
    <w:p w14:paraId="4860E55F" w14:textId="41D1090C" w:rsidR="00FE3DC9" w:rsidRDefault="00FE3DC9" w:rsidP="00FE3DC9">
      <w:pPr>
        <w:rPr>
          <w:rFonts w:ascii="Times New Roman" w:hAnsi="Times New Roman" w:cs="Times New Roman"/>
        </w:rPr>
      </w:pPr>
      <w:r>
        <w:rPr>
          <w:rFonts w:ascii="Times New Roman" w:hAnsi="Times New Roman" w:cs="Times New Roman"/>
        </w:rPr>
        <w:t>2901 Main St.</w:t>
      </w:r>
    </w:p>
    <w:p w14:paraId="1B4B064F" w14:textId="360ED471" w:rsidR="00EB79CF" w:rsidRPr="00EB79CF" w:rsidRDefault="00EB79CF" w:rsidP="00FE3DC9">
      <w:pPr>
        <w:rPr>
          <w:rFonts w:ascii="Times New Roman" w:hAnsi="Times New Roman" w:cs="Times New Roman"/>
        </w:rPr>
      </w:pPr>
      <w:r w:rsidRPr="00EB79CF">
        <w:rPr>
          <w:rFonts w:ascii="Times New Roman" w:hAnsi="Times New Roman" w:cs="Times New Roman"/>
        </w:rPr>
        <w:t>Lubbock, TX 79409</w:t>
      </w:r>
    </w:p>
    <w:p w14:paraId="5CD00899" w14:textId="67F7697E" w:rsidR="00EB79CF" w:rsidRPr="00EB79CF" w:rsidRDefault="00EB79CF" w:rsidP="00FE3DC9">
      <w:pPr>
        <w:rPr>
          <w:rFonts w:ascii="Times New Roman" w:hAnsi="Times New Roman" w:cs="Times New Roman"/>
        </w:rPr>
      </w:pPr>
      <w:hyperlink r:id="rId5" w:history="1">
        <w:r w:rsidRPr="00EB79CF">
          <w:rPr>
            <w:rStyle w:val="Hyperlink"/>
            <w:rFonts w:ascii="Times New Roman" w:hAnsi="Times New Roman" w:cs="Times New Roman"/>
          </w:rPr>
          <w:t>Evan.a.perkowski@ttu.edu</w:t>
        </w:r>
      </w:hyperlink>
    </w:p>
    <w:p w14:paraId="2562FA1B" w14:textId="77777777" w:rsidR="00FE3DC9" w:rsidRDefault="00FE3DC9" w:rsidP="00FE3DC9">
      <w:pPr>
        <w:rPr>
          <w:rFonts w:ascii="Times New Roman" w:hAnsi="Times New Roman" w:cs="Times New Roman"/>
        </w:rPr>
      </w:pPr>
    </w:p>
    <w:p w14:paraId="237D9FD0" w14:textId="5E5CB39A" w:rsidR="00EB79CF" w:rsidRPr="00EB79CF" w:rsidRDefault="00EB79CF" w:rsidP="00FE3DC9">
      <w:pPr>
        <w:rPr>
          <w:rFonts w:ascii="Times New Roman" w:hAnsi="Times New Roman" w:cs="Times New Roman"/>
        </w:rPr>
      </w:pPr>
      <w:r w:rsidRPr="00EB79CF">
        <w:rPr>
          <w:rFonts w:ascii="Times New Roman" w:hAnsi="Times New Roman" w:cs="Times New Roman"/>
        </w:rPr>
        <w:t>January 18, 2024</w:t>
      </w:r>
    </w:p>
    <w:p w14:paraId="63BD81ED" w14:textId="77777777" w:rsidR="00FE3DC9" w:rsidRDefault="00FE3DC9" w:rsidP="00FE3DC9">
      <w:pPr>
        <w:rPr>
          <w:rFonts w:ascii="Times New Roman" w:hAnsi="Times New Roman" w:cs="Times New Roman"/>
        </w:rPr>
      </w:pPr>
    </w:p>
    <w:p w14:paraId="308BF489" w14:textId="6121AB82" w:rsidR="00EB79CF" w:rsidRPr="00EB79CF" w:rsidRDefault="00EB79CF" w:rsidP="00FE3DC9">
      <w:pPr>
        <w:rPr>
          <w:rFonts w:ascii="Times New Roman" w:hAnsi="Times New Roman" w:cs="Times New Roman"/>
        </w:rPr>
      </w:pPr>
      <w:r w:rsidRPr="00EB79CF">
        <w:rPr>
          <w:rFonts w:ascii="Times New Roman" w:hAnsi="Times New Roman" w:cs="Times New Roman"/>
        </w:rPr>
        <w:t xml:space="preserve">Dear Editorial Board at </w:t>
      </w:r>
      <w:r w:rsidRPr="00EB79CF">
        <w:rPr>
          <w:rFonts w:ascii="Times New Roman" w:hAnsi="Times New Roman" w:cs="Times New Roman"/>
          <w:i/>
          <w:iCs/>
        </w:rPr>
        <w:t>New Phytologist</w:t>
      </w:r>
      <w:r w:rsidRPr="00EB79CF">
        <w:rPr>
          <w:rFonts w:ascii="Times New Roman" w:hAnsi="Times New Roman" w:cs="Times New Roman"/>
        </w:rPr>
        <w:t>,</w:t>
      </w:r>
    </w:p>
    <w:p w14:paraId="22D6C0FF" w14:textId="77777777" w:rsidR="00FE3DC9" w:rsidRDefault="00FE3DC9" w:rsidP="00FE3DC9">
      <w:pPr>
        <w:rPr>
          <w:rFonts w:ascii="Times New Roman" w:hAnsi="Times New Roman" w:cs="Times New Roman"/>
        </w:rPr>
      </w:pPr>
    </w:p>
    <w:p w14:paraId="64302BB1" w14:textId="04375E8A" w:rsidR="00EB79CF" w:rsidRPr="005C5E01" w:rsidRDefault="00EB79CF" w:rsidP="00FE3DC9">
      <w:pPr>
        <w:rPr>
          <w:rFonts w:ascii="Times New Roman" w:hAnsi="Times New Roman" w:cs="Times New Roman"/>
        </w:rPr>
      </w:pPr>
      <w:r w:rsidRPr="00EB79CF">
        <w:rPr>
          <w:rFonts w:ascii="Times New Roman" w:hAnsi="Times New Roman" w:cs="Times New Roman"/>
        </w:rPr>
        <w:t xml:space="preserve">Please consider the attached manuscript, titled </w:t>
      </w:r>
      <w:r w:rsidRPr="00EB79CF">
        <w:rPr>
          <w:rFonts w:ascii="Times New Roman" w:hAnsi="Times New Roman" w:cs="Times New Roman"/>
        </w:rPr>
        <w:t>“Nitrogen demand, supply, and acquisition strategy control plant responses to elevated CO</w:t>
      </w:r>
      <w:r w:rsidRPr="00EB79CF">
        <w:rPr>
          <w:rFonts w:ascii="Times New Roman" w:hAnsi="Times New Roman" w:cs="Times New Roman"/>
          <w:vertAlign w:val="subscript"/>
        </w:rPr>
        <w:t>2</w:t>
      </w:r>
      <w:r w:rsidRPr="00EB79CF">
        <w:rPr>
          <w:rFonts w:ascii="Times New Roman" w:hAnsi="Times New Roman" w:cs="Times New Roman"/>
        </w:rPr>
        <w:t xml:space="preserve"> at different scales”</w:t>
      </w:r>
      <w:r w:rsidRPr="00EB79CF">
        <w:rPr>
          <w:rFonts w:ascii="Times New Roman" w:hAnsi="Times New Roman" w:cs="Times New Roman"/>
        </w:rPr>
        <w:t xml:space="preserve"> for consideration as a full research article to </w:t>
      </w:r>
      <w:r w:rsidRPr="00EB79CF">
        <w:rPr>
          <w:rFonts w:ascii="Times New Roman" w:hAnsi="Times New Roman" w:cs="Times New Roman"/>
          <w:i/>
          <w:iCs/>
        </w:rPr>
        <w:t>New Phytologist</w:t>
      </w:r>
      <w:r w:rsidRPr="00EB79CF">
        <w:rPr>
          <w:rFonts w:ascii="Times New Roman" w:hAnsi="Times New Roman" w:cs="Times New Roman"/>
        </w:rPr>
        <w:t>.</w:t>
      </w:r>
      <w:r>
        <w:rPr>
          <w:rFonts w:ascii="Times New Roman" w:hAnsi="Times New Roman" w:cs="Times New Roman"/>
        </w:rPr>
        <w:t xml:space="preserve"> The manuscript contains </w:t>
      </w:r>
      <w:r w:rsidR="008727B8">
        <w:rPr>
          <w:rFonts w:ascii="Times New Roman" w:hAnsi="Times New Roman" w:cs="Times New Roman"/>
        </w:rPr>
        <w:t>3 tables and 3 figures embedded in the main text with 6 tables and 6 figures included as supplemental material.</w:t>
      </w:r>
    </w:p>
    <w:p w14:paraId="19288657" w14:textId="77777777" w:rsidR="00FE3DC9" w:rsidRDefault="00FE3DC9" w:rsidP="00FE3DC9">
      <w:pPr>
        <w:rPr>
          <w:rFonts w:ascii="Times New Roman" w:hAnsi="Times New Roman" w:cs="Times New Roman"/>
        </w:rPr>
      </w:pPr>
    </w:p>
    <w:p w14:paraId="6C5089A0" w14:textId="4C9AC427"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What hypotheses or questions does this work address?</w:t>
      </w:r>
    </w:p>
    <w:p w14:paraId="16F6B188" w14:textId="77777777" w:rsidR="00FE3DC9" w:rsidRDefault="00FE3DC9" w:rsidP="00FE3DC9">
      <w:pPr>
        <w:rPr>
          <w:rFonts w:ascii="Times New Roman" w:hAnsi="Times New Roman" w:cs="Times New Roman"/>
        </w:rPr>
      </w:pPr>
    </w:p>
    <w:p w14:paraId="0ECA9AA9" w14:textId="3806216D" w:rsidR="000178CB" w:rsidRPr="000178CB" w:rsidRDefault="000178CB" w:rsidP="00FE3DC9">
      <w:pPr>
        <w:rPr>
          <w:rFonts w:ascii="Times New Roman" w:hAnsi="Times New Roman" w:cs="Times New Roman"/>
        </w:rPr>
      </w:pPr>
      <w:r w:rsidRPr="000178CB">
        <w:rPr>
          <w:rFonts w:ascii="Times New Roman" w:hAnsi="Times New Roman" w:cs="Times New Roman"/>
        </w:rPr>
        <w:t>The manuscript describes results from a growth chamber experiment in which </w:t>
      </w:r>
      <w:r w:rsidRPr="000178CB">
        <w:rPr>
          <w:rStyle w:val="Emphasis"/>
          <w:rFonts w:ascii="Times New Roman" w:hAnsi="Times New Roman" w:cs="Times New Roman"/>
          <w:color w:val="0E101A"/>
        </w:rPr>
        <w:t>Glycine max</w:t>
      </w:r>
      <w:r w:rsidRPr="000178CB">
        <w:rPr>
          <w:rFonts w:ascii="Times New Roman" w:hAnsi="Times New Roman" w:cs="Times New Roman"/>
        </w:rPr>
        <w:t> L. (</w:t>
      </w:r>
      <w:proofErr w:type="spellStart"/>
      <w:r w:rsidRPr="000178CB">
        <w:rPr>
          <w:rFonts w:ascii="Times New Roman" w:hAnsi="Times New Roman" w:cs="Times New Roman"/>
        </w:rPr>
        <w:t>Merr</w:t>
      </w:r>
      <w:proofErr w:type="spellEnd"/>
      <w:r w:rsidRPr="000178CB">
        <w:rPr>
          <w:rFonts w:ascii="Times New Roman" w:hAnsi="Times New Roman" w:cs="Times New Roman"/>
        </w:rPr>
        <w:t>) seedlings were grown under full-factorial combinations of two CO</w:t>
      </w:r>
      <w:r w:rsidRPr="000178CB">
        <w:rPr>
          <w:rFonts w:ascii="Times New Roman" w:hAnsi="Times New Roman" w:cs="Times New Roman"/>
          <w:vertAlign w:val="subscript"/>
        </w:rPr>
        <w:t>2</w:t>
      </w:r>
      <w:r w:rsidRPr="000178CB">
        <w:rPr>
          <w:rFonts w:ascii="Times New Roman" w:hAnsi="Times New Roman" w:cs="Times New Roman"/>
        </w:rPr>
        <w:t>, two inoculation, and nine nitrogen fertilization treatments. After seven weeks of vegetative growth, we assessed gas exchange and growth responses to treatment combinations. A central goal of the experiment was to reconcile the role of nitrogen availability and nitrogen demand on leaf- and whole-plant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using patterns expected from the progressive nitrogen limitation hypothesis and eco-evolutionary optimality theory. Specifically, the manuscript tests the hypothesis that nitrogen availability and demand will</w:t>
      </w:r>
      <w:r>
        <w:rPr>
          <w:rFonts w:ascii="Times New Roman" w:hAnsi="Times New Roman" w:cs="Times New Roman"/>
        </w:rPr>
        <w:t xml:space="preserve"> each</w:t>
      </w:r>
      <w:r w:rsidRPr="000178CB">
        <w:rPr>
          <w:rFonts w:ascii="Times New Roman" w:hAnsi="Times New Roman" w:cs="Times New Roman"/>
        </w:rPr>
        <w:t xml:space="preserve"> determine plant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predicting that each will operate at different </w:t>
      </w:r>
      <w:r>
        <w:rPr>
          <w:rFonts w:ascii="Times New Roman" w:hAnsi="Times New Roman" w:cs="Times New Roman"/>
        </w:rPr>
        <w:t>levels of organization</w:t>
      </w:r>
      <w:r w:rsidRPr="000178CB">
        <w:rPr>
          <w:rFonts w:ascii="Times New Roman" w:hAnsi="Times New Roman" w:cs="Times New Roman"/>
        </w:rPr>
        <w:t>. Following eco-evolutionary optimality theory, we expected that nitrogen demand for building and maintaining photosynthetic enzymes would drive leaf photosynthetic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independent of nitrogen availability. In contrast, we expected that nitrogen availability would regulate whole-plant responses to elevated CO</w:t>
      </w:r>
      <w:r w:rsidRPr="000178CB">
        <w:rPr>
          <w:rFonts w:ascii="Times New Roman" w:hAnsi="Times New Roman" w:cs="Times New Roman"/>
          <w:vertAlign w:val="subscript"/>
        </w:rPr>
        <w:t>2</w:t>
      </w:r>
      <w:r w:rsidR="00C62EA9">
        <w:rPr>
          <w:rFonts w:ascii="Times New Roman" w:hAnsi="Times New Roman" w:cs="Times New Roman"/>
        </w:rPr>
        <w:t xml:space="preserve"> due to increased plant nitrogen uptake and reduced nitrogen acquisition costs</w:t>
      </w:r>
      <w:r w:rsidRPr="000178CB">
        <w:rPr>
          <w:rFonts w:ascii="Times New Roman" w:hAnsi="Times New Roman" w:cs="Times New Roman"/>
        </w:rPr>
        <w:t>, following patterns expected by progressive nitrogen limitation.</w:t>
      </w:r>
    </w:p>
    <w:p w14:paraId="11126D45" w14:textId="77777777" w:rsidR="00FE3DC9" w:rsidRDefault="00FE3DC9" w:rsidP="00FE3DC9">
      <w:pPr>
        <w:rPr>
          <w:rFonts w:ascii="Times New Roman" w:hAnsi="Times New Roman" w:cs="Times New Roman"/>
        </w:rPr>
      </w:pPr>
    </w:p>
    <w:p w14:paraId="31ADCB86" w14:textId="0E50FC74"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How does this work advance our current understanding of plant science?</w:t>
      </w:r>
    </w:p>
    <w:p w14:paraId="469B1C21" w14:textId="7F62CACE" w:rsidR="005C5E01" w:rsidRDefault="005C5E01" w:rsidP="005C5E01">
      <w:pPr>
        <w:rPr>
          <w:rFonts w:ascii="Times New Roman" w:hAnsi="Times New Roman" w:cs="Times New Roman"/>
        </w:rPr>
      </w:pPr>
    </w:p>
    <w:p w14:paraId="63FD18E8" w14:textId="0AB70CC9" w:rsidR="00762816" w:rsidRPr="00762816" w:rsidRDefault="00762816" w:rsidP="005C5E01">
      <w:pPr>
        <w:rPr>
          <w:rFonts w:ascii="Times New Roman" w:hAnsi="Times New Roman" w:cs="Times New Roman"/>
        </w:rPr>
      </w:pPr>
      <w:r>
        <w:rPr>
          <w:rFonts w:ascii="Times New Roman" w:hAnsi="Times New Roman" w:cs="Times New Roman"/>
        </w:rPr>
        <w:t>Our results reconcile the role of nitrogen availability and demand on plant responses to elevated CO</w:t>
      </w:r>
      <w:r>
        <w:rPr>
          <w:rFonts w:ascii="Times New Roman" w:hAnsi="Times New Roman" w:cs="Times New Roman"/>
          <w:vertAlign w:val="subscript"/>
        </w:rPr>
        <w:t>2</w:t>
      </w:r>
      <w:r w:rsidR="006D7153">
        <w:rPr>
          <w:rFonts w:ascii="Times New Roman" w:hAnsi="Times New Roman" w:cs="Times New Roman"/>
        </w:rPr>
        <w:t>, showing that nitrogen demand for building and maintaining photosynthetic enzymes dictate leaf photosynthetic responses to elevated CO</w:t>
      </w:r>
      <w:r w:rsidR="006D7153">
        <w:rPr>
          <w:rFonts w:ascii="Times New Roman" w:hAnsi="Times New Roman" w:cs="Times New Roman"/>
          <w:vertAlign w:val="subscript"/>
        </w:rPr>
        <w:t>2</w:t>
      </w:r>
      <w:r w:rsidR="006D7153">
        <w:rPr>
          <w:rFonts w:ascii="Times New Roman" w:hAnsi="Times New Roman" w:cs="Times New Roman"/>
        </w:rPr>
        <w:t xml:space="preserve"> and nitrogen availability regulate whole-plant responses. </w:t>
      </w:r>
    </w:p>
    <w:p w14:paraId="0590A045" w14:textId="77777777" w:rsidR="00762816" w:rsidRDefault="00762816" w:rsidP="005C5E01">
      <w:pPr>
        <w:rPr>
          <w:rFonts w:ascii="Times New Roman" w:hAnsi="Times New Roman" w:cs="Times New Roman"/>
        </w:rPr>
      </w:pPr>
    </w:p>
    <w:p w14:paraId="79CBE54E" w14:textId="7B3D70DC" w:rsidR="00FE3DC9" w:rsidRPr="00AA299E" w:rsidRDefault="00AA299E" w:rsidP="00FE3DC9">
      <w:pPr>
        <w:rPr>
          <w:rFonts w:ascii="Times New Roman" w:hAnsi="Times New Roman" w:cs="Times New Roman"/>
        </w:rPr>
      </w:pPr>
      <w:r>
        <w:rPr>
          <w:rFonts w:ascii="Times New Roman" w:hAnsi="Times New Roman" w:cs="Times New Roman"/>
        </w:rPr>
        <w:t>Supporting our hypotheses, nitrogen fertilization did not modify leaf photosynthetic responses to elevated CO</w:t>
      </w:r>
      <w:r>
        <w:rPr>
          <w:rFonts w:ascii="Times New Roman" w:hAnsi="Times New Roman" w:cs="Times New Roman"/>
          <w:vertAlign w:val="subscript"/>
        </w:rPr>
        <w:t>2</w:t>
      </w:r>
      <w:r>
        <w:rPr>
          <w:rFonts w:ascii="Times New Roman" w:hAnsi="Times New Roman" w:cs="Times New Roman"/>
        </w:rPr>
        <w:t>. Instead, elevated CO</w:t>
      </w:r>
      <w:r>
        <w:rPr>
          <w:rFonts w:ascii="Times New Roman" w:hAnsi="Times New Roman" w:cs="Times New Roman"/>
          <w:vertAlign w:val="subscript"/>
        </w:rPr>
        <w:t>2</w:t>
      </w:r>
      <w:r>
        <w:rPr>
          <w:rFonts w:ascii="Times New Roman" w:hAnsi="Times New Roman" w:cs="Times New Roman"/>
        </w:rPr>
        <w:t xml:space="preserve"> decreased the maximum rate of Rubisco carboxylation more strongly than it decreased the maximum rate of electron transport for RuBP regeneration, increasing net photosynthesis rates by approaching optimal coordination and maximizing </w:t>
      </w:r>
      <w:r>
        <w:rPr>
          <w:rFonts w:ascii="Times New Roman" w:hAnsi="Times New Roman" w:cs="Times New Roman"/>
        </w:rPr>
        <w:lastRenderedPageBreak/>
        <w:t>nutrient use efficiency. In further support of our hypotheses, positive growth responses to elevated CO</w:t>
      </w:r>
      <w:r>
        <w:rPr>
          <w:rFonts w:ascii="Times New Roman" w:hAnsi="Times New Roman" w:cs="Times New Roman"/>
          <w:vertAlign w:val="subscript"/>
        </w:rPr>
        <w:t>2</w:t>
      </w:r>
      <w:r>
        <w:rPr>
          <w:rFonts w:ascii="Times New Roman" w:hAnsi="Times New Roman" w:cs="Times New Roman"/>
        </w:rPr>
        <w:t xml:space="preserve"> were enhanced with increasing fertilization</w:t>
      </w:r>
    </w:p>
    <w:p w14:paraId="1B8B62A7" w14:textId="77777777" w:rsidR="00FE3DC9" w:rsidRDefault="00FE3DC9" w:rsidP="00FE3DC9">
      <w:pPr>
        <w:rPr>
          <w:rFonts w:ascii="Times New Roman" w:hAnsi="Times New Roman" w:cs="Times New Roman"/>
        </w:rPr>
      </w:pPr>
    </w:p>
    <w:p w14:paraId="3ADBB6B2" w14:textId="25E923C6"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 xml:space="preserve">Why is this work </w:t>
      </w:r>
      <w:r w:rsidR="005C5E01" w:rsidRPr="00762816">
        <w:rPr>
          <w:rFonts w:ascii="Times New Roman" w:hAnsi="Times New Roman" w:cs="Times New Roman"/>
          <w:b/>
          <w:bCs/>
        </w:rPr>
        <w:t>important and timely?</w:t>
      </w:r>
    </w:p>
    <w:p w14:paraId="54F320E1" w14:textId="77777777" w:rsidR="006D7153" w:rsidRDefault="006D7153" w:rsidP="00762816">
      <w:pPr>
        <w:rPr>
          <w:rFonts w:ascii="Times New Roman" w:hAnsi="Times New Roman" w:cs="Times New Roman"/>
        </w:rPr>
      </w:pPr>
    </w:p>
    <w:p w14:paraId="5A25E328" w14:textId="105250D6" w:rsidR="00BF2C9B" w:rsidRDefault="00BF2C9B" w:rsidP="006D7153">
      <w:pPr>
        <w:rPr>
          <w:rFonts w:ascii="Times New Roman" w:hAnsi="Times New Roman" w:cs="Times New Roman"/>
        </w:rPr>
      </w:pPr>
      <w:r>
        <w:rPr>
          <w:rFonts w:ascii="Times New Roman" w:hAnsi="Times New Roman" w:cs="Times New Roman"/>
        </w:rPr>
        <w:t>Photosynthesis represents the largest carbon flux between the atmosphere and biosphere and is regulated by complex carbon and nitrogen cycles. Terrestrial biosphere models are sensitive to the formulation of photosynthetic processes, yet often model photosynthetic responses to increasing atmospheric CO</w:t>
      </w:r>
      <w:r>
        <w:rPr>
          <w:rFonts w:ascii="Times New Roman" w:hAnsi="Times New Roman" w:cs="Times New Roman"/>
          <w:vertAlign w:val="subscript"/>
        </w:rPr>
        <w:t>2</w:t>
      </w:r>
      <w:r>
        <w:rPr>
          <w:rFonts w:ascii="Times New Roman" w:hAnsi="Times New Roman" w:cs="Times New Roman"/>
        </w:rPr>
        <w:t xml:space="preserve"> concentrations as a function of progressive nitrogen limitation. Our results contradict this framework, indicating that photosynthetic responses to elevated CO</w:t>
      </w:r>
      <w:r>
        <w:rPr>
          <w:rFonts w:ascii="Times New Roman" w:hAnsi="Times New Roman" w:cs="Times New Roman"/>
          <w:vertAlign w:val="subscript"/>
        </w:rPr>
        <w:t>2</w:t>
      </w:r>
      <w:r>
        <w:rPr>
          <w:rFonts w:ascii="Times New Roman" w:hAnsi="Times New Roman" w:cs="Times New Roman"/>
        </w:rPr>
        <w:t xml:space="preserve"> are independent of nitrogen availability and are driven by patterns expected by eco-evolutionary optimality theory. This work is therefore timely and important as it suggests that terrestrial biosphere models may improve the accuracy by which photosynthetic processes are modeled under novel growth environments by implementing optimality principles.</w:t>
      </w:r>
    </w:p>
    <w:p w14:paraId="5D0FA87D" w14:textId="77777777" w:rsidR="00FE3DC9" w:rsidRDefault="00FE3DC9" w:rsidP="00FE3DC9">
      <w:pPr>
        <w:rPr>
          <w:rFonts w:ascii="Times New Roman" w:hAnsi="Times New Roman" w:cs="Times New Roman"/>
        </w:rPr>
      </w:pPr>
    </w:p>
    <w:p w14:paraId="6392AAAC" w14:textId="77777777" w:rsidR="00BF2C9B" w:rsidRDefault="00BF2C9B" w:rsidP="00FE3DC9">
      <w:pPr>
        <w:rPr>
          <w:rFonts w:ascii="Times New Roman" w:hAnsi="Times New Roman" w:cs="Times New Roman"/>
        </w:rPr>
      </w:pPr>
    </w:p>
    <w:p w14:paraId="2B1006BC" w14:textId="3A294D70" w:rsidR="008727B8" w:rsidRPr="00C62EA9" w:rsidRDefault="005C5E01" w:rsidP="005C5E01">
      <w:pPr>
        <w:rPr>
          <w:rFonts w:ascii="Times New Roman" w:hAnsi="Times New Roman" w:cs="Times New Roman"/>
        </w:rPr>
      </w:pPr>
      <w:r>
        <w:rPr>
          <w:rFonts w:ascii="Times New Roman" w:hAnsi="Times New Roman" w:cs="Times New Roman"/>
        </w:rPr>
        <w:t>Please do not hesitate to contact me with the contact information below over any questions and concerns.</w:t>
      </w:r>
      <w:r w:rsidR="00C62EA9">
        <w:rPr>
          <w:rFonts w:ascii="Times New Roman" w:hAnsi="Times New Roman" w:cs="Times New Roman"/>
        </w:rPr>
        <w:t xml:space="preserve"> Please note that a version of this manuscript is currently available as a pre-print to </w:t>
      </w:r>
      <w:proofErr w:type="spellStart"/>
      <w:r w:rsidR="00C62EA9">
        <w:rPr>
          <w:rFonts w:ascii="Times New Roman" w:hAnsi="Times New Roman" w:cs="Times New Roman"/>
          <w:i/>
          <w:iCs/>
        </w:rPr>
        <w:t>bioRxiv</w:t>
      </w:r>
      <w:proofErr w:type="spellEnd"/>
      <w:r w:rsidR="00C62EA9">
        <w:rPr>
          <w:rFonts w:ascii="Times New Roman" w:hAnsi="Times New Roman" w:cs="Times New Roman"/>
        </w:rPr>
        <w:t xml:space="preserve"> (DOI: </w:t>
      </w:r>
      <w:hyperlink r:id="rId6" w:history="1">
        <w:r w:rsidR="00852E58" w:rsidRPr="00852E58">
          <w:rPr>
            <w:rStyle w:val="Hyperlink"/>
            <w:rFonts w:ascii="Times New Roman" w:hAnsi="Times New Roman" w:cs="Times New Roman"/>
          </w:rPr>
          <w:t>https://doi.org/10.1101/2023.11.30.567584</w:t>
        </w:r>
      </w:hyperlink>
      <w:r w:rsidR="00C62EA9">
        <w:rPr>
          <w:rFonts w:ascii="Times New Roman" w:hAnsi="Times New Roman" w:cs="Times New Roman"/>
        </w:rPr>
        <w:t>)</w:t>
      </w:r>
    </w:p>
    <w:p w14:paraId="5A4D078E" w14:textId="77777777" w:rsidR="005C5E01" w:rsidRDefault="005C5E01" w:rsidP="005C5E01">
      <w:pPr>
        <w:rPr>
          <w:rFonts w:ascii="Times New Roman" w:hAnsi="Times New Roman" w:cs="Times New Roman"/>
        </w:rPr>
      </w:pPr>
    </w:p>
    <w:p w14:paraId="6808184A" w14:textId="65CBE640" w:rsidR="005C5E01" w:rsidRDefault="005C5E01" w:rsidP="005C5E01">
      <w:pPr>
        <w:rPr>
          <w:rFonts w:ascii="Times New Roman" w:hAnsi="Times New Roman" w:cs="Times New Roman"/>
        </w:rPr>
      </w:pPr>
      <w:r>
        <w:rPr>
          <w:rFonts w:ascii="Times New Roman" w:hAnsi="Times New Roman" w:cs="Times New Roman"/>
        </w:rPr>
        <w:t xml:space="preserve">Sincerely, </w:t>
      </w:r>
    </w:p>
    <w:p w14:paraId="09D86921" w14:textId="77777777" w:rsidR="005C5E01" w:rsidRDefault="005C5E01" w:rsidP="005C5E01">
      <w:pPr>
        <w:rPr>
          <w:rFonts w:ascii="Times New Roman" w:hAnsi="Times New Roman" w:cs="Times New Roman"/>
        </w:rPr>
      </w:pPr>
    </w:p>
    <w:p w14:paraId="683574BA" w14:textId="77777777" w:rsidR="005C5E01" w:rsidRDefault="005C5E01" w:rsidP="005C5E01">
      <w:pPr>
        <w:rPr>
          <w:rFonts w:ascii="Times New Roman" w:hAnsi="Times New Roman" w:cs="Times New Roman"/>
        </w:rPr>
      </w:pPr>
    </w:p>
    <w:p w14:paraId="3BB672F2" w14:textId="77777777" w:rsidR="005C5E01" w:rsidRDefault="005C5E01" w:rsidP="005C5E01">
      <w:pPr>
        <w:rPr>
          <w:rFonts w:ascii="Times New Roman" w:hAnsi="Times New Roman" w:cs="Times New Roman"/>
        </w:rPr>
      </w:pPr>
    </w:p>
    <w:p w14:paraId="34531078" w14:textId="7DC1AB5F" w:rsidR="005C5E01" w:rsidRDefault="005C5E01" w:rsidP="005C5E01">
      <w:pPr>
        <w:rPr>
          <w:rFonts w:ascii="Times New Roman" w:hAnsi="Times New Roman" w:cs="Times New Roman"/>
        </w:rPr>
      </w:pPr>
      <w:r>
        <w:rPr>
          <w:rFonts w:ascii="Times New Roman" w:hAnsi="Times New Roman" w:cs="Times New Roman"/>
        </w:rPr>
        <w:t>Evan Perkowski</w:t>
      </w:r>
    </w:p>
    <w:p w14:paraId="1E737EE7" w14:textId="46492C31" w:rsidR="005C5E01" w:rsidRPr="005C5E01" w:rsidRDefault="005C5E01" w:rsidP="005C5E01">
      <w:pPr>
        <w:rPr>
          <w:rFonts w:ascii="Times New Roman" w:hAnsi="Times New Roman" w:cs="Times New Roman"/>
          <w:i/>
          <w:iCs/>
        </w:rPr>
      </w:pPr>
      <w:r w:rsidRPr="005C5E01">
        <w:rPr>
          <w:rFonts w:ascii="Times New Roman" w:hAnsi="Times New Roman" w:cs="Times New Roman"/>
          <w:i/>
          <w:iCs/>
        </w:rPr>
        <w:t xml:space="preserve">On behalf of </w:t>
      </w:r>
      <w:proofErr w:type="spellStart"/>
      <w:r w:rsidRPr="005C5E01">
        <w:rPr>
          <w:rFonts w:ascii="Times New Roman" w:hAnsi="Times New Roman" w:cs="Times New Roman"/>
          <w:i/>
          <w:iCs/>
        </w:rPr>
        <w:t>Ezinwanne</w:t>
      </w:r>
      <w:proofErr w:type="spellEnd"/>
      <w:r w:rsidRPr="005C5E01">
        <w:rPr>
          <w:rFonts w:ascii="Times New Roman" w:hAnsi="Times New Roman" w:cs="Times New Roman"/>
          <w:i/>
          <w:iCs/>
        </w:rPr>
        <w:t xml:space="preserve"> </w:t>
      </w:r>
      <w:proofErr w:type="spellStart"/>
      <w:r w:rsidRPr="005C5E01">
        <w:rPr>
          <w:rFonts w:ascii="Times New Roman" w:hAnsi="Times New Roman" w:cs="Times New Roman"/>
          <w:i/>
          <w:iCs/>
        </w:rPr>
        <w:t>Ezekannagha</w:t>
      </w:r>
      <w:proofErr w:type="spellEnd"/>
      <w:r w:rsidRPr="005C5E01">
        <w:rPr>
          <w:rFonts w:ascii="Times New Roman" w:hAnsi="Times New Roman" w:cs="Times New Roman"/>
          <w:i/>
          <w:iCs/>
        </w:rPr>
        <w:t xml:space="preserve"> and Nick Smith</w:t>
      </w:r>
    </w:p>
    <w:sectPr w:rsidR="005C5E01" w:rsidRPr="005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A4815"/>
    <w:multiLevelType w:val="hybridMultilevel"/>
    <w:tmpl w:val="FA3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6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F"/>
    <w:rsid w:val="000178CB"/>
    <w:rsid w:val="002C7FD6"/>
    <w:rsid w:val="002E58BF"/>
    <w:rsid w:val="005C5E01"/>
    <w:rsid w:val="006D7153"/>
    <w:rsid w:val="00762816"/>
    <w:rsid w:val="00852E58"/>
    <w:rsid w:val="008727B8"/>
    <w:rsid w:val="00AA299E"/>
    <w:rsid w:val="00BF2C9B"/>
    <w:rsid w:val="00C62EA9"/>
    <w:rsid w:val="00EB79CF"/>
    <w:rsid w:val="00EC3FB4"/>
    <w:rsid w:val="00EF691A"/>
    <w:rsid w:val="00FE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ED4F"/>
  <w15:chartTrackingRefBased/>
  <w15:docId w15:val="{981CAA07-9E86-B547-8869-2338D6C0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CF"/>
    <w:rPr>
      <w:color w:val="0563C1" w:themeColor="hyperlink"/>
      <w:u w:val="single"/>
    </w:rPr>
  </w:style>
  <w:style w:type="character" w:styleId="UnresolvedMention">
    <w:name w:val="Unresolved Mention"/>
    <w:basedOn w:val="DefaultParagraphFont"/>
    <w:uiPriority w:val="99"/>
    <w:semiHidden/>
    <w:unhideWhenUsed/>
    <w:rsid w:val="00EB79CF"/>
    <w:rPr>
      <w:color w:val="605E5C"/>
      <w:shd w:val="clear" w:color="auto" w:fill="E1DFDD"/>
    </w:rPr>
  </w:style>
  <w:style w:type="paragraph" w:styleId="ListParagraph">
    <w:name w:val="List Paragraph"/>
    <w:basedOn w:val="Normal"/>
    <w:uiPriority w:val="34"/>
    <w:qFormat/>
    <w:rsid w:val="00FE3DC9"/>
    <w:pPr>
      <w:ind w:left="720"/>
      <w:contextualSpacing/>
    </w:pPr>
  </w:style>
  <w:style w:type="character" w:styleId="Emphasis">
    <w:name w:val="Emphasis"/>
    <w:basedOn w:val="DefaultParagraphFont"/>
    <w:uiPriority w:val="20"/>
    <w:qFormat/>
    <w:rsid w:val="0001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1/2023.11.30.567584" TargetMode="Externa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2024-01-17T19:19:00Z</dcterms:created>
  <dcterms:modified xsi:type="dcterms:W3CDTF">2024-01-17T22:08:00Z</dcterms:modified>
</cp:coreProperties>
</file>