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000000" w:rsidP="006F669F">
      <w:pPr>
        <w:spacing w:after="120"/>
        <w:rPr>
          <w:rFonts w:cs="Times New Roman"/>
        </w:rPr>
      </w:pPr>
      <w:hyperlink r:id="rId5" w:history="1">
        <w:r w:rsidR="006F669F" w:rsidRPr="00EB79CF">
          <w:rPr>
            <w:rStyle w:val="Hyperlink"/>
            <w:rFonts w:cs="Times New Roman"/>
          </w:rPr>
          <w:t>Evan.a.perkowski@ttu.edu</w:t>
        </w:r>
      </w:hyperlink>
    </w:p>
    <w:p w14:paraId="668B51DC" w14:textId="77777777" w:rsidR="006F669F" w:rsidRPr="00EB79CF" w:rsidRDefault="006F669F" w:rsidP="00E5209D">
      <w:pPr>
        <w:spacing w:after="120" w:line="360" w:lineRule="auto"/>
        <w:rPr>
          <w:rFonts w:cs="Times New Roman"/>
        </w:rPr>
      </w:pPr>
      <w:r>
        <w:rPr>
          <w:rFonts w:cs="Times New Roman"/>
        </w:rPr>
        <w:t>June 3</w:t>
      </w:r>
      <w:r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8D96CF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titled “Nitrogen demand, supply,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also included a copy of the revised manuscript with changes noted through the </w:t>
      </w:r>
      <w:r w:rsidRPr="00F8771D">
        <w:rPr>
          <w:rFonts w:eastAsia="Helvetica Neue"/>
        </w:rPr>
        <w:t>“Track Changes” feature</w:t>
      </w:r>
      <w:r>
        <w:rPr>
          <w:rFonts w:eastAsia="Helvetica Neue"/>
        </w:rPr>
        <w:t xml:space="preserve"> in Microsoft Word.</w:t>
      </w:r>
    </w:p>
    <w:p w14:paraId="09D0A33C" w14:textId="7E0BE253" w:rsidR="006F669F" w:rsidRPr="006F669F" w:rsidRDefault="006F669F" w:rsidP="00E5209D">
      <w:pPr>
        <w:spacing w:after="120" w:line="360" w:lineRule="auto"/>
        <w:rPr>
          <w:rFonts w:eastAsia="Helvetica Neue"/>
        </w:rPr>
      </w:pPr>
      <w:r>
        <w:rPr>
          <w:rFonts w:eastAsia="Helvetica Neue"/>
        </w:rPr>
        <w:t>We thank the two reviewers for their helpful and constructive feedback, as we find that the comments have helped clarify and improve the manuscript’s interpretation. The manuscript now includes additional growth analyses suggested by the first reviewer to contextualize whole-plant responses to treatment combinations. Specifically, we have added leaf area ratio</w:t>
      </w:r>
      <w:r w:rsidR="00403299">
        <w:rPr>
          <w:rFonts w:eastAsia="Helvetica Neue"/>
        </w:rPr>
        <w:t xml:space="preserve"> to the main text, as well as organ mass fractions to the supplemental material</w:t>
      </w:r>
      <w:r>
        <w:rPr>
          <w:rFonts w:eastAsia="Helvetica Neue"/>
        </w:rPr>
        <w:t>. We have also attempted to clarify the Introduction as recommended by the second reviewer, and have included justification for our use of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 as recommended by both reviewers.</w:t>
      </w:r>
    </w:p>
    <w:p w14:paraId="523818F6" w14:textId="1C6E4BFB" w:rsidR="006F669F" w:rsidRDefault="006F669F" w:rsidP="00E5209D">
      <w:pPr>
        <w:spacing w:after="120" w:line="360" w:lineRule="auto"/>
        <w:rPr>
          <w:rFonts w:eastAsia="Helvetica Neue"/>
        </w:rPr>
      </w:pPr>
      <w:r>
        <w:rPr>
          <w:rFonts w:eastAsia="Helvetica Neue"/>
        </w:rPr>
        <w:t>Below, we provide a point-by-point response to reviewer comments. We first include the reviewer comment in black-colored font and include our response directly below each reviewer comment in red-colored font.</w:t>
      </w:r>
      <w:r w:rsidR="00397554">
        <w:rPr>
          <w:rFonts w:eastAsia="Helvetica Neue"/>
        </w:rPr>
        <w:t xml:space="preserve"> Where possible, we reference line numbers and copy major text additions below each comment to facilitate review.</w:t>
      </w:r>
    </w:p>
    <w:p w14:paraId="7844B8EA" w14:textId="440BF56F" w:rsidR="006F669F" w:rsidRDefault="006F669F" w:rsidP="00E5209D">
      <w:pPr>
        <w:spacing w:after="120" w:line="360" w:lineRule="auto"/>
        <w:rPr>
          <w:rFonts w:eastAsia="Helvetica Neue"/>
        </w:rPr>
      </w:pPr>
      <w:r>
        <w:rPr>
          <w:rFonts w:eastAsia="Helvetica Neue"/>
        </w:rPr>
        <w:t>If you have any questions or concerns about our revised and resubmitted manuscript, please contact me using the e-mail listed above.</w:t>
      </w:r>
    </w:p>
    <w:p w14:paraId="328A44C2" w14:textId="5002A1F9" w:rsidR="006F669F" w:rsidRDefault="006F669F" w:rsidP="00E5209D">
      <w:pPr>
        <w:spacing w:after="120" w:line="360" w:lineRule="auto"/>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E5209D">
      <w:pPr>
        <w:spacing w:line="360" w:lineRule="auto"/>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97554">
      <w:pPr>
        <w:spacing w:line="360" w:lineRule="auto"/>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B9A532C" w14:textId="31D4DA2F"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Referee: 1</w:t>
      </w:r>
      <w:r w:rsidRPr="00702052">
        <w:rPr>
          <w:rFonts w:eastAsia="Times New Roman" w:cs="Times New Roman"/>
          <w:color w:val="000000"/>
          <w:kern w:val="0"/>
          <w14:ligatures w14:val="none"/>
        </w:rPr>
        <w:br/>
      </w:r>
      <w:r w:rsidRPr="00702052">
        <w:rPr>
          <w:rFonts w:eastAsia="Times New Roman" w:cs="Times New Roman"/>
          <w:color w:val="000000"/>
          <w:kern w:val="0"/>
          <w14:ligatures w14:val="none"/>
        </w:rPr>
        <w:br/>
        <w:t>Comments to the Author</w:t>
      </w:r>
      <w:r w:rsidRPr="00702052">
        <w:rPr>
          <w:rFonts w:eastAsia="Times New Roman" w:cs="Times New Roman"/>
          <w:color w:val="000000"/>
          <w:kern w:val="0"/>
          <w14:ligatures w14:val="none"/>
        </w:rPr>
        <w:b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12E9A73" w14:textId="48BC20DB" w:rsidR="00DB5BC2"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first reviewer for </w:t>
      </w:r>
      <w:r w:rsidR="003C2CE5">
        <w:rPr>
          <w:rFonts w:eastAsia="Times New Roman" w:cs="Times New Roman"/>
          <w:color w:val="FF0000"/>
          <w:kern w:val="0"/>
          <w14:ligatures w14:val="none"/>
        </w:rPr>
        <w:t xml:space="preserve">the </w:t>
      </w:r>
      <w:r>
        <w:rPr>
          <w:rFonts w:eastAsia="Times New Roman" w:cs="Times New Roman"/>
          <w:color w:val="FF0000"/>
          <w:kern w:val="0"/>
          <w14:ligatures w14:val="none"/>
        </w:rPr>
        <w:t>kind words about our manuscript motivations. We acknowledge that work from Prof. Makino’s group has published</w:t>
      </w:r>
      <w:r w:rsidR="00DB5BC2">
        <w:rPr>
          <w:rFonts w:eastAsia="Times New Roman" w:cs="Times New Roman"/>
          <w:color w:val="FF0000"/>
          <w:kern w:val="0"/>
          <w14:ligatures w14:val="none"/>
        </w:rPr>
        <w:t xml:space="preserve"> a series of previous publications that suggest similar responses to nitrogen availability</w:t>
      </w:r>
      <w:r>
        <w:rPr>
          <w:rFonts w:eastAsia="Times New Roman" w:cs="Times New Roman"/>
          <w:color w:val="FF0000"/>
          <w:kern w:val="0"/>
          <w14:ligatures w14:val="none"/>
        </w:rPr>
        <w:t xml:space="preserve"> previous work</w:t>
      </w:r>
      <w:r w:rsidR="00DB5BC2">
        <w:rPr>
          <w:rFonts w:eastAsia="Times New Roman" w:cs="Times New Roman"/>
          <w:color w:val="FF0000"/>
          <w:kern w:val="0"/>
          <w14:ligatures w14:val="none"/>
        </w:rPr>
        <w:t>. As the reviewer points out, the plant materials are quite different, as the cited work from Prof. Makino’s group report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that is not capable of forming associations with symbiotic nitrogen-fixing bacteria. We directly manipulate ability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While the essential aims of our manuscript and Prof. Makino’s group are the same, inoculation treatments imposed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13353C">
        <w:rPr>
          <w:rFonts w:eastAsia="Times New Roman" w:cs="Times New Roman"/>
          <w:color w:val="FF0000"/>
          <w:kern w:val="0"/>
          <w14:ligatures w14:val="none"/>
        </w:rPr>
        <w:t>.</w:t>
      </w:r>
      <w:r w:rsidR="00403299">
        <w:rPr>
          <w:rFonts w:eastAsia="Times New Roman" w:cs="Times New Roman"/>
          <w:color w:val="FF0000"/>
          <w:kern w:val="0"/>
          <w14:ligatures w14:val="none"/>
        </w:rPr>
        <w:t xml:space="preserve"> Studies that examine effects of symbiotic nitrogen fixation on leaf and whole plant responses to elevated CO</w:t>
      </w:r>
      <w:r w:rsidR="00403299">
        <w:rPr>
          <w:rFonts w:eastAsia="Times New Roman" w:cs="Times New Roman"/>
          <w:color w:val="FF0000"/>
          <w:kern w:val="0"/>
          <w:vertAlign w:val="subscript"/>
          <w14:ligatures w14:val="none"/>
        </w:rPr>
        <w:t>2</w:t>
      </w:r>
      <w:r w:rsidR="00403299">
        <w:rPr>
          <w:rFonts w:eastAsia="Times New Roman" w:cs="Times New Roman"/>
          <w:color w:val="FF0000"/>
          <w:kern w:val="0"/>
          <w14:ligatures w14:val="none"/>
        </w:rPr>
        <w:t xml:space="preserve"> across a nitrogen fertilization gradient are rare, but necessary as terrestrial biosphere models include explicit nitrogen cycle dynamics.</w:t>
      </w:r>
    </w:p>
    <w:p w14:paraId="62CC1A9B" w14:textId="77777777" w:rsidR="00F81386" w:rsidRDefault="00F81386" w:rsidP="00E5209D">
      <w:pPr>
        <w:spacing w:line="360" w:lineRule="auto"/>
        <w:rPr>
          <w:rFonts w:eastAsia="Times New Roman" w:cs="Times New Roman"/>
          <w:color w:val="FF0000"/>
          <w:kern w:val="0"/>
          <w14:ligatures w14:val="none"/>
        </w:rPr>
      </w:pPr>
    </w:p>
    <w:p w14:paraId="41B75BC6" w14:textId="56EA9C30" w:rsidR="00702052" w:rsidRPr="00EC7445" w:rsidRDefault="00F81386"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Growth analyses were not practical due to </w:t>
      </w:r>
      <w:r w:rsidR="003C2CE5">
        <w:rPr>
          <w:rFonts w:eastAsia="Times New Roman" w:cs="Times New Roman"/>
          <w:color w:val="FF0000"/>
          <w:kern w:val="0"/>
          <w14:ligatures w14:val="none"/>
        </w:rPr>
        <w:t xml:space="preserve">growth </w:t>
      </w:r>
      <w:r>
        <w:rPr>
          <w:rFonts w:eastAsia="Times New Roman" w:cs="Times New Roman"/>
          <w:color w:val="FF0000"/>
          <w:kern w:val="0"/>
          <w14:ligatures w14:val="none"/>
        </w:rPr>
        <w:t>chamber space limitation and the large number of fertilization treatments</w:t>
      </w:r>
      <w:r w:rsidR="002A6843">
        <w:rPr>
          <w:rFonts w:eastAsia="Times New Roman" w:cs="Times New Roman"/>
          <w:color w:val="FF0000"/>
          <w:kern w:val="0"/>
          <w14:ligatures w14:val="none"/>
        </w:rPr>
        <w:t xml:space="preserve"> that warrant</w:t>
      </w:r>
      <w:r w:rsidR="003C2CE5">
        <w:rPr>
          <w:rFonts w:eastAsia="Times New Roman" w:cs="Times New Roman"/>
          <w:color w:val="FF0000"/>
          <w:kern w:val="0"/>
          <w14:ligatures w14:val="none"/>
        </w:rPr>
        <w:t>ed</w:t>
      </w:r>
      <w:r w:rsidR="002A6843">
        <w:rPr>
          <w:rFonts w:eastAsia="Times New Roman" w:cs="Times New Roman"/>
          <w:color w:val="FF0000"/>
          <w:kern w:val="0"/>
          <w14:ligatures w14:val="none"/>
        </w:rPr>
        <w:t xml:space="preserve"> destructive biomass harvest intervals throughout the experiment not </w:t>
      </w:r>
      <w:r w:rsidR="003C2CE5">
        <w:rPr>
          <w:rFonts w:eastAsia="Times New Roman" w:cs="Times New Roman"/>
          <w:color w:val="FF0000"/>
          <w:kern w:val="0"/>
          <w14:ligatures w14:val="none"/>
        </w:rPr>
        <w:t>feasible.</w:t>
      </w:r>
      <w:r>
        <w:rPr>
          <w:rFonts w:eastAsia="Times New Roman" w:cs="Times New Roman"/>
          <w:color w:val="FF0000"/>
          <w:kern w:val="0"/>
          <w14:ligatures w14:val="none"/>
        </w:rPr>
        <w:t xml:space="preserve"> We refrain from including RGR, NAR, and NNUR in the manuscript, as </w:t>
      </w:r>
      <w:r>
        <w:rPr>
          <w:rFonts w:eastAsia="Times New Roman" w:cs="Times New Roman"/>
          <w:color w:val="FF0000"/>
          <w:kern w:val="0"/>
          <w14:ligatures w14:val="none"/>
        </w:rPr>
        <w:lastRenderedPageBreak/>
        <w:t xml:space="preserve">these variables would be calculated using final standing stock biomass and would therefore assume a linear growth pattern </w:t>
      </w:r>
      <w:r w:rsidR="00E7713E">
        <w:rPr>
          <w:rFonts w:eastAsia="Times New Roman" w:cs="Times New Roman"/>
          <w:color w:val="FF0000"/>
          <w:kern w:val="0"/>
          <w14:ligatures w14:val="none"/>
        </w:rPr>
        <w:t xml:space="preserve">and nitrogen uptake rates </w:t>
      </w:r>
      <w:r>
        <w:rPr>
          <w:rFonts w:eastAsia="Times New Roman" w:cs="Times New Roman"/>
          <w:color w:val="FF0000"/>
          <w:kern w:val="0"/>
          <w14:ligatures w14:val="none"/>
        </w:rPr>
        <w:t>throughout vegetative growth. Soybean does not exhibit a linear growth rate pattern throughout its vegetative growth phase</w:t>
      </w:r>
      <w:r w:rsidR="00E7713E">
        <w:rPr>
          <w:rFonts w:eastAsia="Times New Roman" w:cs="Times New Roman"/>
          <w:color w:val="FF0000"/>
          <w:kern w:val="0"/>
          <w14:ligatures w14:val="none"/>
        </w:rPr>
        <w:t>, so the inclusion of these traits with the current dataset might be misleading</w:t>
      </w:r>
      <w:r>
        <w:rPr>
          <w:rFonts w:eastAsia="Times New Roman" w:cs="Times New Roman"/>
          <w:color w:val="FF0000"/>
          <w:kern w:val="0"/>
          <w14:ligatures w14:val="none"/>
        </w:rPr>
        <w:t xml:space="preserve">. However, </w:t>
      </w:r>
      <w:r w:rsidR="00EC7445">
        <w:rPr>
          <w:rFonts w:eastAsia="Times New Roman" w:cs="Times New Roman"/>
          <w:color w:val="FF0000"/>
          <w:kern w:val="0"/>
          <w14:ligatures w14:val="none"/>
        </w:rPr>
        <w:t xml:space="preserve">we have included LAR and a few relative allocation traits (e.g., </w:t>
      </w:r>
      <w:proofErr w:type="spellStart"/>
      <w:r w:rsidR="00E7713E">
        <w:rPr>
          <w:rFonts w:eastAsia="Times New Roman" w:cs="Times New Roman"/>
          <w:color w:val="FF0000"/>
          <w:kern w:val="0"/>
          <w14:ligatures w14:val="none"/>
        </w:rPr>
        <w:t>root:shoot</w:t>
      </w:r>
      <w:proofErr w:type="spellEnd"/>
      <w:r w:rsidR="00E7713E">
        <w:rPr>
          <w:rFonts w:eastAsia="Times New Roman" w:cs="Times New Roman"/>
          <w:color w:val="FF0000"/>
          <w:kern w:val="0"/>
          <w14:ligatures w14:val="none"/>
        </w:rPr>
        <w:t xml:space="preserve"> ratio and organ mass fractions</w:t>
      </w:r>
      <w:r w:rsidR="00EC7445">
        <w:rPr>
          <w:rFonts w:eastAsia="Times New Roman" w:cs="Times New Roman"/>
          <w:color w:val="FF0000"/>
          <w:kern w:val="0"/>
          <w14:ligatures w14:val="none"/>
        </w:rPr>
        <w:t>) to contextualize growth responses to treatment combinations.</w:t>
      </w:r>
      <w:r w:rsidR="00397554">
        <w:rPr>
          <w:rFonts w:eastAsia="Times New Roman" w:cs="Times New Roman"/>
          <w:color w:val="FF0000"/>
          <w:kern w:val="0"/>
          <w14:ligatures w14:val="none"/>
        </w:rPr>
        <w:t xml:space="preserve"> In short, these analyses indicate</w:t>
      </w:r>
      <w:r w:rsidR="00397554" w:rsidRPr="00397554">
        <w:rPr>
          <w:rFonts w:eastAsia="Times New Roman" w:cs="Times New Roman"/>
          <w:color w:val="FF0000"/>
          <w:kern w:val="0"/>
          <w:highlight w:val="yellow"/>
          <w14:ligatures w14:val="none"/>
        </w:rPr>
        <w:t>…</w:t>
      </w:r>
      <w:r w:rsidR="00397554">
        <w:rPr>
          <w:rFonts w:eastAsia="Times New Roman" w:cs="Times New Roman"/>
          <w:color w:val="FF0000"/>
          <w:kern w:val="0"/>
          <w14:ligatures w14:val="none"/>
        </w:rPr>
        <w:t xml:space="preserve"> . </w:t>
      </w:r>
      <w:r w:rsidR="00EC7445">
        <w:rPr>
          <w:rFonts w:eastAsia="Times New Roman" w:cs="Times New Roman"/>
          <w:color w:val="FF0000"/>
          <w:kern w:val="0"/>
          <w14:ligatures w14:val="none"/>
        </w:rPr>
        <w:t>These results are</w:t>
      </w:r>
      <w:r w:rsidR="002A6843">
        <w:rPr>
          <w:rFonts w:eastAsia="Times New Roman" w:cs="Times New Roman"/>
          <w:color w:val="FF0000"/>
          <w:kern w:val="0"/>
          <w14:ligatures w14:val="none"/>
        </w:rPr>
        <w:t xml:space="preserve"> now</w:t>
      </w:r>
      <w:r w:rsidR="00EC7445">
        <w:rPr>
          <w:rFonts w:eastAsia="Times New Roman" w:cs="Times New Roman"/>
          <w:color w:val="FF0000"/>
          <w:kern w:val="0"/>
          <w14:ligatures w14:val="none"/>
        </w:rPr>
        <w:t xml:space="preserve"> included in the </w:t>
      </w:r>
      <w:r w:rsidR="00EC7445">
        <w:rPr>
          <w:rFonts w:eastAsia="Times New Roman" w:cs="Times New Roman"/>
          <w:i/>
          <w:iCs/>
          <w:color w:val="FF0000"/>
          <w:kern w:val="0"/>
          <w14:ligatures w14:val="none"/>
        </w:rPr>
        <w:t>Supplement</w:t>
      </w:r>
      <w:r w:rsidR="00EC7445">
        <w:rPr>
          <w:rFonts w:eastAsia="Times New Roman" w:cs="Times New Roman"/>
          <w:color w:val="FF0000"/>
          <w:kern w:val="0"/>
          <w14:ligatures w14:val="none"/>
        </w:rPr>
        <w:t xml:space="preserve"> (Table SX; Fig. SX)</w:t>
      </w:r>
      <w:r w:rsidR="002A6843">
        <w:rPr>
          <w:rFonts w:eastAsia="Times New Roman" w:cs="Times New Roman"/>
          <w:color w:val="FF0000"/>
          <w:kern w:val="0"/>
          <w14:ligatures w14:val="none"/>
        </w:rPr>
        <w:t xml:space="preserve"> and </w:t>
      </w:r>
      <w:r w:rsidR="003C2CE5">
        <w:rPr>
          <w:rFonts w:eastAsia="Times New Roman" w:cs="Times New Roman"/>
          <w:color w:val="FF0000"/>
          <w:kern w:val="0"/>
          <w14:ligatures w14:val="none"/>
        </w:rPr>
        <w:t xml:space="preserve">are </w:t>
      </w:r>
      <w:r w:rsidR="002A6843">
        <w:rPr>
          <w:rFonts w:eastAsia="Times New Roman" w:cs="Times New Roman"/>
          <w:color w:val="FF0000"/>
          <w:kern w:val="0"/>
          <w14:ligatures w14:val="none"/>
        </w:rPr>
        <w:t xml:space="preserve">referenced in the Discussion section (lines </w:t>
      </w:r>
      <w:r w:rsidR="002A6843" w:rsidRPr="002A6843">
        <w:rPr>
          <w:rFonts w:eastAsia="Times New Roman" w:cs="Times New Roman"/>
          <w:color w:val="FF0000"/>
          <w:kern w:val="0"/>
          <w:highlight w:val="yellow"/>
          <w14:ligatures w14:val="none"/>
        </w:rPr>
        <w:t>XX-XX</w:t>
      </w:r>
      <w:r w:rsidR="002A6843">
        <w:rPr>
          <w:rFonts w:eastAsia="Times New Roman" w:cs="Times New Roman"/>
          <w:color w:val="FF0000"/>
          <w:kern w:val="0"/>
          <w14:ligatures w14:val="none"/>
        </w:rPr>
        <w:t>)</w:t>
      </w:r>
      <w:r w:rsidR="00EC7445">
        <w:rPr>
          <w:rFonts w:eastAsia="Times New Roman" w:cs="Times New Roman"/>
          <w:color w:val="FF0000"/>
          <w:kern w:val="0"/>
          <w14:ligatures w14:val="none"/>
        </w:rPr>
        <w:t>.</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50AFEFC7" w:rsidR="003C2CE5" w:rsidRDefault="00E5209D"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Pr>
          <w:rFonts w:eastAsia="Times New Roman" w:cs="Times New Roman"/>
          <w:color w:val="FF0000"/>
          <w:kern w:val="0"/>
          <w14:ligatures w14:val="none"/>
        </w:rPr>
        <w:t xml:space="preserve">revious work from our lab has shown that changes in nitrogen availability and factors that influence demand to build and maintain photosynthetic enzymes (e.g., light) </w:t>
      </w:r>
      <w:r w:rsidR="00DC0081">
        <w:rPr>
          <w:rFonts w:eastAsia="Times New Roman" w:cs="Times New Roman"/>
          <w:color w:val="FF0000"/>
          <w:kern w:val="0"/>
          <w14:ligatures w14:val="none"/>
        </w:rPr>
        <w:t>each</w:t>
      </w:r>
      <w:r>
        <w:rPr>
          <w:rFonts w:eastAsia="Times New Roman" w:cs="Times New Roman"/>
          <w:color w:val="FF0000"/>
          <w:kern w:val="0"/>
          <w14:ligatures w14:val="none"/>
        </w:rPr>
        <w:t xml:space="preserve"> modify relationships between leaf N and photosynthetic traits (Waring et al., 2023). </w:t>
      </w:r>
      <w:r w:rsidR="00F03A3C">
        <w:rPr>
          <w:rFonts w:eastAsia="Times New Roman" w:cs="Times New Roman"/>
          <w:color w:val="FF0000"/>
          <w:kern w:val="0"/>
          <w14:ligatures w14:val="none"/>
        </w:rPr>
        <w:t>However, understanding whether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or inoculation treatment independently affect</w:t>
      </w:r>
      <w:r w:rsidR="00E7713E">
        <w:rPr>
          <w:rFonts w:eastAsia="Times New Roman" w:cs="Times New Roman"/>
          <w:color w:val="FF0000"/>
          <w:kern w:val="0"/>
          <w14:ligatures w14:val="none"/>
        </w:rPr>
        <w:t>ed</w:t>
      </w:r>
      <w:r w:rsidR="00F03A3C">
        <w:rPr>
          <w:rFonts w:eastAsia="Times New Roman" w:cs="Times New Roman"/>
          <w:color w:val="FF0000"/>
          <w:kern w:val="0"/>
          <w14:ligatures w14:val="none"/>
        </w:rPr>
        <w:t xml:space="preserve"> relationships between photosynthetic traits and leaf N is not a key component of our paper, especially because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increased</w:t>
      </w:r>
      <w:r w:rsidR="00DC0081">
        <w:rPr>
          <w:rFonts w:eastAsia="Times New Roman" w:cs="Times New Roman"/>
          <w:color w:val="FF0000"/>
          <w:kern w:val="0"/>
          <w14:ligatures w14:val="none"/>
        </w:rPr>
        <w:t xml:space="preserve"> root nodule biomass and the magnitude of nitrogen plants acquired through the symbiosis</w:t>
      </w:r>
      <w:r w:rsidR="003C2CE5">
        <w:rPr>
          <w:rFonts w:eastAsia="Times New Roman" w:cs="Times New Roman"/>
          <w:color w:val="FF0000"/>
          <w:kern w:val="0"/>
          <w14:ligatures w14:val="none"/>
        </w:rPr>
        <w: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3D95BC45"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ur present analyses allow us to make inferences about the effects of our treatment combinations about 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Vcmax25 and Jmax25</w:t>
      </w:r>
      <w:r>
        <w:rPr>
          <w:rFonts w:eastAsia="Times New Roman" w:cs="Times New Roman"/>
          <w:color w:val="FF0000"/>
          <w:kern w:val="0"/>
          <w14:ligatures w14:val="none"/>
        </w:rPr>
        <w:t xml:space="preserve">, while inoculation increased Vcmax25 and Jmax25 more strongly than it increased area-based leaf nitrogen content. Following equations in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et al.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the idea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7713E">
        <w:rPr>
          <w:rFonts w:eastAsia="Times New Roman" w:cs="Times New Roman"/>
          <w:color w:val="FF0000"/>
          <w:kern w:val="0"/>
          <w14:ligatures w14:val="none"/>
        </w:rPr>
        <w:t>all</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lastRenderedPageBreak/>
        <w:t>Modeling Implications</w:t>
      </w:r>
      <w:r w:rsidR="00DC0081">
        <w:rPr>
          <w:rFonts w:eastAsia="Times New Roman" w:cs="Times New Roman"/>
          <w:color w:val="FF0000"/>
          <w:kern w:val="0"/>
          <w14:ligatures w14:val="none"/>
        </w:rPr>
        <w:t xml:space="preserve"> subsection of the Discussion, starting on line 614. We have made efforts to make this subsection more explicit by adding the following sentence starting on line 619:</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409AE5D3" w:rsidR="00DC0081" w:rsidRPr="00DC0081"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increased the fractional pool of leaf nitrogen content allocated to Rubisco and bioenergetics, while inoculation decreased the fraction of leaf nitrogen content allocated to Rubisco and bioenergetics </w:t>
      </w:r>
      <w:sdt>
        <w:sdtPr>
          <w:rPr>
            <w:bCs/>
            <w:color w:val="FF0000"/>
          </w:rPr>
          <w:tag w:val="MENDELEY_CITATION_v3_eyJjaXRhdGlvbklEIjoiTUVOREVMRVlfQ0lUQVRJT05fNDVlMzMyZTgtNzIxYS00YzMxLWI0YWUtZmJlMzUzYzI3ZTYzIiwicHJvcGVydGllcyI6eyJub3RlSW5kZXgiOjB9LCJpc0VkaXRlZCI6ZmFsc2UsIm1hbnVhbE92ZXJyaWRlIjp7ImlzTWFudWFsbHlPdmVycmlkZGVuIjpmYWxzZSwiY2l0ZXByb2NUZXh0IjoiKE5paW5lbWV0cyAmIzM4OyBUZW5odW5lbiwgMTk5NykiLCJtYW51YWxPdmVycmlkZVRleHQiOiIifSwiY2l0YXRpb25JdGVtcyI6W3siaWQiOiJmNmQ2ZTkwMC0xYzFhLTNmMzAtYTgyYS1kNDI1ZDlhZWVhY2Yi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LCJpc1RlbXBvcmFyeSI6ZmFsc2V9XX0="/>
          <w:id w:val="-1236702572"/>
          <w:placeholder>
            <w:docPart w:val="5A81E035BB1B754697E531093B9B148C"/>
          </w:placeholder>
        </w:sdtPr>
        <w:sdtContent>
          <w:r w:rsidRPr="00DC0081">
            <w:rPr>
              <w:rFonts w:eastAsia="Times New Roman"/>
              <w:color w:val="FF0000"/>
            </w:rPr>
            <w:t>(</w:t>
          </w:r>
          <w:proofErr w:type="spellStart"/>
          <w:r w:rsidRPr="00DC0081">
            <w:rPr>
              <w:rFonts w:eastAsia="Times New Roman"/>
              <w:color w:val="FF0000"/>
            </w:rPr>
            <w:t>Niinemets</w:t>
          </w:r>
          <w:proofErr w:type="spellEnd"/>
          <w:r w:rsidRPr="00DC0081">
            <w:rPr>
              <w:rFonts w:eastAsia="Times New Roman"/>
              <w:color w:val="FF0000"/>
            </w:rPr>
            <w:t xml:space="preserve"> &amp; </w:t>
          </w:r>
          <w:proofErr w:type="spellStart"/>
          <w:r w:rsidRPr="00DC0081">
            <w:rPr>
              <w:rFonts w:eastAsia="Times New Roman"/>
              <w:color w:val="FF0000"/>
            </w:rPr>
            <w:t>Tenhunen</w:t>
          </w:r>
          <w:proofErr w:type="spellEnd"/>
          <w:r w:rsidRPr="00DC0081">
            <w:rPr>
              <w:rFonts w:eastAsia="Times New Roman"/>
              <w:color w:val="FF0000"/>
            </w:rPr>
            <w:t>, 1997)</w:t>
          </w:r>
        </w:sdtContent>
      </w:sdt>
      <w:r w:rsidRPr="00DC0081">
        <w:rPr>
          <w:bCs/>
          <w:color w:val="FF0000"/>
        </w:rPr>
        <w:t>.</w:t>
      </w:r>
      <w:r>
        <w:rPr>
          <w:bCs/>
          <w:color w:val="FF0000"/>
        </w:rPr>
        <w:t>”</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30890BE5" w:rsidR="0075181D" w:rsidRPr="0075181D" w:rsidRDefault="0075181D"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This information is not available to us. We purchased seeds from Territorial Seed Company, </w:t>
      </w:r>
      <w:r w:rsidR="00524ED6">
        <w:rPr>
          <w:rFonts w:eastAsia="Times New Roman" w:cs="Times New Roman"/>
          <w:color w:val="FF0000"/>
          <w:kern w:val="0"/>
          <w14:ligatures w14:val="none"/>
        </w:rPr>
        <w:t xml:space="preserve">who do not keep track of the cultivar. We have disclosed this in the manuscript on line </w:t>
      </w:r>
      <w:r w:rsidR="00524ED6" w:rsidRPr="000D5AB2">
        <w:rPr>
          <w:rFonts w:eastAsia="Times New Roman" w:cs="Times New Roman"/>
          <w:color w:val="FF0000"/>
          <w:kern w:val="0"/>
          <w:highlight w:val="yellow"/>
          <w14:ligatures w14:val="none"/>
        </w:rPr>
        <w:t>XX</w:t>
      </w:r>
      <w:r w:rsidR="00E7713E">
        <w:rPr>
          <w:rFonts w:eastAsia="Times New Roman" w:cs="Times New Roman"/>
          <w:color w:val="FF0000"/>
          <w:kern w:val="0"/>
          <w14:ligatures w14:val="none"/>
        </w:rPr>
        <w:t xml:space="preserve"> and have included where seeds were </w:t>
      </w:r>
      <w:proofErr w:type="spellStart"/>
      <w:r w:rsidR="00E7713E">
        <w:rPr>
          <w:rFonts w:eastAsia="Times New Roman" w:cs="Times New Roman"/>
          <w:color w:val="FF0000"/>
          <w:kern w:val="0"/>
          <w14:ligatures w14:val="none"/>
        </w:rPr>
        <w:t>purcahsed</w:t>
      </w:r>
      <w:proofErr w:type="spellEnd"/>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2BFB8C1F" w:rsidR="00F46376" w:rsidRPr="00F46376"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While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is indeed high compared to previous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studies, the Intergovernmental Panel on Climate Change predicts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will likely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by 2100 under the Shared Socioeconomic Pathway 5-8.5 (Figure TS.4</w:t>
      </w:r>
      <w:r w:rsidRPr="00F46376">
        <w:rPr>
          <w:rFonts w:eastAsia="Times New Roman" w:cs="Times New Roman"/>
          <w:color w:val="FF0000"/>
          <w:kern w:val="0"/>
          <w14:ligatures w14:val="none"/>
        </w:rPr>
        <w:t>; Figure 4.3; IPCC 2021).</w:t>
      </w:r>
      <w:r w:rsidR="00F46376" w:rsidRPr="00F46376">
        <w:rPr>
          <w:rFonts w:eastAsia="Times New Roman" w:cs="Times New Roman"/>
          <w:color w:val="FF0000"/>
          <w:kern w:val="0"/>
          <w14:ligatures w14:val="none"/>
        </w:rPr>
        <w:t xml:space="preserve"> We have included the following sentence to the Methods</w:t>
      </w:r>
      <w:r w:rsidR="00E7713E">
        <w:rPr>
          <w:rFonts w:eastAsia="Times New Roman" w:cs="Times New Roman"/>
          <w:color w:val="FF0000"/>
          <w:kern w:val="0"/>
          <w14:ligatures w14:val="none"/>
        </w:rPr>
        <w:t xml:space="preserve"> to justify this decision</w:t>
      </w:r>
      <w:r w:rsidR="00F46376" w:rsidRPr="00F46376">
        <w:rPr>
          <w:rFonts w:eastAsia="Times New Roman" w:cs="Times New Roman"/>
          <w:color w:val="FF0000"/>
          <w:kern w:val="0"/>
          <w14:ligatures w14:val="none"/>
        </w:rPr>
        <w:t>, starting on line 193:</w:t>
      </w:r>
    </w:p>
    <w:p w14:paraId="19C81408" w14:textId="3E60EEEE"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socioeconomic 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69CC8012"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4E2EADA8" w14:textId="77777777" w:rsidR="00702052" w:rsidRDefault="00702052" w:rsidP="00E5209D">
      <w:pPr>
        <w:spacing w:line="360" w:lineRule="auto"/>
        <w:rPr>
          <w:rFonts w:eastAsia="Times New Roman" w:cs="Times New Roman"/>
          <w:color w:val="000000"/>
          <w:kern w:val="0"/>
          <w14:ligatures w14:val="none"/>
        </w:rPr>
      </w:pP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398723D3" w14:textId="260D87A5" w:rsidR="00547EF7" w:rsidRPr="00547EF7" w:rsidRDefault="0078220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Pr>
          <w:rFonts w:eastAsia="Times New Roman" w:cs="Times New Roman"/>
          <w:color w:val="FF0000"/>
          <w:kern w:val="0"/>
          <w14:ligatures w14:val="none"/>
        </w:rPr>
        <w:t xml:space="preserve">. We have streamlined the introduction to </w:t>
      </w:r>
      <w:r w:rsidR="00547EF7">
        <w:rPr>
          <w:rFonts w:eastAsia="Times New Roman" w:cs="Times New Roman"/>
          <w:color w:val="FF0000"/>
          <w:kern w:val="0"/>
          <w14:ligatures w14:val="none"/>
        </w:rPr>
        <w:t>reduce its redundancy and lessen confusion. This was primarily accomplished by removing two paragraphs: the second paragraph that summarized consistent leaf- and whole-plant responses to elevated CO</w:t>
      </w:r>
      <w:r w:rsidR="00547EF7">
        <w:rPr>
          <w:rFonts w:eastAsia="Times New Roman" w:cs="Times New Roman"/>
          <w:color w:val="FF0000"/>
          <w:kern w:val="0"/>
          <w:vertAlign w:val="subscript"/>
          <w14:ligatures w14:val="none"/>
        </w:rPr>
        <w:t>2</w:t>
      </w:r>
      <w:r w:rsidR="00547EF7">
        <w:rPr>
          <w:rFonts w:eastAsia="Times New Roman" w:cs="Times New Roman"/>
          <w:color w:val="FF0000"/>
          <w:kern w:val="0"/>
          <w14:ligatures w14:val="none"/>
        </w:rPr>
        <w:t>, and the fourth paragraph that speculated on the role of nitrogen limitation on leaf responses to elevated CO</w:t>
      </w:r>
      <w:r w:rsidR="00547EF7">
        <w:rPr>
          <w:rFonts w:eastAsia="Times New Roman" w:cs="Times New Roman"/>
          <w:color w:val="FF0000"/>
          <w:kern w:val="0"/>
          <w:vertAlign w:val="subscript"/>
          <w14:ligatures w14:val="none"/>
        </w:rPr>
        <w:t>2</w:t>
      </w:r>
      <w:r w:rsidR="00547EF7">
        <w:rPr>
          <w:rFonts w:eastAsia="Times New Roman" w:cs="Times New Roman"/>
          <w:color w:val="FF0000"/>
          <w:kern w:val="0"/>
          <w14:ligatures w14:val="none"/>
        </w:rPr>
        <w:t>.</w:t>
      </w:r>
      <w:r w:rsidR="00441EB3">
        <w:rPr>
          <w:rFonts w:eastAsia="Times New Roman" w:cs="Times New Roman"/>
          <w:color w:val="FF0000"/>
          <w:kern w:val="0"/>
          <w14:ligatures w14:val="none"/>
        </w:rPr>
        <w:t xml:space="preserve"> The</w:t>
      </w:r>
    </w:p>
    <w:p w14:paraId="229B3457" w14:textId="77777777" w:rsidR="00547EF7" w:rsidRDefault="00547EF7" w:rsidP="00E5209D">
      <w:pPr>
        <w:spacing w:line="360" w:lineRule="auto"/>
        <w:rPr>
          <w:rFonts w:eastAsia="Times New Roman" w:cs="Times New Roman"/>
          <w:color w:val="FF0000"/>
          <w:kern w:val="0"/>
          <w14:ligatures w14:val="none"/>
        </w:rPr>
      </w:pPr>
    </w:p>
    <w:p w14:paraId="77A1693F" w14:textId="107639FC" w:rsidR="00547EF7" w:rsidRDefault="00547EF7"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This was primarily accomplished by removing the second paragraph that summarized consistent leaf and whole-plant responses to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that have been documented over the past few decades, and a paragraph dis</w:t>
      </w:r>
    </w:p>
    <w:p w14:paraId="3715587B" w14:textId="77777777" w:rsidR="00547EF7" w:rsidRDefault="00547EF7" w:rsidP="00E5209D">
      <w:pPr>
        <w:spacing w:line="360" w:lineRule="auto"/>
        <w:rPr>
          <w:rFonts w:eastAsia="Times New Roman" w:cs="Times New Roman"/>
          <w:color w:val="FF0000"/>
          <w:kern w:val="0"/>
          <w14:ligatures w14:val="none"/>
        </w:rPr>
      </w:pPr>
    </w:p>
    <w:p w14:paraId="4CF56317" w14:textId="064F9BB6" w:rsidR="00547EF7" w:rsidRDefault="00547EF7"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 as these citations and general patterns are already explained and cited in the paragraphs that discuss the nitrogen limitation and eco-evolutionary optimality hypotheses. We have also </w:t>
      </w:r>
      <w:r>
        <w:rPr>
          <w:rFonts w:eastAsia="Times New Roman" w:cs="Times New Roman"/>
          <w:color w:val="FF0000"/>
          <w:kern w:val="0"/>
          <w14:ligatures w14:val="none"/>
        </w:rPr>
        <w:lastRenderedPageBreak/>
        <w:t>clarified sentences where necessary and have revised topic sentences of a few paragraphs to lessen confusion and clarify the information logic.</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2DF275B1" w:rsidR="00F46376" w:rsidRPr="00F46376" w:rsidRDefault="001364BB"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This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treatment was assigned based on the idea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under the Shared Socioeconomic Pathway 5-8.5 are predicted to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We have included the following sentence to the Methods, starting on line 193:</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2F6F19D" w14:textId="0165811F"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socioeconomic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36B99171"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s open. After 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 set to standardize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photosynthetic processes in leaflets</w:t>
      </w:r>
      <w:r w:rsidR="00CC1A80">
        <w:rPr>
          <w:rFonts w:eastAsia="Times New Roman" w:cs="Times New Roman"/>
          <w:color w:val="FF0000"/>
          <w:kern w:val="0"/>
          <w14:ligatures w14:val="none"/>
        </w:rPr>
        <w:t xml:space="preserve"> to be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0D5AB2">
        <w:rPr>
          <w:rFonts w:eastAsia="Times New Roman" w:cs="Times New Roman"/>
          <w:color w:val="FF0000"/>
          <w:kern w:val="0"/>
          <w14:ligatures w14:val="none"/>
        </w:rPr>
        <w:t xml:space="preserve">We have changed “leaf” to “leaflet” and have screened the rest of this section to </w:t>
      </w:r>
      <w:r w:rsidR="00E7713E">
        <w:rPr>
          <w:rFonts w:eastAsia="Times New Roman" w:cs="Times New Roman"/>
          <w:color w:val="FF0000"/>
          <w:kern w:val="0"/>
          <w14:ligatures w14:val="none"/>
        </w:rPr>
        <w:t>avoid reader confusion.</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4.      There are still some errors in the manuscript, such as in line 419, which should refer to Table S3 instead of Table S4. The authors need to further check the details of the manuscript.</w:t>
      </w:r>
    </w:p>
    <w:p w14:paraId="24DC22DC" w14:textId="0B4A3AFE"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w:t>
      </w:r>
      <w:r w:rsidR="008166D4">
        <w:rPr>
          <w:rFonts w:eastAsia="Times New Roman" w:cs="Times New Roman"/>
          <w:color w:val="FF0000"/>
          <w:kern w:val="0"/>
          <w14:ligatures w14:val="none"/>
        </w:rPr>
        <w:t xml:space="preserve">, although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Pr>
          <w:rFonts w:eastAsia="Times New Roman" w:cs="Times New Roman"/>
          <w:color w:val="FF0000"/>
          <w:kern w:val="0"/>
          <w14:ligatures w14:val="none"/>
        </w:rPr>
        <w:t xml:space="preserve"> final proofreading session prior to re-submission has been completed</w:t>
      </w:r>
      <w:r w:rsidR="00C9126A">
        <w:rPr>
          <w:rFonts w:eastAsia="Times New Roman" w:cs="Times New Roman"/>
          <w:color w:val="FF0000"/>
          <w:kern w:val="0"/>
          <w14:ligatures w14:val="none"/>
        </w:rPr>
        <w:t xml:space="preserve"> to ensure no other major notational or grammatical errors are present.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4783ECCD"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have added an explanation for the Anet,420 response starting on line 564:</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2D7355C6"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t>
      </w:r>
      <w:r w:rsidR="00DA53F3">
        <w:rPr>
          <w:rFonts w:eastAsia="Times New Roman" w:cs="Times New Roman"/>
          <w:color w:val="FF0000"/>
          <w:kern w:val="0"/>
          <w14:ligatures w14:val="none"/>
        </w:rPr>
        <w:t>Individuals grown under elevated CO</w:t>
      </w:r>
      <w:r w:rsidR="00DA53F3">
        <w:rPr>
          <w:rFonts w:eastAsia="Times New Roman" w:cs="Times New Roman"/>
          <w:color w:val="FF0000"/>
          <w:kern w:val="0"/>
          <w:vertAlign w:val="subscript"/>
          <w14:ligatures w14:val="none"/>
        </w:rPr>
        <w:t>2</w:t>
      </w:r>
      <w:r w:rsidR="00DA53F3">
        <w:rPr>
          <w:rFonts w:eastAsia="Times New Roman" w:cs="Times New Roman"/>
          <w:color w:val="FF0000"/>
          <w:kern w:val="0"/>
          <w14:ligatures w14:val="none"/>
        </w:rPr>
        <w:t xml:space="preserve"> experienced a reduction in </w:t>
      </w:r>
      <w:r w:rsidR="00DA53F3">
        <w:rPr>
          <w:rFonts w:eastAsia="Times New Roman" w:cs="Times New Roman"/>
          <w:i/>
          <w:iCs/>
          <w:color w:val="FF0000"/>
          <w:kern w:val="0"/>
          <w14:ligatures w14:val="none"/>
        </w:rPr>
        <w:t>A</w:t>
      </w:r>
      <w:r w:rsidR="00DA53F3">
        <w:rPr>
          <w:rFonts w:eastAsia="Times New Roman" w:cs="Times New Roman"/>
          <w:color w:val="FF0000"/>
          <w:kern w:val="0"/>
          <w:vertAlign w:val="subscript"/>
          <w14:ligatures w14:val="none"/>
        </w:rPr>
        <w:t>net,420</w:t>
      </w:r>
      <w:r w:rsidR="007256D0">
        <w:rPr>
          <w:rFonts w:eastAsia="Times New Roman" w:cs="Times New Roman"/>
          <w:color w:val="FF0000"/>
          <w:kern w:val="0"/>
          <w14:ligatures w14:val="none"/>
        </w:rPr>
        <w:t xml:space="preserve"> that stemmed from a reduction in apparent photosynthetic capacity and stomatal conductance compared to individuals grown under ambient CO</w:t>
      </w:r>
      <w:r w:rsidR="007256D0">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4150A145" w14:textId="77777777" w:rsidR="004D37DB" w:rsidRDefault="004D37DB" w:rsidP="00E5209D">
      <w:pPr>
        <w:spacing w:line="360" w:lineRule="auto"/>
        <w:rPr>
          <w:rFonts w:eastAsia="Times New Roman" w:cs="Times New Roman"/>
          <w:color w:val="FF0000"/>
          <w:kern w:val="0"/>
          <w14:ligatures w14:val="none"/>
        </w:rPr>
      </w:pPr>
    </w:p>
    <w:p w14:paraId="5007648D" w14:textId="3D0056A2" w:rsidR="004D37DB" w:rsidRP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An explanation for the increase in </w:t>
      </w:r>
      <w:proofErr w:type="spellStart"/>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net,gc</w:t>
      </w:r>
      <w:proofErr w:type="spellEnd"/>
      <w:r>
        <w:rPr>
          <w:rFonts w:eastAsia="Times New Roman" w:cs="Times New Roman"/>
          <w:color w:val="FF0000"/>
          <w:kern w:val="0"/>
          <w14:ligatures w14:val="none"/>
        </w:rPr>
        <w:t xml:space="preserve"> </w:t>
      </w:r>
      <w:r w:rsidR="007256D0">
        <w:rPr>
          <w:rFonts w:eastAsia="Times New Roman" w:cs="Times New Roman"/>
          <w:color w:val="FF0000"/>
          <w:kern w:val="0"/>
          <w14:ligatures w14:val="none"/>
        </w:rPr>
        <w:t>under elevated CO</w:t>
      </w:r>
      <w:r w:rsidR="007256D0">
        <w:rPr>
          <w:rFonts w:eastAsia="Times New Roman" w:cs="Times New Roman"/>
          <w:color w:val="FF0000"/>
          <w:kern w:val="0"/>
          <w:vertAlign w:val="subscript"/>
          <w14:ligatures w14:val="none"/>
        </w:rPr>
        <w:t>2</w:t>
      </w:r>
      <w:r w:rsidR="007256D0">
        <w:rPr>
          <w:rFonts w:eastAsia="Times New Roman" w:cs="Times New Roman"/>
          <w:color w:val="FF0000"/>
          <w:kern w:val="0"/>
          <w14:ligatures w14:val="none"/>
        </w:rPr>
        <w:t xml:space="preserve"> </w:t>
      </w:r>
      <w:r>
        <w:rPr>
          <w:rFonts w:eastAsia="Times New Roman" w:cs="Times New Roman"/>
          <w:color w:val="FF0000"/>
          <w:kern w:val="0"/>
          <w14:ligatures w14:val="none"/>
        </w:rPr>
        <w:t>is already included in the manuscript starting on line 540. However, we have added “under growth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conditions” to clarify that optimal resource investment to photosynthetic capacity likely drove increased operational net photosynthesis rates. These sentences are included below, with the addition underlined, for ease of review:</w:t>
      </w:r>
    </w:p>
    <w:p w14:paraId="14C4F71C" w14:textId="77777777" w:rsidR="0075181D" w:rsidRDefault="0075181D" w:rsidP="00E5209D">
      <w:pPr>
        <w:spacing w:line="360" w:lineRule="auto"/>
        <w:rPr>
          <w:rFonts w:eastAsia="Times New Roman" w:cs="Times New Roman"/>
          <w:color w:val="FF0000"/>
          <w:kern w:val="0"/>
          <w14:ligatures w14:val="none"/>
        </w:rPr>
      </w:pPr>
    </w:p>
    <w:p w14:paraId="780506E8" w14:textId="7DA7C9A1" w:rsidR="0075181D" w:rsidRPr="0075181D" w:rsidRDefault="0075181D" w:rsidP="0075181D">
      <w:pPr>
        <w:spacing w:line="360" w:lineRule="auto"/>
        <w:ind w:left="720"/>
        <w:rPr>
          <w:rFonts w:eastAsia="Times New Roman" w:cs="Times New Roman"/>
          <w:color w:val="FF0000"/>
          <w:kern w:val="0"/>
          <w14:ligatures w14:val="none"/>
        </w:rPr>
      </w:pPr>
      <w:r w:rsidRPr="0075181D">
        <w:rPr>
          <w:rFonts w:eastAsia="Times New Roman" w:cs="Times New Roman"/>
          <w:color w:val="FF0000"/>
          <w:kern w:val="0"/>
          <w14:ligatures w14:val="none"/>
        </w:rPr>
        <w:t>“</w:t>
      </w:r>
      <w:r w:rsidRPr="0075181D">
        <w:rPr>
          <w:bCs/>
          <w:color w:val="FF0000"/>
        </w:rPr>
        <w:t xml:space="preserve">In further support of the hypothesis, increased </w:t>
      </w:r>
      <w:r w:rsidRPr="0075181D">
        <w:rPr>
          <w:bCs/>
          <w:i/>
          <w:iCs/>
          <w:color w:val="FF0000"/>
        </w:rPr>
        <w:t>J</w:t>
      </w:r>
      <w:r w:rsidRPr="0075181D">
        <w:rPr>
          <w:bCs/>
          <w:color w:val="FF0000"/>
          <w:vertAlign w:val="subscript"/>
        </w:rPr>
        <w:t>max25</w:t>
      </w:r>
      <w:r w:rsidRPr="0075181D">
        <w:rPr>
          <w:bCs/>
          <w:color w:val="FF0000"/>
        </w:rPr>
        <w:t>:</w:t>
      </w:r>
      <w:r w:rsidRPr="0075181D">
        <w:rPr>
          <w:bCs/>
          <w:i/>
          <w:iCs/>
          <w:color w:val="FF0000"/>
        </w:rPr>
        <w:t>V</w:t>
      </w:r>
      <w:r w:rsidRPr="0075181D">
        <w:rPr>
          <w:bCs/>
          <w:color w:val="FF0000"/>
          <w:vertAlign w:val="subscript"/>
        </w:rPr>
        <w:t>cmax25</w:t>
      </w:r>
      <w:r w:rsidRPr="0075181D">
        <w:rPr>
          <w:bCs/>
          <w:color w:val="FF0000"/>
        </w:rPr>
        <w:t xml:space="preserve"> and </w:t>
      </w:r>
      <w:proofErr w:type="spellStart"/>
      <w:r w:rsidRPr="0075181D">
        <w:rPr>
          <w:bCs/>
          <w:i/>
          <w:iCs/>
          <w:color w:val="FF0000"/>
        </w:rPr>
        <w:t>PNUE</w:t>
      </w:r>
      <w:r w:rsidRPr="0075181D">
        <w:rPr>
          <w:bCs/>
          <w:color w:val="FF0000"/>
          <w:vertAlign w:val="subscript"/>
        </w:rPr>
        <w:t>gc</w:t>
      </w:r>
      <w:proofErr w:type="spellEnd"/>
      <w:r w:rsidRPr="0075181D">
        <w:rPr>
          <w:bCs/>
          <w:color w:val="FF0000"/>
        </w:rPr>
        <w:t xml:space="preserve"> provide strong support for the idea that leaves were downregulating </w:t>
      </w:r>
      <w:r w:rsidRPr="0075181D">
        <w:rPr>
          <w:bCs/>
          <w:i/>
          <w:iCs/>
          <w:color w:val="FF0000"/>
        </w:rPr>
        <w:t>V</w:t>
      </w:r>
      <w:r w:rsidRPr="0075181D">
        <w:rPr>
          <w:bCs/>
          <w:color w:val="FF0000"/>
          <w:vertAlign w:val="subscript"/>
        </w:rPr>
        <w:t>cmax25</w:t>
      </w:r>
      <w:r w:rsidRPr="0075181D">
        <w:rPr>
          <w:bCs/>
          <w:color w:val="FF0000"/>
        </w:rPr>
        <w:t xml:space="preserve"> in response to </w:t>
      </w:r>
      <w:r w:rsidRPr="0075181D">
        <w:rPr>
          <w:color w:val="FF0000"/>
        </w:rPr>
        <w:t>elevated CO</w:t>
      </w:r>
      <w:r w:rsidRPr="0075181D">
        <w:rPr>
          <w:color w:val="FF0000"/>
          <w:vertAlign w:val="subscript"/>
        </w:rPr>
        <w:t>2</w:t>
      </w:r>
      <w:r w:rsidRPr="0075181D">
        <w:rPr>
          <w:bCs/>
          <w:color w:val="FF0000"/>
        </w:rPr>
        <w:t xml:space="preserve"> such that enhanced net photosynthesis rates </w:t>
      </w:r>
      <w:r w:rsidRPr="004D37DB">
        <w:rPr>
          <w:bCs/>
          <w:color w:val="FF0000"/>
          <w:u w:val="single"/>
        </w:rPr>
        <w:t>under growth conditions</w:t>
      </w:r>
      <w:r w:rsidRPr="0075181D">
        <w:rPr>
          <w:bCs/>
          <w:color w:val="FF0000"/>
        </w:rPr>
        <w:t xml:space="preserve"> approached optimal coordination of Rubisco carboxylation and electron transport for RuBP regeneration </w:t>
      </w:r>
      <w:sdt>
        <w:sdtPr>
          <w:rPr>
            <w:bCs/>
            <w:color w:val="FF0000"/>
          </w:rPr>
          <w:tag w:val="MENDELEY_CITATION_v3_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"/>
          <w:id w:val="-162774900"/>
          <w:placeholder>
            <w:docPart w:val="5BBC3826B10479428C61D245465A639E"/>
          </w:placeholder>
        </w:sdtPr>
        <w:sdtEndPr>
          <w:rPr>
            <w:bCs w:val="0"/>
          </w:rPr>
        </w:sdtEndPr>
        <w:sdtContent>
          <w:r w:rsidRPr="0075181D">
            <w:rPr>
              <w:color w:val="FF0000"/>
            </w:rPr>
            <w:t xml:space="preserve">(Chen </w:t>
          </w:r>
          <w:r w:rsidRPr="0075181D">
            <w:rPr>
              <w:i/>
              <w:iCs/>
              <w:color w:val="FF0000"/>
            </w:rPr>
            <w:t>et al.</w:t>
          </w:r>
          <w:r w:rsidRPr="0075181D">
            <w:rPr>
              <w:color w:val="FF0000"/>
            </w:rPr>
            <w:t xml:space="preserve">, 1993; Maire </w:t>
          </w:r>
          <w:r w:rsidRPr="0075181D">
            <w:rPr>
              <w:i/>
              <w:iCs/>
              <w:color w:val="FF0000"/>
            </w:rPr>
            <w:t>et al.</w:t>
          </w:r>
          <w:r w:rsidRPr="0075181D">
            <w:rPr>
              <w:color w:val="FF0000"/>
            </w:rPr>
            <w:t>, 2012; Smith &amp; Keenan, 2020)</w:t>
          </w:r>
        </w:sdtContent>
      </w:sdt>
      <w:r w:rsidRPr="0075181D">
        <w:rPr>
          <w:bCs/>
          <w:color w:val="FF0000"/>
        </w:rPr>
        <w:t xml:space="preserve">, decreasing leaf-level demand for building and maintaining photosynthetic enzymes </w:t>
      </w:r>
      <w:sdt>
        <w:sdtPr>
          <w:rPr>
            <w:bCs/>
            <w:color w:val="FF0000"/>
          </w:rPr>
          <w:tag w:val="MENDELEY_CITATION_v3_eyJjaXRhdGlvbklEIjoiTUVOREVMRVlfQ0lUQVRJT05fOTMwN2RkNGYtNDZiNi00Zjc4LWI0Y2ItMjViZWEyYTlkODFkIiwicHJvcGVydGllcyI6eyJub3RlSW5kZXgiOjB9LCJpc0VkaXRlZCI6ZmFsc2UsIm1hbnVhbE92ZXJyaWRlIjp7ImlzTWFudWFsbHlPdmVycmlkZGVuIjp0cnVlLCJjaXRlcHJvY1RleHQiOiIoRG9uZyA8aT5ldCBhbC48L2k+LCAyMDIyYikiLCJtYW51YWxPdmVycmlkZVRleHQiOiIoRG9uZyBldCBhbC4sIDIwMjJiKS4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1994444413"/>
          <w:placeholder>
            <w:docPart w:val="5BBC3826B10479428C61D245465A639E"/>
          </w:placeholder>
        </w:sdtPr>
        <w:sdtContent>
          <w:r w:rsidRPr="0075181D">
            <w:rPr>
              <w:color w:val="FF0000"/>
            </w:rPr>
            <w:t>(Dong et al., 2022b)</w:t>
          </w:r>
        </w:sdtContent>
      </w:sdt>
      <w:r w:rsidR="00DA53F3">
        <w:rPr>
          <w:bCs/>
          <w:color w:val="FF0000"/>
        </w:rPr>
        <w:t xml:space="preserve"> while maximizing net carbon assimilation</w:t>
      </w:r>
      <w:r w:rsidRPr="0075181D">
        <w:rPr>
          <w:bCs/>
          <w:color w:val="FF0000"/>
        </w:rPr>
        <w:t>.”</w:t>
      </w:r>
    </w:p>
    <w:p w14:paraId="78B72BF9" w14:textId="77777777" w:rsidR="0075181D" w:rsidRDefault="0075181D"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photosynthetic capacity of different treatments because the photosynthetic instrument is set under the same conditions.</w:t>
      </w:r>
    </w:p>
    <w:p w14:paraId="46DD4C3F" w14:textId="69B21839" w:rsidR="00726899" w:rsidRDefault="003132A5" w:rsidP="00E5209D">
      <w:pPr>
        <w:spacing w:line="360" w:lineRule="auto"/>
        <w:rPr>
          <w:color w:val="FF0000"/>
        </w:rPr>
      </w:pPr>
      <w:r>
        <w:rPr>
          <w:color w:val="FF0000"/>
        </w:rPr>
        <w:t xml:space="preserve">The reviewer is correct that </w:t>
      </w:r>
      <w:proofErr w:type="spellStart"/>
      <w:r>
        <w:rPr>
          <w:color w:val="FF0000"/>
        </w:rPr>
        <w:t>Anet,gc</w:t>
      </w:r>
      <w:proofErr w:type="spellEnd"/>
      <w:r>
        <w:rPr>
          <w:color w:val="FF0000"/>
        </w:rPr>
        <w:t xml:space="preserve"> were measured under different CO</w:t>
      </w:r>
      <w:r>
        <w:rPr>
          <w:color w:val="FF0000"/>
          <w:vertAlign w:val="subscript"/>
        </w:rPr>
        <w:t>2</w:t>
      </w:r>
      <w:r>
        <w:rPr>
          <w:color w:val="FF0000"/>
        </w:rPr>
        <w:t xml:space="preserve"> conditions; however, these CO</w:t>
      </w:r>
      <w:r>
        <w:rPr>
          <w:color w:val="FF0000"/>
          <w:vertAlign w:val="subscript"/>
        </w:rPr>
        <w:t>2</w:t>
      </w:r>
      <w:r>
        <w:rPr>
          <w:color w:val="FF0000"/>
        </w:rPr>
        <w:t xml:space="preserve"> conditions were reflective of the growth CO</w:t>
      </w:r>
      <w:r>
        <w:rPr>
          <w:color w:val="FF0000"/>
          <w:vertAlign w:val="subscript"/>
        </w:rPr>
        <w:t>2</w:t>
      </w:r>
      <w:r>
        <w:rPr>
          <w:color w:val="FF0000"/>
        </w:rPr>
        <w:t xml:space="preserve"> conditions each plant was grown under. </w:t>
      </w:r>
      <w:proofErr w:type="spellStart"/>
      <w:r>
        <w:rPr>
          <w:color w:val="FF0000"/>
        </w:rPr>
        <w:t>Anet,gc</w:t>
      </w:r>
      <w:proofErr w:type="spellEnd"/>
      <w:r>
        <w:rPr>
          <w:color w:val="FF0000"/>
        </w:rPr>
        <w:t xml:space="preserve"> was quantified at 420 </w:t>
      </w:r>
      <w:r>
        <w:rPr>
          <w:color w:val="FF0000"/>
          <w:lang w:val="el-GR"/>
        </w:rPr>
        <w:t>μ</w:t>
      </w:r>
      <w:r>
        <w:rPr>
          <w:color w:val="FF0000"/>
        </w:rPr>
        <w:t>mol mol</w:t>
      </w:r>
      <w:r>
        <w:rPr>
          <w:color w:val="FF0000"/>
          <w:vertAlign w:val="superscript"/>
        </w:rPr>
        <w:t>-1</w:t>
      </w:r>
      <w:r>
        <w:rPr>
          <w:color w:val="FF0000"/>
        </w:rPr>
        <w:t xml:space="preserve"> for individuals that received the ambient CO</w:t>
      </w:r>
      <w:r>
        <w:rPr>
          <w:color w:val="FF0000"/>
          <w:vertAlign w:val="subscript"/>
        </w:rPr>
        <w:t>2</w:t>
      </w:r>
      <w:r>
        <w:rPr>
          <w:color w:val="FF0000"/>
        </w:rPr>
        <w:t xml:space="preserve"> treatment, while </w:t>
      </w:r>
      <w:proofErr w:type="spellStart"/>
      <w:r>
        <w:rPr>
          <w:color w:val="FF0000"/>
        </w:rPr>
        <w:t>Anet,gc</w:t>
      </w:r>
      <w:proofErr w:type="spellEnd"/>
      <w:r>
        <w:rPr>
          <w:color w:val="FF0000"/>
        </w:rPr>
        <w:t xml:space="preserve"> was quantified at 1000 </w:t>
      </w:r>
      <w:r>
        <w:rPr>
          <w:color w:val="FF0000"/>
          <w:lang w:val="el-GR"/>
        </w:rPr>
        <w:t>μ</w:t>
      </w:r>
      <w:r>
        <w:rPr>
          <w:color w:val="FF0000"/>
        </w:rPr>
        <w:t>mol mol</w:t>
      </w:r>
      <w:r>
        <w:rPr>
          <w:color w:val="FF0000"/>
          <w:vertAlign w:val="superscript"/>
        </w:rPr>
        <w:t>-1</w:t>
      </w:r>
      <w:r>
        <w:rPr>
          <w:color w:val="FF0000"/>
        </w:rPr>
        <w:t xml:space="preserve"> for individuals</w:t>
      </w:r>
      <w:r>
        <w:rPr>
          <w:color w:val="FF0000"/>
        </w:rPr>
        <w:t xml:space="preserve"> that received the elevated CO</w:t>
      </w:r>
      <w:r>
        <w:rPr>
          <w:color w:val="FF0000"/>
          <w:vertAlign w:val="subscript"/>
        </w:rPr>
        <w:t>2</w:t>
      </w:r>
      <w:r>
        <w:rPr>
          <w:color w:val="FF0000"/>
        </w:rPr>
        <w:t xml:space="preserve"> treatment. We disagree with the reviewer’s suggestion that </w:t>
      </w:r>
      <w:proofErr w:type="spellStart"/>
      <w:r>
        <w:rPr>
          <w:color w:val="FF0000"/>
        </w:rPr>
        <w:t>Anet,gc</w:t>
      </w:r>
      <w:proofErr w:type="spellEnd"/>
      <w:r>
        <w:rPr>
          <w:color w:val="FF0000"/>
        </w:rPr>
        <w:t xml:space="preserve"> does not reflect the effect of CO</w:t>
      </w:r>
      <w:r>
        <w:rPr>
          <w:color w:val="FF0000"/>
          <w:vertAlign w:val="subscript"/>
        </w:rPr>
        <w:t>2</w:t>
      </w:r>
      <w:r>
        <w:rPr>
          <w:color w:val="FF0000"/>
        </w:rPr>
        <w:t xml:space="preserve"> treatment, as greater net carbon assimilation rates and total leaf area under elevated CO</w:t>
      </w:r>
      <w:r>
        <w:rPr>
          <w:color w:val="FF0000"/>
          <w:vertAlign w:val="subscript"/>
        </w:rPr>
        <w:t>2</w:t>
      </w:r>
      <w:r>
        <w:rPr>
          <w:color w:val="FF0000"/>
        </w:rPr>
        <w:t xml:space="preserve"> fostered greater biomass accumulation compared to individuals grown under ambient CO</w:t>
      </w:r>
      <w:r>
        <w:rPr>
          <w:color w:val="FF0000"/>
          <w:vertAlign w:val="subscript"/>
        </w:rPr>
        <w:t>2</w:t>
      </w:r>
      <w:r>
        <w:rPr>
          <w:color w:val="FF0000"/>
        </w:rPr>
        <w:t xml:space="preserve">. However, we agree that </w:t>
      </w:r>
      <w:proofErr w:type="spellStart"/>
      <w:r>
        <w:rPr>
          <w:color w:val="FF0000"/>
        </w:rPr>
        <w:t>Anet,gc</w:t>
      </w:r>
      <w:proofErr w:type="spellEnd"/>
      <w:r>
        <w:rPr>
          <w:color w:val="FF0000"/>
        </w:rPr>
        <w:t xml:space="preserve"> does not give us much information about </w:t>
      </w:r>
      <w:r w:rsidR="004D37DB">
        <w:rPr>
          <w:color w:val="FF0000"/>
        </w:rPr>
        <w:t xml:space="preserve">how </w:t>
      </w:r>
      <w:r w:rsidR="004D37DB" w:rsidRPr="004D37DB">
        <w:rPr>
          <w:color w:val="FF0000"/>
        </w:rPr>
        <w:t>CO</w:t>
      </w:r>
      <w:r w:rsidR="004D37DB">
        <w:rPr>
          <w:color w:val="FF0000"/>
          <w:vertAlign w:val="subscript"/>
        </w:rPr>
        <w:t>2</w:t>
      </w:r>
      <w:r w:rsidR="004D37DB">
        <w:rPr>
          <w:color w:val="FF0000"/>
        </w:rPr>
        <w:t xml:space="preserve"> </w:t>
      </w:r>
      <w:r w:rsidR="00C9126A">
        <w:rPr>
          <w:color w:val="FF0000"/>
        </w:rPr>
        <w:t>treatments</w:t>
      </w:r>
      <w:r w:rsidR="004D37DB">
        <w:rPr>
          <w:color w:val="FF0000"/>
        </w:rPr>
        <w:t xml:space="preserve"> altered </w:t>
      </w:r>
      <w:r w:rsidRPr="004D37DB">
        <w:rPr>
          <w:color w:val="FF0000"/>
        </w:rPr>
        <w:t>investment</w:t>
      </w:r>
      <w:r>
        <w:rPr>
          <w:color w:val="FF0000"/>
        </w:rPr>
        <w:t xml:space="preserve"> toward photosynthetic enzymes</w:t>
      </w:r>
      <w:r w:rsidR="004D37DB">
        <w:rPr>
          <w:color w:val="FF0000"/>
        </w:rPr>
        <w:t>, as implied by the reviewer</w:t>
      </w:r>
      <w:r>
        <w:rPr>
          <w:color w:val="FF0000"/>
        </w:rPr>
        <w:t xml:space="preserve">, which is why </w:t>
      </w:r>
      <w:r w:rsidR="004D37DB">
        <w:rPr>
          <w:color w:val="FF0000"/>
        </w:rPr>
        <w:t xml:space="preserve">we include both </w:t>
      </w:r>
      <w:proofErr w:type="spellStart"/>
      <w:r w:rsidR="004D37DB">
        <w:rPr>
          <w:color w:val="FF0000"/>
        </w:rPr>
        <w:t>Anet,gc</w:t>
      </w:r>
      <w:proofErr w:type="spellEnd"/>
      <w:r w:rsidR="004D37DB">
        <w:rPr>
          <w:color w:val="FF0000"/>
        </w:rPr>
        <w:t xml:space="preserve"> and Anet,420 in the manuscript to allow us to scale leaf photosynthetic responses to elevated CO</w:t>
      </w:r>
      <w:r w:rsidR="004D37DB">
        <w:rPr>
          <w:color w:val="FF0000"/>
          <w:vertAlign w:val="subscript"/>
        </w:rPr>
        <w:t>2</w:t>
      </w:r>
      <w:r w:rsidR="004D37DB">
        <w:rPr>
          <w:color w:val="FF0000"/>
        </w:rPr>
        <w:t xml:space="preserve"> to whole-plant responses (i.e. through </w:t>
      </w:r>
      <w:proofErr w:type="spellStart"/>
      <w:r w:rsidR="004D37DB">
        <w:rPr>
          <w:color w:val="FF0000"/>
        </w:rPr>
        <w:t>Anet,gc</w:t>
      </w:r>
      <w:proofErr w:type="spellEnd"/>
      <w:r w:rsidR="004D37DB">
        <w:rPr>
          <w:color w:val="FF0000"/>
        </w:rPr>
        <w:t>) and also investigate how CO</w:t>
      </w:r>
      <w:r w:rsidR="004D37DB">
        <w:rPr>
          <w:color w:val="FF0000"/>
          <w:vertAlign w:val="subscript"/>
        </w:rPr>
        <w:t>2</w:t>
      </w:r>
      <w:r w:rsidR="004D37DB">
        <w:rPr>
          <w:color w:val="FF0000"/>
        </w:rPr>
        <w:t xml:space="preserve"> treatments altered biochemical investment toward photosynthesis.</w:t>
      </w:r>
    </w:p>
    <w:p w14:paraId="6A45C322" w14:textId="77777777" w:rsidR="009C34A0" w:rsidRDefault="009C34A0" w:rsidP="00E5209D">
      <w:pPr>
        <w:spacing w:line="360" w:lineRule="auto"/>
        <w:rPr>
          <w:color w:val="FF0000"/>
        </w:rPr>
      </w:pPr>
    </w:p>
    <w:p w14:paraId="41480AC0" w14:textId="04CF5FDA" w:rsidR="009C34A0" w:rsidRDefault="009C34A0" w:rsidP="00E5209D">
      <w:pPr>
        <w:spacing w:line="360" w:lineRule="auto"/>
        <w:rPr>
          <w:color w:val="000000" w:themeColor="text1"/>
        </w:rPr>
      </w:pPr>
      <w:r>
        <w:rPr>
          <w:b/>
          <w:bCs/>
          <w:color w:val="000000" w:themeColor="text1"/>
        </w:rPr>
        <w:t>References</w:t>
      </w:r>
    </w:p>
    <w:p w14:paraId="789E48BD" w14:textId="205D207A" w:rsidR="009C34A0" w:rsidRPr="009C34A0" w:rsidRDefault="009C34A0" w:rsidP="00E5209D">
      <w:pPr>
        <w:spacing w:line="360" w:lineRule="auto"/>
        <w:rPr>
          <w:color w:val="000000" w:themeColor="text1"/>
        </w:rPr>
      </w:pPr>
      <w:r>
        <w:rPr>
          <w:b/>
          <w:bCs/>
        </w:rPr>
        <w:t xml:space="preserve">Busch FA, Ainsworth EA, </w:t>
      </w:r>
      <w:proofErr w:type="spellStart"/>
      <w:r>
        <w:rPr>
          <w:b/>
          <w:bCs/>
        </w:rPr>
        <w:t>Amtmann</w:t>
      </w:r>
      <w:proofErr w:type="spellEnd"/>
      <w:r>
        <w:rPr>
          <w:b/>
          <w:bCs/>
        </w:rPr>
        <w:t xml:space="preserve"> A, Cavanagh AP, </w:t>
      </w:r>
      <w:proofErr w:type="spellStart"/>
      <w:r>
        <w:rPr>
          <w:b/>
          <w:bCs/>
        </w:rPr>
        <w:t>Driever</w:t>
      </w:r>
      <w:proofErr w:type="spellEnd"/>
      <w:r>
        <w:rPr>
          <w:b/>
          <w:bCs/>
        </w:rPr>
        <w:t xml:space="preserve"> SM, Ferguson JN, </w:t>
      </w:r>
      <w:proofErr w:type="spellStart"/>
      <w:r>
        <w:rPr>
          <w:b/>
          <w:bCs/>
        </w:rPr>
        <w:t>Kromdijk</w:t>
      </w:r>
      <w:proofErr w:type="spellEnd"/>
      <w:r>
        <w:rPr>
          <w:b/>
          <w:bCs/>
        </w:rPr>
        <w:t xml:space="preserve"> J, Lawson T, Leakey ADB, Matthews JSA, </w:t>
      </w:r>
      <w:r>
        <w:rPr>
          <w:b/>
          <w:bCs/>
          <w:i/>
          <w:iCs/>
        </w:rPr>
        <w:t>et al.</w:t>
      </w:r>
      <w:r>
        <w:t xml:space="preserve"> </w:t>
      </w:r>
      <w:r>
        <w:rPr>
          <w:b/>
          <w:bCs/>
        </w:rPr>
        <w:t>2024</w:t>
      </w:r>
      <w:r>
        <w:t xml:space="preserve">. A guide to photosynthetic gas exchange measurements: Fundamental principles, best practice and potential pitfalls. </w:t>
      </w:r>
      <w:r>
        <w:rPr>
          <w:i/>
          <w:iCs/>
        </w:rPr>
        <w:t>Plant Cell and Environment</w:t>
      </w:r>
      <w:r>
        <w:t>.</w:t>
      </w:r>
    </w:p>
    <w:sectPr w:rsidR="009C34A0" w:rsidRPr="009C34A0"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860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974D6"/>
    <w:rsid w:val="000D1E21"/>
    <w:rsid w:val="000D5AB2"/>
    <w:rsid w:val="000D643E"/>
    <w:rsid w:val="0013353C"/>
    <w:rsid w:val="001364BB"/>
    <w:rsid w:val="002A6843"/>
    <w:rsid w:val="003132A5"/>
    <w:rsid w:val="00397554"/>
    <w:rsid w:val="003C2CE5"/>
    <w:rsid w:val="003D6A4F"/>
    <w:rsid w:val="00403299"/>
    <w:rsid w:val="00441EB3"/>
    <w:rsid w:val="004D37DB"/>
    <w:rsid w:val="00524ED6"/>
    <w:rsid w:val="00547EF7"/>
    <w:rsid w:val="006F669F"/>
    <w:rsid w:val="00702052"/>
    <w:rsid w:val="007256D0"/>
    <w:rsid w:val="00726899"/>
    <w:rsid w:val="0073618C"/>
    <w:rsid w:val="0075181D"/>
    <w:rsid w:val="0078220A"/>
    <w:rsid w:val="008166D4"/>
    <w:rsid w:val="0091090B"/>
    <w:rsid w:val="00976F0B"/>
    <w:rsid w:val="00984CC0"/>
    <w:rsid w:val="009C19BD"/>
    <w:rsid w:val="009C34A0"/>
    <w:rsid w:val="009D52A9"/>
    <w:rsid w:val="00A2703B"/>
    <w:rsid w:val="00AF5609"/>
    <w:rsid w:val="00C15980"/>
    <w:rsid w:val="00C9126A"/>
    <w:rsid w:val="00CC1A80"/>
    <w:rsid w:val="00D94F05"/>
    <w:rsid w:val="00DA53F3"/>
    <w:rsid w:val="00DB5BC2"/>
    <w:rsid w:val="00DC0081"/>
    <w:rsid w:val="00DF3F33"/>
    <w:rsid w:val="00E5209D"/>
    <w:rsid w:val="00E608E7"/>
    <w:rsid w:val="00E7713E"/>
    <w:rsid w:val="00E77C86"/>
    <w:rsid w:val="00EC7445"/>
    <w:rsid w:val="00F03A3C"/>
    <w:rsid w:val="00F46376"/>
    <w:rsid w:val="00F8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C3826B10479428C61D245465A639E"/>
        <w:category>
          <w:name w:val="General"/>
          <w:gallery w:val="placeholder"/>
        </w:category>
        <w:types>
          <w:type w:val="bbPlcHdr"/>
        </w:types>
        <w:behaviors>
          <w:behavior w:val="content"/>
        </w:behaviors>
        <w:guid w:val="{A5048612-C485-284B-86C7-AB18D75B86A1}"/>
      </w:docPartPr>
      <w:docPartBody>
        <w:p w:rsidR="00472FA8" w:rsidRDefault="001A321C" w:rsidP="001A321C">
          <w:pPr>
            <w:pStyle w:val="5BBC3826B10479428C61D245465A639E"/>
          </w:pPr>
          <w:r w:rsidRPr="00CC0FB2">
            <w:rPr>
              <w:rStyle w:val="PlaceholderText"/>
            </w:rPr>
            <w:t>Click or tap here to enter text.</w:t>
          </w:r>
        </w:p>
      </w:docPartBody>
    </w:docPart>
    <w:docPart>
      <w:docPartPr>
        <w:name w:val="5A81E035BB1B754697E531093B9B148C"/>
        <w:category>
          <w:name w:val="General"/>
          <w:gallery w:val="placeholder"/>
        </w:category>
        <w:types>
          <w:type w:val="bbPlcHdr"/>
        </w:types>
        <w:behaviors>
          <w:behavior w:val="content"/>
        </w:behaviors>
        <w:guid w:val="{3227DF67-8A25-1E44-88D9-2843294D77E8}"/>
      </w:docPartPr>
      <w:docPartBody>
        <w:p w:rsidR="00472FA8" w:rsidRDefault="001A321C" w:rsidP="001A321C">
          <w:pPr>
            <w:pStyle w:val="5A81E035BB1B754697E531093B9B148C"/>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1C"/>
    <w:rsid w:val="00176C59"/>
    <w:rsid w:val="001A321C"/>
    <w:rsid w:val="00472FA8"/>
    <w:rsid w:val="0093032B"/>
    <w:rsid w:val="00D94F05"/>
    <w:rsid w:val="00DF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21C"/>
    <w:rPr>
      <w:color w:val="808080"/>
    </w:rPr>
  </w:style>
  <w:style w:type="paragraph" w:customStyle="1" w:styleId="5BBC3826B10479428C61D245465A639E">
    <w:name w:val="5BBC3826B10479428C61D245465A639E"/>
    <w:rsid w:val="001A321C"/>
  </w:style>
  <w:style w:type="paragraph" w:customStyle="1" w:styleId="5A81E035BB1B754697E531093B9B148C">
    <w:name w:val="5A81E035BB1B754697E531093B9B148C"/>
    <w:rsid w:val="001A3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12</cp:revision>
  <dcterms:created xsi:type="dcterms:W3CDTF">2024-07-15T17:34:00Z</dcterms:created>
  <dcterms:modified xsi:type="dcterms:W3CDTF">2024-07-17T21:38:00Z</dcterms:modified>
</cp:coreProperties>
</file>