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125A" w14:textId="48D86EE8" w:rsidR="002D44AC" w:rsidRDefault="00000000" w:rsidP="00137AAA">
      <w:pPr>
        <w:spacing w:line="360" w:lineRule="auto"/>
        <w:rPr>
          <w:b/>
        </w:rPr>
      </w:pPr>
      <w:r>
        <w:rPr>
          <w:b/>
        </w:rPr>
        <w:t xml:space="preserve">SUPPLEMENTAL MATERIAL </w:t>
      </w:r>
      <w:r w:rsidRPr="00896E14">
        <w:rPr>
          <w:b/>
        </w:rPr>
        <w:t>for “</w:t>
      </w:r>
      <w:r w:rsidR="00137AAA" w:rsidRPr="00F72829">
        <w:rPr>
          <w:b/>
          <w:bCs/>
        </w:rPr>
        <w:t xml:space="preserve">The negative effects of an allelopathic invader on native plant photosynthesis </w:t>
      </w:r>
      <w:r w:rsidR="00137AAA">
        <w:rPr>
          <w:b/>
          <w:bCs/>
        </w:rPr>
        <w:t>are amplified after tree canopy closure</w:t>
      </w:r>
      <w:r w:rsidR="00896E14" w:rsidRPr="00896E14">
        <w:rPr>
          <w:b/>
        </w:rPr>
        <w:t>”</w:t>
      </w:r>
    </w:p>
    <w:p w14:paraId="38747A2B" w14:textId="77777777" w:rsidR="00137AAA" w:rsidRDefault="00137AAA" w:rsidP="00137AAA">
      <w:pPr>
        <w:spacing w:line="360" w:lineRule="auto"/>
      </w:pPr>
      <w:r>
        <w:t>Evan A. Perkowski</w:t>
      </w:r>
      <w:proofErr w:type="gramStart"/>
      <w:r>
        <w:rPr>
          <w:vertAlign w:val="superscript"/>
        </w:rPr>
        <w:t>1,*</w:t>
      </w:r>
      <w:proofErr w:type="gramEnd"/>
      <w:r>
        <w:t>, K. Carroll</w:t>
      </w:r>
      <w:r>
        <w:rPr>
          <w:vertAlign w:val="superscript"/>
        </w:rPr>
        <w:t>1</w:t>
      </w:r>
      <w:r>
        <w:t>, Jessie Mutz</w:t>
      </w:r>
      <w:r>
        <w:rPr>
          <w:vertAlign w:val="superscript"/>
        </w:rPr>
        <w:t>2,3</w:t>
      </w:r>
      <w:r>
        <w:t xml:space="preserve">, </w:t>
      </w:r>
      <w:proofErr w:type="spellStart"/>
      <w:r>
        <w:t>Snehanjana</w:t>
      </w:r>
      <w:proofErr w:type="spellEnd"/>
      <w:r>
        <w:t xml:space="preserve"> Chatterjee</w:t>
      </w:r>
      <w:r>
        <w:rPr>
          <w:vertAlign w:val="superscript"/>
        </w:rPr>
        <w:t>1</w:t>
      </w:r>
      <w:r>
        <w:t xml:space="preserve">, </w:t>
      </w:r>
      <w:proofErr w:type="spellStart"/>
      <w:r>
        <w:t>Xianyu</w:t>
      </w:r>
      <w:proofErr w:type="spellEnd"/>
      <w:r>
        <w:t xml:space="preserve"> Yang</w:t>
      </w:r>
      <w:r>
        <w:rPr>
          <w:vertAlign w:val="superscript"/>
        </w:rPr>
        <w:t>4,5</w:t>
      </w:r>
      <w:r>
        <w:t>, Lalasia Bialic-Murphy</w:t>
      </w:r>
      <w:r>
        <w:rPr>
          <w:vertAlign w:val="superscript"/>
        </w:rPr>
        <w:t>4,5</w:t>
      </w:r>
      <w:r>
        <w:t>, Stephanie N. Kivlin</w:t>
      </w:r>
      <w:r>
        <w:rPr>
          <w:vertAlign w:val="superscript"/>
        </w:rPr>
        <w:t>3</w:t>
      </w:r>
      <w:r>
        <w:t>, Susan Kalisz</w:t>
      </w:r>
      <w:r>
        <w:rPr>
          <w:vertAlign w:val="superscript"/>
        </w:rPr>
        <w:t>3</w:t>
      </w:r>
      <w:r>
        <w:t>,</w:t>
      </w:r>
      <w:r>
        <w:rPr>
          <w:vertAlign w:val="superscript"/>
        </w:rPr>
        <w:t xml:space="preserve"> </w:t>
      </w:r>
      <w:r>
        <w:t>Nicholas G. Smith</w:t>
      </w:r>
      <w:r>
        <w:rPr>
          <w:vertAlign w:val="superscript"/>
        </w:rPr>
        <w:t>1</w:t>
      </w:r>
    </w:p>
    <w:p w14:paraId="677F8661" w14:textId="77777777" w:rsidR="00137AAA" w:rsidRDefault="00137AAA" w:rsidP="00137AAA">
      <w:pPr>
        <w:spacing w:line="360" w:lineRule="auto"/>
        <w:rPr>
          <w:b/>
        </w:rPr>
      </w:pPr>
    </w:p>
    <w:p w14:paraId="22533160" w14:textId="77777777" w:rsidR="00137AAA" w:rsidRDefault="00137AAA" w:rsidP="00137AAA">
      <w:pPr>
        <w:spacing w:line="360" w:lineRule="auto"/>
      </w:pPr>
      <w:r>
        <w:rPr>
          <w:vertAlign w:val="superscript"/>
        </w:rPr>
        <w:t>1</w:t>
      </w:r>
      <w:r>
        <w:t>Department of Biological Sciences, Texas Tech University, Lubbock, TX, USA</w:t>
      </w:r>
    </w:p>
    <w:p w14:paraId="6C99E632" w14:textId="77777777" w:rsidR="00137AAA" w:rsidRPr="00243624" w:rsidRDefault="00137AAA" w:rsidP="00137AAA">
      <w:pPr>
        <w:tabs>
          <w:tab w:val="left" w:pos="180"/>
        </w:tabs>
        <w:spacing w:line="360" w:lineRule="auto"/>
      </w:pPr>
      <w:r>
        <w:rPr>
          <w:vertAlign w:val="superscript"/>
        </w:rPr>
        <w:t>2</w:t>
      </w:r>
      <w:r>
        <w:t>Department of Biological Sciences, Dartmouth College, Hanover, NH, USA</w:t>
      </w:r>
    </w:p>
    <w:p w14:paraId="67210073" w14:textId="77777777" w:rsidR="00137AAA" w:rsidRDefault="00137AAA" w:rsidP="00137AAA">
      <w:pPr>
        <w:spacing w:line="360" w:lineRule="auto"/>
      </w:pPr>
      <w:r>
        <w:rPr>
          <w:vertAlign w:val="superscript"/>
        </w:rPr>
        <w:t>3</w:t>
      </w:r>
      <w:r>
        <w:t>Department of Ecology and Evolutionary Biology, University of Tennessee-Knoxville, Knoxville, TN, USA</w:t>
      </w:r>
    </w:p>
    <w:p w14:paraId="781B3861" w14:textId="77777777" w:rsidR="00137AAA" w:rsidRDefault="00137AAA" w:rsidP="00137AAA">
      <w:pPr>
        <w:spacing w:line="360" w:lineRule="auto"/>
      </w:pPr>
      <w:r>
        <w:rPr>
          <w:vertAlign w:val="superscript"/>
        </w:rPr>
        <w:t>4</w:t>
      </w:r>
      <w:r>
        <w:t>Institute of Integrative Biology, ETH Zürich, Zürich, Switzerland</w:t>
      </w:r>
    </w:p>
    <w:p w14:paraId="474EE410" w14:textId="77777777" w:rsidR="00137AAA" w:rsidRPr="00243624" w:rsidRDefault="00137AAA" w:rsidP="00137AAA">
      <w:pPr>
        <w:spacing w:line="360" w:lineRule="auto"/>
      </w:pPr>
      <w:r>
        <w:rPr>
          <w:vertAlign w:val="superscript"/>
        </w:rPr>
        <w:t>5</w:t>
      </w:r>
      <w:r w:rsidRPr="00243624">
        <w:t xml:space="preserve">Land Change Science Research Unit, Swiss Federal Research Institute WSL, </w:t>
      </w:r>
      <w:proofErr w:type="spellStart"/>
      <w:r w:rsidRPr="00243624">
        <w:t>Birmensdorf</w:t>
      </w:r>
      <w:proofErr w:type="spellEnd"/>
      <w:r w:rsidRPr="00243624">
        <w:t>, Switzerland</w:t>
      </w:r>
    </w:p>
    <w:p w14:paraId="1C49572B" w14:textId="77777777" w:rsidR="00137AAA" w:rsidRPr="00137AAA" w:rsidRDefault="00137AAA" w:rsidP="00137AAA">
      <w:pPr>
        <w:spacing w:line="360" w:lineRule="auto"/>
      </w:pPr>
    </w:p>
    <w:p w14:paraId="53923CD0" w14:textId="40EF4674" w:rsidR="00137AAA" w:rsidRDefault="00137AAA">
      <w:pPr>
        <w:rPr>
          <w:b/>
        </w:rPr>
      </w:pPr>
      <w:r>
        <w:rPr>
          <w:b/>
        </w:rPr>
        <w:br w:type="page"/>
      </w:r>
    </w:p>
    <w:p w14:paraId="564D578C" w14:textId="62DF4FCF" w:rsidR="008579CB" w:rsidRDefault="008579CB" w:rsidP="00896E14">
      <w:pPr>
        <w:spacing w:line="480" w:lineRule="auto"/>
        <w:rPr>
          <w:b/>
        </w:rPr>
      </w:pPr>
      <w:r>
        <w:rPr>
          <w:b/>
        </w:rPr>
        <w:lastRenderedPageBreak/>
        <w:t>Figure S1</w:t>
      </w:r>
    </w:p>
    <w:p w14:paraId="72327C94" w14:textId="7D104430" w:rsidR="008579CB" w:rsidRDefault="00772F5E" w:rsidP="00772F5E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414D647" wp14:editId="5E60400D">
            <wp:extent cx="4638612" cy="2609219"/>
            <wp:effectExtent l="0" t="0" r="0" b="0"/>
            <wp:docPr id="278196668" name="Picture 4" descr="A chart of different types of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6668" name="Picture 4" descr="A chart of different types of tre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346" cy="262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D84A" w14:textId="5E03CA57" w:rsidR="008579CB" w:rsidRPr="00AE0B50" w:rsidRDefault="008579CB" w:rsidP="00896E14">
      <w:pPr>
        <w:spacing w:line="480" w:lineRule="auto"/>
      </w:pPr>
      <w:r>
        <w:rPr>
          <w:b/>
        </w:rPr>
        <w:t xml:space="preserve">Figure S1 </w:t>
      </w:r>
      <w:r w:rsidR="00AE0B50">
        <w:t xml:space="preserve">Effects of </w:t>
      </w:r>
      <w:r w:rsidR="00AE0B50">
        <w:rPr>
          <w:i/>
        </w:rPr>
        <w:t>A. petiolata</w:t>
      </w:r>
      <w:r w:rsidR="00AE0B50">
        <w:t xml:space="preserve"> treatment and tree canopy status </w:t>
      </w:r>
      <w:r w:rsidR="00896E14">
        <w:rPr>
          <w:color w:val="0E101A"/>
        </w:rPr>
        <w:t xml:space="preserve">on soil nitrate availability (a) and soil ammonium availability (b). </w:t>
      </w:r>
      <w:r w:rsidR="00AE0B50">
        <w:rPr>
          <w:color w:val="0E101A"/>
        </w:rPr>
        <w:t xml:space="preserve">Tree canopy status is on the x-axis. Teal points and boxplots indicate measurements collected in plots where </w:t>
      </w:r>
      <w:r w:rsidR="00AE0B50">
        <w:rPr>
          <w:i/>
          <w:color w:val="0E101A"/>
        </w:rPr>
        <w:t>A. petiolata</w:t>
      </w:r>
      <w:r w:rsidR="00AE0B50">
        <w:rPr>
          <w:color w:val="0E101A"/>
        </w:rPr>
        <w:t xml:space="preserve"> was weeded and gold points and boxplots indicate measurements collected in subplots where </w:t>
      </w:r>
      <w:r w:rsidR="00AE0B50">
        <w:rPr>
          <w:i/>
          <w:color w:val="0E101A"/>
        </w:rPr>
        <w:t>A. petiolata</w:t>
      </w:r>
      <w:r w:rsidR="00AE0B50">
        <w:rPr>
          <w:color w:val="0E101A"/>
        </w:rPr>
        <w:t xml:space="preserve"> was present at ambient levels. Boxes represent the upper (75% percentile) and lower (25% percentile) quartiles, and whiskers represent 1.5 times the upper and lower quartile values. Lettering above each treatment group indicates statistically different groups where Tukey: </w:t>
      </w:r>
      <w:r w:rsidR="00AE0B50">
        <w:rPr>
          <w:i/>
          <w:color w:val="0E101A"/>
        </w:rPr>
        <w:t>p</w:t>
      </w:r>
      <w:r w:rsidR="00AE0B50">
        <w:rPr>
          <w:color w:val="0E101A"/>
        </w:rPr>
        <w:t>&lt;0.05.</w:t>
      </w:r>
    </w:p>
    <w:p w14:paraId="33AA2FBE" w14:textId="22F66018" w:rsidR="008579CB" w:rsidRDefault="008579CB">
      <w:pPr>
        <w:rPr>
          <w:b/>
        </w:rPr>
      </w:pPr>
      <w:r>
        <w:rPr>
          <w:b/>
        </w:rPr>
        <w:br w:type="page"/>
      </w:r>
    </w:p>
    <w:p w14:paraId="60D14AEA" w14:textId="3A3DA35D" w:rsidR="008579CB" w:rsidRDefault="008579CB" w:rsidP="00896E14">
      <w:pPr>
        <w:spacing w:line="480" w:lineRule="auto"/>
        <w:rPr>
          <w:b/>
        </w:rPr>
      </w:pPr>
      <w:r>
        <w:rPr>
          <w:b/>
        </w:rPr>
        <w:lastRenderedPageBreak/>
        <w:t>Figure S</w:t>
      </w:r>
      <w:r w:rsidR="00137AAA">
        <w:rPr>
          <w:b/>
        </w:rPr>
        <w:t>2</w:t>
      </w:r>
    </w:p>
    <w:p w14:paraId="721096F0" w14:textId="6ECC1295" w:rsidR="008579CB" w:rsidRDefault="00772F5E" w:rsidP="00772F5E">
      <w:pPr>
        <w:spacing w:line="48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5F1CED3" wp14:editId="31888B99">
            <wp:extent cx="4759725" cy="2677345"/>
            <wp:effectExtent l="0" t="0" r="3175" b="2540"/>
            <wp:docPr id="1477914797" name="Picture 3" descr="A graph of different types of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14797" name="Picture 3" descr="A graph of different types of tre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143" cy="2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5C64" w14:textId="74C833E1" w:rsidR="008579CB" w:rsidRPr="00F072CE" w:rsidRDefault="00896E14" w:rsidP="00F072CE">
      <w:pPr>
        <w:spacing w:line="480" w:lineRule="auto"/>
        <w:rPr>
          <w:color w:val="0E101A"/>
        </w:rPr>
      </w:pPr>
      <w:r>
        <w:rPr>
          <w:b/>
        </w:rPr>
        <w:t>F</w:t>
      </w:r>
      <w:r w:rsidR="008579CB">
        <w:rPr>
          <w:b/>
        </w:rPr>
        <w:t>igure S2</w:t>
      </w:r>
      <w:r>
        <w:rPr>
          <w:b/>
        </w:rPr>
        <w:t xml:space="preserve"> </w:t>
      </w:r>
      <w:r w:rsidR="00AE0B50">
        <w:t xml:space="preserve">Effects of </w:t>
      </w:r>
      <w:r w:rsidR="00AE0B50">
        <w:rPr>
          <w:i/>
        </w:rPr>
        <w:t>A. petiolata</w:t>
      </w:r>
      <w:r w:rsidR="00AE0B50">
        <w:t xml:space="preserve"> treatment and tree canopy status on</w:t>
      </w:r>
      <w:r>
        <w:rPr>
          <w:color w:val="0E101A"/>
        </w:rPr>
        <w:t xml:space="preserve"> relative chlorophyll content in </w:t>
      </w:r>
      <w:r>
        <w:rPr>
          <w:i/>
          <w:iCs/>
          <w:color w:val="0E101A"/>
        </w:rPr>
        <w:t>Trillium</w:t>
      </w:r>
      <w:r>
        <w:rPr>
          <w:color w:val="0E101A"/>
        </w:rPr>
        <w:t xml:space="preserve"> spp. (a) and </w:t>
      </w:r>
      <w:r>
        <w:rPr>
          <w:i/>
          <w:iCs/>
          <w:color w:val="0E101A"/>
        </w:rPr>
        <w:t xml:space="preserve">M. </w:t>
      </w:r>
      <w:proofErr w:type="spellStart"/>
      <w:r>
        <w:rPr>
          <w:i/>
          <w:iCs/>
          <w:color w:val="0E101A"/>
        </w:rPr>
        <w:t>racemosum</w:t>
      </w:r>
      <w:proofErr w:type="spellEnd"/>
      <w:r>
        <w:rPr>
          <w:color w:val="0E101A"/>
        </w:rPr>
        <w:t xml:space="preserve"> (b). </w:t>
      </w:r>
      <w:r w:rsidR="00AE0B50">
        <w:rPr>
          <w:color w:val="0E101A"/>
        </w:rPr>
        <w:t xml:space="preserve">Tree canopy status is on the x-axis. Teal points and boxplots indicate measurements collected in plots where </w:t>
      </w:r>
      <w:r w:rsidR="00AE0B50">
        <w:rPr>
          <w:i/>
          <w:color w:val="0E101A"/>
        </w:rPr>
        <w:t>A. petiolata</w:t>
      </w:r>
      <w:r w:rsidR="00AE0B50">
        <w:rPr>
          <w:color w:val="0E101A"/>
        </w:rPr>
        <w:t xml:space="preserve"> was weeded and gold points and boxplots indicate measurements collected in subplots where </w:t>
      </w:r>
      <w:r w:rsidR="00AE0B50">
        <w:rPr>
          <w:i/>
          <w:color w:val="0E101A"/>
        </w:rPr>
        <w:t>A. petiolata</w:t>
      </w:r>
      <w:r w:rsidR="00AE0B50">
        <w:rPr>
          <w:color w:val="0E101A"/>
        </w:rPr>
        <w:t xml:space="preserve"> was present at ambient levels. Boxes represent the upper (75% percentile) and lower (25% percentile) quartiles, and whiskers represent 1.5 times the upper and lower quartile values. Lettering above each treatment group indicates statistically different groups where Tukey: </w:t>
      </w:r>
      <w:r w:rsidR="00AE0B50">
        <w:rPr>
          <w:i/>
          <w:color w:val="0E101A"/>
        </w:rPr>
        <w:t>p</w:t>
      </w:r>
      <w:r w:rsidR="00AE0B50">
        <w:rPr>
          <w:color w:val="0E101A"/>
        </w:rPr>
        <w:t>&lt;0.05.</w:t>
      </w:r>
    </w:p>
    <w:sectPr w:rsidR="008579CB" w:rsidRPr="00F072CE" w:rsidSect="008579CB"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B504DDB-E3AA-044C-95A2-C3B465F20BF8}"/>
    <w:embedBold r:id="rId2" w:fontKey="{CBD96486-AC3D-8E49-934D-EFCE0E903AC7}"/>
    <w:embedItalic r:id="rId3" w:fontKey="{E0A7CA2B-619E-FE41-ADAB-F1947153E1D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6A846FD0-7CB0-6344-B1F0-4D1C9CD8860E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3D374E90-E563-9449-A318-9DAD797B0E03}"/>
    <w:embedItalic r:id="rId6" w:fontKey="{9EE9ABB1-0B07-ED42-BFB6-3C08D74998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4AC"/>
    <w:rsid w:val="000310B2"/>
    <w:rsid w:val="00137AAA"/>
    <w:rsid w:val="001E6D50"/>
    <w:rsid w:val="002D07D3"/>
    <w:rsid w:val="002D44AC"/>
    <w:rsid w:val="00336DF0"/>
    <w:rsid w:val="00367442"/>
    <w:rsid w:val="00375BFD"/>
    <w:rsid w:val="00435F73"/>
    <w:rsid w:val="004B5381"/>
    <w:rsid w:val="004C0464"/>
    <w:rsid w:val="0052110A"/>
    <w:rsid w:val="005C7CB4"/>
    <w:rsid w:val="006720AB"/>
    <w:rsid w:val="00762BEC"/>
    <w:rsid w:val="00772F5E"/>
    <w:rsid w:val="0079105C"/>
    <w:rsid w:val="007C188C"/>
    <w:rsid w:val="008579CB"/>
    <w:rsid w:val="008913EB"/>
    <w:rsid w:val="00896E14"/>
    <w:rsid w:val="00A9711B"/>
    <w:rsid w:val="00AE0B50"/>
    <w:rsid w:val="00C36598"/>
    <w:rsid w:val="00CD1386"/>
    <w:rsid w:val="00D10D55"/>
    <w:rsid w:val="00D26491"/>
    <w:rsid w:val="00DC646D"/>
    <w:rsid w:val="00E15C7F"/>
    <w:rsid w:val="00F072CE"/>
    <w:rsid w:val="00F3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5C77D"/>
  <w15:docId w15:val="{C82F3FC2-B68E-6C44-B3CC-4897160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5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B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B8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B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5FE3"/>
    <w:pPr>
      <w:spacing w:before="100" w:beforeAutospacing="1" w:after="100" w:afterAutospacing="1"/>
    </w:p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971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B32F1E-C97D-1947-B1BE-D465580AB6BD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LOCALE_CODE" value="&quot;en-GB&quot;"/>
    <we:property name="MENDELEY_CITATIONS_STYLE" value="{&quot;id&quot;:&quot;https://www.zotero.org/styles/new-phytologist&quot;,&quot;title&quot;:&quot;New Phytologist&quot;,&quot;format&quot;:&quot;author-date&quot;,&quot;defaultLocale&quot;:&quot;en-GB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OaY70puGNYXbOzLWovIK9JHjw==">CgMxLjA4AHIhMWtkLVFpZG1wMjRZdmtBbkJtM0Z4aEhReHVFb2xydFFp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95A2E07-6B01-0248-8CD2-743644C7C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Perkowski, Evan A</dc:creator>
  <cp:lastModifiedBy>Perkowski, Evan A</cp:lastModifiedBy>
  <cp:revision>7</cp:revision>
  <dcterms:created xsi:type="dcterms:W3CDTF">2025-07-15T16:19:00Z</dcterms:created>
  <dcterms:modified xsi:type="dcterms:W3CDTF">2026-06-17T19:00:00Z</dcterms:modified>
</cp:coreProperties>
</file>