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3B584" w14:textId="2F51C2C2" w:rsidR="008B048F" w:rsidRDefault="008B048F" w:rsidP="008B048F">
      <w:pPr>
        <w:spacing w:line="360" w:lineRule="auto"/>
      </w:pPr>
      <w:r>
        <w:rPr>
          <w:b/>
          <w:bCs/>
        </w:rPr>
        <w:t>“</w:t>
      </w:r>
      <w:r w:rsidRPr="00F72829">
        <w:rPr>
          <w:b/>
          <w:bCs/>
        </w:rPr>
        <w:t xml:space="preserve">The negative effects of an allelopathic invader on native plant photosynthesis </w:t>
      </w:r>
      <w:r>
        <w:rPr>
          <w:b/>
          <w:bCs/>
        </w:rPr>
        <w:t>are amplified after tree canopy closure”</w:t>
      </w:r>
      <w:r>
        <w:rPr>
          <w:b/>
          <w:bCs/>
        </w:rPr>
        <w:t xml:space="preserve"> – lay summary</w:t>
      </w:r>
    </w:p>
    <w:p w14:paraId="41489D2B" w14:textId="18481F41" w:rsidR="008A6ECF" w:rsidRDefault="008A6ECF" w:rsidP="001D6B1F">
      <w:pPr>
        <w:pStyle w:val="NormalWeb"/>
      </w:pPr>
      <w:r>
        <w:t xml:space="preserve">Invasive plants often have traits that help them survive and spread in new places. Some release chemicals, known as </w:t>
      </w:r>
      <w:r w:rsidRPr="008A6ECF">
        <w:rPr>
          <w:rStyle w:val="Strong"/>
          <w:rFonts w:eastAsiaTheme="majorEastAsia"/>
          <w:b w:val="0"/>
          <w:bCs w:val="0"/>
        </w:rPr>
        <w:t>allelochemicals</w:t>
      </w:r>
      <w:r>
        <w:t>, into the soil that can kill some soil microbes and disrupt microbial communities, including beneficial fungi that many native plants rely on for water and nutrient uptake. When these plant</w:t>
      </w:r>
      <w:r w:rsidR="003F1555">
        <w:t>-</w:t>
      </w:r>
      <w:r>
        <w:t xml:space="preserve">fungal partnerships are disrupted, native plants may have fewer resources to support photosynthesis. Previous work shows that allelopathic invaders can reduce native plant photosynthesis by </w:t>
      </w:r>
      <w:r w:rsidR="003F1555">
        <w:t>closing their</w:t>
      </w:r>
      <w:r>
        <w:t xml:space="preserve"> </w:t>
      </w:r>
      <w:r w:rsidRPr="008A6ECF">
        <w:rPr>
          <w:rStyle w:val="Strong"/>
          <w:rFonts w:eastAsiaTheme="majorEastAsia"/>
          <w:b w:val="0"/>
          <w:bCs w:val="0"/>
        </w:rPr>
        <w:t>stomata</w:t>
      </w:r>
      <w:r w:rsidR="003F1555">
        <w:rPr>
          <w:rStyle w:val="Strong"/>
          <w:rFonts w:eastAsiaTheme="majorEastAsia"/>
          <w:b w:val="0"/>
          <w:bCs w:val="0"/>
        </w:rPr>
        <w:t xml:space="preserve"> and reducing stomatal conductance</w:t>
      </w:r>
      <w:r w:rsidR="003F1555">
        <w:t>, all of which is a common</w:t>
      </w:r>
      <w:r>
        <w:t xml:space="preserve"> </w:t>
      </w:r>
      <w:r w:rsidRPr="008A6ECF">
        <w:rPr>
          <w:rStyle w:val="Strong"/>
          <w:rFonts w:eastAsiaTheme="majorEastAsia"/>
          <w:b w:val="0"/>
          <w:bCs w:val="0"/>
        </w:rPr>
        <w:t>water-stress response</w:t>
      </w:r>
      <w:r>
        <w:t>.</w:t>
      </w:r>
      <w:r>
        <w:t xml:space="preserve"> </w:t>
      </w:r>
      <w:r>
        <w:t xml:space="preserve">However, it remains unclear whether declines in photosynthesis also reflect reductions in </w:t>
      </w:r>
      <w:r w:rsidRPr="008A6ECF">
        <w:rPr>
          <w:rStyle w:val="Strong"/>
          <w:rFonts w:eastAsiaTheme="majorEastAsia"/>
          <w:b w:val="0"/>
          <w:bCs w:val="0"/>
        </w:rPr>
        <w:t>photosynthetic capacity</w:t>
      </w:r>
      <w:r>
        <w:t xml:space="preserve">, </w:t>
      </w:r>
      <w:r w:rsidR="003F1555">
        <w:t>or</w:t>
      </w:r>
      <w:r>
        <w:t xml:space="preserve"> the maximum rate a leaf can convert CO</w:t>
      </w:r>
      <w:r w:rsidR="003F1555">
        <w:rPr>
          <w:vertAlign w:val="subscript"/>
        </w:rPr>
        <w:t>2</w:t>
      </w:r>
      <w:r>
        <w:t xml:space="preserve"> into sugars under </w:t>
      </w:r>
      <w:r w:rsidR="003F1555">
        <w:t>favorable</w:t>
      </w:r>
      <w:r>
        <w:t xml:space="preserve"> conditions</w:t>
      </w:r>
      <w:r w:rsidR="003F1555">
        <w:t>. Photosynthetic capacity is</w:t>
      </w:r>
      <w:r>
        <w:t xml:space="preserve"> </w:t>
      </w:r>
      <w:r w:rsidR="003F1555">
        <w:t>often used as an</w:t>
      </w:r>
      <w:r>
        <w:t xml:space="preserve"> indicator of nutrient </w:t>
      </w:r>
      <w:r w:rsidR="003F1555">
        <w:t>stress due to many photosynthetic enzymes being nutrient-dense</w:t>
      </w:r>
      <w:r>
        <w:t>.</w:t>
      </w:r>
    </w:p>
    <w:p w14:paraId="60D59404" w14:textId="492966B9" w:rsidR="001D6B1F" w:rsidRDefault="001D6B1F" w:rsidP="001D6B1F">
      <w:pPr>
        <w:pStyle w:val="NormalWeb"/>
      </w:pPr>
      <w:r>
        <w:t xml:space="preserve">Here, we tested how an allelopathic invader, </w:t>
      </w:r>
      <w:r w:rsidRPr="003F1555">
        <w:rPr>
          <w:rStyle w:val="Strong"/>
          <w:rFonts w:eastAsiaTheme="majorEastAsia"/>
          <w:b w:val="0"/>
          <w:bCs w:val="0"/>
        </w:rPr>
        <w:t>garlic mustard</w:t>
      </w:r>
      <w:r>
        <w:t xml:space="preserve"> (</w:t>
      </w:r>
      <w:r>
        <w:rPr>
          <w:rStyle w:val="Emphasis"/>
          <w:rFonts w:eastAsiaTheme="majorEastAsia"/>
        </w:rPr>
        <w:t>Alliaria petiolata</w:t>
      </w:r>
      <w:r>
        <w:t>), affects photosynthesis, stomatal conductance</w:t>
      </w:r>
      <w:r w:rsidR="003F1555">
        <w:t>, and photosynthetic capacity</w:t>
      </w:r>
      <w:r>
        <w:t xml:space="preserve"> in two forest understory wildflowers: </w:t>
      </w:r>
      <w:r w:rsidRPr="003F1555">
        <w:rPr>
          <w:rStyle w:val="Strong"/>
          <w:rFonts w:eastAsiaTheme="majorEastAsia"/>
          <w:b w:val="0"/>
          <w:bCs w:val="0"/>
        </w:rPr>
        <w:t>trillium</w:t>
      </w:r>
      <w:r>
        <w:t xml:space="preserve"> (</w:t>
      </w:r>
      <w:r>
        <w:rPr>
          <w:rStyle w:val="Emphasis"/>
          <w:rFonts w:eastAsiaTheme="majorEastAsia"/>
        </w:rPr>
        <w:t>Trillium</w:t>
      </w:r>
      <w:r>
        <w:t xml:space="preserve"> spp.) and </w:t>
      </w:r>
      <w:r w:rsidRPr="003F1555">
        <w:rPr>
          <w:rStyle w:val="Strong"/>
          <w:rFonts w:eastAsiaTheme="majorEastAsia"/>
          <w:b w:val="0"/>
          <w:bCs w:val="0"/>
        </w:rPr>
        <w:t>false</w:t>
      </w:r>
      <w:r>
        <w:rPr>
          <w:rStyle w:val="Strong"/>
          <w:rFonts w:eastAsiaTheme="majorEastAsia"/>
        </w:rPr>
        <w:t xml:space="preserve"> </w:t>
      </w:r>
      <w:r w:rsidRPr="003F1555">
        <w:rPr>
          <w:rStyle w:val="Strong"/>
          <w:rFonts w:eastAsiaTheme="majorEastAsia"/>
          <w:b w:val="0"/>
          <w:bCs w:val="0"/>
        </w:rPr>
        <w:t>Solomon’s seal</w:t>
      </w:r>
      <w:r>
        <w:t xml:space="preserve"> (</w:t>
      </w:r>
      <w:r>
        <w:rPr>
          <w:rStyle w:val="Emphasis"/>
          <w:rFonts w:eastAsiaTheme="majorEastAsia"/>
        </w:rPr>
        <w:t>Maianthemum racemosum</w:t>
      </w:r>
      <w:r>
        <w:t xml:space="preserve">). We collected measurements in a long-term forest experiment where garlic mustard has been </w:t>
      </w:r>
      <w:r w:rsidRPr="003F1555">
        <w:rPr>
          <w:rStyle w:val="Strong"/>
          <w:rFonts w:eastAsiaTheme="majorEastAsia"/>
          <w:b w:val="0"/>
          <w:bCs w:val="0"/>
        </w:rPr>
        <w:t>removed or left at natural (“ambient”) levels since 2006</w:t>
      </w:r>
      <w:r>
        <w:t xml:space="preserve">. To capture </w:t>
      </w:r>
      <w:r w:rsidR="003F1555">
        <w:t>the temporal effects of garlic mustard on native plant physiology</w:t>
      </w:r>
      <w:r>
        <w:t xml:space="preserve">, we measured leaf gas exchange at two key times: </w:t>
      </w:r>
      <w:r w:rsidRPr="003F1555">
        <w:rPr>
          <w:rStyle w:val="Strong"/>
          <w:rFonts w:eastAsiaTheme="majorEastAsia"/>
          <w:b w:val="0"/>
          <w:bCs w:val="0"/>
        </w:rPr>
        <w:t xml:space="preserve">early spring before </w:t>
      </w:r>
      <w:r w:rsidR="003F1555" w:rsidRPr="003F1555">
        <w:rPr>
          <w:rStyle w:val="Strong"/>
          <w:rFonts w:eastAsiaTheme="majorEastAsia"/>
          <w:b w:val="0"/>
          <w:bCs w:val="0"/>
        </w:rPr>
        <w:t xml:space="preserve">tree </w:t>
      </w:r>
      <w:r w:rsidRPr="003F1555">
        <w:rPr>
          <w:rStyle w:val="Strong"/>
          <w:rFonts w:eastAsiaTheme="majorEastAsia"/>
          <w:b w:val="0"/>
          <w:bCs w:val="0"/>
        </w:rPr>
        <w:t>canopy closure</w:t>
      </w:r>
      <w:r w:rsidRPr="003F1555">
        <w:rPr>
          <w:b/>
          <w:bCs/>
        </w:rPr>
        <w:t xml:space="preserve"> </w:t>
      </w:r>
      <w:r w:rsidRPr="003F1555">
        <w:t>and</w:t>
      </w:r>
      <w:r w:rsidRPr="003F1555">
        <w:rPr>
          <w:b/>
          <w:bCs/>
        </w:rPr>
        <w:t xml:space="preserve"> </w:t>
      </w:r>
      <w:r w:rsidRPr="003F1555">
        <w:rPr>
          <w:rStyle w:val="Strong"/>
          <w:rFonts w:eastAsiaTheme="majorEastAsia"/>
          <w:b w:val="0"/>
          <w:bCs w:val="0"/>
        </w:rPr>
        <w:t xml:space="preserve">later in the season after </w:t>
      </w:r>
      <w:r w:rsidR="003F1555" w:rsidRPr="003F1555">
        <w:rPr>
          <w:rStyle w:val="Strong"/>
          <w:rFonts w:eastAsiaTheme="majorEastAsia"/>
          <w:b w:val="0"/>
          <w:bCs w:val="0"/>
        </w:rPr>
        <w:t xml:space="preserve">tree </w:t>
      </w:r>
      <w:r w:rsidRPr="003F1555">
        <w:rPr>
          <w:rStyle w:val="Strong"/>
          <w:rFonts w:eastAsiaTheme="majorEastAsia"/>
          <w:b w:val="0"/>
          <w:bCs w:val="0"/>
        </w:rPr>
        <w:t>canopy closure</w:t>
      </w:r>
      <w:r>
        <w:t>.</w:t>
      </w:r>
    </w:p>
    <w:p w14:paraId="7C9C5A21" w14:textId="3BE9178C" w:rsidR="001D6B1F" w:rsidRDefault="001D6B1F" w:rsidP="001D6B1F">
      <w:pPr>
        <w:pStyle w:val="NormalWeb"/>
      </w:pPr>
      <w:r>
        <w:t>Both native species photosynthesized less when garlic mustard was present</w:t>
      </w:r>
      <w:r w:rsidR="003F1555">
        <w:t>, but for different reasons</w:t>
      </w:r>
      <w:r>
        <w:t xml:space="preserve">. In </w:t>
      </w:r>
      <w:r w:rsidRPr="003F1555">
        <w:rPr>
          <w:rStyle w:val="Strong"/>
          <w:rFonts w:eastAsiaTheme="majorEastAsia"/>
          <w:b w:val="0"/>
          <w:bCs w:val="0"/>
        </w:rPr>
        <w:t>trillium</w:t>
      </w:r>
      <w:r>
        <w:t xml:space="preserve">, garlic mustard reduced photosynthetic capacity, </w:t>
      </w:r>
      <w:r w:rsidR="003F1555">
        <w:t xml:space="preserve">indicating that garlic mustard may have induced a form of nutrient stress. </w:t>
      </w:r>
      <w:r>
        <w:t xml:space="preserve">In </w:t>
      </w:r>
      <w:r w:rsidRPr="003F1555">
        <w:rPr>
          <w:rStyle w:val="Strong"/>
          <w:rFonts w:eastAsiaTheme="majorEastAsia"/>
          <w:b w:val="0"/>
          <w:bCs w:val="0"/>
        </w:rPr>
        <w:t>false Solomon’s seal</w:t>
      </w:r>
      <w:r>
        <w:t xml:space="preserve">, garlic mustard reduced stomatal conductance, suggesting </w:t>
      </w:r>
      <w:r w:rsidR="003F1555">
        <w:t>that garlic mustard presence likely induced a form of</w:t>
      </w:r>
      <w:r>
        <w:t xml:space="preserve"> </w:t>
      </w:r>
      <w:r w:rsidRPr="003F1555">
        <w:rPr>
          <w:rStyle w:val="Strong"/>
          <w:rFonts w:eastAsiaTheme="majorEastAsia"/>
          <w:b w:val="0"/>
          <w:bCs w:val="0"/>
        </w:rPr>
        <w:t xml:space="preserve">water </w:t>
      </w:r>
      <w:r w:rsidR="003F1555">
        <w:rPr>
          <w:rStyle w:val="Strong"/>
          <w:rFonts w:eastAsiaTheme="majorEastAsia"/>
          <w:b w:val="0"/>
          <w:bCs w:val="0"/>
        </w:rPr>
        <w:t>stress</w:t>
      </w:r>
      <w:r>
        <w:t xml:space="preserve">. In both species, negative effects were stronger after canopy closure, </w:t>
      </w:r>
      <w:r w:rsidR="003F1555">
        <w:t>which may have been due to increased nutrient and water limitation as the growing season progressed</w:t>
      </w:r>
      <w:r>
        <w:t xml:space="preserve">. Together, these results show that garlic mustard can reduce native plant </w:t>
      </w:r>
      <w:r w:rsidR="003F1555">
        <w:t>photosynthesis</w:t>
      </w:r>
      <w:r>
        <w:t xml:space="preserve"> through multiple pathways, and that </w:t>
      </w:r>
      <w:r w:rsidRPr="003F1555">
        <w:rPr>
          <w:rStyle w:val="Strong"/>
          <w:rFonts w:eastAsiaTheme="majorEastAsia"/>
          <w:b w:val="0"/>
          <w:bCs w:val="0"/>
        </w:rPr>
        <w:t>seasonal timing strongly shapes the magnitude of those impacts</w:t>
      </w:r>
      <w:r w:rsidR="003F1555">
        <w:t>. These findings demonstrate that</w:t>
      </w:r>
      <w:r>
        <w:t xml:space="preserve"> allelopathic invaders can have diverse and changing effects on native forest understory plants across the growing season.</w:t>
      </w:r>
    </w:p>
    <w:p w14:paraId="7308A117" w14:textId="77777777" w:rsidR="0074160B" w:rsidRDefault="0074160B"/>
    <w:sectPr w:rsidR="007416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9A6"/>
    <w:rsid w:val="00081732"/>
    <w:rsid w:val="000D1FCA"/>
    <w:rsid w:val="000D59C8"/>
    <w:rsid w:val="001D6B1F"/>
    <w:rsid w:val="001D7CFF"/>
    <w:rsid w:val="002875D0"/>
    <w:rsid w:val="00367442"/>
    <w:rsid w:val="003F1555"/>
    <w:rsid w:val="0047240F"/>
    <w:rsid w:val="005C540B"/>
    <w:rsid w:val="00730CFE"/>
    <w:rsid w:val="0074160B"/>
    <w:rsid w:val="00786728"/>
    <w:rsid w:val="007C1A3A"/>
    <w:rsid w:val="008A6ECF"/>
    <w:rsid w:val="008B048F"/>
    <w:rsid w:val="00AC3E02"/>
    <w:rsid w:val="00CE7C26"/>
    <w:rsid w:val="00DA59A6"/>
    <w:rsid w:val="00E70183"/>
    <w:rsid w:val="00ED2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A06CA7"/>
  <w15:chartTrackingRefBased/>
  <w15:docId w15:val="{047657FE-1E50-3F42-AEFC-F3DD2061F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59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59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59A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59A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59A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59A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59A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59A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59A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59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59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59A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59A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59A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59A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59A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59A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59A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59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59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59A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59A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59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59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59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59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59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59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59A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A59A6"/>
    <w:pPr>
      <w:spacing w:before="100" w:beforeAutospacing="1" w:after="100" w:afterAutospacing="1" w:line="240" w:lineRule="auto"/>
    </w:pPr>
    <w:rPr>
      <w:rFonts w:eastAsia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A59A6"/>
    <w:rPr>
      <w:b/>
      <w:bCs/>
    </w:rPr>
  </w:style>
  <w:style w:type="character" w:styleId="Emphasis">
    <w:name w:val="Emphasis"/>
    <w:basedOn w:val="DefaultParagraphFont"/>
    <w:uiPriority w:val="20"/>
    <w:qFormat/>
    <w:rsid w:val="00DA59A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</Pages>
  <Words>376</Words>
  <Characters>2238</Characters>
  <Application>Microsoft Office Word</Application>
  <DocSecurity>0</DocSecurity>
  <Lines>30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Perkowski, Evan A</dc:creator>
  <cp:keywords/>
  <dc:description/>
  <cp:lastModifiedBy>Perkowski, Evan A</cp:lastModifiedBy>
  <cp:revision>3</cp:revision>
  <dcterms:created xsi:type="dcterms:W3CDTF">2026-03-04T22:33:00Z</dcterms:created>
  <dcterms:modified xsi:type="dcterms:W3CDTF">2026-03-05T18:33:00Z</dcterms:modified>
</cp:coreProperties>
</file>