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F4A9" w14:textId="125BC69C" w:rsidR="00754725" w:rsidRPr="00115F98" w:rsidRDefault="00754725" w:rsidP="00A754EC">
      <w:pPr>
        <w:spacing w:line="360" w:lineRule="auto"/>
      </w:pPr>
      <w:commentRangeStart w:id="0"/>
      <w:r>
        <w:rPr>
          <w:b/>
          <w:bCs/>
        </w:rPr>
        <w:t>T</w:t>
      </w:r>
      <w:commentRangeEnd w:id="0"/>
      <w:r w:rsidR="00524F9C">
        <w:rPr>
          <w:rStyle w:val="CommentReference"/>
          <w:rFonts w:eastAsia="Times New Roman" w:cs="Times New Roman"/>
        </w:rPr>
        <w:commentReference w:id="0"/>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nitrogen-water use tradeoffs </w:t>
      </w:r>
      <w:r w:rsidR="00115F98" w:rsidRPr="00115F98">
        <w:t xml:space="preserve">in </w:t>
      </w:r>
      <w:r w:rsidR="00115F98">
        <w:rPr>
          <w:i/>
          <w:iCs/>
        </w:rPr>
        <w:t>Glycine max</w:t>
      </w:r>
      <w:r w:rsidR="00115F98">
        <w:t xml:space="preserve"> L.</w:t>
      </w:r>
    </w:p>
    <w:p w14:paraId="15E8CF0C" w14:textId="74562F99" w:rsidR="00115F98" w:rsidRDefault="00115F98" w:rsidP="00A754EC">
      <w:pPr>
        <w:spacing w:line="360" w:lineRule="auto"/>
        <w:rPr>
          <w:b/>
          <w:bCs/>
        </w:rPr>
      </w:pPr>
    </w:p>
    <w:p w14:paraId="296CE4EA" w14:textId="77777777" w:rsidR="00A754EC" w:rsidRDefault="00A754EC" w:rsidP="00A754EC">
      <w:pPr>
        <w:spacing w:line="360" w:lineRule="auto"/>
        <w:rPr>
          <w:b/>
          <w:bCs/>
        </w:rPr>
      </w:pPr>
    </w:p>
    <w:p w14:paraId="238FEE9C" w14:textId="6952508B" w:rsidR="00754725" w:rsidRPr="00182295" w:rsidRDefault="00754725" w:rsidP="00A754EC">
      <w:pPr>
        <w:spacing w:line="360" w:lineRule="auto"/>
      </w:pPr>
      <w:r>
        <w:rPr>
          <w:b/>
          <w:bCs/>
        </w:rPr>
        <w:t>Running Head:</w:t>
      </w:r>
    </w:p>
    <w:p w14:paraId="63C189C5" w14:textId="10F212D8" w:rsidR="00754725" w:rsidRDefault="00754725" w:rsidP="00A754EC">
      <w:pPr>
        <w:spacing w:line="360" w:lineRule="auto"/>
        <w:rPr>
          <w:b/>
          <w:bCs/>
        </w:rPr>
      </w:pPr>
    </w:p>
    <w:p w14:paraId="31C9A709" w14:textId="77777777" w:rsidR="00A754EC" w:rsidRDefault="00A754EC" w:rsidP="00A754EC">
      <w:pPr>
        <w:spacing w:line="360" w:lineRule="auto"/>
        <w:rPr>
          <w:b/>
          <w:bCs/>
        </w:rPr>
      </w:pPr>
    </w:p>
    <w:p w14:paraId="12CF4620" w14:textId="38000088" w:rsidR="00754725" w:rsidRPr="00AA5310" w:rsidRDefault="00754725" w:rsidP="00A754EC">
      <w:pPr>
        <w:spacing w:line="36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34C20142" w14:textId="117C8D04" w:rsidR="00754725" w:rsidRPr="00182CD2" w:rsidRDefault="00754725" w:rsidP="00A754EC">
      <w:pPr>
        <w:spacing w:line="360" w:lineRule="auto"/>
      </w:pPr>
      <w:r>
        <w:rPr>
          <w:b/>
          <w:bCs/>
        </w:rPr>
        <w:t>Author Affiliations:</w:t>
      </w:r>
      <w:r>
        <w:t xml:space="preserve"> </w:t>
      </w:r>
      <w:r>
        <w:rPr>
          <w:vertAlign w:val="superscript"/>
        </w:rPr>
        <w:t>1</w:t>
      </w:r>
      <w:r>
        <w:t>Department of Biological Sciences, Texas Tech University, Lubbock, TX USA</w:t>
      </w:r>
    </w:p>
    <w:p w14:paraId="11B70D55" w14:textId="713AFEFE" w:rsidR="00754725" w:rsidRDefault="00754725" w:rsidP="00A754EC">
      <w:pPr>
        <w:spacing w:line="360" w:lineRule="auto"/>
        <w:rPr>
          <w:b/>
        </w:rPr>
      </w:pPr>
    </w:p>
    <w:p w14:paraId="7F555C51" w14:textId="77777777" w:rsidR="00A754EC" w:rsidRDefault="00A754EC" w:rsidP="00A754EC">
      <w:pPr>
        <w:spacing w:line="360" w:lineRule="auto"/>
        <w:rPr>
          <w:b/>
        </w:rPr>
      </w:pPr>
    </w:p>
    <w:p w14:paraId="36872CE1" w14:textId="77777777" w:rsidR="00754725" w:rsidRPr="002F526D" w:rsidRDefault="00754725" w:rsidP="00A754EC">
      <w:pPr>
        <w:spacing w:line="360" w:lineRule="auto"/>
        <w:rPr>
          <w:b/>
        </w:rPr>
      </w:pPr>
      <w:r>
        <w:rPr>
          <w:b/>
        </w:rPr>
        <w:t>Manuscript compilation details</w:t>
      </w:r>
    </w:p>
    <w:p w14:paraId="7AD173A6" w14:textId="315CFB7C" w:rsidR="00754725" w:rsidRDefault="00754725" w:rsidP="00A754EC">
      <w:pPr>
        <w:spacing w:line="360" w:lineRule="auto"/>
        <w:rPr>
          <w:bCs/>
        </w:rPr>
      </w:pPr>
      <w:r w:rsidRPr="00895468">
        <w:rPr>
          <w:b/>
        </w:rPr>
        <w:t>Abstract:</w:t>
      </w:r>
      <w:r>
        <w:rPr>
          <w:bCs/>
        </w:rPr>
        <w:t xml:space="preserve"> </w:t>
      </w:r>
      <w:r w:rsidR="006569E0">
        <w:rPr>
          <w:bCs/>
        </w:rPr>
        <w:t>XX words</w:t>
      </w:r>
    </w:p>
    <w:p w14:paraId="504EA52F" w14:textId="73DC40BB" w:rsidR="00754725" w:rsidRDefault="00754725" w:rsidP="00A754EC">
      <w:pPr>
        <w:spacing w:line="360" w:lineRule="auto"/>
        <w:rPr>
          <w:bCs/>
        </w:rPr>
      </w:pPr>
      <w:r w:rsidRPr="00006BDD">
        <w:rPr>
          <w:b/>
        </w:rPr>
        <w:t>Main text word count</w:t>
      </w:r>
      <w:r>
        <w:rPr>
          <w:bCs/>
        </w:rPr>
        <w:t>:</w:t>
      </w:r>
    </w:p>
    <w:p w14:paraId="7423DBE8" w14:textId="48E879FC" w:rsidR="00754725" w:rsidRDefault="00754725" w:rsidP="00A754EC">
      <w:pPr>
        <w:spacing w:line="360" w:lineRule="auto"/>
        <w:ind w:firstLine="720"/>
        <w:rPr>
          <w:bCs/>
        </w:rPr>
      </w:pPr>
      <w:r>
        <w:rPr>
          <w:bCs/>
        </w:rPr>
        <w:t>Introduction: XX words</w:t>
      </w:r>
    </w:p>
    <w:p w14:paraId="1EB83956" w14:textId="07385E7A" w:rsidR="00754725" w:rsidRDefault="00754725" w:rsidP="00A754EC">
      <w:pPr>
        <w:spacing w:line="360" w:lineRule="auto"/>
        <w:ind w:firstLine="720"/>
        <w:rPr>
          <w:bCs/>
        </w:rPr>
      </w:pPr>
      <w:r>
        <w:rPr>
          <w:bCs/>
        </w:rPr>
        <w:t>Methods: XX words</w:t>
      </w:r>
    </w:p>
    <w:p w14:paraId="1C7C5B01" w14:textId="781A2F01" w:rsidR="00754725" w:rsidRDefault="00754725" w:rsidP="00A754EC">
      <w:pPr>
        <w:spacing w:line="360" w:lineRule="auto"/>
        <w:ind w:firstLine="720"/>
        <w:rPr>
          <w:bCs/>
        </w:rPr>
      </w:pPr>
      <w:r>
        <w:rPr>
          <w:bCs/>
        </w:rPr>
        <w:t>Results: XX words (not including text in figures or tables)</w:t>
      </w:r>
    </w:p>
    <w:p w14:paraId="69BC0922" w14:textId="7C6ED460" w:rsidR="00754725" w:rsidRDefault="00754725" w:rsidP="00A754EC">
      <w:pPr>
        <w:spacing w:line="360" w:lineRule="auto"/>
        <w:ind w:firstLine="720"/>
        <w:rPr>
          <w:bCs/>
        </w:rPr>
      </w:pPr>
      <w:r>
        <w:rPr>
          <w:bCs/>
        </w:rPr>
        <w:t>Discussion: XX words (XX % of total word count)</w:t>
      </w:r>
    </w:p>
    <w:p w14:paraId="6DB73A09" w14:textId="37B8AAF1" w:rsidR="00754725" w:rsidRDefault="00754725" w:rsidP="00A754EC">
      <w:pPr>
        <w:spacing w:line="360" w:lineRule="auto"/>
        <w:rPr>
          <w:bCs/>
        </w:rPr>
      </w:pPr>
      <w:r w:rsidRPr="00006BDD">
        <w:rPr>
          <w:b/>
        </w:rPr>
        <w:t>References</w:t>
      </w:r>
      <w:r>
        <w:rPr>
          <w:bCs/>
        </w:rPr>
        <w:t>: XX</w:t>
      </w:r>
    </w:p>
    <w:p w14:paraId="293A5F8F" w14:textId="307F698A" w:rsidR="00754725" w:rsidRDefault="00754725" w:rsidP="00A754EC">
      <w:pPr>
        <w:spacing w:line="360" w:lineRule="auto"/>
        <w:rPr>
          <w:bCs/>
        </w:rPr>
      </w:pPr>
      <w:r>
        <w:rPr>
          <w:b/>
        </w:rPr>
        <w:t>Tables and Figures</w:t>
      </w:r>
      <w:r>
        <w:rPr>
          <w:bCs/>
        </w:rPr>
        <w:t>: XX tables, XX figures</w:t>
      </w:r>
    </w:p>
    <w:p w14:paraId="3F70C731" w14:textId="6490DDFE" w:rsidR="00754725" w:rsidRPr="00F73BB7" w:rsidRDefault="00754725" w:rsidP="00A754EC">
      <w:pPr>
        <w:spacing w:line="36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A754EC">
      <w:pPr>
        <w:spacing w:line="360" w:lineRule="auto"/>
        <w:rPr>
          <w:b/>
          <w:bCs/>
        </w:rPr>
      </w:pPr>
      <w:r>
        <w:rPr>
          <w:b/>
          <w:bCs/>
        </w:rPr>
        <w:lastRenderedPageBreak/>
        <w:t>Abstract</w:t>
      </w:r>
    </w:p>
    <w:p w14:paraId="2C4A692A" w14:textId="5F7953FC" w:rsidR="00BB1D36" w:rsidRDefault="00D272B1" w:rsidP="00A754EC">
      <w:pPr>
        <w:spacing w:line="360" w:lineRule="auto"/>
      </w:pPr>
      <w:r>
        <w:t>Relationships between soil nutrient availability, leaf nutrient allocation, and photosynthetic capacity are commonly observed</w:t>
      </w:r>
      <w:r w:rsidR="00502BC6">
        <w:t xml:space="preserve"> in nature</w:t>
      </w:r>
      <w:r>
        <w:t xml:space="preserve">. </w:t>
      </w:r>
      <w:r w:rsidR="00462729">
        <w:t>R</w:t>
      </w:r>
      <w:r w:rsidR="006C060E">
        <w:t>ecent work</w:t>
      </w:r>
      <w:r w:rsidR="00A754EC">
        <w:t xml:space="preserve"> leveraging photosynthetic least-cost theory</w:t>
      </w:r>
      <w:r w:rsidR="00091EA0">
        <w:t xml:space="preserve"> </w:t>
      </w:r>
      <w:r w:rsidR="006C060E">
        <w:t xml:space="preserve">suggests </w:t>
      </w:r>
      <w:r w:rsidR="00131777">
        <w:t>leaf nutrient allocation and photosynthetic capacity can be predicted</w:t>
      </w:r>
      <w:r w:rsidR="00462729">
        <w:t xml:space="preserve"> independent of soil nutrient availability and is instead driven by leaf nutrient demand to build and maintain photosynthetic enzymes. However, leaf nutrient demand to build and maintain photosynthetic enzymes may depend on</w:t>
      </w:r>
      <w:r w:rsidR="00A754EC">
        <w:t xml:space="preserve"> species’ nutrient acquisition strategy or </w:t>
      </w:r>
      <w:r w:rsidR="00462729">
        <w:t>whole plant nutrient demand to build and maintain structures that support whole plant growth. In this study, w</w:t>
      </w:r>
      <w:r w:rsidR="00AB17F0">
        <w:t xml:space="preserve">e measured leaf and whole plant traits of </w:t>
      </w:r>
      <w:r w:rsidR="0081139F">
        <w:rPr>
          <w:i/>
          <w:iCs/>
        </w:rPr>
        <w:t>G</w:t>
      </w:r>
      <w:r w:rsidR="00462729">
        <w:rPr>
          <w:i/>
          <w:iCs/>
        </w:rPr>
        <w:t xml:space="preserve">lycine max </w:t>
      </w:r>
      <w:r w:rsidR="00462729" w:rsidRPr="00462729">
        <w:t>L. (</w:t>
      </w:r>
      <w:proofErr w:type="spellStart"/>
      <w:r w:rsidR="00462729" w:rsidRPr="00462729">
        <w:t>Merr</w:t>
      </w:r>
      <w:proofErr w:type="spellEnd"/>
      <w:r w:rsidR="00462729" w:rsidRPr="00462729">
        <w:t>.)</w:t>
      </w:r>
      <w:r w:rsidR="00462729">
        <w:t xml:space="preserve"> grown </w:t>
      </w:r>
      <w:r w:rsidR="0081139F">
        <w:t>under two soil nitrogen fertilization treatments</w:t>
      </w:r>
      <w:r w:rsidR="00091EA0">
        <w:t xml:space="preserve"> both with </w:t>
      </w:r>
      <w:r w:rsidR="0081139F">
        <w:t xml:space="preserve">and without inoculation with </w:t>
      </w:r>
      <w:proofErr w:type="spellStart"/>
      <w:r w:rsidR="0081139F">
        <w:rPr>
          <w:i/>
          <w:iCs/>
        </w:rPr>
        <w:t>Bradyrhizobium</w:t>
      </w:r>
      <w:proofErr w:type="spellEnd"/>
      <w:r w:rsidR="0081139F">
        <w:rPr>
          <w:i/>
          <w:iCs/>
        </w:rPr>
        <w:t xml:space="preserve"> japonicum</w:t>
      </w:r>
      <w:r w:rsidR="00502BC6">
        <w:t xml:space="preserve"> in a full factorial greenhouse experiment</w:t>
      </w:r>
      <w:r w:rsidR="0081139F">
        <w:t xml:space="preserve">. </w:t>
      </w:r>
      <w:r w:rsidR="00A754EC">
        <w:t>After seven weeks of growth, s</w:t>
      </w:r>
      <w:r w:rsidR="0087300A">
        <w:t>oil nitrogen fertilization</w:t>
      </w:r>
      <w:r w:rsidR="00AB17F0">
        <w:t xml:space="preserve"> decreased</w:t>
      </w:r>
      <w:r w:rsidR="0087300A">
        <w:t xml:space="preserve"> photosynthetic nitrogen-use efficiency, increased intrinsic water-use efficiency, and increased leaf nitrogen allocation per stomatal conductance</w:t>
      </w:r>
      <w:r w:rsidR="00AB17F0">
        <w:t xml:space="preserve">, </w:t>
      </w:r>
      <w:r w:rsidR="00091EA0">
        <w:t>supporting nitrogen-water use tradeoffs commonly observed in photosynthetic least-cost frameworks</w:t>
      </w:r>
      <w:r w:rsidR="0087300A">
        <w:t>.</w:t>
      </w:r>
      <w:r>
        <w:t xml:space="preserve"> We also found that soil nitrogen fertilization had a strong positive effect on total leaf area and whole plant biomass, which may have dampened the effect of these treatments on leaf nitrogen-water use tradeoffs.</w:t>
      </w:r>
      <w:r w:rsidR="0087300A">
        <w:t xml:space="preserve"> </w:t>
      </w:r>
      <w:r w:rsidR="00AB17F0">
        <w:t xml:space="preserve">We found no effect of inoculation on leaf nitrogen-water use tradeoffs; however, did observe a strong effect of inoculation on structural carbon costs to acquire nitrogen, total leaf area, and leaf nitrogen allocation under low soil nitrogen environments. These findings indicate that soil nitrogen availability is more important in determining leaf nitrogen-water use tradeoffs. They also indicate that associations with symbiotic nitrogen-fixing bacteria do not modify nitrogen-water use </w:t>
      </w:r>
      <w:r w:rsidR="00492888">
        <w:t>tradeoffs but</w:t>
      </w:r>
      <w:r w:rsidR="00AB17F0">
        <w:t xml:space="preserve"> may instead contribute to a stimulation in whole plant photosynthesis through an increase in total leaf area.</w:t>
      </w:r>
    </w:p>
    <w:p w14:paraId="6C178996" w14:textId="77777777" w:rsidR="003B6FAA" w:rsidRDefault="003B6FAA" w:rsidP="00A754EC">
      <w:pPr>
        <w:spacing w:line="360" w:lineRule="auto"/>
        <w:rPr>
          <w:b/>
          <w:bCs/>
        </w:rPr>
      </w:pPr>
    </w:p>
    <w:p w14:paraId="5679DE14" w14:textId="44358146" w:rsidR="00754725" w:rsidRDefault="003B6FAA" w:rsidP="00A754EC">
      <w:pPr>
        <w:spacing w:line="360" w:lineRule="auto"/>
        <w:rPr>
          <w:b/>
          <w:bCs/>
        </w:rPr>
      </w:pPr>
      <w:r>
        <w:rPr>
          <w:b/>
          <w:bCs/>
        </w:rPr>
        <w:t>Keywords</w:t>
      </w:r>
    </w:p>
    <w:p w14:paraId="60F62E0F" w14:textId="42A78C87" w:rsidR="003B6FAA" w:rsidRPr="00091EA0" w:rsidRDefault="00091EA0" w:rsidP="00A754EC">
      <w:pPr>
        <w:spacing w:line="360" w:lineRule="auto"/>
      </w:pPr>
      <w:r w:rsidRPr="00091EA0">
        <w:t>Nitrogen fixation</w:t>
      </w:r>
      <w:r>
        <w:t>; photosynthetic least-cost theory; whole plant growth; greenhouse; crops; nutrient acquisition strategy</w:t>
      </w:r>
      <w:r w:rsidR="003B6FAA" w:rsidRPr="00091EA0">
        <w:br w:type="page"/>
      </w:r>
    </w:p>
    <w:p w14:paraId="3ABB4CFB" w14:textId="77777777" w:rsidR="00A97E81" w:rsidRDefault="003B6FAA" w:rsidP="00A754EC">
      <w:pPr>
        <w:spacing w:line="360" w:lineRule="auto"/>
      </w:pPr>
      <w:r>
        <w:rPr>
          <w:b/>
          <w:bCs/>
        </w:rPr>
        <w:lastRenderedPageBreak/>
        <w:t>Introduction</w:t>
      </w:r>
      <w:r w:rsidR="00FF2F22">
        <w:t xml:space="preserve"> </w:t>
      </w:r>
    </w:p>
    <w:p w14:paraId="02D370BF" w14:textId="5150783B" w:rsidR="009D3874" w:rsidRDefault="00DC4961" w:rsidP="0030516D">
      <w:pPr>
        <w:spacing w:line="360" w:lineRule="auto"/>
        <w:ind w:firstLine="720"/>
      </w:pPr>
      <w:r>
        <w:t xml:space="preserve">Photosynthesis provides </w:t>
      </w:r>
      <w:r w:rsidR="007D2877">
        <w:t>food, fiber, shelter, and fuel to terrestrial systems</w:t>
      </w:r>
      <w:r w:rsidR="004C7C69">
        <w:t xml:space="preserve">, </w:t>
      </w:r>
      <w:r w:rsidR="00E74A6D">
        <w:t>and</w:t>
      </w:r>
      <w:r w:rsidR="004C7C69">
        <w:t xml:space="preserve"> represent</w:t>
      </w:r>
      <w:r w:rsidR="00E74A6D">
        <w:t>s</w:t>
      </w:r>
      <w:r w:rsidR="004C7C69">
        <w:t xml:space="preserve"> the l</w:t>
      </w:r>
      <w:r w:rsidR="00EC11A8">
        <w:t xml:space="preserve">argest carbon flux between the atmosphere and biosphere </w:t>
      </w:r>
      <w:r w:rsidR="007D2877">
        <w:fldChar w:fldCharType="begin" w:fldLock="1"/>
      </w:r>
      <w:r w:rsidR="00EC11A8">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Change","type":"report"},"uris":["http://www.mendeley.com/documents/?uuid=e29664ea-7c72-41ce-9b14-f487ba00dbc9"]},{"id":"ITEM-2","itemData":{"DOI":"10.1093/aob/mcg041","ISSN":"03057364","PMID":"12588725","abstract":"Human activities are causing widespread changes in the species composition of natural and managed ecosystems, but the consequences of these changes are poorly understood. This paper presents a conceptual framework for predicting the ecosystem and regional consequences of changes in plant species composition. Changes in species composition have greatest ecological effects when they modify the ecological factors that directly control (and respond to) ecosystem processes. These interactive controls include: functional types of organisms present in the ecosystem; soil resources used by organisms to grow and reproduce; modulators such as microclimate that influence the activity of organisms; disturbance regime; and human activities. Plant traits related to size and growth rate are particularly important because they determine the productive capacity of vegetation and the rates of decomposition and nitrogen mineralization. Because the same plant traits affect most key processes in the cycling of carbon and nutrients, changes in plant traits tend to affect most biogeochemical cycling processes in parallel. Plant traits also have landscape and regional effects through their effects on water and energy exchange and disturbance regime. © 2003 Annals of Botany Company.","author":[{"dropping-particle":"","family":"Chapin","given":"F. Stuart","non-dropping-particle":"","parse-names":false,"suffix":""}],"container-title":"Annals of Botany","id":"ITEM-2","issue":"4","issued":{"date-parts":[["2003"]]},"page":"455-463","title":"Effects of plant traits on ecosystem and regional processes: A conceptual framework for predicting the consequences of global change","type":"article-journal","volume":"91"},"uris":["http://www.mendeley.com/documents/?uuid=d18b5f40-5334-42dd-b08a-b2152affae33"]}],"mendeley":{"formattedCitation":"(Chapin, 2003; IPCC, 2013)","plainTextFormattedCitation":"(Chapin, 2003; IPCC, 2013)","previouslyFormattedCitation":"(Chapin, 2003; IPCC, 2013)"},"properties":{"noteIndex":0},"schema":"https://github.com/citation-style-language/schema/raw/master/csl-citation.json"}</w:instrText>
      </w:r>
      <w:r w:rsidR="007D2877">
        <w:fldChar w:fldCharType="separate"/>
      </w:r>
      <w:r w:rsidR="007D2877" w:rsidRPr="007D2877">
        <w:rPr>
          <w:noProof/>
        </w:rPr>
        <w:t>(Chapin, 2003; IPCC, 2013)</w:t>
      </w:r>
      <w:r w:rsidR="007D2877">
        <w:fldChar w:fldCharType="end"/>
      </w:r>
      <w:r w:rsidR="007D2877">
        <w:t>.</w:t>
      </w:r>
      <w:r w:rsidR="006E7608">
        <w:t xml:space="preserve"> </w:t>
      </w:r>
      <w:r w:rsidR="00EC11A8">
        <w:t xml:space="preserve">The photosynthetic reactions that underpin the provisioning of these ecosystem </w:t>
      </w:r>
      <w:r w:rsidR="006E7608">
        <w:t>services</w:t>
      </w:r>
      <w:r w:rsidR="00283F06">
        <w:t xml:space="preserve"> ar</w:t>
      </w:r>
      <w:r w:rsidR="00EC11A8">
        <w:t xml:space="preserve">e </w:t>
      </w:r>
      <w:r w:rsidR="00283F06">
        <w:t>regulated by ecosystem carbon and nutrient biogeochemical cycle</w:t>
      </w:r>
      <w:r w:rsidR="009D3874">
        <w:t>s</w:t>
      </w:r>
      <w:r w:rsidR="00EC11A8">
        <w:t xml:space="preserve"> </w:t>
      </w:r>
      <w:r w:rsidR="00EC11A8">
        <w:fldChar w:fldCharType="begin" w:fldLock="1"/>
      </w:r>
      <w:r w:rsidR="004C7C69">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productivity","type":"article-journal","volume":"89"},"uris":["http://www.mendeley.com/documents/?uuid=9a0f3748-3fb9-483a-aeb3-fcaab5fa4acc"]}],"mendeley":{"formattedCitation":"(Hungate et al., 2003; LeBauer &amp; Treseder, 2008)","plainTextFormattedCitation":"(Hungate et al., 2003; LeBauer &amp; Treseder, 2008)","previouslyFormattedCitation":"(Hungate et al., 2003; LeBauer &amp; Treseder, 2008)"},"properties":{"noteIndex":0},"schema":"https://github.com/citation-style-language/schema/raw/master/csl-citation.json"}</w:instrText>
      </w:r>
      <w:r w:rsidR="00EC11A8">
        <w:fldChar w:fldCharType="separate"/>
      </w:r>
      <w:r w:rsidR="00EC11A8" w:rsidRPr="00EC11A8">
        <w:rPr>
          <w:noProof/>
        </w:rPr>
        <w:t>(Hungate et al., 2003; LeBauer &amp; Treseder, 2008)</w:t>
      </w:r>
      <w:r w:rsidR="00EC11A8">
        <w:fldChar w:fldCharType="end"/>
      </w:r>
      <w:r w:rsidR="00283F06">
        <w:t xml:space="preserve">. </w:t>
      </w:r>
      <w:r w:rsidR="00EC11A8">
        <w:t>Specifically, plants use nutrient-dense photosynthetic enzymes to fix carbon dioxide into simple sugars,</w:t>
      </w:r>
      <w:r w:rsidR="00A33FE7">
        <w:t xml:space="preserve"> which are accumulated as biomass, lost through respiration, or shuttled belowground to acquire nutrients via direct uptake or</w:t>
      </w:r>
      <w:r w:rsidR="009D3874">
        <w:t xml:space="preserve"> through</w:t>
      </w:r>
      <w:r w:rsidR="00A33FE7">
        <w:t xml:space="preserve"> symbioses with mycorrhizal fungi and symbiotic nitrogen-fixing bacteria </w:t>
      </w:r>
      <w:r w:rsidR="00EC11A8">
        <w:fldChar w:fldCharType="begin" w:fldLock="1"/>
      </w:r>
      <w:r w:rsidR="003E355C">
        <w:instrText>ADDIN CSL_CITATION {"citationItems":[{"id":"ITEM-1","itemData":{"ISBN":"0878938664","author":[{"dropping-particle":"","family":"Taiz","given":"Lincoln","non-dropping-particle":"","parse-names":false,"suffix":""},{"dropping-particle":"","family":"Zeiger","given":"Eduardo","non-dropping-particle":"","parse-names":false,"suffix":""}],"edition":"Fifth","id":"ITEM-1","issued":{"date-parts":[["2010"]]},"publisher":"Sinauer","publisher-place":"Sunderland, Massachusetts","title":"Plant physiology","type":"book"},"uris":["http://www.mendeley.com/documents/?uuid=a30e8c0f-3451-475e-a67d-d8d4d9915f2f"]},{"id":"ITEM-2","itemData":{"author":[{"dropping-particle":"","family":"Smith","given":"Sally E","non-dropping-particle":"","parse-names":false,"suffix":""},{"dropping-particle":"","family":"Read","given":"David J","non-dropping-particle":"","parse-names":false,"suffix":""}],"id":"ITEM-2","issued":{"date-parts":[["2008"]]},"title":"Mycorrhizal Symbiosis","type":"book"},"uris":["http://www.mendeley.com/documents/?uuid=7de52699-7fb0-461b-b0db-02c8da38a432"]}],"mendeley":{"formattedCitation":"(S. E. Smith &amp; Read, 2008; Taiz &amp; Zeiger, 2010)","plainTextFormattedCitation":"(S. E. Smith &amp; Read, 2008; Taiz &amp; Zeiger, 2010)","previouslyFormattedCitation":"(S. E. Smith &amp; Read, 2008; Taiz &amp; Zeiger, 2010)"},"properties":{"noteIndex":0},"schema":"https://github.com/citation-style-language/schema/raw/master/csl-citation.json"}</w:instrText>
      </w:r>
      <w:r w:rsidR="00EC11A8">
        <w:fldChar w:fldCharType="separate"/>
      </w:r>
      <w:r w:rsidR="00A33FE7" w:rsidRPr="00A33FE7">
        <w:rPr>
          <w:noProof/>
        </w:rPr>
        <w:t>(S. E. Smith &amp; Read, 2008; Taiz &amp; Zeiger, 2010)</w:t>
      </w:r>
      <w:r w:rsidR="00EC11A8">
        <w:fldChar w:fldCharType="end"/>
      </w:r>
      <w:r w:rsidR="00EC11A8">
        <w:t>.</w:t>
      </w:r>
    </w:p>
    <w:p w14:paraId="2A6C8438" w14:textId="092A7B01" w:rsidR="00621781" w:rsidRDefault="009D3874" w:rsidP="00621781">
      <w:pPr>
        <w:spacing w:line="360" w:lineRule="auto"/>
        <w:ind w:firstLine="720"/>
      </w:pPr>
      <w:r>
        <w:t xml:space="preserve">Terrestrial biosphere models are sensitive to the formulation of </w:t>
      </w:r>
      <w:r w:rsidR="00621781">
        <w:t xml:space="preserve">photosynthesis </w:t>
      </w:r>
      <w:r w:rsidR="00547EA6">
        <w:rPr>
          <w:color w:val="000000"/>
        </w:rPr>
        <w:fldChar w:fldCharType="begin" w:fldLock="1"/>
      </w:r>
      <w:r w:rsidR="00547EA6">
        <w:rPr>
          <w:color w:val="000000"/>
        </w:rPr>
        <w:instrText>ADDIN CSL_CITATION {"citationItems":[{"id":"ITEM-1","itemData":{"DOI":"10.1029/2011GL047182","ISSN":"00948276","abstract":"Feedbacks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author":[{"dropping-particle":"","family":"Ziehn","given":"T","non-dropping-particle":"","parse-names":false,"suffix":""},{"dropping-particle":"","family":"Kattge","given":"Jens","non-dropping-particle":"","parse-names":false,"suffix":""},{"dropping-particle":"","family":"Knorr","given":"Wolfgang","non-dropping-particle":"","parse-names":false,"suffix":""},{"dropping-particle":"","family":"Scholze","given":"M","non-dropping-particle":"","parse-names":false,"suffix":""}],"container-title":"Geophysical Research Letters","id":"ITEM-1","issue":"10","issued":{"date-parts":[["2011","5"]]},"page":"L10404","title":"Improving the predictability of global CO2 assimilation rates under climate change","type":"article-journal","volume":"38"},"uris":["http://www.mendeley.com/documents/?uuid=3333b029-9665-43fc-9d3f-788a6962bab8"]},{"id":"ITEM-2","itemData":{"DOI":"10.1029/2010JG001593","ISSN":"0148-0227","author":[{"dropping-particle":"","family":"Bonan","given":"Gordon B","non-dropping-particle":"","parse-names":false,"suffix":""},{"dropping-particle":"","family":"Lawrence","given":"Peter J","non-dropping-particle":"","parse-names":false,"suffix":""},{"dropping-particle":"","family":"Oleson","given":"Keith W","non-dropping-particle":"","parse-names":false,"suffix":""},{"dropping-particle":"","family":"Levis","given":"Samuel","non-dropping-particle":"","parse-names":false,"suffix":""},{"dropping-particle":"","family":"Jung","given":"Martin","non-dropping-particle":"","parse-names":false,"suffix":""},{"dropping-particle":"","family":"Reichstein","given":"Markus","non-dropping-particle":"","parse-names":false,"suffix":""},{"dropping-particle":"","family":"Lawrence","given":"David M","non-dropping-particle":"","parse-names":false,"suffix":""},{"dropping-particle":"","family":"Swenson","given":"Sean C","non-dropping-particle":"","parse-names":false,"suffix":""}],"container-title":"Journal of Geophysical Research","id":"ITEM-2","issue":"G2","issued":{"date-parts":[["2011","5","18"]]},"page":"G02014","title":"Improving canopy processes in the Community Land Model version 4 (CLM4) using global flux fields empirically inferred from FLUXNET data","type":"article-journal","volume":"116"},"uris":["http://www.mendeley.com/documents/?uuid=6e41c996-dadb-4442-9633-cd99007adcd0"]},{"id":"ITEM-3","itemData":{"DOI":"10.1088/1748-9326/7/2/024002","ISSN":"1748-9326","abstract":"Unknowns in future global warming are usually assumed to arise from uncertainties either in the amount of anthropogenic greenhouse gas emissions or in the sensitivity of the climate to changes in greenhouse gas concentrations. Characterizing the additional uncertainty in relating CO2 emissions to atmospheric concentrations has relied on either a small number of complex models with diversity in process representations, or simple models. To date, these models indicate that the relevant carbon cycle uncertainties are smaller than the uncertainties in physical climate feedbacks and emissions. Here, for a single emissions scenario, we use a full coupled climate–carbon cycle model and a systematic method to explore uncertainties in the land carbon cycle feedback. We find a plausible range of climate–carbon cycle feedbacks significantly larger than previously estimated. Indeed the range of CO2 concentrations arising from our single emissions scenario is greater than that previously estimated across the full range of IPCC SRES emissions scenarios with carbon cycle uncertainties ignored. The sensitivity of photosynthetic metabolism to temperature emerges as the most important uncertainty. This highlights an aspect of current land carbon modelling where there are open questions about the potential role of plant acclimation to increasing temperatures. There is an urgent need for better understanding of plant photosynthetic responses to high temperature, as these responses are shown here to be key contributors to the magnitude of future change.","author":[{"dropping-particle":"","family":"Booth","given":"Ben B B","non-dropping-particle":"","parse-names":false,"suffix":""},{"dropping-particle":"","family":"Jones","given":"Chris D","non-dropping-particle":"","parse-names":false,"suffix":""},{"dropping-particle":"","family":"Collins","given":"Mat","non-dropping-particle":"","parse-names":false,"suffix":""},{"dropping-particle":"","family":"Totterdell","given":"Ian J","non-dropping-particle":"","parse-names":false,"suffix":""},{"dropping-particle":"","family":"Cox","given":"Peter M","non-dropping-particle":"","parse-names":false,"suffix":""},{"dropping-particle":"","family":"Sitch","given":"Stephen","non-dropping-particle":"","parse-names":false,"suffix":""},{"dropping-particle":"","family":"Huntingford","given":"Chris","non-dropping-particle":"","parse-names":false,"suffix":""},{"dropping-particle":"","family":"Betts","given":"Richard A","non-dropping-particle":"","parse-names":false,"suffix":""},{"dropping-particle":"","family":"Harris","given":"Glen R","non-dropping-particle":"","parse-names":false,"suffix":""},{"dropping-particle":"","family":"Lloyd","given":"Jon","non-dropping-particle":"","parse-names":false,"suffix":""}],"container-title":"Environmental Research Letters","id":"ITEM-3","issue":"2","issued":{"date-parts":[["2012","6","1"]]},"page":"024002","title":"High sensitivity of future global warming to land carbon cycle processes","type":"article-journal","volume":"7"},"uris":["http://www.mendeley.com/documents/?uuid=796593ad-abd3-4f97-b450-368363e6ae7a"]},{"id":"ITEM-4","itemData":{"DOI":"10.1038/nclimate2878","ISSN":"1758-678X","abstract":"Plant photosynthesis and respiration are the largest carbon fluxes between the terrestrial biosphere and the atmo- sphere1, and their parameterizations represent large sources of uncertainty in projections of land carbon uptake in Earth system models2,3 (ESMs). The incorporation of temperature acclimation of photosynthesis and foliar respiration, commonly observed processes, into ESMs has been proposed as a way to reduce this uncertainty2. Here we show that, across 15 flux tower sites spanning multiple biomes at various locations worldwide (10◦ S–67◦ N), acclimation parameteri- zations4,5 improve a model’s ability to reproduce observed net ecosystem exchange of CO2. This improvement is most notable in tropical biomes, where photosynthetic acclimation increased model performance by 36%. The consequences of acclimation for simulated terrestrial carbon uptake depend on the process, region and time period evaluated. Globally, including acclimation has a net effect of increasing carbon assimilation and storage, an effect that diminishes with time, but persists well into the future. Our results suggest that land models omitting foliar temperature acclimation are likely to overestimate the temperature sensitivity of terrestrial carbon exchange, thus biasing projections of future carbon storage and estimates of policy indicators such as the transient climate response to cumulative carbon emissions1.","author":[{"dropping-particle":"","family":"Smith","given":"Nicholas G","non-dropping-particle":"","parse-names":false,"suffix":""},{"dropping-particle":"","family":"Malyshev","given":"Sergey L","non-dropping-particle":"","parse-names":false,"suffix":""},{"dropping-particle":"","family":"Shevliakova","given":"Elena","non-dropping-particle":"","parse-names":false,"suffix":""},{"dropping-particle":"","family":"Kattge","given":"Jens","non-dropping-particle":"","parse-names":false,"suffix":""},{"dropping-particle":"","family":"Dukes","given":"Jeffrey S","non-dropping-particle":"","parse-names":false,"suffix":""}],"container-title":"Nature Climate Change","id":"ITEM-4","issue":"4","issued":{"date-parts":[["2016","4","7"]]},"page":"407-411","title":"Foliar temperature acclimation reduces simulated carbon sensitivity to climate","type":"article-journal","volume":"6"},"uris":["http://www.mendeley.com/documents/?uuid=f36cabfa-36d0-48cb-8988-0410f8fca693"]},{"id":"ITEM-5","itemData":{"DOI":"10.1002/2016MS000732","ISSN":"19422466","abstract":"Large-eddy simulation is used to study the sensitivity of trade wind cumulus clouds to pertur-bations in cloud droplet number concentrations. We find that the trade wind cumulus system approaches a radiative-convective equilibrium state, modified by net warming and drying from imposed large-scale advective forcing. The system requires several days to reach equilibrium when cooling rates are specified but much less time, and with less sensitivity to cloud droplet number density, when radiation depends real-istically on the vertical distribution of water vapor. The transient behavior and the properties of the near-equilibrium cloud field depend on the microphysical state and therefore on the cloud droplet number den-sity, here taken as a proxy for the ambient aerosol. The primary response of the cloud field to changes in the cloud droplet number density is deepening of the cloud layer. This deepening leads to a decrease in rel-ative humidity and a faster evaporation of small clouds and cloud remnants constituting a negative lifetime effect. In the near-equilibrium regime, the decrease in cloud cover compensates much of the Twomey effect, i.e., the brightening of the clouds, and the overall aerosol effect on the albedo of the organized pre-cipitating cumulus cloud field is small.","author":[{"dropping-particle":"","family":"Smith","given":"Nicholas G","non-dropping-particle":"","parse-names":false,"suffix":""},{"dropping-particle":"","family":"Lombardozzi","given":"Danica L","non-dropping-particle":"","parse-names":false,"suffix":""},{"dropping-particle":"","family":"Tawfik","given":"Ahmed","non-dropping-particle":"","parse-names":false,"suffix":""},{"dropping-particle":"","family":"Bonan","given":"Gordon","non-dropping-particle":"","parse-names":false,"suffix":""},{"dropping-particle":"","family":"Dukes","given":"Jeffrey S","non-dropping-particle":"","parse-names":false,"suffix":""}],"container-title":"Journal of Advances in Modeling Earth Systems","id":"ITEM-5","issue":"1","issued":{"date-parts":[["2017","3"]]},"page":"536-547","title":"Biophysical consequences of photosynthetic temperature acclimation for climate","type":"article-journal","volume":"9"},"uris":["http://www.mendeley.com/documents/?uuid=2b872483-83b1-475c-9293-9c4299f866f5"]}],"mendeley":{"formattedCitation":"(Bonan et al., 2011; Booth et al., 2012; N. G. Smith et al., 2016, 2017; Ziehn et al., 2011)","plainTextFormattedCitation":"(Bonan et al., 2011; Booth et al., 2012; N. G. Smith et al., 2016, 2017; Ziehn et al., 2011)","previouslyFormattedCitation":"(Bonan et al., 2011; Booth et al., 2012; N. G. Smith et al., 2016, 2017; Ziehn et al., 2011)"},"properties":{"noteIndex":0},"schema":"https://github.com/citation-style-language/schema/raw/master/csl-citation.json"}</w:instrText>
      </w:r>
      <w:r w:rsidR="00547EA6">
        <w:rPr>
          <w:color w:val="000000"/>
        </w:rPr>
        <w:fldChar w:fldCharType="separate"/>
      </w:r>
      <w:r w:rsidR="00547EA6" w:rsidRPr="00547EA6">
        <w:rPr>
          <w:noProof/>
          <w:color w:val="000000"/>
        </w:rPr>
        <w:t>(Bonan et al., 2011; Booth et al., 2012; N. G. Smith et al., 2016, 2017; Ziehn et al., 2011)</w:t>
      </w:r>
      <w:r w:rsidR="00547EA6">
        <w:rPr>
          <w:color w:val="000000"/>
        </w:rPr>
        <w:fldChar w:fldCharType="end"/>
      </w:r>
      <w:r w:rsidR="00621781">
        <w:rPr>
          <w:color w:val="000000"/>
        </w:rPr>
        <w:t xml:space="preserve">, and therefore must be represented using robust, well-tested processes </w:t>
      </w:r>
      <w:r w:rsidR="00621781">
        <w:rPr>
          <w:color w:val="000000"/>
        </w:rPr>
        <w:fldChar w:fldCharType="begin" w:fldLock="1"/>
      </w:r>
      <w:r w:rsidR="00D17106">
        <w:rPr>
          <w:color w:val="000000"/>
        </w:rPr>
        <w:instrText>ADDIN CSL_CITATION {"citationItems":[{"id":"ITEM-1","itemData":{"DOI":"10.1029/2018GB006141","ISSN":"0886-6236","author":[{"dropping-particle":"","family":"Wieder","given":"William R","non-dropping-particle":"","parse-names":false,"suffix":""},{"dropping-particle":"","family":"Lawrence","given":"David M","non-dropping-particle":"","parse-names":false,"suffix":""},{"dropping-particle":"","family":"Fisher","given":"Rosie A","non-dropping-particle":"","parse-names":false,"suffix":""},{"dropping-particle":"","family":"Bonan","given":"Gordon B","non-dropping-particle":"","parse-names":false,"suffix":""},{"dropping-particle":"","family":"Cheng","given":"Susan J","non-dropping-particle":"","parse-names":false,"suffix":""},{"dropping-particle":"","family":"Goodale","given":"Christine L","non-dropping-particle":"","parse-names":false,"suffix":""},{"dropping-particle":"","family":"Grandy","given":"A Stuart","non-dropping-particle":"","parse-names":false,"suffix":""},{"dropping-particle":"","family":"Koven","given":"Charles D","non-dropping-particle":"","parse-names":false,"suffix":""},{"dropping-particle":"","family":"Lombardozzi","given":"Danica L","non-dropping-particle":"","parse-names":false,"suffix":""},{"dropping-particle":"","family":"Oleson","given":"Keith W","non-dropping-particle":"","parse-names":false,"suffix":""},{"dropping-particle":"","family":"Thomas","given":"R Quinn","non-dropping-particle":"","parse-names":false,"suffix":""}],"container-title":"Global Biogeochemical Cycles","id":"ITEM-1","issue":"10","issued":{"date-parts":[["2019","10","28"]]},"page":"1289-1309","title":"Beyond static benchmarking: using experimental manipulations to evaluate land model assumptions","type":"article-journal","volume":"33"},"uris":["http://www.mendeley.com/documents/?uuid=be8ebbf3-fb1e-4be5-9c6c-b3173a082364"]},{"id":"ITEM-2","itemData":{"DOI":"10.5194/acp-15-5987-2015","ISSN":"16807324","abstract":"Land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-3","issue":"5147","issued":{"date-parts":[["1994"]]},"page":"641-646","title":"Verification , Validation , and Confirmation of Numerical Models in the Earth Sciences","type":"article-journal","volume":"263"},"uris":["http://www.mendeley.com/documents/?uuid=530c7891-debc-430a-985c-fd6877ad0617"]}],"mendeley":{"formattedCitation":"(Oreskes et al., 1994; Prentice et al., 2015; Wieder et al., 2019)","plainTextFormattedCitation":"(Oreskes et al., 1994; Prentice et al., 2015; Wieder et al., 2019)","previouslyFormattedCitation":"(Oreskes et al., 1994; Prentice et al., 2015; Wieder et al., 2019)"},"properties":{"noteIndex":0},"schema":"https://github.com/citation-style-language/schema/raw/master/csl-citation.json"}</w:instrText>
      </w:r>
      <w:r w:rsidR="00621781">
        <w:rPr>
          <w:color w:val="000000"/>
        </w:rPr>
        <w:fldChar w:fldCharType="separate"/>
      </w:r>
      <w:r w:rsidR="00621781" w:rsidRPr="00621781">
        <w:rPr>
          <w:noProof/>
          <w:color w:val="000000"/>
        </w:rPr>
        <w:t>(Oreskes et al., 1994; Prentice et al., 2015; Wieder et al., 2019)</w:t>
      </w:r>
      <w:r w:rsidR="00621781">
        <w:rPr>
          <w:color w:val="000000"/>
        </w:rPr>
        <w:fldChar w:fldCharType="end"/>
      </w:r>
      <w:r w:rsidR="00621781">
        <w:rPr>
          <w:color w:val="000000"/>
        </w:rPr>
        <w:t xml:space="preserve">. </w:t>
      </w:r>
      <w:r w:rsidR="004C7C69">
        <w:t>Many current generation terrestrial biosphere models predict leaf-level photosynthesis using parameters assigned by plant functional type through</w:t>
      </w:r>
      <w:r w:rsidR="00E0208C">
        <w:t xml:space="preserve"> linear</w:t>
      </w:r>
      <w:r w:rsidR="004C7C69">
        <w:t xml:space="preserve"> relationships between soil nutrient availability, leaf nutrient allocation, and photosynthetic capacity </w:t>
      </w:r>
      <w:r w:rsidR="009273E2">
        <w:fldChar w:fldCharType="begin" w:fldLock="1"/>
      </w:r>
      <w:r w:rsidR="0048753D">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models","type":"article-journal","volume":"213"},"uris":["http://www.mendeley.com/documents/?uuid=2b8771ac-5f1d-4259-ab38-c0c6999be44d"]},{"id":"ITEM-3","itemData":{"DOI":"10.1111/j.1365-2486.2012.02797.x","ISSN":"13541013","PMID":"23504720","abstract":"To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Biology","id":"ITEM-3","issue":"1","issued":{"date-parts":[["2013"]]},"page":"45-63","title":"Plant respiration and photosynthesis in global-scale models: Incorporating acclimation to temperature and CO&lt;sub&gt;2&lt;/sub&gt;","type":"article-journal","volume":"19"},"uris":["http://www.mendeley.com/documents/?uuid=b45ebbbe-9cfa-41ef-9337-8bc2bfdfb16b"]}],"mendeley":{"formattedCitation":"(Rogers, 2014; Rogers et al., 2017; N. G. Smith &amp; Dukes, 2013)","plainTextFormattedCitation":"(Rogers, 2014; Rogers et al., 2017; N. G. Smith &amp; Dukes, 2013)","previouslyFormattedCitation":"(Rogers, 2014; Rogers et al., 2017; N. G. Smith &amp; Dukes, 2013)"},"properties":{"noteIndex":0},"schema":"https://github.com/citation-style-language/schema/raw/master/csl-citation.json"}</w:instrText>
      </w:r>
      <w:r w:rsidR="009273E2">
        <w:fldChar w:fldCharType="separate"/>
      </w:r>
      <w:r w:rsidR="007B1AFE" w:rsidRPr="007B1AFE">
        <w:rPr>
          <w:noProof/>
        </w:rPr>
        <w:t>(Rogers, 2014; Rogers et al., 2017; N. G. Smith &amp; Dukes, 2013)</w:t>
      </w:r>
      <w:r w:rsidR="009273E2">
        <w:fldChar w:fldCharType="end"/>
      </w:r>
      <w:r w:rsidR="009A5542">
        <w:t>.</w:t>
      </w:r>
      <w:r w:rsidR="00565C0A">
        <w:t xml:space="preserve"> </w:t>
      </w:r>
      <w:r w:rsidR="004B5E0F">
        <w:t xml:space="preserve">These models predict leaf nutrient allocation from soil nutrient availability based on the assumption that increasing soil nutrient availability generally increases leaf nutrient allocation </w:t>
      </w:r>
      <w:r w:rsidR="004B5E0F">
        <w:fldChar w:fldCharType="begin" w:fldLock="1"/>
      </w:r>
      <w:r w:rsidR="00403BBD">
        <w:instrText>ADDIN CSL_CITATION {"citationItems":[{"id":"ITEM-1","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Evolution","id":"ITEM-1","issue":"3","issued":{"date-parts":[["2019","3","4"]]},"page":"400-406","title":"Leaf nutrients, not specific leaf area, are consistent indicators of elevated nutrient inputs","type":"article-journal","volume":"3"},"uris":["http://www.mendeley.com/documents/?uuid=aa4fd087-f2a3-4dc4-b20c-8e5dbc931ba3"]},{"id":"ITEM-2","itemData":{"DOI":"10.1111/geb.13042","ISSN":"1466-822X","author":[{"dropping-particle":"","family":"Li","given":"Weibin","non-dropping-particle":"","parse-names":false,"suffix":""},{"dropping-particle":"","family":"Zhang","given":"Hongxia","non-dropping-particle":"","parse-names":false,"suffix":""},{"dropping-particle":"","family":"Huang","given":"Guozhu","non-dropping-particle":"","parse-names":false,"suffix":""},{"dropping-particle":"","family":"Liu","given":"Ruixue","non-dropping-particle":"","parse-names":false,"suffix":""},{"dropping-particle":"","family":"Wu","given":"Hongjing","non-dropping-particle":"","parse-names":false,"suffix":""},{"dropping-particle":"","family":"Zhao","given":"Chuanyan","non-dropping-particle":"","parse-names":false,"suffix":""},{"dropping-particle":"","family":"McDowell","given":"Nate G.","non-dropping-particle":"","parse-names":false,"suffix":""}],"container-title":"Global Ecology and Biogeography","id":"ITEM-2","issue":"3","issued":{"date-parts":[["2020","3","6"]]},"page":"573-589","title":"Effects of nitrogen enrichment on tree carbon allocation: A global synthesis","type":"article-journal","volume":"29"},"uris":["http://www.mendeley.com/documents/?uuid=97d32149-0d7f-456a-89b4-109a86f6d490"]},{"id":"ITEM-3","itemData":{"DOI":"10.1111/gcb.15071","ISSN":"1354-1013","abstract":"A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Biology","id":"ITEM-3","issue":"6","issued":{"date-parts":[["2020","6","8"]]},"page":"3585-3600","title":"Global response patterns of plant photosynthesis to nitrogen addition: A meta‐analysis","type":"article-journal","volume":"26"},"uris":["http://www.mendeley.com/documents/?uuid=c936a49f-196c-406d-ac18-be1d835be620"]}],"mendeley":{"formattedCitation":"(Firn et al., 2019; Li et al., 2020; Liang et al., 2020)","manualFormatting":"(Firn et al., 2019; Li et al., 2020; Liang et al., 2020)","plainTextFormattedCitation":"(Firn et al., 2019; Li et al., 2020; Liang et al., 2020)","previouslyFormattedCitation":"(Firn et al., 2019; Li et al., 2020; Liang et al., 2020)"},"properties":{"noteIndex":0},"schema":"https://github.com/citation-style-language/schema/raw/master/csl-citation.json"}</w:instrText>
      </w:r>
      <w:r w:rsidR="004B5E0F">
        <w:fldChar w:fldCharType="separate"/>
      </w:r>
      <w:r w:rsidR="004B5E0F" w:rsidRPr="00E67FB9">
        <w:rPr>
          <w:noProof/>
        </w:rPr>
        <w:t>(Firn et al., 2019; Li et al., 2020; Liang et al., 2020)</w:t>
      </w:r>
      <w:r w:rsidR="004B5E0F">
        <w:fldChar w:fldCharType="end"/>
      </w:r>
      <w:r w:rsidR="004B5E0F">
        <w:t xml:space="preserve">, </w:t>
      </w:r>
      <w:r w:rsidR="00502BC6">
        <w:t>which</w:t>
      </w:r>
      <w:r w:rsidR="00F2556B">
        <w:t xml:space="preserve"> can</w:t>
      </w:r>
      <w:r w:rsidR="00502BC6">
        <w:t xml:space="preserve"> </w:t>
      </w:r>
      <w:r w:rsidR="004B5E0F">
        <w:t xml:space="preserve">correspond with </w:t>
      </w:r>
      <w:r w:rsidR="00502BC6">
        <w:t>an increase</w:t>
      </w:r>
      <w:r w:rsidR="004B5E0F">
        <w:t xml:space="preserve"> in photosynthetic capacity </w:t>
      </w:r>
      <w:r w:rsidR="004B5E0F">
        <w:fldChar w:fldCharType="begin" w:fldLock="1"/>
      </w:r>
      <w:r w:rsidR="00403BBD">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id":"ITEM-2","itemData":{"DOI":"10.1111/geb.13042","ISSN":"1466-822X","author":[{"dropping-particle":"","family":"Li","given":"Weibin","non-dropping-particle":"","parse-names":false,"suffix":""},{"dropping-particle":"","family":"Zhang","given":"Hongxia","non-dropping-particle":"","parse-names":false,"suffix":""},{"dropping-particle":"","family":"Huang","given":"Guozhu","non-dropping-particle":"","parse-names":false,"suffix":""},{"dropping-particle":"","family":"Liu","given":"Ruixue","non-dropping-particle":"","parse-names":false,"suffix":""},{"dropping-particle":"","family":"Wu","given":"Hongjing","non-dropping-particle":"","parse-names":false,"suffix":""},{"dropping-particle":"","family":"Zhao","given":"Chuanyan","non-dropping-particle":"","parse-names":false,"suffix":""},{"dropping-particle":"","family":"McDowell","given":"Nate G.","non-dropping-particle":"","parse-names":false,"suffix":""}],"container-title":"Global Ecology and Biogeography","id":"ITEM-2","issue":"3","issued":{"date-parts":[["2020","3","6"]]},"page":"573-589","title":"Effects of nitrogen enrichment on tree carbon allocation: A global synthesis","type":"article-journal","volume":"29"},"uris":["http://www.mendeley.com/documents/?uuid=97d32149-0d7f-456a-89b4-109a86f6d490"]}],"mendeley":{"formattedCitation":"(Li et al., 2020; Liang et al., 2020)","manualFormatting":"(Li et al., 2020; Liang et al., 2020)","plainTextFormattedCitation":"(Li et al., 2020; Liang et al., 2020)","previouslyFormattedCitation":"(Li et al., 2020; Liang et al., 2020)"},"properties":{"noteIndex":0},"schema":"https://github.com/citation-style-language/schema/raw/master/csl-citation.json"}</w:instrText>
      </w:r>
      <w:r w:rsidR="004B5E0F">
        <w:fldChar w:fldCharType="separate"/>
      </w:r>
      <w:r w:rsidR="004B5E0F" w:rsidRPr="009742EE">
        <w:rPr>
          <w:noProof/>
        </w:rPr>
        <w:t>(Li et al., 2020; Liang et al., 2020)</w:t>
      </w:r>
      <w:r w:rsidR="004B5E0F">
        <w:fldChar w:fldCharType="end"/>
      </w:r>
      <w:r w:rsidR="004B5E0F">
        <w:t>.</w:t>
      </w:r>
      <w:r w:rsidR="00621781">
        <w:t xml:space="preserve"> </w:t>
      </w:r>
    </w:p>
    <w:p w14:paraId="3263D8F1" w14:textId="287E5ED2" w:rsidR="00987F23" w:rsidRDefault="00621781" w:rsidP="00D17106">
      <w:pPr>
        <w:spacing w:line="360" w:lineRule="auto"/>
        <w:ind w:firstLine="720"/>
      </w:pPr>
      <w:r>
        <w:t xml:space="preserve">While empirical support for positive relationships between soil nutrient availability, leaf nutrient allocation, and photosynthetic capacity is extensive </w:t>
      </w:r>
      <w:r>
        <w:fldChar w:fldCharType="begin" w:fldLock="1"/>
      </w:r>
      <w:r w:rsidR="00D17106">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1989; Evans &amp; Seemann, 1989; Firn et al., 2019; Walker et al., 2014)","plainTextFormattedCitation":"(Brix, 1971; Evans, 1989; Evans &amp; Seemann, 1989; Firn et al., 2019; Walker et al., 2014)","previouslyFormattedCitation":"(Brix, 1971; Evans &amp; Seemann, 1989; Evans, 1989; Walker &lt;i&gt;et al.&lt;/i&gt;, 2014; Firn &lt;i&gt;et al.&lt;/i&gt;, 2019)"},"properties":{"noteIndex":0},"schema":"https://github.com/citation-style-language/schema/raw/master/csl-citation.json"}</w:instrText>
      </w:r>
      <w:r>
        <w:fldChar w:fldCharType="separate"/>
      </w:r>
      <w:r w:rsidR="00D17106" w:rsidRPr="00D17106">
        <w:rPr>
          <w:noProof/>
        </w:rPr>
        <w:t>(Brix, 1971; Evans, 1989; Evans &amp; Seemann, 1989; Firn et al., 2019; Walker et al., 2014)</w:t>
      </w:r>
      <w:r>
        <w:fldChar w:fldCharType="end"/>
      </w:r>
      <w:r>
        <w:t xml:space="preserve">, </w:t>
      </w:r>
      <w:r w:rsidR="00E0208C">
        <w:t>the assumption that</w:t>
      </w:r>
      <w:r>
        <w:t xml:space="preserve"> these relationships are</w:t>
      </w:r>
      <w:r w:rsidR="00E0208C">
        <w:t xml:space="preserve"> linearly related does not </w:t>
      </w:r>
      <w:r w:rsidR="00547EA6">
        <w:t>consider</w:t>
      </w:r>
      <w:r w:rsidR="00E0208C">
        <w:t xml:space="preserve"> the fact that plants acclimate to their environment, which can </w:t>
      </w:r>
      <w:r w:rsidR="00987F23">
        <w:t>modify</w:t>
      </w:r>
      <w:r w:rsidR="00E0208C">
        <w:t xml:space="preserve"> leaf nutrient allocation and photosynthetic capacity independent of soil nutrient availability</w:t>
      </w:r>
      <w:r w:rsidR="00547EA6">
        <w:t xml:space="preserve"> </w:t>
      </w:r>
      <w:r w:rsidR="00547EA6">
        <w:fldChar w:fldCharType="begin" w:fldLock="1"/>
      </w:r>
      <w:r w:rsidR="00987F23">
        <w:instrText>ADDIN CSL_CITATION {"citationItems":[{"id":"ITEM-1","itemData":{"DOI":"10.1111/nph.14496","ISSN":"0028-646X","author":[{"dropping-particle":"","family":"Onoda","given":"Yusuke","non-dropping-particle":"","parse-names":false,"suffix":""},{"dropping-particle":"","family":"Wright","given":"Ian J","non-dropping-particle":"","parse-names":false,"suffix":""},{"dropping-particle":"","family":"Evans","given":"John R","non-dropping-particle":"","parse-names":false,"suffix":""},{"dropping-particle":"","family":"Hikosaka","given":"Kouki","non-dropping-particle":"","parse-names":false,"suffix":""},{"dropping-particle":"","family":"Kitajima","given":"Kaoru","non-dropping-particle":"","parse-names":false,"suffix":""},{"dropping-particle":"","family":"Niinemets","given":"Ülo","non-dropping-particle":"","parse-names":false,"suffix":""},{"dropping-particle":"","family":"Poorter","given":"Hendrik","non-dropping-particle":"","parse-names":false,"suffix":""},{"dropping-particle":"","family":"Tosens","given":"Tiina","non-dropping-particle":"","parse-names":false,"suffix":""},{"dropping-particle":"","family":"Westoby","given":"Mark","non-dropping-particle":"","parse-names":false,"suffix":""}],"container-title":"New Phytologist","id":"ITEM-1","issue":"4","issued":{"date-parts":[["2017","6","10"]]},"page":"1447-1463","title":"Physiological and structural tradeoffs underlying the leaf economics spectrum","type":"article-journal","volume":"214"},"uris":["http://www.mendeley.com/documents/?uuid=ff5cdcf7-65e9-4303-a5a8-917b0ce34f57"]},{"id":"ITEM-2","itemData":{"DOI":"10.1111/j.1365-2486.2012.02797.x","ISSN":"13541013","PMID":"23504720","abstract":"To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Biology","id":"ITEM-2","issue":"1","issued":{"date-parts":[["2013"]]},"page":"45-63","title":"Plant respiration and photosynthesis in global-scale models: Incorporating acclimation to temperature and CO&lt;sub&gt;2&lt;/sub&gt;","type":"article-journal","volume":"19"},"uris":["http://www.mendeley.com/documents/?uuid=b45ebbbe-9cfa-41ef-9337-8bc2bfdfb16b"]}],"mendeley":{"formattedCitation":"(Onoda et al., 2017; N. G. Smith &amp; Dukes, 2013)","manualFormatting":"(Onoda et al., 2017; N. G. Smith &amp; Dukes, 2013; add more here)","plainTextFormattedCitation":"(Onoda et al., 2017; N. G. Smith &amp; Dukes, 2013)","previouslyFormattedCitation":"(Onoda et al., 2017; N. G. Smith &amp; Dukes, 2013)"},"properties":{"noteIndex":0},"schema":"https://github.com/citation-style-language/schema/raw/master/csl-citation.json"}</w:instrText>
      </w:r>
      <w:r w:rsidR="00547EA6">
        <w:fldChar w:fldCharType="separate"/>
      </w:r>
      <w:r w:rsidR="00547EA6" w:rsidRPr="00547EA6">
        <w:rPr>
          <w:noProof/>
        </w:rPr>
        <w:t>(Onoda et al., 2017; N. G. Smith &amp; Dukes, 2013</w:t>
      </w:r>
      <w:r w:rsidR="00987F23">
        <w:rPr>
          <w:noProof/>
        </w:rPr>
        <w:t>; add more here</w:t>
      </w:r>
      <w:r w:rsidR="00547EA6" w:rsidRPr="00547EA6">
        <w:rPr>
          <w:noProof/>
        </w:rPr>
        <w:t>)</w:t>
      </w:r>
      <w:r w:rsidR="00547EA6">
        <w:fldChar w:fldCharType="end"/>
      </w:r>
      <w:r w:rsidR="00E0208C">
        <w:t xml:space="preserve">. Indeed, recent work suggests that </w:t>
      </w:r>
      <w:r w:rsidR="005B6DED">
        <w:t xml:space="preserve">leaf nutrient allocation and photosynthetic capacity </w:t>
      </w:r>
      <w:r w:rsidR="00987F23">
        <w:t xml:space="preserve">can be predicted independent of soil nutrient availability, and can instead be predicted by aboveground climate, leaf traits, or other edaphic characteristics such as soil pH </w:t>
      </w:r>
      <w:r w:rsidR="00A97E81">
        <w:fldChar w:fldCharType="begin" w:fldLock="1"/>
      </w:r>
      <w:r w:rsidR="00097A1D">
        <w:instrText>ADDIN CSL_CITATION {"citationItems":[{"id":"ITEM-1","itemData":{"DOI":"10.1111/ele.13210","ISSN":"1461-023X","abstract":"Earth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Letters","editor":[{"dropping-particle":"","family":"Niu","given":"Shuli","non-dropping-particle":"","parse-names":false,"suffix":""}],"id":"ITEM-1","issue":"3","issued":{"date-parts":[["2019","3","4"]]},"page":"506-517","title":"Global photosynthetic capacity is optimized to the environment","type":"article-journal","volume":"22"},"uris":["http://www.mendeley.com/documents/?uuid=de810a7b-b01e-4be3-a228-03946531e91d"]},{"id":"ITEM-2","itemData":{"DOI":"10.1111/nph.16702","ISSN":"0028-646X","abstract":"\u000f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Phytologist","id":"ITEM-2","issue":"1","issued":{"date-parts":[["2020","10","9"]]},"page":"121-135","title":"When and where soil is important to modify the carbon and water economy of leaves","type":"article-journal","volume":"228"},"uris":["http://www.mendeley.com/documents/?uuid=7a979be5-4341-4431-bd38-7ceeeada2df2"]},{"id":"ITEM-3","itemData":{"DOI":"10.5194/bg-14-481-2017","ISSN":"1726-4189","abstract":"Abstract.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J","non-dropping-particle":"","parse-names":false,"suffix":""}],"container-title":"Biogeosciences","id":"ITEM-3","issue":"2","issued":{"date-parts":[["2017","1","30"]]},"page":"481-495","title":"Leaf nitrogen from first principles: field evidence for adaptive variation with climate","type":"article-journal","volume":"14"},"uris":["http://www.mendeley.com/documents/?uuid=d26886a5-de26-4a8d-afa2-a17d2a28ee6e"]},{"id":"ITEM-4","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Phytologist","id":"ITEM-4","issue":"1","issued":{"date-parts":[["2020","10","24"]]},"page":"82-94","title":"Components of leaf‐trait variation along environmental gradients","type":"article-journal","volume":"228"},"uris":["http://www.mendeley.com/documents/?uuid=665ee559-637a-4c3e-ab28-1c199c696d00"]},{"id":"ITEM-5","itemData":{"DOI":"10.1111/geb.12296","ISSN":"1466822X","abstract":"Aim The influence of soil properties on photosynthetic traits in higher plants is poorly quantified in comparison with that of climate. We address this situation by quantifying the unique and joint contributions to global leaf-trait variation from soils and climate. Location Terrestrial ecosystems world-wide. Methods Using a trait dataset comprising 1509 species from 288 sites, with climate and soil data derived from global datasets, we quantified the effects of 20 soil and 26 climate variables on light-saturated photosynthetic rate (Aarea ), stomatal conductance (gs), leaf nitrogen and phosphorus (Narea and Parea ) and specific leaf area (SLA) using mixed regression models and multivariate analyses. Results Soil variables were stronger predictors of leaf traits than climatic vari- ables, except for SLA.On average, Narea , Parea and Aarea increased and SLA decreased with increasing soil pH and with increasing site aridity. gs declined and Parea increased with soil available P (Pavail ). Narea was unrelated to total soil N. Joint effects of soil and climate dominated over their unique effects on Narea and Parea , while unique effects of soils dominated for Aarea and gs . Path analysis indicated that variation in Aarea reflected the combined independent influences ofNarea and gs , the former promoted by high pH and aridity and the latter by low Pavail . Main conclusions Three environmental variables were key for explaining vari- ation in leaf traits: soil pH and Pavail , and the climatic moisture index (the ratio of precipitation to potential evapotranspiration). Although the reliability of global soil datasets lags behind that of climate datasets, our results nonetheless provide compelling evidence that both can be jointly used in broad-scale analyses, and that effects uniquely attributable to soil properties are important determinants of leaf photosynthetic traits and rates. A significant future challenge is to better disentan- gle the covarying physiological, ecological and evolutionary mechanisms that underpin","author":[{"dropping-particle":"","family":"Maire","given":"Vincent","non-dropping-particle":"","parse-names":false,"suffix":""},{"dropping-particle":"","family":"Wright","given":"Ian J","non-dropping-particle":"","parse-names":false,"suffix":""},{"dropping-particle":"","family":"Prentice","given":"I Colin","non-dropping-particle":"","parse-names":false,"suffix":""},{"dropping-particle":"","family":"Batjes","given":"Niels H","non-dropping-particle":"","parse-names":false,"suffix":""},{"dropping-particle":"","family":"Bhaskar","given":"Radika","non-dropping-particle":"","parse-names":false,"suffix":""},{"dropping-particle":"","family":"Bodegom","given":"Peter M","non-dropping-particle":"van","parse-names":false,"suffix":""},{"dropping-particle":"","family":"Cornwell","given":"William K","non-dropping-particle":"","parse-names":false,"suffix":""},{"dropping-particle":"","family":"Ellsworth","given":"David","non-dropping-particle":"","parse-names":false,"suffix":""},{"dropping-particle":"","family":"Niinemets","given":"Ülo","non-dropping-particle":"","parse-names":false,"suffix":""},{"dropping-particle":"","family":"Ordonez","given":"Alejandro","non-dropping-particle":"","parse-names":false,"suffix":""},{"dropping-particle":"","family":"Reich","given":"Peter B","non-dropping-particle":"","parse-names":false,"suffix":""},{"dropping-particle":"","family":"Santiago","given":"Louis S","non-dropping-particle":"","parse-names":false,"suffix":""}],"container-title":"Global Ecology and Biogeography","id":"ITEM-5","issue":"6","issued":{"date-parts":[["2015","6"]]},"page":"706-717","title":"Global effects of soil and climate on leaf photosynthetic traits and rates","type":"article-journal","volume":"24"},"uris":["http://www.mendeley.com/documents/?uuid=c8b5be1f-ccaf-4b94-b7f4-925def9d5721"]}],"mendeley":{"formattedCitation":"(Dong et al., 2017, 2020; Maire et al., 2015; Paillassa et al., 2020; N. G. Smith et al., 2019)","plainTextFormattedCitation":"(Dong et al., 2017, 2020; Maire et al., 2015; Paillassa et al., 2020; N. G. Smith et al., 2019)","previouslyFormattedCitation":"(Dong et al., 2017, 2020; Maire et al., 2015; Paillassa et al., 2020; N. G. Smith et al., 2019)"},"properties":{"noteIndex":0},"schema":"https://github.com/citation-style-language/schema/raw/master/csl-citation.json"}</w:instrText>
      </w:r>
      <w:r w:rsidR="00A97E81">
        <w:fldChar w:fldCharType="separate"/>
      </w:r>
      <w:r w:rsidR="007B1AFE" w:rsidRPr="007B1AFE">
        <w:rPr>
          <w:noProof/>
        </w:rPr>
        <w:t>(Dong et al., 2017, 2020; Maire et al., 2015; Paillassa et al., 2020; N. G. Smith et al., 2019)</w:t>
      </w:r>
      <w:r w:rsidR="00A97E81">
        <w:fldChar w:fldCharType="end"/>
      </w:r>
      <w:r w:rsidR="00987F23">
        <w:t xml:space="preserve">. </w:t>
      </w:r>
      <w:r w:rsidR="00D17106">
        <w:t xml:space="preserve">These studies call the generality of positive </w:t>
      </w:r>
      <w:r w:rsidR="00D17106">
        <w:lastRenderedPageBreak/>
        <w:t xml:space="preserve">relationships between soil nutrient availability, leaf nutrient allocation, and photosynthetic capacity into question, and imply that leaf nutrient allocation and photosynthetic capacity may be better predicted through factors that influence leaf nutrient demand to build and maintain photosynthetic enzymes </w:t>
      </w:r>
      <w:r w:rsidR="00D17106">
        <w:fldChar w:fldCharType="begin" w:fldLock="1"/>
      </w:r>
      <w:r w:rsidR="00D17106">
        <w:instrText>ADDIN CSL_CITATION {"citationItems":[{"id":"ITEM-1","itemData":{"DOI":"10.1111/nph.18076","ISSN":"0028-646X","abstract":"Nitrogen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Phytologist","id":"ITEM-1","issued":{"date-parts":[["2022","4","22"]]},"title":"Rising CO2 and warming reduce global canopy demand for nitrogen","type":"article-journal"},"uris":["http://www.mendeley.com/documents/?uuid=8f26b717-0c63-4a11-b766-e27b90eb396f"]}],"mendeley":{"formattedCitation":"(Dong et al., 2022)","plainTextFormattedCitation":"(Dong et al., 2022)"},"properties":{"noteIndex":0},"schema":"https://github.com/citation-style-language/schema/raw/master/csl-citation.json"}</w:instrText>
      </w:r>
      <w:r w:rsidR="00D17106">
        <w:fldChar w:fldCharType="separate"/>
      </w:r>
      <w:r w:rsidR="00D17106" w:rsidRPr="00D17106">
        <w:rPr>
          <w:noProof/>
        </w:rPr>
        <w:t>(Dong et al., 2022)</w:t>
      </w:r>
      <w:r w:rsidR="00D17106">
        <w:fldChar w:fldCharType="end"/>
      </w:r>
    </w:p>
    <w:p w14:paraId="715D57B7" w14:textId="0D741BA9" w:rsidR="00A33E81" w:rsidRDefault="00F57D74" w:rsidP="00A754EC">
      <w:pPr>
        <w:spacing w:line="360" w:lineRule="auto"/>
        <w:ind w:firstLine="720"/>
      </w:pPr>
      <w:r>
        <w:t>Photosynthetic least-cost theory provides a framework for understanding how</w:t>
      </w:r>
      <w:r w:rsidR="00A3337F">
        <w:t xml:space="preserve"> leaf nutrient demand</w:t>
      </w:r>
      <w:r w:rsidR="00D17106">
        <w:t xml:space="preserve"> to build and maintain photosynthetic enzymes</w:t>
      </w:r>
      <w:r w:rsidR="00A3337F">
        <w:t xml:space="preserve"> </w:t>
      </w:r>
      <w:r w:rsidR="00351491">
        <w:t>modifies</w:t>
      </w:r>
      <w:r w:rsidR="00A3337F">
        <w:t xml:space="preserve"> leaf nutrient allocation and photosynthetic capacity. </w:t>
      </w:r>
      <w:r>
        <w:t xml:space="preserve">First principles of the theory suggest that </w:t>
      </w:r>
      <w:r w:rsidR="00262143">
        <w:t>plants</w:t>
      </w:r>
      <w:r w:rsidR="00A33E81">
        <w:t xml:space="preserve"> </w:t>
      </w:r>
      <w:r w:rsidR="00114DDF">
        <w:t>acclimate to environment</w:t>
      </w:r>
      <w:r w:rsidR="00A3337F">
        <w:t>s</w:t>
      </w:r>
      <w:r w:rsidR="00114DDF">
        <w:t xml:space="preserve"> by</w:t>
      </w:r>
      <w:r w:rsidR="00262143">
        <w:t xml:space="preserve"> </w:t>
      </w:r>
      <w:r w:rsidR="00114DDF">
        <w:t xml:space="preserve">maximizing photosynthetic carbon uptake at the lowest summed cost of water and nitrogen use </w:t>
      </w:r>
      <w:r>
        <w:fldChar w:fldCharType="begin" w:fldLock="1"/>
      </w:r>
      <w:r w:rsidR="00235EDC">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F57D74">
        <w:rPr>
          <w:noProof/>
        </w:rPr>
        <w:t>(Prentice et al., 2014; Wright et al., 2003)</w:t>
      </w:r>
      <w:r>
        <w:fldChar w:fldCharType="end"/>
      </w:r>
      <w:r>
        <w:t xml:space="preserve">. </w:t>
      </w:r>
      <w:r w:rsidR="00114DDF">
        <w:t xml:space="preserve">The theory </w:t>
      </w:r>
      <w:r w:rsidR="00A33E81">
        <w:t>predicts</w:t>
      </w:r>
      <w:r w:rsidR="00114DDF">
        <w:t xml:space="preserve"> that costs of water and nutrient use are substitutable, such that plants can maintain the lowest summed cost of water and nitrogen use by sacrificing less efficient use of a relatively more abundant and less costly resource to use in exchange for more efficient use of a relatively less abundant and more costly resource to use </w:t>
      </w:r>
      <w:r w:rsidR="00114DDF">
        <w:fldChar w:fldCharType="begin" w:fldLock="1"/>
      </w:r>
      <w:r w:rsidR="00114DDF">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photosynthesis","type":"article-journal","volume":"161"},"uris":["http://www.mendeley.com/documents/?uuid=e792122e-1fd1-4c1a-9d09-7bd7a13fee68"]}],"mendeley":{"formattedCitation":"(Wright et al., 2003)","plainTextFormattedCitation":"(Wright et al., 2003)","previouslyFormattedCitation":"(Wright et al., 2003)"},"properties":{"noteIndex":0},"schema":"https://github.com/citation-style-language/schema/raw/master/csl-citation.json"}</w:instrText>
      </w:r>
      <w:r w:rsidR="00114DDF">
        <w:fldChar w:fldCharType="separate"/>
      </w:r>
      <w:r w:rsidR="00114DDF" w:rsidRPr="00262143">
        <w:rPr>
          <w:noProof/>
        </w:rPr>
        <w:t>(Wright et al., 2003)</w:t>
      </w:r>
      <w:r w:rsidR="00114DDF">
        <w:fldChar w:fldCharType="end"/>
      </w:r>
      <w:r w:rsidR="00114DDF">
        <w:t>.</w:t>
      </w:r>
      <w:r w:rsidR="004B5E0F">
        <w:t xml:space="preserve"> </w:t>
      </w:r>
      <w:r w:rsidR="00467321">
        <w:t xml:space="preserve">For example, </w:t>
      </w:r>
      <w:r w:rsidR="00E8768C">
        <w:t>all else equal</w:t>
      </w:r>
      <w:r w:rsidR="00E26AC6">
        <w:t xml:space="preserve">, plants </w:t>
      </w:r>
      <w:r w:rsidR="00E8768C">
        <w:t>should</w:t>
      </w:r>
      <w:r w:rsidR="00E26AC6">
        <w:t xml:space="preserve"> respond to an increase in soil n</w:t>
      </w:r>
      <w:r w:rsidR="00C15F8B">
        <w:t>itrogen</w:t>
      </w:r>
      <w:r w:rsidR="00E26AC6">
        <w:t xml:space="preserve"> availability by sacrificing less efficient nitrogen use for more efficient water use, a response that would be achieved by maintaining leaf net photosynthesis rates with greater leaf nitrogen allocation and decreased stomatal conductance </w:t>
      </w:r>
      <w:r w:rsidR="00D64D0D">
        <w:fldChar w:fldCharType="begin" w:fldLock="1"/>
      </w:r>
      <w:r w:rsidR="00A33E81">
        <w:instrText>ADDIN CSL_CITATION {"citationItems":[{"id":"ITEM-1","itemData":{"DOI":"10.1111/ele.12211","ISSN":"1461023X","abstract":"A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Letters","id":"ITEM-1","issue":"1","issued":{"date-parts":[["2014","1"]]},"page":"82-91","title":"Balancing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2014)","manualFormatting":"(Prentice et al., 2014)","plainTextFormattedCitation":"(Prentice et al., 2014)","previouslyFormattedCitation":"(Prentice et al., 2014)"},"properties":{"noteIndex":0},"schema":"https://github.com/citation-style-language/schema/raw/master/csl-citation.json"}</w:instrText>
      </w:r>
      <w:r w:rsidR="00D64D0D">
        <w:fldChar w:fldCharType="separate"/>
      </w:r>
      <w:r w:rsidR="00D64D0D" w:rsidRPr="00D64D0D">
        <w:rPr>
          <w:noProof/>
        </w:rPr>
        <w:t>(Prentice et al., 2014)</w:t>
      </w:r>
      <w:r w:rsidR="00D64D0D">
        <w:fldChar w:fldCharType="end"/>
      </w:r>
      <w:r w:rsidR="00D64D0D">
        <w:t>.</w:t>
      </w:r>
      <w:r w:rsidR="00A3337F">
        <w:t xml:space="preserve"> However, these responses may depend on whole plant nutrient demand to build and maintain structures that support whole plant growth, or a species’ dominant mode of nutrient acquisition.</w:t>
      </w:r>
    </w:p>
    <w:p w14:paraId="360593C4" w14:textId="23749B32" w:rsidR="00A1612D" w:rsidRDefault="003D74E1" w:rsidP="00D17106">
      <w:pPr>
        <w:spacing w:line="360" w:lineRule="auto"/>
        <w:ind w:firstLine="720"/>
      </w:pPr>
      <w:r>
        <w:t>Whole plant responses to soil nitrogen availability may modify expected leaf nitrogen-water use tradeoffs expected from photosynthetic least-cost theory.</w:t>
      </w:r>
      <w:r w:rsidR="00A73883">
        <w:t xml:space="preserve"> </w:t>
      </w:r>
      <w:r w:rsidR="000F0314">
        <w:t>Soil nutrient availability</w:t>
      </w:r>
      <w:r>
        <w:t xml:space="preserve"> </w:t>
      </w:r>
      <w:r w:rsidR="000F0314">
        <w:t>has been shown to exert stronger effect</w:t>
      </w:r>
      <w:r w:rsidR="002F57B0">
        <w:t>s</w:t>
      </w:r>
      <w:r w:rsidR="000F0314">
        <w:t xml:space="preserve"> on whole plant growth and total leaf area than leaf photosynthesis, photosynthetic capacity, leaf nitrogen allocation, and water use efficiency </w:t>
      </w:r>
      <w:r w:rsidR="000F0314">
        <w:fldChar w:fldCharType="begin" w:fldLock="1"/>
      </w:r>
      <w:r w:rsidR="00A85036">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rsidR="000F0314">
        <w:fldChar w:fldCharType="separate"/>
      </w:r>
      <w:r w:rsidR="00C15F8B" w:rsidRPr="00C15F8B">
        <w:rPr>
          <w:noProof/>
        </w:rPr>
        <w:t>(LeBauer &amp; Treseder, 2008; Liang et al., 2020)</w:t>
      </w:r>
      <w:r w:rsidR="000F0314">
        <w:fldChar w:fldCharType="end"/>
      </w:r>
      <w:r w:rsidR="000F0314">
        <w:t>. The stronger whole plant response to soil nutrient availability</w:t>
      </w:r>
      <w:r w:rsidR="004A6E69">
        <w:t xml:space="preserve"> may be explained through multiple nutrient limitation, which limit</w:t>
      </w:r>
      <w:r w:rsidR="00D64D0D">
        <w:t>s</w:t>
      </w:r>
      <w:r w:rsidR="00B452E0">
        <w:t xml:space="preserve"> </w:t>
      </w:r>
      <w:r w:rsidR="004A6E69">
        <w:t>net primary productivity</w:t>
      </w:r>
      <w:r w:rsidR="00D17106">
        <w:t xml:space="preserve"> globally</w:t>
      </w:r>
      <w:r w:rsidR="004A6E69">
        <w:t xml:space="preserve"> </w:t>
      </w:r>
      <w:r w:rsidR="000F0314">
        <w:fldChar w:fldCharType="begin" w:fldLock="1"/>
      </w:r>
      <w:r w:rsidR="00FE5E18">
        <w:instrText>ADDIN CSL_CITATION {"citationItems":[{"id":"ITEM-1","itemData":{"DOI":"10.1038/ngeo2413","ISSN":"1752-0894","author":[{"dropping-particle":"","family":"Wieder","given":"William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Geoscience","id":"ITEM-1","issue":"6","issued":{"date-parts":[["2015","6","20"]]},"page":"441-444","title":"Future productivity and carbon storage limited by terrestrial nutrient availability","type":"article-journal","volume":"8"},"uris":["http://www.mendeley.com/documents/?uuid=ec005334-3b59-4670-9a5b-915a944b890d"]},{"id":"ITEM-2","itemData":{"DOI":"10.1890/06-2057.1","abstract":"Our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nutrients","type":"article-journal","volume":"1"},"uris":["http://www.mendeley.com/documents/?uuid=a62c0db7-4b0d-43d0-870c-34311e8a7ebe"]}],"mendeley":{"formattedCitation":"(Fay et al., 2015; LeBauer &amp; Treseder, 2008; Wieder et al., 2015)","plainTextFormattedCitation":"(Fay et al., 2015; LeBauer &amp; Treseder, 2008; Wieder et al., 2015)","previouslyFormattedCitation":"(Fay et al., 2015; LeBauer &amp; Treseder, 2008; Wieder et al., 2015)"},"properties":{"noteIndex":0},"schema":"https://github.com/citation-style-language/schema/raw/master/csl-citation.json"}</w:instrText>
      </w:r>
      <w:r w:rsidR="000F0314">
        <w:fldChar w:fldCharType="separate"/>
      </w:r>
      <w:r w:rsidR="004A6E69" w:rsidRPr="004A6E69">
        <w:rPr>
          <w:noProof/>
        </w:rPr>
        <w:t>(Fay et al., 2015; LeBauer &amp; Treseder, 2008; Wieder et al., 2015)</w:t>
      </w:r>
      <w:r w:rsidR="000F0314">
        <w:fldChar w:fldCharType="end"/>
      </w:r>
      <w:r w:rsidR="000F0314">
        <w:t xml:space="preserve">. </w:t>
      </w:r>
      <w:r w:rsidR="001D541B">
        <w:t xml:space="preserve">In such cases where net primary productivity is limited by soil nutrient availability, or if individuals have high resource requirements for growth (e.g., juvenile individuals or annual species), nutrient demand to build and maintain structures that support whole plant growth may be </w:t>
      </w:r>
      <w:r w:rsidR="00B452E0">
        <w:t>higher</w:t>
      </w:r>
      <w:r w:rsidR="001D541B">
        <w:t xml:space="preserve"> than nutrient demand to build and maintain photosynthetic enzymes in a single leaf</w:t>
      </w:r>
      <w:r w:rsidR="00D17106">
        <w:t xml:space="preserve">, which could minimize leaf acclimation responses to soil nutrient availability as expected from </w:t>
      </w:r>
      <w:r w:rsidR="00D17106">
        <w:lastRenderedPageBreak/>
        <w:t xml:space="preserve">photosynthetic least-cost theory. </w:t>
      </w:r>
      <w:r w:rsidR="004A6E69">
        <w:t xml:space="preserve">No studies that investigate </w:t>
      </w:r>
      <w:r w:rsidR="001438DB">
        <w:t>patterns expected from photosynthetic least</w:t>
      </w:r>
      <w:r w:rsidR="00C15F8B">
        <w:t>-</w:t>
      </w:r>
      <w:r w:rsidR="001438DB">
        <w:t>cost theory</w:t>
      </w:r>
      <w:r w:rsidR="004A6E69">
        <w:t xml:space="preserve"> have considered whole plant responses to soil nutrient availability in their analyses</w:t>
      </w:r>
      <w:r w:rsidR="001438DB">
        <w:t>.</w:t>
      </w:r>
    </w:p>
    <w:p w14:paraId="1746E619" w14:textId="19A46798" w:rsidR="00DA425E" w:rsidRDefault="00B452E0" w:rsidP="00A754EC">
      <w:pPr>
        <w:spacing w:line="360" w:lineRule="auto"/>
        <w:ind w:firstLine="720"/>
      </w:pPr>
      <w:r>
        <w:t>Additionally</w:t>
      </w:r>
      <w:r w:rsidR="001438DB">
        <w:t>, leaf and whole plant</w:t>
      </w:r>
      <w:r w:rsidR="00FE5E18">
        <w:t xml:space="preserve"> </w:t>
      </w:r>
      <w:r w:rsidR="001438DB">
        <w:t>responses to soil nutrient availability may depend on a species’ dominant mode of nutrient acquisition</w:t>
      </w:r>
      <w:r w:rsidR="00EB2706">
        <w:t>. Plants acquire nutrients through different nutrient acquisition strategies,</w:t>
      </w:r>
      <w:r w:rsidR="00D17106">
        <w:t xml:space="preserve"> such as</w:t>
      </w:r>
      <w:r w:rsidR="00EB2706">
        <w:t xml:space="preserve"> direct uptake </w:t>
      </w:r>
      <w:r w:rsidR="00D17106">
        <w:t xml:space="preserve">or through </w:t>
      </w:r>
      <w:r w:rsidR="00EB2706">
        <w:t>symbioses with mycorrhizal fungi</w:t>
      </w:r>
      <w:r w:rsidR="00D17106">
        <w:t xml:space="preserve"> and</w:t>
      </w:r>
      <w:r w:rsidR="00EB2706">
        <w:t xml:space="preserve"> symbiotic nitrogen fixing bacteria</w:t>
      </w:r>
      <w:r w:rsidR="001A743B">
        <w:t xml:space="preserve"> </w:t>
      </w:r>
      <w:r w:rsidR="007B1AFE">
        <w:fldChar w:fldCharType="begin" w:fldLock="1"/>
      </w:r>
      <w:r w:rsidR="0048753D">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7B1AFE">
        <w:fldChar w:fldCharType="separate"/>
      </w:r>
      <w:r w:rsidR="007B1AFE" w:rsidRPr="007B1AFE">
        <w:rPr>
          <w:noProof/>
        </w:rPr>
        <w:t>(S. E. Smith &amp; Read, 2008)</w:t>
      </w:r>
      <w:r w:rsidR="007B1AFE">
        <w:fldChar w:fldCharType="end"/>
      </w:r>
      <w:r w:rsidR="00EB2706">
        <w:t xml:space="preserve">. Costs of nutrient use included in photosynthetic least-cost frameworks implicitly include </w:t>
      </w:r>
      <w:r w:rsidR="001A743B">
        <w:t xml:space="preserve">costs of nutrient acquisition, which have been shown to vary in species that have different nutrient acquisition strategies </w:t>
      </w:r>
      <w:r w:rsidR="00EB2706">
        <w:fldChar w:fldCharType="begin" w:fldLock="1"/>
      </w:r>
      <w:r w:rsidR="00EB2706">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Botany","editor":[{"dropping-particle":"","family":"Rogers","given":"Alistair","non-dropping-particle":"","parse-names":false,"suffix":""}],"id":"ITEM-2","issue":"15","issued":{"date-parts":[["2021","7","28"]]},"page":"5766-5776","title":"Root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strategies","type":"article-journal","volume":"72"},"uris":["http://www.mendeley.com/documents/?uuid=233b0f00-9a30-4c3a-a2bb-5e67ae9c0e5f"]},{"id":"ITEM-3","itemData":{"DOI":"10.1111/nph.14872","ISBN":"7476820487","ISSN":"0028-646X","abstract":"Land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Phytologist","id":"ITEM-3","issue":"2","issued":{"date-parts":[["2018","1","6"]]},"page":"507-522","title":"Ecosystem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EB2706">
        <w:fldChar w:fldCharType="separate"/>
      </w:r>
      <w:r w:rsidR="00EB2706" w:rsidRPr="00266FA1">
        <w:rPr>
          <w:noProof/>
        </w:rPr>
        <w:t>(Brzostek et al., 2014; Perkowski et al., 2021; Terrer et al., 2018)</w:t>
      </w:r>
      <w:r w:rsidR="00EB2706">
        <w:fldChar w:fldCharType="end"/>
      </w:r>
      <w:r w:rsidR="00097A1D">
        <w:t xml:space="preserve">, which could influence the cost of using nitrogen relative to water </w:t>
      </w:r>
      <w:r w:rsidR="00A1612D">
        <w:fldChar w:fldCharType="begin" w:fldLock="1"/>
      </w:r>
      <w:r w:rsidR="00DE2FE3">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economies","type":"article-journal","volume":"24"},"uris":["http://www.mendeley.com/documents/?uuid=40e8c158-e0e6-42ac-bc96-6a2d1831408e"]},{"id":"ITEM-2","itemData":{"DOI":"10.1111/nph.16702","ISSN":"0028-646X","abstract":"\u000f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Phytologist","id":"ITEM-2","issue":"1","issued":{"date-parts":[["2020","10","9"]]},"page":"121-135","title":"When and where soil is important to modify the carbon and water economy of leaves","type":"article-journal","volume":"228"},"uris":["http://www.mendeley.com/documents/?uuid=7a979be5-4341-4431-bd38-7ceeeada2df2"]}],"mendeley":{"formattedCitation":"(Bialic‐Murphy et al., 2021; Paillassa et al., 2020)","plainTextFormattedCitation":"(Bialic‐Murphy et al., 2021; Paillassa et al., 2020)","previouslyFormattedCitation":"(Bialic‐Murphy et al., 2021; Paillassa et al., 2020)"},"properties":{"noteIndex":0},"schema":"https://github.com/citation-style-language/schema/raw/master/csl-citation.json"}</w:instrText>
      </w:r>
      <w:r w:rsidR="00A1612D">
        <w:fldChar w:fldCharType="separate"/>
      </w:r>
      <w:r w:rsidR="00A1612D" w:rsidRPr="00A1612D">
        <w:rPr>
          <w:noProof/>
        </w:rPr>
        <w:t>(Bialic‐Murphy et al., 2021; Paillassa et al., 2020)</w:t>
      </w:r>
      <w:r w:rsidR="00A1612D">
        <w:fldChar w:fldCharType="end"/>
      </w:r>
      <w:r w:rsidR="003D74E1">
        <w:t>.</w:t>
      </w:r>
      <w:r w:rsidR="00097A1D">
        <w:t xml:space="preserve"> Indeed, one study suggests that disruptions in soil microbial communities due to </w:t>
      </w:r>
      <w:r w:rsidR="00C70400">
        <w:t xml:space="preserve">plant </w:t>
      </w:r>
      <w:r w:rsidR="00097A1D">
        <w:t>invas</w:t>
      </w:r>
      <w:r w:rsidR="00C70400">
        <w:t>ion</w:t>
      </w:r>
      <w:r w:rsidR="00097A1D">
        <w:t xml:space="preserve"> increased the cost of nutrient uptake for native species, which led to trademark nitrogen-water use tradeoffs expected from photosynthetic least-cost theory </w:t>
      </w:r>
      <w:r w:rsidR="00097A1D">
        <w:fldChar w:fldCharType="begin" w:fldLock="1"/>
      </w:r>
      <w:r w:rsidR="00BF7930">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economies","type":"article-journal","volume":"24"},"uris":["http://www.mendeley.com/documents/?uuid=40e8c158-e0e6-42ac-bc96-6a2d1831408e"]}],"mendeley":{"formattedCitation":"(Bialic‐Murphy et al., 2021)","plainTextFormattedCitation":"(Bialic‐Murphy et al., 2021)","previouslyFormattedCitation":"(Bialic‐Murphy et al., 2021)"},"properties":{"noteIndex":0},"schema":"https://github.com/citation-style-language/schema/raw/master/csl-citation.json"}</w:instrText>
      </w:r>
      <w:r w:rsidR="00097A1D">
        <w:fldChar w:fldCharType="separate"/>
      </w:r>
      <w:r w:rsidR="00097A1D" w:rsidRPr="00097A1D">
        <w:rPr>
          <w:noProof/>
        </w:rPr>
        <w:t>(Bialic‐Murphy et al., 2021)</w:t>
      </w:r>
      <w:r w:rsidR="00097A1D">
        <w:fldChar w:fldCharType="end"/>
      </w:r>
      <w:r w:rsidR="00097A1D">
        <w:t xml:space="preserve">. However, no study to date has investigated these patterns in species capable of associating with symbiotic nitrogen-fixing bacteria, which is important to understand due to the </w:t>
      </w:r>
      <w:r w:rsidR="00BF7930">
        <w:t xml:space="preserve">high </w:t>
      </w:r>
      <w:r w:rsidR="00097A1D">
        <w:t>energetic costs of nitrogen fixation</w:t>
      </w:r>
      <w:r w:rsidR="00BF7930">
        <w:t xml:space="preserve"> </w:t>
      </w:r>
      <w:r w:rsidR="00BF7930">
        <w:fldChar w:fldCharType="begin" w:fldLock="1"/>
      </w:r>
      <w:r w:rsidR="00C70400">
        <w:instrText>ADDIN CSL_CITATION {"citationItems":[{"id":"ITEM-1","itemData":{"DOI":"10.1086/283858","ISSN":"0003-0147","abstract":"Eleven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ma…","author":[{"dropping-particle":"","family":"Gutschick","given":"Vincent P","non-dropping-particle":"","parse-names":false,"suffix":""}],"container-title":"The American Naturalist","id":"ITEM-1","issue":"5","issued":{"date-parts":[["1981","11"]]},"page":"607-637","title":"Evolved strategies in nitrogen acquisition by plants","type":"article-journal","volume":"118"},"uris":["http://www.mendeley.com/documents/?uuid=1c3a9353-36db-4bd4-a8e4-23c7335f696e"]}],"mendeley":{"formattedCitation":"(Gutschick, 1981)","plainTextFormattedCitation":"(Gutschick, 1981)","previouslyFormattedCitation":"(Gutschick, 1981)"},"properties":{"noteIndex":0},"schema":"https://github.com/citation-style-language/schema/raw/master/csl-citation.json"}</w:instrText>
      </w:r>
      <w:r w:rsidR="00BF7930">
        <w:fldChar w:fldCharType="separate"/>
      </w:r>
      <w:r w:rsidR="00BF7930" w:rsidRPr="00BF7930">
        <w:rPr>
          <w:noProof/>
        </w:rPr>
        <w:t>(Gutschick, 1981)</w:t>
      </w:r>
      <w:r w:rsidR="00BF7930">
        <w:fldChar w:fldCharType="end"/>
      </w:r>
      <w:r w:rsidR="00D17106">
        <w:t>,</w:t>
      </w:r>
      <w:r w:rsidR="00C70400">
        <w:t xml:space="preserve"> the ability of species to rapidly shift from nitrogen fixation to direct uptake when costs of nitrogen fixation are no longer beneficial </w:t>
      </w:r>
      <w:r w:rsidR="00C70400">
        <w:fldChar w:fldCharType="begin" w:fldLock="1"/>
      </w:r>
      <w:r w:rsidR="004940A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00C70400">
        <w:fldChar w:fldCharType="separate"/>
      </w:r>
      <w:r w:rsidR="00C70400" w:rsidRPr="00C70400">
        <w:rPr>
          <w:noProof/>
        </w:rPr>
        <w:t>(Perkowski et al., 2021; Rastetter et al., 2001)</w:t>
      </w:r>
      <w:r w:rsidR="00C70400">
        <w:fldChar w:fldCharType="end"/>
      </w:r>
      <w:r w:rsidR="00D17106">
        <w:t xml:space="preserve">, and </w:t>
      </w:r>
      <w:r w:rsidR="00DA425E">
        <w:t>the ability of nitrogen-fixing species to increase nutrient inputs and sustain organic carbon pools in agroecosystems ().</w:t>
      </w:r>
    </w:p>
    <w:p w14:paraId="71FD1459" w14:textId="62894202" w:rsidR="00C70400" w:rsidRPr="00C70400" w:rsidRDefault="00FF7948" w:rsidP="00A754EC">
      <w:pPr>
        <w:spacing w:line="36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56D3CF0F" w14:textId="1DE03667" w:rsidR="00E8768C" w:rsidRDefault="00E8768C" w:rsidP="00A754EC">
      <w:pPr>
        <w:pStyle w:val="ListParagraph"/>
        <w:numPr>
          <w:ilvl w:val="0"/>
          <w:numId w:val="4"/>
        </w:numPr>
        <w:spacing w:line="360" w:lineRule="auto"/>
      </w:pPr>
      <w:r>
        <w:t>S</w:t>
      </w:r>
      <w:r w:rsidR="00FF7948">
        <w:t>oil nitrogen fertilization w</w:t>
      </w:r>
      <w:r>
        <w:t xml:space="preserve">ill </w:t>
      </w:r>
      <w:r w:rsidR="00FF7948">
        <w:t>increase whole plant growth through an increase in total leaf area</w:t>
      </w:r>
      <w:r w:rsidR="00D01503">
        <w:t>, which w</w:t>
      </w:r>
      <w:r>
        <w:t>ill</w:t>
      </w:r>
      <w:r w:rsidR="00D01503">
        <w:t xml:space="preserve"> increase whole </w:t>
      </w:r>
      <w:r>
        <w:t>plant growth</w:t>
      </w:r>
      <w:r w:rsidR="00FF7948">
        <w:t xml:space="preserve">. </w:t>
      </w:r>
      <w:r w:rsidR="00C41A80">
        <w:t>I</w:t>
      </w:r>
      <w:r w:rsidR="00FF7948">
        <w:t>noculation w</w:t>
      </w:r>
      <w:r>
        <w:t>ill</w:t>
      </w:r>
      <w:r w:rsidR="00FF7948">
        <w:t xml:space="preserve"> also increase </w:t>
      </w:r>
      <w:r>
        <w:t xml:space="preserve">total leaf area and </w:t>
      </w:r>
      <w:r w:rsidR="00FF7948">
        <w:t>whole plant growth, but only under the low soil nitrogen treatment</w:t>
      </w:r>
      <w:r w:rsidR="0038171F">
        <w:t>. We expect that this would be</w:t>
      </w:r>
      <w:r w:rsidR="00FF7948">
        <w:t xml:space="preserve"> due to a reduction in nodulation</w:t>
      </w:r>
      <w:r w:rsidR="0038171F">
        <w:t xml:space="preserve"> and increase in direct uptake</w:t>
      </w:r>
      <w:r w:rsidR="00D01503">
        <w:t xml:space="preserve"> with increasing fertilization</w:t>
      </w:r>
      <w:r w:rsidR="0038171F">
        <w:t>.</w:t>
      </w:r>
    </w:p>
    <w:p w14:paraId="596FA6A2" w14:textId="09E614FC" w:rsidR="00E8768C" w:rsidRDefault="00E8768C" w:rsidP="00A754EC">
      <w:pPr>
        <w:pStyle w:val="ListParagraph"/>
        <w:numPr>
          <w:ilvl w:val="0"/>
          <w:numId w:val="4"/>
        </w:numPr>
        <w:spacing w:line="360" w:lineRule="auto"/>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w:t>
      </w:r>
      <w:r w:rsidR="00231617">
        <w:lastRenderedPageBreak/>
        <w:t>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0A8AC1FC" w:rsidR="008E2BDE" w:rsidRPr="00192404" w:rsidRDefault="00E8768C" w:rsidP="00A754EC">
      <w:pPr>
        <w:pStyle w:val="ListParagraph"/>
        <w:numPr>
          <w:ilvl w:val="0"/>
          <w:numId w:val="4"/>
        </w:numPr>
        <w:spacing w:line="360" w:lineRule="auto"/>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A754EC">
      <w:pPr>
        <w:spacing w:line="360" w:lineRule="auto"/>
        <w:rPr>
          <w:b/>
          <w:bCs/>
        </w:rPr>
      </w:pPr>
    </w:p>
    <w:p w14:paraId="3CF5076B" w14:textId="66B59908" w:rsidR="00D67D74" w:rsidRDefault="00D67D74" w:rsidP="00A754EC">
      <w:pPr>
        <w:spacing w:line="360" w:lineRule="auto"/>
      </w:pPr>
      <w:r>
        <w:rPr>
          <w:b/>
          <w:bCs/>
        </w:rPr>
        <w:t>Methods</w:t>
      </w:r>
    </w:p>
    <w:p w14:paraId="382A6306" w14:textId="21CCA58D" w:rsidR="00D67D74" w:rsidRDefault="00D67D74" w:rsidP="00A754EC">
      <w:pPr>
        <w:spacing w:line="360" w:lineRule="auto"/>
      </w:pPr>
      <w:r>
        <w:rPr>
          <w:i/>
          <w:iCs/>
        </w:rPr>
        <w:t>Experimental Design</w:t>
      </w:r>
    </w:p>
    <w:p w14:paraId="1D16EEDF" w14:textId="4D4DD807" w:rsidR="00FF6F53" w:rsidRDefault="0011017D" w:rsidP="00A754EC">
      <w:pPr>
        <w:spacing w:line="36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1"/>
      <w:r w:rsidR="00BC7961">
        <w:t>4</w:t>
      </w:r>
      <w:commentRangeEnd w:id="1"/>
      <w:r w:rsidR="00BC7961">
        <w:rPr>
          <w:rStyle w:val="CommentReference"/>
          <w:rFonts w:eastAsia="Times New Roman" w:cs="Times New Roman"/>
        </w:rPr>
        <w:commentReference w:id="1"/>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4E7F0E9" w:rsidR="00D67D74" w:rsidRPr="00412BAB" w:rsidRDefault="00912680" w:rsidP="00A754EC">
      <w:pPr>
        <w:autoSpaceDE w:val="0"/>
        <w:autoSpaceDN w:val="0"/>
        <w:adjustRightInd w:val="0"/>
        <w:spacing w:line="36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1D4CE3">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commentRangeStart w:id="2"/>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commentRangeEnd w:id="2"/>
      <w:r w:rsidR="00EE5B74">
        <w:rPr>
          <w:rStyle w:val="CommentReference"/>
          <w:rFonts w:eastAsia="Times New Roman" w:cs="Times New Roman"/>
        </w:rPr>
        <w:commentReference w:id="2"/>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w:t>
      </w:r>
      <w:r w:rsidR="00412BAB">
        <w:rPr>
          <w:rFonts w:cs="Times New Roman"/>
        </w:rPr>
        <w:lastRenderedPageBreak/>
        <w:t>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412BAB">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412BAB">
        <w:rPr>
          <w:rFonts w:ascii="Cambria Math" w:hAnsi="Cambria Math" w:cs="Cambria Math"/>
        </w:rPr>
        <w:instrText>∼</w:instrText>
      </w:r>
      <w:r w:rsidR="00412BAB">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A754EC">
      <w:pPr>
        <w:spacing w:line="360" w:lineRule="auto"/>
      </w:pPr>
    </w:p>
    <w:p w14:paraId="20C86C76" w14:textId="171776F8" w:rsidR="00D67D74" w:rsidRPr="00863849" w:rsidRDefault="00D67D74" w:rsidP="00A754EC">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D1389B7" w14:textId="6C9BDE0F" w:rsidR="00C57242" w:rsidRPr="00C57242" w:rsidRDefault="00F83744" w:rsidP="00A754EC">
      <w:pPr>
        <w:autoSpaceDE w:val="0"/>
        <w:autoSpaceDN w:val="0"/>
        <w:adjustRightInd w:val="0"/>
        <w:spacing w:line="36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Finally, we subjected individuals to at least a 30-minute period</w:t>
      </w:r>
      <w:r w:rsidR="00A30C53">
        <w:rPr>
          <w:color w:val="000000"/>
        </w:rPr>
        <w:t xml:space="preserve"> of </w:t>
      </w:r>
      <w:r w:rsidR="00C41A80">
        <w:rPr>
          <w:color w:val="000000"/>
        </w:rPr>
        <w:t>darkness</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51971995" w:rsidR="00D67D74" w:rsidRDefault="00D67D74" w:rsidP="00A754EC">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B21C7">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A754EC">
      <w:pPr>
        <w:autoSpaceDE w:val="0"/>
        <w:autoSpaceDN w:val="0"/>
        <w:adjustRightInd w:val="0"/>
        <w:spacing w:line="360" w:lineRule="auto"/>
        <w:rPr>
          <w:color w:val="000000"/>
        </w:rPr>
      </w:pPr>
    </w:p>
    <w:p w14:paraId="69D28324" w14:textId="77777777" w:rsidR="00DD0878" w:rsidRDefault="00DD0878" w:rsidP="00A754EC">
      <w:pPr>
        <w:spacing w:line="360" w:lineRule="auto"/>
        <w:rPr>
          <w:i/>
          <w:iCs/>
        </w:rPr>
      </w:pPr>
      <w:r>
        <w:rPr>
          <w:i/>
          <w:iCs/>
        </w:rPr>
        <w:t>Curve fitting and parameter estimation</w:t>
      </w:r>
    </w:p>
    <w:p w14:paraId="4BFDE44E" w14:textId="00477EB3" w:rsidR="00DD0878" w:rsidRDefault="00DD0878" w:rsidP="00A754EC">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xml:space="preserve">. This function estimates the maximum rate of Rubisco carboxylation </w:t>
      </w:r>
      <w:r w:rsidRPr="00863849">
        <w:rPr>
          <w:color w:val="000000"/>
        </w:rPr>
        <w:lastRenderedPageBreak/>
        <w:t>(</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B21C7">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1B21C7">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ED2735">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B21C7">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t>. Dark respiration measurements were included in all curve fits</w:t>
      </w:r>
      <w:r w:rsidR="00150CFB">
        <w:t xml:space="preserve">. As leaf temperature was different between the dark respiration and </w:t>
      </w:r>
      <w:proofErr w:type="spellStart"/>
      <w:r w:rsidR="00150CFB">
        <w:rPr>
          <w:i/>
          <w:iCs/>
        </w:rPr>
        <w:t>A</w:t>
      </w:r>
      <w:r w:rsidR="00150CFB">
        <w:rPr>
          <w:vertAlign w:val="subscript"/>
        </w:rPr>
        <w:t>net</w:t>
      </w:r>
      <w:proofErr w:type="spellEnd"/>
      <w:r w:rsidR="00150CFB">
        <w:t>/</w:t>
      </w:r>
      <w:r w:rsidR="00150CFB">
        <w:rPr>
          <w:i/>
          <w:iCs/>
        </w:rPr>
        <w:t>C</w:t>
      </w:r>
      <w:r w:rsidR="00150CFB">
        <w:rPr>
          <w:vertAlign w:val="subscript"/>
        </w:rPr>
        <w:t>i</w:t>
      </w:r>
      <w:r w:rsidR="00150CFB">
        <w:t xml:space="preserve"> curves, we standardized all dark respiration measurements to the temperature of the </w:t>
      </w:r>
      <w:proofErr w:type="spellStart"/>
      <w:r w:rsidR="00150CFB">
        <w:rPr>
          <w:i/>
          <w:iCs/>
        </w:rPr>
        <w:t>A</w:t>
      </w:r>
      <w:r w:rsidR="00150CFB">
        <w:rPr>
          <w:vertAlign w:val="subscript"/>
        </w:rPr>
        <w:t>net</w:t>
      </w:r>
      <w:proofErr w:type="spellEnd"/>
      <w:r w:rsidR="00150CFB">
        <w:t>/</w:t>
      </w:r>
      <w:r w:rsidR="00150CFB">
        <w:rPr>
          <w:i/>
          <w:iCs/>
        </w:rPr>
        <w:t>C</w:t>
      </w:r>
      <w:r w:rsidR="00150CFB">
        <w:rPr>
          <w:vertAlign w:val="subscript"/>
        </w:rPr>
        <w:t>i</w:t>
      </w:r>
      <w:r w:rsidR="00150CFB">
        <w:t xml:space="preserve"> curves</w:t>
      </w:r>
      <w:r>
        <w:t xml:space="preserve"> </w:t>
      </w:r>
      <w:r>
        <w:rPr>
          <w:color w:val="000000"/>
        </w:rPr>
        <w:t xml:space="preserve">using </w:t>
      </w:r>
      <w:r w:rsidR="00C41A80">
        <w:rPr>
          <w:color w:val="000000"/>
        </w:rPr>
        <w:t>the</w:t>
      </w:r>
      <w:r>
        <w:rPr>
          <w:color w:val="000000"/>
        </w:rPr>
        <w:t xml:space="preserve"> log-polynomial approach explained in </w:t>
      </w:r>
      <w:r>
        <w:rPr>
          <w:color w:val="000000"/>
        </w:rPr>
        <w:fldChar w:fldCharType="begin" w:fldLock="1"/>
      </w:r>
      <w:r w:rsidR="001B21C7">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662C5136" w14:textId="77777777" w:rsidR="00DD0878" w:rsidRDefault="00DD0878" w:rsidP="00A754EC">
      <w:pPr>
        <w:spacing w:line="360" w:lineRule="auto"/>
        <w:ind w:firstLine="720"/>
        <w:rPr>
          <w:color w:val="000000"/>
        </w:rPr>
      </w:pPr>
    </w:p>
    <w:p w14:paraId="4D346C64" w14:textId="2AD45ADD" w:rsidR="00DD0878" w:rsidRPr="00A46FE6" w:rsidRDefault="0029276A" w:rsidP="00A754EC">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DD0878">
        <w:rPr>
          <w:rFonts w:eastAsiaTheme="minorEastAsia"/>
          <w:color w:val="000000"/>
        </w:rPr>
        <w:tab/>
      </w:r>
      <w:r w:rsidR="00DD0878">
        <w:rPr>
          <w:rFonts w:eastAsiaTheme="minorEastAsia"/>
          <w:color w:val="000000"/>
        </w:rPr>
        <w:tab/>
      </w:r>
      <w:r w:rsidR="00DD0878">
        <w:rPr>
          <w:rFonts w:eastAsiaTheme="minorEastAsia"/>
          <w:color w:val="000000"/>
        </w:rPr>
        <w:tab/>
      </w:r>
      <w:r w:rsidR="00DD0878">
        <w:rPr>
          <w:rFonts w:eastAsiaTheme="minorEastAsia"/>
          <w:color w:val="000000"/>
        </w:rPr>
        <w:tab/>
      </w:r>
      <w:r w:rsidR="00DD0878">
        <w:rPr>
          <w:rFonts w:eastAsiaTheme="minorEastAsia"/>
          <w:color w:val="000000"/>
        </w:rPr>
        <w:tab/>
      </w:r>
      <w:r w:rsidR="00DD0878">
        <w:rPr>
          <w:rFonts w:eastAsiaTheme="minorEastAsia"/>
          <w:color w:val="000000"/>
        </w:rPr>
        <w:tab/>
        <w:t xml:space="preserve">(Eqn. </w:t>
      </w:r>
      <w:r w:rsidR="008E2BDE">
        <w:rPr>
          <w:rFonts w:eastAsiaTheme="minorEastAsia"/>
          <w:color w:val="000000"/>
        </w:rPr>
        <w:t>1</w:t>
      </w:r>
      <w:r w:rsidR="00DD0878">
        <w:rPr>
          <w:rFonts w:eastAsiaTheme="minorEastAsia"/>
          <w:color w:val="000000"/>
        </w:rPr>
        <w:t>)</w:t>
      </w:r>
    </w:p>
    <w:p w14:paraId="6F2F281E" w14:textId="77777777" w:rsidR="00DD0878" w:rsidRPr="00A46FE6" w:rsidRDefault="00DD0878" w:rsidP="00A754EC">
      <w:pPr>
        <w:spacing w:line="360" w:lineRule="auto"/>
        <w:rPr>
          <w:color w:val="000000"/>
        </w:rPr>
      </w:pPr>
    </w:p>
    <w:p w14:paraId="2874557C" w14:textId="63F245AD" w:rsidR="006A5366" w:rsidRDefault="00DD0878" w:rsidP="00A754EC">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sidR="001B21C7">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sidR="001B21C7">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by </w:t>
      </w:r>
      <w:r>
        <w:rPr>
          <w:color w:val="000000"/>
        </w:rPr>
        <w:fldChar w:fldCharType="begin" w:fldLock="1"/>
      </w:r>
      <w:r w:rsidR="001B21C7">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Pr="00CF0D09">
        <w:rPr>
          <w:color w:val="000000"/>
        </w:rPr>
        <w:t>-0.00110</w:t>
      </w:r>
      <w:r>
        <w:rPr>
          <w:color w:val="000000"/>
        </w:rPr>
        <w:t xml:space="preserve">. </w:t>
      </w:r>
      <w:r w:rsidR="00E83939">
        <w:rPr>
          <w:color w:val="000000"/>
        </w:rPr>
        <w:t>W</w:t>
      </w:r>
      <w:r w:rsidR="00E83939">
        <w:t xml:space="preserve">e also set </w:t>
      </w:r>
      <w:proofErr w:type="spellStart"/>
      <w:r w:rsidR="00E83939">
        <w:rPr>
          <w:i/>
          <w:iCs/>
          <w:color w:val="000000"/>
        </w:rPr>
        <w:t>T</w:t>
      </w:r>
      <w:r w:rsidR="00E83939">
        <w:rPr>
          <w:color w:val="000000"/>
          <w:vertAlign w:val="subscript"/>
        </w:rPr>
        <w:t>ref</w:t>
      </w:r>
      <w:proofErr w:type="spellEnd"/>
      <w:r w:rsidR="00E83939">
        <w:rPr>
          <w:color w:val="000000"/>
        </w:rPr>
        <w:t xml:space="preserve"> to the air temperature of each response curve for all </w:t>
      </w:r>
      <w:proofErr w:type="spellStart"/>
      <w:r w:rsidR="00E83939" w:rsidRPr="00DB6582">
        <w:rPr>
          <w:i/>
          <w:iCs/>
          <w:color w:val="000000"/>
        </w:rPr>
        <w:t>A</w:t>
      </w:r>
      <w:r w:rsidR="00E83939">
        <w:rPr>
          <w:color w:val="000000"/>
          <w:vertAlign w:val="subscript"/>
        </w:rPr>
        <w:t>net</w:t>
      </w:r>
      <w:proofErr w:type="spellEnd"/>
      <w:r w:rsidR="00E83939" w:rsidRPr="006337C2">
        <w:rPr>
          <w:color w:val="000000"/>
        </w:rPr>
        <w:t>/</w:t>
      </w:r>
      <w:r w:rsidR="00E83939" w:rsidRPr="00DB6582">
        <w:rPr>
          <w:i/>
          <w:iCs/>
          <w:color w:val="000000"/>
        </w:rPr>
        <w:t>C</w:t>
      </w:r>
      <w:r w:rsidR="00E83939" w:rsidRPr="00242E06">
        <w:rPr>
          <w:color w:val="000000"/>
          <w:vertAlign w:val="subscript"/>
        </w:rPr>
        <w:t>i</w:t>
      </w:r>
      <w:r w:rsidR="00E83939">
        <w:t xml:space="preserve"> curve fits</w:t>
      </w:r>
      <w:r w:rsidR="00E83939">
        <w:rPr>
          <w:color w:val="000000"/>
        </w:rPr>
        <w:t xml:space="preserve">. </w:t>
      </w:r>
    </w:p>
    <w:p w14:paraId="7DDFC1AC" w14:textId="77777777" w:rsidR="00DD0878" w:rsidRPr="001725BB" w:rsidRDefault="00DD0878" w:rsidP="00A754EC">
      <w:pPr>
        <w:spacing w:line="36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A754EC">
      <w:pPr>
        <w:tabs>
          <w:tab w:val="left" w:pos="593"/>
        </w:tabs>
        <w:autoSpaceDE w:val="0"/>
        <w:autoSpaceDN w:val="0"/>
        <w:adjustRightInd w:val="0"/>
        <w:spacing w:line="360" w:lineRule="auto"/>
        <w:rPr>
          <w:color w:val="000000"/>
        </w:rPr>
      </w:pPr>
    </w:p>
    <w:p w14:paraId="3D5139C1" w14:textId="47B19ED2" w:rsidR="00DD0878" w:rsidRDefault="0029276A"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8E2BDE">
        <w:rPr>
          <w:color w:val="000000"/>
        </w:rPr>
        <w:t>2</w:t>
      </w:r>
      <w:r w:rsidR="00DD0878">
        <w:rPr>
          <w:color w:val="000000"/>
        </w:rPr>
        <w:t>)</w:t>
      </w:r>
    </w:p>
    <w:p w14:paraId="7021885D" w14:textId="77777777" w:rsidR="00DD0878" w:rsidRDefault="00DD0878" w:rsidP="00A754EC">
      <w:pPr>
        <w:tabs>
          <w:tab w:val="left" w:pos="593"/>
        </w:tabs>
        <w:autoSpaceDE w:val="0"/>
        <w:autoSpaceDN w:val="0"/>
        <w:adjustRightInd w:val="0"/>
        <w:spacing w:line="360" w:lineRule="auto"/>
        <w:rPr>
          <w:color w:val="000000"/>
        </w:rPr>
      </w:pPr>
    </w:p>
    <w:p w14:paraId="51793D2A" w14:textId="1CDA29F0" w:rsidR="00DD0878" w:rsidRDefault="00DD0878" w:rsidP="00A754EC">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B21C7">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w:t>
      </w:r>
      <w:r w:rsidRPr="00863849">
        <w:rPr>
          <w:color w:val="000000"/>
        </w:rPr>
        <w:lastRenderedPageBreak/>
        <w:t>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A754EC">
      <w:pPr>
        <w:tabs>
          <w:tab w:val="left" w:pos="593"/>
        </w:tabs>
        <w:autoSpaceDE w:val="0"/>
        <w:autoSpaceDN w:val="0"/>
        <w:adjustRightInd w:val="0"/>
        <w:spacing w:line="360" w:lineRule="auto"/>
        <w:rPr>
          <w:color w:val="000000"/>
        </w:rPr>
      </w:pPr>
    </w:p>
    <w:p w14:paraId="445E3688" w14:textId="0D459F59" w:rsidR="00DD0878" w:rsidRDefault="0029276A"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8E2BDE">
        <w:rPr>
          <w:color w:val="000000"/>
        </w:rPr>
        <w:t>3</w:t>
      </w:r>
      <w:r w:rsidR="00DD0878">
        <w:rPr>
          <w:color w:val="000000"/>
        </w:rPr>
        <w:t>a</w:t>
      </w:r>
      <w:r w:rsidR="00DD0878" w:rsidRPr="00863849">
        <w:rPr>
          <w:color w:val="000000"/>
        </w:rPr>
        <w:t>)</w:t>
      </w:r>
    </w:p>
    <w:p w14:paraId="6D5EDCD7" w14:textId="77777777" w:rsidR="00DD0878" w:rsidRPr="00705A56" w:rsidRDefault="00DD0878" w:rsidP="00A754EC">
      <w:pPr>
        <w:tabs>
          <w:tab w:val="left" w:pos="593"/>
        </w:tabs>
        <w:autoSpaceDE w:val="0"/>
        <w:autoSpaceDN w:val="0"/>
        <w:adjustRightInd w:val="0"/>
        <w:spacing w:line="360" w:lineRule="auto"/>
        <w:rPr>
          <w:color w:val="000000"/>
        </w:rPr>
      </w:pPr>
      <w:r w:rsidRPr="00863849">
        <w:rPr>
          <w:color w:val="000000"/>
        </w:rPr>
        <w:t>and:</w:t>
      </w:r>
    </w:p>
    <w:p w14:paraId="6B4B1159" w14:textId="6CECA4EE" w:rsidR="00DD0878" w:rsidRDefault="0029276A"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8E2BDE">
        <w:rPr>
          <w:color w:val="000000"/>
        </w:rPr>
        <w:t>3</w:t>
      </w:r>
      <w:r w:rsidR="00DD0878">
        <w:rPr>
          <w:color w:val="000000"/>
        </w:rPr>
        <w:t>b</w:t>
      </w:r>
      <w:r w:rsidR="00DD0878" w:rsidRPr="00863849">
        <w:rPr>
          <w:color w:val="000000"/>
        </w:rPr>
        <w:t>)</w:t>
      </w:r>
    </w:p>
    <w:p w14:paraId="39E57D3E" w14:textId="77777777" w:rsidR="00DD0878" w:rsidRDefault="00DD0878" w:rsidP="00A754EC">
      <w:pPr>
        <w:tabs>
          <w:tab w:val="left" w:pos="593"/>
        </w:tabs>
        <w:autoSpaceDE w:val="0"/>
        <w:autoSpaceDN w:val="0"/>
        <w:adjustRightInd w:val="0"/>
        <w:spacing w:line="360" w:lineRule="auto"/>
        <w:rPr>
          <w:color w:val="000000"/>
        </w:rPr>
      </w:pPr>
    </w:p>
    <w:p w14:paraId="13D55A79" w14:textId="77777777" w:rsidR="00AB654B" w:rsidRDefault="00DD0878" w:rsidP="00A754EC">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p>
    <w:p w14:paraId="2CE0ABD1" w14:textId="15F33B61" w:rsidR="00895284" w:rsidRDefault="00AB654B" w:rsidP="00A754EC">
      <w:pPr>
        <w:spacing w:line="360" w:lineRule="auto"/>
        <w:ind w:firstLine="720"/>
        <w:rPr>
          <w:color w:val="000000"/>
        </w:rPr>
      </w:pPr>
      <w:r>
        <w:rPr>
          <w:color w:val="000000"/>
        </w:rPr>
        <w:t>Finally, w</w:t>
      </w:r>
      <w:r w:rsidR="00DD0878">
        <w:rPr>
          <w:color w:val="000000"/>
        </w:rPr>
        <w:t xml:space="preserve">e used </w:t>
      </w:r>
      <w:r w:rsidR="00DD0878" w:rsidRPr="00DB6582">
        <w:rPr>
          <w:i/>
          <w:iCs/>
          <w:color w:val="000000"/>
        </w:rPr>
        <w:t>V</w:t>
      </w:r>
      <w:r w:rsidR="00DD0878" w:rsidRPr="00275258">
        <w:rPr>
          <w:color w:val="000000"/>
          <w:vertAlign w:val="subscript"/>
        </w:rPr>
        <w:t>cmax25</w:t>
      </w:r>
      <w:r w:rsidR="00DD0878">
        <w:rPr>
          <w:color w:val="000000"/>
        </w:rPr>
        <w:t xml:space="preserve"> and </w:t>
      </w:r>
      <w:r w:rsidR="00DD0878" w:rsidRPr="00DB6582">
        <w:rPr>
          <w:i/>
          <w:iCs/>
        </w:rPr>
        <w:t>J</w:t>
      </w:r>
      <w:r w:rsidR="00DD0878" w:rsidRPr="00275258">
        <w:rPr>
          <w:vertAlign w:val="subscript"/>
        </w:rPr>
        <w:t>max25</w:t>
      </w:r>
      <w:r w:rsidR="00DD0878">
        <w:rPr>
          <w:vertAlign w:val="subscript"/>
        </w:rPr>
        <w:t xml:space="preserve"> </w:t>
      </w:r>
      <w:r w:rsidR="00DD0878">
        <w:t xml:space="preserve">estimates to calculate the ratio </w:t>
      </w:r>
      <w:r w:rsidR="00DD0878">
        <w:rPr>
          <w:color w:val="000000"/>
        </w:rPr>
        <w:t xml:space="preserve">of </w:t>
      </w:r>
      <w:r w:rsidR="00DD0878" w:rsidRPr="00DB6582">
        <w:rPr>
          <w:i/>
          <w:iCs/>
        </w:rPr>
        <w:t>J</w:t>
      </w:r>
      <w:r w:rsidR="00DD0878" w:rsidRPr="00275258">
        <w:rPr>
          <w:vertAlign w:val="subscript"/>
        </w:rPr>
        <w:t>max25</w:t>
      </w:r>
      <w:r w:rsidR="00DD0878">
        <w:t xml:space="preserve"> to </w:t>
      </w:r>
      <w:r w:rsidR="00DD0878" w:rsidRPr="00DB6582">
        <w:rPr>
          <w:i/>
          <w:iCs/>
          <w:color w:val="000000"/>
        </w:rPr>
        <w:t>V</w:t>
      </w:r>
      <w:r w:rsidR="00DD0878" w:rsidRPr="00275258">
        <w:rPr>
          <w:color w:val="000000"/>
          <w:vertAlign w:val="subscript"/>
        </w:rPr>
        <w:t>cmax25</w:t>
      </w:r>
      <w:r w:rsidR="00DD0878">
        <w:rPr>
          <w:color w:val="000000"/>
        </w:rPr>
        <w:t xml:space="preserve"> (</w:t>
      </w:r>
      <w:r w:rsidR="00DD0878" w:rsidRPr="00DB6582">
        <w:rPr>
          <w:i/>
          <w:iCs/>
        </w:rPr>
        <w:t>J</w:t>
      </w:r>
      <w:r w:rsidR="00DD0878" w:rsidRPr="00275258">
        <w:rPr>
          <w:vertAlign w:val="subscript"/>
        </w:rPr>
        <w:t>max25</w:t>
      </w:r>
      <w:r w:rsidR="00DD0878">
        <w:t>:</w:t>
      </w:r>
      <w:r w:rsidR="00DD0878" w:rsidRPr="00DB6582">
        <w:rPr>
          <w:i/>
          <w:iCs/>
          <w:color w:val="000000"/>
        </w:rPr>
        <w:t>V</w:t>
      </w:r>
      <w:r w:rsidR="00DD0878" w:rsidRPr="00275258">
        <w:rPr>
          <w:color w:val="000000"/>
          <w:vertAlign w:val="subscript"/>
        </w:rPr>
        <w:t>cmax25</w:t>
      </w:r>
      <w:r w:rsidR="004C3C71">
        <w:rPr>
          <w:color w:val="000000"/>
        </w:rPr>
        <w:t>; unitless</w:t>
      </w:r>
      <w:r w:rsidR="00DD0878">
        <w:rPr>
          <w:color w:val="000000"/>
        </w:rPr>
        <w:t>)</w:t>
      </w:r>
      <w:r>
        <w:rPr>
          <w:color w:val="000000"/>
        </w:rPr>
        <w:t>. W</w:t>
      </w:r>
      <w:r w:rsidR="00895284">
        <w:rPr>
          <w:color w:val="000000"/>
        </w:rPr>
        <w:t>e</w:t>
      </w:r>
      <w:r>
        <w:rPr>
          <w:color w:val="000000"/>
        </w:rPr>
        <w:t xml:space="preserve"> also</w:t>
      </w:r>
      <w:r w:rsidR="00895284">
        <w:rPr>
          <w:color w:val="000000"/>
        </w:rPr>
        <w:t xml:space="preserve"> standardized dark respiration to 25</w:t>
      </w:r>
      <w:r w:rsidR="00895284" w:rsidRPr="00863849">
        <w:rPr>
          <w:rFonts w:ascii="Symbol" w:eastAsia="Symbol" w:hAnsi="Symbol" w:cs="Symbol"/>
          <w:color w:val="000000"/>
        </w:rPr>
        <w:t></w:t>
      </w:r>
      <w:r w:rsidR="00895284" w:rsidRPr="00863849">
        <w:rPr>
          <w:color w:val="000000"/>
        </w:rPr>
        <w:t>C</w:t>
      </w:r>
      <w:r w:rsidR="00895284">
        <w:rPr>
          <w:color w:val="000000"/>
        </w:rPr>
        <w:t xml:space="preserve"> (</w:t>
      </w:r>
      <w:r w:rsidR="00895284">
        <w:rPr>
          <w:i/>
          <w:iCs/>
          <w:color w:val="000000"/>
        </w:rPr>
        <w:t>R</w:t>
      </w:r>
      <w:r w:rsidR="00895284">
        <w:rPr>
          <w:color w:val="000000"/>
          <w:vertAlign w:val="subscript"/>
        </w:rPr>
        <w:t>d25</w:t>
      </w:r>
      <w:r w:rsidR="00895284">
        <w:rPr>
          <w:color w:val="000000"/>
        </w:rPr>
        <w:t xml:space="preserve">; </w:t>
      </w:r>
      <w:r w:rsidR="00895284">
        <w:rPr>
          <w:color w:val="000000"/>
          <w:lang w:val="el-GR"/>
        </w:rPr>
        <w:t>μ</w:t>
      </w:r>
      <w:r w:rsidR="00895284">
        <w:rPr>
          <w:color w:val="000000"/>
        </w:rPr>
        <w:t>mol m</w:t>
      </w:r>
      <w:r w:rsidR="00895284">
        <w:rPr>
          <w:color w:val="000000"/>
          <w:vertAlign w:val="superscript"/>
        </w:rPr>
        <w:t>-2</w:t>
      </w:r>
      <w:r w:rsidR="00895284" w:rsidRPr="00E83939">
        <w:rPr>
          <w:color w:val="000000"/>
        </w:rPr>
        <w:t xml:space="preserve"> </w:t>
      </w:r>
      <w:r w:rsidR="00895284">
        <w:rPr>
          <w:color w:val="000000"/>
        </w:rPr>
        <w:t>s</w:t>
      </w:r>
      <w:r w:rsidR="00895284">
        <w:rPr>
          <w:color w:val="000000"/>
          <w:vertAlign w:val="superscript"/>
        </w:rPr>
        <w:t>-1</w:t>
      </w:r>
      <w:r w:rsidR="00895284">
        <w:rPr>
          <w:color w:val="000000"/>
        </w:rPr>
        <w:t>) using the same coefficients explained for Eqn. 1</w:t>
      </w:r>
      <w:r>
        <w:rPr>
          <w:color w:val="000000"/>
        </w:rPr>
        <w:t>,</w:t>
      </w:r>
      <w:r w:rsidR="00895284">
        <w:rPr>
          <w:color w:val="000000"/>
        </w:rPr>
        <w:t xml:space="preserve"> with </w:t>
      </w:r>
      <w:proofErr w:type="spellStart"/>
      <w:r w:rsidR="00895284">
        <w:rPr>
          <w:i/>
          <w:iCs/>
          <w:color w:val="000000"/>
        </w:rPr>
        <w:t>T</w:t>
      </w:r>
      <w:r w:rsidR="00895284">
        <w:rPr>
          <w:color w:val="000000"/>
          <w:vertAlign w:val="subscript"/>
        </w:rPr>
        <w:t>ref</w:t>
      </w:r>
      <w:proofErr w:type="spellEnd"/>
      <w:r w:rsidR="00895284">
        <w:rPr>
          <w:color w:val="000000"/>
        </w:rPr>
        <w:t xml:space="preserve"> set to 25</w:t>
      </w:r>
      <w:r w:rsidR="00895284" w:rsidRPr="00863849">
        <w:rPr>
          <w:rFonts w:ascii="Symbol" w:eastAsia="Symbol" w:hAnsi="Symbol" w:cs="Symbol"/>
          <w:color w:val="000000"/>
        </w:rPr>
        <w:t></w:t>
      </w:r>
      <w:r w:rsidR="00895284" w:rsidRPr="00863849">
        <w:rPr>
          <w:color w:val="000000"/>
        </w:rPr>
        <w:t>C</w:t>
      </w:r>
      <w:r>
        <w:rPr>
          <w:color w:val="000000"/>
        </w:rPr>
        <w:t xml:space="preserve">, and calculated the ratio of </w:t>
      </w:r>
      <w:r>
        <w:rPr>
          <w:i/>
          <w:iCs/>
          <w:color w:val="000000"/>
        </w:rPr>
        <w:t>R</w:t>
      </w:r>
      <w:r w:rsidRPr="0011017D">
        <w:rPr>
          <w:color w:val="000000"/>
          <w:vertAlign w:val="subscript"/>
        </w:rPr>
        <w:t>d25</w:t>
      </w:r>
      <w:r>
        <w:rPr>
          <w:color w:val="000000"/>
        </w:rPr>
        <w:t xml:space="preserve"> to </w:t>
      </w:r>
      <w:r w:rsidRPr="00DB6582">
        <w:rPr>
          <w:i/>
          <w:iCs/>
          <w:color w:val="000000"/>
        </w:rPr>
        <w:t>V</w:t>
      </w:r>
      <w:r w:rsidRPr="00275258">
        <w:rPr>
          <w:color w:val="000000"/>
          <w:vertAlign w:val="subscript"/>
        </w:rPr>
        <w:t>cmax25</w:t>
      </w:r>
      <w:r>
        <w:rPr>
          <w:color w:val="000000"/>
        </w:rPr>
        <w:t xml:space="preserve"> (</w:t>
      </w:r>
      <w:r>
        <w:rPr>
          <w:i/>
          <w:iCs/>
          <w:color w:val="000000"/>
        </w:rPr>
        <w:t>R</w:t>
      </w:r>
      <w:r w:rsidRPr="0011017D">
        <w:rPr>
          <w:color w:val="000000"/>
          <w:vertAlign w:val="subscript"/>
        </w:rPr>
        <w:t>d25</w:t>
      </w:r>
      <w:r>
        <w:rPr>
          <w:color w:val="000000"/>
        </w:rPr>
        <w:t xml:space="preserve">: </w:t>
      </w:r>
      <w:r w:rsidRPr="00DB6582">
        <w:rPr>
          <w:i/>
          <w:iCs/>
          <w:color w:val="000000"/>
        </w:rPr>
        <w:t>V</w:t>
      </w:r>
      <w:r w:rsidRPr="00275258">
        <w:rPr>
          <w:color w:val="000000"/>
          <w:vertAlign w:val="subscript"/>
        </w:rPr>
        <w:t>cmax25</w:t>
      </w:r>
      <w:r>
        <w:rPr>
          <w:color w:val="000000"/>
        </w:rPr>
        <w:t>; unitless).</w:t>
      </w:r>
    </w:p>
    <w:p w14:paraId="7F25D7BE" w14:textId="77777777" w:rsidR="00DD0878" w:rsidRDefault="00DD0878" w:rsidP="00A754EC">
      <w:pPr>
        <w:autoSpaceDE w:val="0"/>
        <w:autoSpaceDN w:val="0"/>
        <w:adjustRightInd w:val="0"/>
        <w:spacing w:line="360" w:lineRule="auto"/>
        <w:rPr>
          <w:color w:val="000000"/>
        </w:rPr>
      </w:pPr>
    </w:p>
    <w:p w14:paraId="35E0668F" w14:textId="77777777" w:rsidR="00DD0878" w:rsidRDefault="00DD0878" w:rsidP="00A754EC">
      <w:pPr>
        <w:spacing w:line="360" w:lineRule="auto"/>
        <w:rPr>
          <w:color w:val="000000"/>
        </w:rPr>
      </w:pPr>
      <w:r>
        <w:rPr>
          <w:i/>
          <w:iCs/>
          <w:color w:val="000000"/>
        </w:rPr>
        <w:t>Tradeoffs between nitrogen and water usage</w:t>
      </w:r>
    </w:p>
    <w:p w14:paraId="7CCB4168" w14:textId="4E1CA2FA" w:rsidR="00DD0878" w:rsidRDefault="00DD0878" w:rsidP="00A754EC">
      <w:pPr>
        <w:autoSpaceDE w:val="0"/>
        <w:autoSpaceDN w:val="0"/>
        <w:adjustRightInd w:val="0"/>
        <w:spacing w:line="36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A754EC">
      <w:pPr>
        <w:spacing w:line="360" w:lineRule="auto"/>
      </w:pPr>
    </w:p>
    <w:p w14:paraId="64D2AC58" w14:textId="79D6C961" w:rsidR="00360D30" w:rsidRDefault="00360D30" w:rsidP="00A754EC">
      <w:pPr>
        <w:spacing w:line="360" w:lineRule="auto"/>
      </w:pPr>
      <w:r>
        <w:rPr>
          <w:i/>
          <w:iCs/>
        </w:rPr>
        <w:t>Whole plant traits</w:t>
      </w:r>
    </w:p>
    <w:p w14:paraId="14099B94" w14:textId="2A732199" w:rsidR="007755C4" w:rsidRDefault="00F83744" w:rsidP="00A754EC">
      <w:pPr>
        <w:autoSpaceDE w:val="0"/>
        <w:autoSpaceDN w:val="0"/>
        <w:adjustRightInd w:val="0"/>
        <w:spacing w:line="36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w:t>
      </w:r>
      <w:commentRangeStart w:id="3"/>
      <w:r>
        <w:t>seven</w:t>
      </w:r>
      <w:commentRangeEnd w:id="3"/>
      <w:r w:rsidR="007755C4">
        <w:rPr>
          <w:rStyle w:val="CommentReference"/>
          <w:rFonts w:eastAsia="Times New Roman" w:cs="Times New Roman"/>
        </w:rPr>
        <w:commentReference w:id="3"/>
      </w:r>
      <w:r>
        <w:t xml:space="preserve"> weeks after experiment initiation</w:t>
      </w:r>
      <w:r w:rsidR="00360D30" w:rsidRPr="00360D30">
        <w:t xml:space="preserve">. Leaf areas of all harvested leaves were </w:t>
      </w:r>
      <w:r w:rsidR="00360D30" w:rsidRPr="00360D30">
        <w:lastRenderedPageBreak/>
        <w:t>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6E41E98A" w:rsidR="00EC6B47" w:rsidRDefault="00351A75" w:rsidP="00A754EC">
      <w:pPr>
        <w:autoSpaceDE w:val="0"/>
        <w:autoSpaceDN w:val="0"/>
        <w:adjustRightInd w:val="0"/>
        <w:spacing w:line="36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B21C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D66A72">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A754EC">
      <w:pPr>
        <w:autoSpaceDE w:val="0"/>
        <w:autoSpaceDN w:val="0"/>
        <w:adjustRightInd w:val="0"/>
        <w:spacing w:line="360" w:lineRule="auto"/>
        <w:rPr>
          <w:color w:val="000000" w:themeColor="text1"/>
        </w:rPr>
      </w:pPr>
    </w:p>
    <w:p w14:paraId="7D99C48A" w14:textId="15E512C9" w:rsidR="00D67D74" w:rsidRDefault="00D67D74" w:rsidP="00A754EC">
      <w:pPr>
        <w:spacing w:line="360" w:lineRule="auto"/>
      </w:pPr>
      <w:r>
        <w:rPr>
          <w:i/>
          <w:iCs/>
        </w:rPr>
        <w:t>Statistical analyses</w:t>
      </w:r>
    </w:p>
    <w:p w14:paraId="100E66B0" w14:textId="7B611024" w:rsidR="00270350" w:rsidRDefault="00270350" w:rsidP="00A754EC">
      <w:pPr>
        <w:spacing w:line="36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22489921" w:rsidR="00400618" w:rsidRDefault="00166B47" w:rsidP="00A754EC">
      <w:pPr>
        <w:spacing w:line="360" w:lineRule="auto"/>
        <w:ind w:firstLine="720"/>
      </w:pPr>
      <w:r>
        <w:lastRenderedPageBreak/>
        <w:t>We used Shapiro-Wilk tests of normality</w:t>
      </w:r>
      <w:r w:rsidR="00DD0878">
        <w:t xml:space="preserve"> </w:t>
      </w:r>
      <w:r>
        <w:t xml:space="preserve">to determine whether linear mixed-effects models satisfied residual normality assumptions. All models satisfied residual normality assumptions except </w:t>
      </w:r>
      <w:r w:rsidR="00086E13">
        <w:rPr>
          <w:i/>
          <w:iCs/>
        </w:rPr>
        <w:t>J</w:t>
      </w:r>
      <w:r w:rsidR="00086E13">
        <w:rPr>
          <w:vertAlign w:val="subscript"/>
        </w:rPr>
        <w:t>max25</w:t>
      </w:r>
      <w:r w:rsidR="00086E13">
        <w:t>:</w:t>
      </w:r>
      <w:r w:rsidR="00086E13">
        <w:rPr>
          <w:i/>
          <w:iCs/>
        </w:rPr>
        <w:t>V</w:t>
      </w:r>
      <w:r w:rsidR="00086E13">
        <w:rPr>
          <w:vertAlign w:val="subscript"/>
        </w:rPr>
        <w:t>cmax25</w:t>
      </w:r>
      <w:r w:rsidR="00086E13">
        <w:t>,</w:t>
      </w:r>
      <w:r w:rsidR="00086E13" w:rsidRPr="00086E13">
        <w:rPr>
          <w:i/>
          <w:iCs/>
        </w:rPr>
        <w:t xml:space="preserve"> </w:t>
      </w:r>
      <w:r w:rsidR="00086E13">
        <w:rPr>
          <w:i/>
          <w:iCs/>
        </w:rPr>
        <w:t>R</w:t>
      </w:r>
      <w:r w:rsidR="00086E13">
        <w:rPr>
          <w:vertAlign w:val="subscript"/>
        </w:rPr>
        <w:t>d25</w:t>
      </w:r>
      <w:r w:rsidR="00086E13">
        <w:t>,</w:t>
      </w:r>
      <w:r w:rsidR="001C1F9E">
        <w:t xml:space="preserve"> </w:t>
      </w:r>
      <w:r w:rsidR="001C1F9E">
        <w:rPr>
          <w:i/>
          <w:iCs/>
        </w:rPr>
        <w:t>C</w:t>
      </w:r>
      <w:r w:rsidR="001C1F9E">
        <w:rPr>
          <w:vertAlign w:val="subscript"/>
        </w:rPr>
        <w:t>i</w:t>
      </w:r>
      <w:r w:rsidR="001C1F9E">
        <w:t xml:space="preserve">: </w:t>
      </w:r>
      <w:r w:rsidR="001C1F9E">
        <w:rPr>
          <w:i/>
          <w:iCs/>
        </w:rPr>
        <w:t>C</w:t>
      </w:r>
      <w:r w:rsidR="001C1F9E">
        <w:rPr>
          <w:vertAlign w:val="subscript"/>
        </w:rPr>
        <w:t>a</w:t>
      </w:r>
      <w:r w:rsidR="001C1F9E">
        <w:t>,</w:t>
      </w:r>
      <w:r w:rsidR="00086E13">
        <w:t xml:space="preserve"> </w:t>
      </w:r>
      <w:proofErr w:type="spellStart"/>
      <w:r w:rsidR="00086E13" w:rsidRPr="00F45847">
        <w:rPr>
          <w:i/>
          <w:iCs/>
        </w:rPr>
        <w:t>iWUE</w:t>
      </w:r>
      <w:proofErr w:type="spellEnd"/>
      <w:r w:rsidR="00086E13">
        <w:t>,</w:t>
      </w:r>
      <w:r w:rsidR="001C1F9E">
        <w:t xml:space="preserve"> </w:t>
      </w:r>
      <w:r w:rsidR="001C1F9E">
        <w:rPr>
          <w:i/>
          <w:iCs/>
        </w:rPr>
        <w:t>PNUE,</w:t>
      </w:r>
      <w:r w:rsidR="00086E13" w:rsidRPr="00086E13">
        <w:rPr>
          <w:i/>
          <w:iCs/>
        </w:rPr>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w:t>
      </w:r>
      <w:r w:rsidR="00086E13" w:rsidRPr="00086E13">
        <w:rPr>
          <w:i/>
          <w:iCs/>
        </w:rPr>
        <w:t xml:space="preserve"> </w:t>
      </w:r>
      <w:proofErr w:type="spellStart"/>
      <w:r w:rsidR="00086E13">
        <w:rPr>
          <w:i/>
          <w:iCs/>
        </w:rPr>
        <w:t>V</w:t>
      </w:r>
      <w:r w:rsidR="00086E13">
        <w:rPr>
          <w:vertAlign w:val="subscript"/>
        </w:rPr>
        <w:t>cmax</w:t>
      </w:r>
      <w:r w:rsidR="00086E13">
        <w:t>:</w:t>
      </w:r>
      <w:r w:rsidR="00086E13">
        <w:rPr>
          <w:i/>
          <w:iCs/>
        </w:rPr>
        <w:t>g</w:t>
      </w:r>
      <w:r w:rsidR="00086E13">
        <w:rPr>
          <w:vertAlign w:val="subscript"/>
        </w:rPr>
        <w:t>s</w:t>
      </w:r>
      <w:proofErr w:type="spellEnd"/>
      <w:r w:rsidR="00086E13">
        <w:t>,</w:t>
      </w:r>
      <w:r w:rsidR="00AD6759">
        <w:t xml:space="preserve"> </w:t>
      </w:r>
      <w:proofErr w:type="spellStart"/>
      <w:r w:rsidR="00DD0878">
        <w:rPr>
          <w:i/>
          <w:iCs/>
        </w:rPr>
        <w:t>N</w:t>
      </w:r>
      <w:r w:rsidR="00DD0878">
        <w:rPr>
          <w:vertAlign w:val="subscript"/>
        </w:rPr>
        <w:t>cost</w:t>
      </w:r>
      <w:proofErr w:type="spellEnd"/>
      <w:r w:rsidR="00DD0878">
        <w:t xml:space="preserve">, </w:t>
      </w:r>
      <w:proofErr w:type="spellStart"/>
      <w:r w:rsidR="00DD0878">
        <w:rPr>
          <w:i/>
          <w:iCs/>
        </w:rPr>
        <w:t>C</w:t>
      </w:r>
      <w:r w:rsidR="00DD0878">
        <w:rPr>
          <w:vertAlign w:val="subscript"/>
        </w:rPr>
        <w:t>bg</w:t>
      </w:r>
      <w:proofErr w:type="spellEnd"/>
      <w:r w:rsidR="00DD0878">
        <w:t xml:space="preserve">, and </w:t>
      </w:r>
      <w:r w:rsidR="007D0701">
        <w:t>total leaf area</w:t>
      </w:r>
      <w:r w:rsidR="00AD6759">
        <w:t>, root nodule biomass: root biomass,</w:t>
      </w:r>
      <w:r w:rsidR="00086E13">
        <w:t xml:space="preserve"> </w:t>
      </w:r>
      <w:r w:rsidR="00AD6759">
        <w:t xml:space="preserve">and root nodule biomass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097A1D">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1C1F9E" w:rsidRPr="00400618">
        <w:rPr>
          <w:noProof/>
        </w:rPr>
        <w:t>(Fox &amp; Weisberg, 2019)</w:t>
      </w:r>
      <w:r w:rsidR="001C1F9E">
        <w:fldChar w:fldCharType="end"/>
      </w:r>
      <w:r w:rsidR="001C1F9E">
        <w:t>, which uses a Bonferroni-corrected t-distribution</w:t>
      </w:r>
      <w:r w:rsidR="00916FB5">
        <w:t xml:space="preserve"> approach</w:t>
      </w:r>
      <w:r w:rsidR="001C1F9E">
        <w:t xml:space="preserve"> 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1C1F9E">
        <w:rPr>
          <w:i/>
          <w:iCs/>
        </w:rPr>
        <w:t>N</w:t>
      </w:r>
      <w:r w:rsidR="001C1F9E">
        <w:rPr>
          <w:vertAlign w:val="subscript"/>
        </w:rPr>
        <w:t>area</w:t>
      </w:r>
      <w:proofErr w:type="spellEnd"/>
      <w:r w:rsidR="001C1F9E">
        <w:t xml:space="preserve">, </w:t>
      </w:r>
      <w:r w:rsidR="001C1F9E">
        <w:rPr>
          <w:i/>
          <w:iCs/>
        </w:rPr>
        <w:t>R</w:t>
      </w:r>
      <w:r w:rsidR="001C1F9E">
        <w:rPr>
          <w:vertAlign w:val="subscript"/>
        </w:rPr>
        <w:t>d25</w:t>
      </w:r>
      <w:r w:rsidR="001C1F9E">
        <w:t>:</w:t>
      </w:r>
      <w:r w:rsidR="001C1F9E">
        <w:rPr>
          <w:i/>
          <w:iCs/>
        </w:rPr>
        <w:t>V</w:t>
      </w:r>
      <w:r w:rsidR="001C1F9E">
        <w:rPr>
          <w:vertAlign w:val="subscript"/>
        </w:rPr>
        <w:t>cmax25</w:t>
      </w:r>
      <w:r w:rsidR="001C1F9E">
        <w:t xml:space="preserve">, </w:t>
      </w:r>
      <w:r w:rsidR="001C1F9E">
        <w:rPr>
          <w:i/>
          <w:iCs/>
        </w:rPr>
        <w:t>PNUE</w:t>
      </w:r>
      <w:r w:rsidR="001C1F9E">
        <w:t xml:space="preserve">, and </w:t>
      </w:r>
      <w:proofErr w:type="spellStart"/>
      <w:r w:rsidR="001C1F9E">
        <w:rPr>
          <w:i/>
          <w:iCs/>
        </w:rPr>
        <w:t>N</w:t>
      </w:r>
      <w:r w:rsidR="001C1F9E">
        <w:rPr>
          <w:vertAlign w:val="subscript"/>
        </w:rPr>
        <w:t>area</w:t>
      </w:r>
      <w:r w:rsidR="001C1F9E">
        <w:t>:</w:t>
      </w:r>
      <w:r w:rsidR="001C1F9E">
        <w:rPr>
          <w:i/>
          <w:iCs/>
        </w:rPr>
        <w:t>g</w:t>
      </w:r>
      <w:r w:rsidR="001C1F9E">
        <w:rPr>
          <w:vertAlign w:val="subscript"/>
        </w:rPr>
        <w:t>s</w:t>
      </w:r>
      <w:proofErr w:type="spellEnd"/>
      <w:r w:rsidR="001C1F9E">
        <w:t>, 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1C1F9E">
        <w:rPr>
          <w:i/>
          <w:iCs/>
        </w:rPr>
        <w:t>J</w:t>
      </w:r>
      <w:r w:rsidR="001C1F9E">
        <w:rPr>
          <w:vertAlign w:val="subscript"/>
        </w:rPr>
        <w:t>max25</w:t>
      </w:r>
      <w:r w:rsidR="001C1F9E">
        <w:t>:</w:t>
      </w:r>
      <w:r w:rsidR="001C1F9E">
        <w:rPr>
          <w:i/>
          <w:iCs/>
        </w:rPr>
        <w:t>V</w:t>
      </w:r>
      <w:r w:rsidR="001C1F9E">
        <w:rPr>
          <w:vertAlign w:val="subscript"/>
        </w:rPr>
        <w:t>cmax25</w:t>
      </w:r>
      <w:r w:rsidR="001C1F9E">
        <w:t xml:space="preserve">, </w:t>
      </w:r>
      <w:r w:rsidR="001C1F9E">
        <w:rPr>
          <w:i/>
          <w:iCs/>
        </w:rPr>
        <w:t>R</w:t>
      </w:r>
      <w:r w:rsidR="001C1F9E">
        <w:rPr>
          <w:vertAlign w:val="subscript"/>
        </w:rPr>
        <w:t>d25</w:t>
      </w:r>
      <w:r w:rsidR="001C1F9E">
        <w:t xml:space="preserve">, and </w:t>
      </w:r>
      <w:r w:rsidR="001C1F9E">
        <w:rPr>
          <w:i/>
          <w:iCs/>
        </w:rPr>
        <w:t>C</w:t>
      </w:r>
      <w:r w:rsidR="001C1F9E">
        <w:rPr>
          <w:vertAlign w:val="subscript"/>
        </w:rPr>
        <w:t>i</w:t>
      </w:r>
      <w:r w:rsidR="001C1F9E">
        <w:t xml:space="preserve">: </w:t>
      </w:r>
      <w:r w:rsidR="001C1F9E">
        <w:rPr>
          <w:i/>
          <w:iCs/>
        </w:rPr>
        <w:t>C</w:t>
      </w:r>
      <w:r w:rsidR="001C1F9E">
        <w:rPr>
          <w:vertAlign w:val="subscript"/>
        </w:rPr>
        <w:t>a</w:t>
      </w:r>
      <w:r w:rsidR="001C1F9E">
        <w:t xml:space="preserve">. The removal of these statistical outliers satisfied residual normality assumptions for </w:t>
      </w:r>
      <w:r w:rsidR="001C1F9E">
        <w:rPr>
          <w:i/>
          <w:iCs/>
        </w:rPr>
        <w:t>PNUE</w:t>
      </w:r>
      <w:r w:rsidR="001C1F9E">
        <w:t xml:space="preserve"> and </w:t>
      </w:r>
      <w:r w:rsidR="001C1F9E">
        <w:rPr>
          <w:i/>
          <w:iCs/>
        </w:rPr>
        <w:t>C</w:t>
      </w:r>
      <w:r w:rsidR="001C1F9E">
        <w:rPr>
          <w:vertAlign w:val="subscript"/>
        </w:rPr>
        <w:t>i</w:t>
      </w:r>
      <w:r w:rsidR="001C1F9E">
        <w:t xml:space="preserve">: </w:t>
      </w:r>
      <w:r w:rsidR="001C1F9E">
        <w:rPr>
          <w:i/>
          <w:iCs/>
        </w:rPr>
        <w:t>C</w:t>
      </w:r>
      <w:r w:rsidR="001C1F9E">
        <w:rPr>
          <w:vertAlign w:val="subscript"/>
        </w:rPr>
        <w:t>a</w:t>
      </w:r>
      <w:r w:rsidR="00D87519">
        <w:t xml:space="preserve"> models (Shapi</w:t>
      </w:r>
      <w:r w:rsidR="00AB654B">
        <w:t>r</w:t>
      </w:r>
      <w:r w:rsidR="00D87519">
        <w:t>o-Wilk: p&gt;0.05</w:t>
      </w:r>
      <w:r w:rsidR="00916FB5">
        <w:t xml:space="preserve"> in both cases</w:t>
      </w:r>
      <w:r w:rsidR="00D87519">
        <w:t>)</w:t>
      </w:r>
      <w:r w:rsidR="001C1F9E">
        <w:t>.</w:t>
      </w:r>
    </w:p>
    <w:p w14:paraId="150282C6" w14:textId="4EBBD3EB" w:rsidR="00166B47" w:rsidRPr="00DF652A" w:rsidRDefault="00D87519" w:rsidP="00A754EC">
      <w:pPr>
        <w:spacing w:line="36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BA75F3">
        <w:rPr>
          <w:i/>
          <w:iCs/>
        </w:rPr>
        <w:t>J</w:t>
      </w:r>
      <w:r w:rsidR="00BA75F3">
        <w:rPr>
          <w:vertAlign w:val="subscript"/>
        </w:rPr>
        <w:t>max25</w:t>
      </w:r>
      <w:r w:rsidR="00BA75F3">
        <w:t>:</w:t>
      </w:r>
      <w:r w:rsidR="00BA75F3">
        <w:rPr>
          <w:i/>
          <w:iCs/>
        </w:rPr>
        <w:t>V</w:t>
      </w:r>
      <w:r w:rsidR="00BA75F3">
        <w:rPr>
          <w:vertAlign w:val="subscript"/>
        </w:rPr>
        <w:t>cmax25</w:t>
      </w:r>
      <w:r w:rsidR="00BA75F3">
        <w:t>,</w:t>
      </w:r>
      <w:r w:rsidR="00BA75F3" w:rsidRPr="00086E13">
        <w:rPr>
          <w:i/>
          <w:iCs/>
        </w:rPr>
        <w:t xml:space="preserve"> </w:t>
      </w:r>
      <w:r w:rsidR="00BA75F3">
        <w:rPr>
          <w:i/>
          <w:iCs/>
        </w:rPr>
        <w:t>R</w:t>
      </w:r>
      <w:r w:rsidR="00BA75F3">
        <w:rPr>
          <w:vertAlign w:val="subscript"/>
        </w:rPr>
        <w:t>d25</w:t>
      </w:r>
      <w:r w:rsidR="00BA75F3">
        <w:t xml:space="preserve">, </w:t>
      </w:r>
      <w:proofErr w:type="spellStart"/>
      <w:r w:rsidR="00BA75F3" w:rsidRPr="00F45847">
        <w:rPr>
          <w:i/>
          <w:iCs/>
        </w:rPr>
        <w:t>iWUE</w:t>
      </w:r>
      <w:proofErr w:type="spellEnd"/>
      <w:r w:rsidR="00BA75F3">
        <w:t>,</w:t>
      </w:r>
      <w:r w:rsidR="00BA75F3" w:rsidRPr="00086E13">
        <w:rPr>
          <w:i/>
          <w:iCs/>
        </w:rPr>
        <w:t xml:space="preserve"> </w:t>
      </w:r>
      <w:proofErr w:type="spellStart"/>
      <w:r w:rsidR="00BA75F3">
        <w:rPr>
          <w:i/>
          <w:iCs/>
        </w:rPr>
        <w:t>N</w:t>
      </w:r>
      <w:r w:rsidR="00BA75F3">
        <w:rPr>
          <w:vertAlign w:val="subscript"/>
        </w:rPr>
        <w:t>area</w:t>
      </w:r>
      <w:r w:rsidR="00BA75F3">
        <w:t>:</w:t>
      </w:r>
      <w:r w:rsidR="00BA75F3" w:rsidRPr="00A55A19">
        <w:rPr>
          <w:i/>
          <w:iCs/>
        </w:rPr>
        <w:t>g</w:t>
      </w:r>
      <w:r w:rsidR="00BA75F3">
        <w:rPr>
          <w:vertAlign w:val="subscript"/>
        </w:rPr>
        <w:t>s</w:t>
      </w:r>
      <w:proofErr w:type="spellEnd"/>
      <w:r w:rsidR="00BA75F3">
        <w:t>,</w:t>
      </w:r>
      <w:r w:rsidR="00BA75F3" w:rsidRPr="00086E13">
        <w:rPr>
          <w:i/>
          <w:iCs/>
        </w:rPr>
        <w:t xml:space="preserve"> </w:t>
      </w:r>
      <w:proofErr w:type="spellStart"/>
      <w:r w:rsidR="00BA75F3">
        <w:rPr>
          <w:i/>
          <w:iCs/>
        </w:rPr>
        <w:t>V</w:t>
      </w:r>
      <w:r w:rsidR="00BA75F3">
        <w:rPr>
          <w:vertAlign w:val="subscript"/>
        </w:rPr>
        <w:t>cmax</w:t>
      </w:r>
      <w:r w:rsidR="00BA75F3">
        <w:t>:</w:t>
      </w:r>
      <w:r w:rsidR="00BA75F3">
        <w:rPr>
          <w:i/>
          <w:iCs/>
        </w:rPr>
        <w:t>g</w:t>
      </w:r>
      <w:r w:rsidR="00BA75F3">
        <w:rPr>
          <w:vertAlign w:val="subscript"/>
        </w:rPr>
        <w:t>s</w:t>
      </w:r>
      <w:proofErr w:type="spellEnd"/>
      <w:r w:rsidR="00BA75F3">
        <w:t xml:space="preserve">, </w:t>
      </w:r>
      <w:proofErr w:type="spellStart"/>
      <w:r w:rsidR="00DD0878">
        <w:rPr>
          <w:i/>
          <w:iCs/>
        </w:rPr>
        <w:t>N</w:t>
      </w:r>
      <w:r w:rsidR="00DD0878">
        <w:rPr>
          <w:vertAlign w:val="subscript"/>
        </w:rPr>
        <w:t>cost</w:t>
      </w:r>
      <w:proofErr w:type="spellEnd"/>
      <w:r w:rsidR="00BA75F3">
        <w:t xml:space="preserve">, </w:t>
      </w:r>
      <w:proofErr w:type="spellStart"/>
      <w:r w:rsidR="00DD0878">
        <w:rPr>
          <w:i/>
          <w:iCs/>
        </w:rPr>
        <w:t>C</w:t>
      </w:r>
      <w:r w:rsidR="00DD0878">
        <w:rPr>
          <w:vertAlign w:val="subscript"/>
        </w:rPr>
        <w:t>bg</w:t>
      </w:r>
      <w:proofErr w:type="spellEnd"/>
      <w:r w:rsidR="00BA75F3">
        <w:t>, and</w:t>
      </w:r>
      <w:r w:rsidR="00DD0878">
        <w:t xml:space="preserve"> </w:t>
      </w:r>
      <w:r w:rsidR="007D0701">
        <w:t>total leaf area</w:t>
      </w:r>
      <w:r w:rsidR="00E20C33">
        <w:t xml:space="preserve">, and </w:t>
      </w:r>
      <w:r w:rsidR="00166B47" w:rsidRPr="00166B47">
        <w:t xml:space="preserve">square root transformed </w:t>
      </w:r>
      <w:r w:rsidR="00AD6759">
        <w:t>root nodule biomass: root biomass and root nodule biomass</w:t>
      </w:r>
      <w:r w:rsidR="00166B47" w:rsidRPr="00166B47">
        <w:t>.</w:t>
      </w:r>
    </w:p>
    <w:p w14:paraId="0351CB86" w14:textId="7005C544" w:rsidR="004C3C71" w:rsidRDefault="00166B47" w:rsidP="00A754EC">
      <w:pPr>
        <w:spacing w:line="36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B21C7">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77777777" w:rsidR="00F073BB" w:rsidRPr="008D6E2F" w:rsidRDefault="00F073BB" w:rsidP="00A85036">
            <w:pPr>
              <w:spacing w:line="276" w:lineRule="auto"/>
              <w:rPr>
                <w:color w:val="000000"/>
                <w:sz w:val="22"/>
                <w:szCs w:val="22"/>
              </w:rPr>
            </w:pPr>
            <w:r w:rsidRPr="008D6E2F">
              <w:rPr>
                <w:color w:val="000000"/>
                <w:sz w:val="22"/>
                <w:szCs w:val="22"/>
              </w:rPr>
              <w:t>Specific leaf area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A754EC">
      <w:pPr>
        <w:spacing w:line="360" w:lineRule="auto"/>
      </w:pPr>
      <w:r>
        <w:rPr>
          <w:b/>
          <w:bCs/>
        </w:rPr>
        <w:lastRenderedPageBreak/>
        <w:t>Results</w:t>
      </w:r>
    </w:p>
    <w:p w14:paraId="5F2DF415" w14:textId="692DE05D" w:rsidR="00BA75F3" w:rsidRPr="00885391" w:rsidRDefault="00885391" w:rsidP="00A754EC">
      <w:pPr>
        <w:spacing w:line="360" w:lineRule="auto"/>
        <w:rPr>
          <w:i/>
          <w:iCs/>
        </w:rPr>
      </w:pPr>
      <w:r>
        <w:rPr>
          <w:i/>
          <w:iCs/>
        </w:rPr>
        <w:t>Leaf nitrogen allocation</w:t>
      </w:r>
    </w:p>
    <w:p w14:paraId="33395C09" w14:textId="0BCC734F" w:rsidR="00852AF7" w:rsidRDefault="00106FCE" w:rsidP="00A754EC">
      <w:pPr>
        <w:spacing w:line="36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918E7C7" w:rsidR="006C759F" w:rsidRDefault="00852AF7" w:rsidP="00A754EC">
      <w:pPr>
        <w:spacing w:line="360" w:lineRule="auto"/>
        <w:ind w:firstLine="720"/>
      </w:pPr>
      <w:r>
        <w:t>Specific leaf area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t xml:space="preserve"> had </w:t>
      </w:r>
      <w:r w:rsidR="00071365">
        <w:t>6.3</w:t>
      </w:r>
      <w:r>
        <w:t>% higher specific leaf area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t>Tukey: p</w:t>
      </w:r>
      <w:r w:rsidR="00071365">
        <w:t>=0.014</w:t>
      </w:r>
      <w:r>
        <w:t>)</w:t>
      </w:r>
      <w:r w:rsidR="00071365">
        <w:t>, while i</w:t>
      </w:r>
      <w:r>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t xml:space="preserve"> had </w:t>
      </w:r>
      <w:r w:rsidR="00071365">
        <w:t>4.2</w:t>
      </w:r>
      <w:r>
        <w:t>% higher specific leaf area 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Pr="00071365">
        <w:t>Tukey</w:t>
      </w:r>
      <w:r>
        <w:t>: p</w:t>
      </w:r>
      <w:r w:rsidR="00071365">
        <w:t>=0.095</w:t>
      </w:r>
      <w:r>
        <w:t>).</w:t>
      </w:r>
    </w:p>
    <w:p w14:paraId="29F60B81" w14:textId="36A986B5" w:rsidR="009E31F0" w:rsidRDefault="009E31F0" w:rsidP="00A85036">
      <w:pPr>
        <w:spacing w:line="480" w:lineRule="auto"/>
      </w:pPr>
      <w:r>
        <w:br w:type="page"/>
      </w:r>
    </w:p>
    <w:p w14:paraId="2F172692" w14:textId="0604FF9A" w:rsidR="008D6E2F" w:rsidRDefault="00BA75F3" w:rsidP="00A754EC">
      <w:pPr>
        <w:spacing w:line="36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77777777" w:rsidR="00BA75F3" w:rsidRPr="009515D2" w:rsidRDefault="00BA75F3" w:rsidP="00A85036">
            <w:pPr>
              <w:spacing w:line="276" w:lineRule="auto"/>
              <w:jc w:val="right"/>
              <w:rPr>
                <w:sz w:val="22"/>
                <w:szCs w:val="22"/>
              </w:rPr>
            </w:pPr>
            <w:r w:rsidRPr="009515D2">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A754EC">
      <w:pPr>
        <w:spacing w:line="360" w:lineRule="auto"/>
        <w:rPr>
          <w:vertAlign w:val="superscript"/>
        </w:rPr>
      </w:pPr>
    </w:p>
    <w:p w14:paraId="2F1D329D" w14:textId="4F2F8588" w:rsidR="009E31F0" w:rsidRDefault="00BA75F3" w:rsidP="00A754EC">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A754EC">
      <w:pPr>
        <w:spacing w:line="36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A754EC">
      <w:pPr>
        <w:spacing w:line="360" w:lineRule="auto"/>
      </w:pPr>
      <w:r>
        <w:rPr>
          <w:i/>
          <w:iCs/>
        </w:rPr>
        <w:lastRenderedPageBreak/>
        <w:t>Leaf photosynthesis</w:t>
      </w:r>
      <w:r w:rsidR="00AF1559">
        <w:rPr>
          <w:i/>
          <w:iCs/>
        </w:rPr>
        <w:t xml:space="preserve"> and gas exchange</w:t>
      </w:r>
    </w:p>
    <w:p w14:paraId="430AB314" w14:textId="31F03955" w:rsidR="002F0BBB" w:rsidRPr="002F0BBB" w:rsidRDefault="009E304C" w:rsidP="008D46B4">
      <w:pPr>
        <w:spacing w:line="36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3625960B" w14:textId="681F1E97" w:rsidR="0045096E" w:rsidRDefault="00BD310E" w:rsidP="00A754EC">
      <w:pPr>
        <w:spacing w:line="36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p>
    <w:p w14:paraId="457C183A" w14:textId="42DA25CC" w:rsidR="0045096E" w:rsidRDefault="0045096E" w:rsidP="00A754EC">
      <w:pPr>
        <w:spacing w:line="360" w:lineRule="auto"/>
        <w:ind w:firstLine="720"/>
      </w:pPr>
      <w:r w:rsidRPr="0045096E">
        <w:t>Increasing nitrogen fertilization generally had an XX effect on</w:t>
      </w:r>
      <w:r>
        <w:rPr>
          <w:i/>
          <w:iCs/>
        </w:rPr>
        <w:t xml:space="preserve">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Specifically, individuals grown under low nitrogen fertilization (0.0178 </w:t>
      </w:r>
      <w:r w:rsidRPr="008E75B9">
        <w:sym w:font="Symbol" w:char="F0B1"/>
      </w:r>
      <w:r>
        <w:t xml:space="preserve"> 0.0015) had XX% higher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than those grown under high nitrogen fertilization (0.0125 </w:t>
      </w:r>
      <w:r w:rsidRPr="008E75B9">
        <w:sym w:font="Symbol" w:char="F0B1"/>
      </w:r>
      <w:r>
        <w:t xml:space="preserve"> 0.0011; Tukey: p=0.005). There was no effect of inoculation or interaction between nitrogen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w:t>
      </w:r>
    </w:p>
    <w:p w14:paraId="596B3EE4" w14:textId="5F1E9CDE" w:rsidR="00E372EE" w:rsidRPr="00F00703" w:rsidRDefault="004654D8" w:rsidP="004654D8">
      <w:pPr>
        <w:spacing w:line="360" w:lineRule="auto"/>
        <w:ind w:firstLine="720"/>
      </w:pPr>
      <w:r>
        <w:t xml:space="preserve">Increasing nitrogen fertilization generally decreased </w:t>
      </w:r>
      <w:proofErr w:type="spellStart"/>
      <w:proofErr w:type="gramStart"/>
      <w:r>
        <w:rPr>
          <w:i/>
          <w:iCs/>
        </w:rPr>
        <w:t>g</w:t>
      </w:r>
      <w:r>
        <w:rPr>
          <w:vertAlign w:val="subscript"/>
        </w:rPr>
        <w:t>s</w:t>
      </w:r>
      <w:proofErr w:type="spellEnd"/>
      <w:r>
        <w:t>, but</w:t>
      </w:r>
      <w:proofErr w:type="gramEnd"/>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 xml:space="preserve">0.135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25.0</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180</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A85036">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A754EC">
      <w:pPr>
        <w:spacing w:line="36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9515D2" w:rsidRDefault="008D46B4" w:rsidP="00A85036">
            <w:pPr>
              <w:spacing w:line="276" w:lineRule="auto"/>
              <w:jc w:val="right"/>
              <w:rPr>
                <w:b/>
                <w:bCs/>
                <w:sz w:val="22"/>
                <w:szCs w:val="22"/>
              </w:rPr>
            </w:pPr>
            <w:r>
              <w:rPr>
                <w:b/>
                <w:b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8D46B4">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8D46B4">
        <w:tc>
          <w:tcPr>
            <w:tcW w:w="1980" w:type="dxa"/>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33651D">
        <w:tc>
          <w:tcPr>
            <w:tcW w:w="1980" w:type="dxa"/>
          </w:tcPr>
          <w:p w14:paraId="1A9D825A" w14:textId="77777777" w:rsidR="004B1EA4" w:rsidRPr="009515D2" w:rsidRDefault="004B1EA4" w:rsidP="00A85036">
            <w:pPr>
              <w:spacing w:line="276" w:lineRule="auto"/>
              <w:jc w:val="right"/>
              <w:rPr>
                <w:sz w:val="22"/>
                <w:szCs w:val="22"/>
              </w:rPr>
            </w:pPr>
          </w:p>
        </w:tc>
        <w:tc>
          <w:tcPr>
            <w:tcW w:w="536" w:type="dxa"/>
          </w:tcPr>
          <w:p w14:paraId="279E6813" w14:textId="77777777" w:rsidR="004B1EA4" w:rsidRPr="009515D2" w:rsidRDefault="004B1EA4" w:rsidP="00A85036">
            <w:pPr>
              <w:spacing w:line="276" w:lineRule="auto"/>
              <w:jc w:val="right"/>
              <w:rPr>
                <w:sz w:val="22"/>
                <w:szCs w:val="22"/>
              </w:rPr>
            </w:pPr>
          </w:p>
        </w:tc>
        <w:tc>
          <w:tcPr>
            <w:tcW w:w="996" w:type="dxa"/>
          </w:tcPr>
          <w:p w14:paraId="030B6F48" w14:textId="77777777" w:rsidR="004B1EA4" w:rsidRPr="009515D2" w:rsidRDefault="004B1EA4" w:rsidP="00A85036">
            <w:pPr>
              <w:spacing w:line="276" w:lineRule="auto"/>
              <w:jc w:val="right"/>
              <w:rPr>
                <w:sz w:val="22"/>
                <w:szCs w:val="22"/>
              </w:rPr>
            </w:pPr>
          </w:p>
        </w:tc>
        <w:tc>
          <w:tcPr>
            <w:tcW w:w="1012" w:type="dxa"/>
          </w:tcPr>
          <w:p w14:paraId="68B8D07B" w14:textId="77777777" w:rsidR="004B1EA4" w:rsidRPr="009515D2" w:rsidRDefault="004B1EA4" w:rsidP="00A85036">
            <w:pPr>
              <w:spacing w:line="276" w:lineRule="auto"/>
              <w:jc w:val="right"/>
              <w:rPr>
                <w:sz w:val="22"/>
                <w:szCs w:val="22"/>
              </w:rPr>
            </w:pPr>
          </w:p>
        </w:tc>
        <w:tc>
          <w:tcPr>
            <w:tcW w:w="996" w:type="dxa"/>
          </w:tcPr>
          <w:p w14:paraId="1522E8CA" w14:textId="77777777" w:rsidR="004B1EA4" w:rsidRPr="009515D2" w:rsidRDefault="004B1EA4" w:rsidP="00A85036">
            <w:pPr>
              <w:spacing w:line="276" w:lineRule="auto"/>
              <w:jc w:val="right"/>
              <w:rPr>
                <w:sz w:val="22"/>
                <w:szCs w:val="22"/>
              </w:rPr>
            </w:pPr>
          </w:p>
        </w:tc>
        <w:tc>
          <w:tcPr>
            <w:tcW w:w="1013" w:type="dxa"/>
          </w:tcPr>
          <w:p w14:paraId="7749394A" w14:textId="77777777" w:rsidR="004B1EA4" w:rsidRPr="009515D2" w:rsidRDefault="004B1EA4" w:rsidP="00A85036">
            <w:pPr>
              <w:spacing w:line="276" w:lineRule="auto"/>
              <w:jc w:val="right"/>
              <w:rPr>
                <w:sz w:val="22"/>
                <w:szCs w:val="22"/>
              </w:rPr>
            </w:pPr>
          </w:p>
        </w:tc>
        <w:tc>
          <w:tcPr>
            <w:tcW w:w="996" w:type="dxa"/>
          </w:tcPr>
          <w:p w14:paraId="4F27B6A8" w14:textId="77777777" w:rsidR="004B1EA4" w:rsidRPr="009515D2" w:rsidRDefault="004B1EA4" w:rsidP="00A85036">
            <w:pPr>
              <w:spacing w:line="276" w:lineRule="auto"/>
              <w:jc w:val="right"/>
              <w:rPr>
                <w:sz w:val="22"/>
                <w:szCs w:val="22"/>
              </w:rPr>
            </w:pPr>
          </w:p>
        </w:tc>
        <w:tc>
          <w:tcPr>
            <w:tcW w:w="1013" w:type="dxa"/>
          </w:tcPr>
          <w:p w14:paraId="41971EBA" w14:textId="77777777" w:rsidR="004B1EA4" w:rsidRPr="009515D2" w:rsidRDefault="004B1EA4" w:rsidP="00A85036">
            <w:pPr>
              <w:spacing w:line="276" w:lineRule="auto"/>
              <w:jc w:val="right"/>
              <w:rPr>
                <w:sz w:val="22"/>
                <w:szCs w:val="22"/>
              </w:rPr>
            </w:pPr>
          </w:p>
        </w:tc>
        <w:tc>
          <w:tcPr>
            <w:tcW w:w="996" w:type="dxa"/>
          </w:tcPr>
          <w:p w14:paraId="5D829B49" w14:textId="77777777" w:rsidR="004B1EA4" w:rsidRPr="009515D2" w:rsidRDefault="004B1EA4" w:rsidP="00A85036">
            <w:pPr>
              <w:spacing w:line="276" w:lineRule="auto"/>
              <w:jc w:val="right"/>
              <w:rPr>
                <w:sz w:val="22"/>
                <w:szCs w:val="22"/>
              </w:rPr>
            </w:pPr>
          </w:p>
        </w:tc>
        <w:tc>
          <w:tcPr>
            <w:tcW w:w="1013" w:type="dxa"/>
          </w:tcPr>
          <w:p w14:paraId="768C37ED" w14:textId="77777777" w:rsidR="004B1EA4" w:rsidRPr="009515D2" w:rsidRDefault="004B1EA4" w:rsidP="00A85036">
            <w:pPr>
              <w:spacing w:line="276" w:lineRule="auto"/>
              <w:jc w:val="right"/>
              <w:rPr>
                <w:sz w:val="22"/>
                <w:szCs w:val="22"/>
              </w:rPr>
            </w:pPr>
          </w:p>
        </w:tc>
        <w:tc>
          <w:tcPr>
            <w:tcW w:w="996" w:type="dxa"/>
          </w:tcPr>
          <w:p w14:paraId="7C4A7B53" w14:textId="77777777" w:rsidR="004B1EA4" w:rsidRPr="009515D2" w:rsidRDefault="004B1EA4" w:rsidP="00A85036">
            <w:pPr>
              <w:spacing w:line="276" w:lineRule="auto"/>
              <w:jc w:val="right"/>
              <w:rPr>
                <w:sz w:val="22"/>
                <w:szCs w:val="22"/>
              </w:rPr>
            </w:pPr>
          </w:p>
        </w:tc>
        <w:tc>
          <w:tcPr>
            <w:tcW w:w="876" w:type="dxa"/>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4B1EA4">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4B1EA4">
        <w:tc>
          <w:tcPr>
            <w:tcW w:w="1980" w:type="dxa"/>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A754EC">
      <w:pPr>
        <w:spacing w:line="36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A754EC">
      <w:pPr>
        <w:spacing w:line="36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A754EC">
      <w:pPr>
        <w:spacing w:line="360" w:lineRule="auto"/>
        <w:rPr>
          <w:i/>
          <w:iCs/>
        </w:rPr>
      </w:pPr>
      <w:r>
        <w:rPr>
          <w:i/>
          <w:iCs/>
        </w:rPr>
        <w:lastRenderedPageBreak/>
        <w:t>Tradeoffs between nitrogen and water usage</w:t>
      </w:r>
    </w:p>
    <w:p w14:paraId="192E5AB2" w14:textId="04B0E18A" w:rsidR="00C377A1" w:rsidRDefault="00957D32" w:rsidP="00A754EC">
      <w:pPr>
        <w:spacing w:line="36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C24060">
      <w:pPr>
        <w:spacing w:line="36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EA4E30">
      <w:pPr>
        <w:spacing w:line="36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A754EC">
      <w:pPr>
        <w:spacing w:line="36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A754EC">
      <w:pPr>
        <w:spacing w:line="36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515D2" w:rsidRDefault="000C5833" w:rsidP="00A85036">
            <w:pPr>
              <w:spacing w:line="276" w:lineRule="auto"/>
              <w:jc w:val="right"/>
              <w:rPr>
                <w:b/>
                <w:bCs/>
                <w:sz w:val="22"/>
                <w:szCs w:val="22"/>
              </w:rPr>
            </w:pPr>
            <w:r>
              <w:rPr>
                <w:b/>
                <w:bCs/>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A754EC">
      <w:pPr>
        <w:spacing w:line="36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A85036">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A754EC">
      <w:pPr>
        <w:spacing w:line="360" w:lineRule="auto"/>
        <w:rPr>
          <w:b/>
          <w:bCs/>
        </w:rPr>
      </w:pPr>
      <w:r>
        <w:rPr>
          <w:b/>
          <w:bCs/>
        </w:rPr>
        <w:lastRenderedPageBreak/>
        <w:t>Figure 3</w:t>
      </w:r>
    </w:p>
    <w:p w14:paraId="4BD407F2" w14:textId="28F60E05" w:rsidR="005F0602" w:rsidRDefault="0029276A" w:rsidP="00A754EC">
      <w:pPr>
        <w:spacing w:line="36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A754EC">
      <w:pPr>
        <w:spacing w:line="360" w:lineRule="auto"/>
        <w:rPr>
          <w:b/>
          <w:bCs/>
        </w:rPr>
      </w:pPr>
    </w:p>
    <w:p w14:paraId="66818DBC" w14:textId="7E06DC79" w:rsidR="005F0602" w:rsidRPr="00C4037A" w:rsidRDefault="00C4037A" w:rsidP="00A754EC">
      <w:pPr>
        <w:spacing w:line="36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A754EC">
      <w:pPr>
        <w:spacing w:line="360" w:lineRule="auto"/>
      </w:pPr>
      <w:r>
        <w:rPr>
          <w:i/>
          <w:iCs/>
        </w:rPr>
        <w:lastRenderedPageBreak/>
        <w:t>Structural carbon costs to acquire nitrogen</w:t>
      </w:r>
    </w:p>
    <w:p w14:paraId="6375127F" w14:textId="5EA53E62" w:rsidR="00FE31B0" w:rsidRDefault="009A60BD" w:rsidP="00A754EC">
      <w:pPr>
        <w:spacing w:line="360" w:lineRule="auto"/>
        <w:ind w:firstLine="720"/>
      </w:pPr>
      <w:r>
        <w:t xml:space="preserve">Structural carbon costs to acquire nitrogen were </w:t>
      </w:r>
      <w:r w:rsidR="00751149">
        <w:t xml:space="preserve">driven by a strong interaction between nitrogen fertilization and inoculation </w:t>
      </w:r>
      <w:r>
        <w:t xml:space="preserve">(Table </w:t>
      </w:r>
      <w:r w:rsidR="00EB0C0F">
        <w:t>5</w:t>
      </w:r>
      <w:r>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structural carbon costs to acquire nitrogen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 with no difference between inoculation treatments under high nitrogen fertilization (Tukey: p=0.597). Nitrogen fertilization also decreased structural carbon costs to acquire nitrogen,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structural carbon costs to acquire nitrogen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structural carbon costs to acquire nitrogen, where inoculated individuals (2.24 </w:t>
      </w:r>
      <w:r w:rsidR="00696F09" w:rsidRPr="008E75B9">
        <w:sym w:font="Symbol" w:char="F0B1"/>
      </w:r>
      <w:r w:rsidR="00696F09">
        <w:t xml:space="preserve"> 0.26 g C g</w:t>
      </w:r>
      <w:r w:rsidR="00696F09">
        <w:rPr>
          <w:vertAlign w:val="superscript"/>
        </w:rPr>
        <w:t>-1</w:t>
      </w:r>
      <w:r w:rsidR="00696F09">
        <w:t xml:space="preserve"> N) had 91.5% lower structural carbon costs to acquire nitrogen than 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77777777" w:rsidR="00322974" w:rsidRDefault="00696F09" w:rsidP="00A754EC">
      <w:pPr>
        <w:spacing w:line="360" w:lineRule="auto"/>
        <w:ind w:firstLine="720"/>
      </w:pPr>
      <w:r>
        <w:t>Belowground carbon biomass</w:t>
      </w:r>
      <w:r w:rsidR="00FF5B3D">
        <w:t xml:space="preserve"> (numerator of carbon cost to acquire nitrogen calculation)</w:t>
      </w:r>
      <w:r>
        <w:t xml:space="preserve"> was driven by a weak inoculation effect that indicated a negative effect of inoculation</w:t>
      </w:r>
      <w:r w:rsidR="00FF5B3D">
        <w:t xml:space="preserve"> (Table 5; Fig. 4B)</w:t>
      </w:r>
      <w:r>
        <w:t>. Specifically, inoculated individuals</w:t>
      </w:r>
      <w:r w:rsidR="00FF5B3D">
        <w:t xml:space="preserve"> (0.295 </w:t>
      </w:r>
      <w:r w:rsidR="00FF5B3D" w:rsidRPr="008E75B9">
        <w:sym w:font="Symbol" w:char="F0B1"/>
      </w:r>
      <w:r w:rsidR="00FF5B3D">
        <w:t xml:space="preserve"> 0.037 g C)</w:t>
      </w:r>
      <w:r>
        <w:t xml:space="preserve"> had </w:t>
      </w:r>
      <w:r w:rsidR="00FF5B3D">
        <w:t>29.9</w:t>
      </w:r>
      <w:r>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interaction between nitrogen fertilization and inoculation</w:t>
      </w:r>
      <w:r w:rsidR="009A60BD">
        <w:t xml:space="preserve"> (Table </w:t>
      </w:r>
      <w:r w:rsidR="00EB0C0F">
        <w:t>5</w:t>
      </w:r>
      <w:r w:rsidR="009A60BD">
        <w:t>).</w:t>
      </w:r>
      <w:r w:rsidR="00602B12">
        <w:t xml:space="preserve"> </w:t>
      </w:r>
    </w:p>
    <w:p w14:paraId="28D0E67D" w14:textId="57F726F1" w:rsidR="00FF5B3D" w:rsidRDefault="00FF5B3D" w:rsidP="00A754EC">
      <w:pPr>
        <w:spacing w:line="360" w:lineRule="auto"/>
        <w:ind w:firstLine="720"/>
      </w:pPr>
      <w:r>
        <w:t>Whole plant nitrogen biomass (denominator of carbon cost to acquire nitrogen calculation), on the other hand,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 xml:space="preserve">N; Tukey: p&lt;0.001). Inoculation increased whole plant nitrogen biomass, where </w:t>
      </w:r>
      <w:r>
        <w:lastRenderedPageBreak/>
        <w:t>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4E9265F9" w14:textId="77777777" w:rsidR="00AF1559" w:rsidRDefault="00AF1559" w:rsidP="00A85036">
      <w:pPr>
        <w:spacing w:line="480" w:lineRule="auto"/>
      </w:pP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A754EC">
      <w:pPr>
        <w:spacing w:line="36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A754EC">
      <w:pPr>
        <w:spacing w:line="360" w:lineRule="auto"/>
      </w:pPr>
    </w:p>
    <w:p w14:paraId="48106999" w14:textId="56CD0B70" w:rsidR="00451ED1" w:rsidRDefault="00AF1559" w:rsidP="00A754EC">
      <w:pPr>
        <w:spacing w:line="36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A85036">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A754EC">
      <w:pPr>
        <w:spacing w:line="36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A754EC">
      <w:pPr>
        <w:spacing w:line="360" w:lineRule="auto"/>
        <w:rPr>
          <w:b/>
          <w:bCs/>
        </w:rPr>
      </w:pPr>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D1DB75B" w14:textId="77777777" w:rsidR="002D044D" w:rsidRDefault="002D044D" w:rsidP="00A754EC">
      <w:pPr>
        <w:spacing w:line="360" w:lineRule="auto"/>
        <w:rPr>
          <w:b/>
          <w:bCs/>
        </w:rPr>
      </w:pPr>
    </w:p>
    <w:p w14:paraId="1075F7F5" w14:textId="5A423FD9" w:rsidR="00A13B09" w:rsidRDefault="00451ED1" w:rsidP="00A754EC">
      <w:pPr>
        <w:spacing w:line="36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proofErr w:type="spellStart"/>
      <w:r w:rsidR="00F073BB">
        <w:rPr>
          <w:i/>
          <w:iCs/>
        </w:rPr>
        <w:t>N</w:t>
      </w:r>
      <w:r w:rsidR="00F073BB">
        <w:rPr>
          <w:vertAlign w:val="subscript"/>
        </w:rPr>
        <w:t>wp</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A754EC">
      <w:pPr>
        <w:spacing w:line="360" w:lineRule="auto"/>
        <w:rPr>
          <w:i/>
          <w:iCs/>
        </w:rPr>
      </w:pPr>
      <w:r w:rsidRPr="00322974">
        <w:rPr>
          <w:i/>
          <w:iCs/>
        </w:rPr>
        <w:lastRenderedPageBreak/>
        <w:t>Whole plant processes</w:t>
      </w:r>
    </w:p>
    <w:p w14:paraId="72440B67" w14:textId="597941C4" w:rsidR="0091473E" w:rsidRDefault="00322974" w:rsidP="00A754EC">
      <w:pPr>
        <w:spacing w:line="36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A754EC">
      <w:pPr>
        <w:spacing w:line="36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A754EC">
      <w:pPr>
        <w:spacing w:line="360" w:lineRule="auto"/>
        <w:rPr>
          <w:b/>
          <w:bCs/>
        </w:rPr>
      </w:pPr>
      <w:r>
        <w:rPr>
          <w:b/>
          <w:bCs/>
        </w:rPr>
        <w:lastRenderedPageBreak/>
        <w:t>Figure 5</w:t>
      </w:r>
    </w:p>
    <w:p w14:paraId="3B288970" w14:textId="6B89E95F" w:rsidR="00772287" w:rsidRDefault="0029276A" w:rsidP="00A754EC">
      <w:pPr>
        <w:spacing w:line="36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A754EC">
      <w:pPr>
        <w:spacing w:line="36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A754EC">
      <w:pPr>
        <w:spacing w:line="36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A754EC">
      <w:pPr>
        <w:spacing w:line="36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A754EC">
      <w:pPr>
        <w:spacing w:line="360" w:lineRule="auto"/>
        <w:rPr>
          <w:b/>
          <w:bCs/>
        </w:rPr>
      </w:pPr>
      <w:r w:rsidRPr="001B21C7">
        <w:rPr>
          <w:b/>
          <w:bCs/>
        </w:rPr>
        <w:lastRenderedPageBreak/>
        <w:t>Figure 6</w:t>
      </w:r>
    </w:p>
    <w:p w14:paraId="2F736942" w14:textId="52941622" w:rsidR="001B21C7" w:rsidRDefault="0029276A" w:rsidP="00A754EC">
      <w:pPr>
        <w:spacing w:line="36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A754EC">
      <w:pPr>
        <w:spacing w:line="360" w:lineRule="auto"/>
        <w:rPr>
          <w:b/>
          <w:bCs/>
        </w:rPr>
      </w:pPr>
    </w:p>
    <w:p w14:paraId="1DB54CCA" w14:textId="63DC048A" w:rsidR="001B21C7" w:rsidRPr="00FF7DD5" w:rsidRDefault="001B21C7" w:rsidP="00A754EC">
      <w:pPr>
        <w:spacing w:line="36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5A31A2DE" w:rsidR="004035F7" w:rsidRDefault="004035F7" w:rsidP="00A754EC">
      <w:pPr>
        <w:spacing w:line="360" w:lineRule="auto"/>
        <w:ind w:firstLine="720"/>
      </w:pPr>
      <w:r>
        <w:t xml:space="preserve">Photosynthetic least-cost theory suggests that plants can acclimate to growing conditions by minimizing the summed costs of nitrogen and water use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A85036">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Pr="007E5400">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Pr="00A85036">
        <w:rPr>
          <w:noProof/>
        </w:rPr>
        <w:t>(Brzostek et al., 2014; Perkowski et al., 2021; Terrer et al., 2018)</w:t>
      </w:r>
      <w:r>
        <w:fldChar w:fldCharType="end"/>
      </w:r>
      <w:r>
        <w:t xml:space="preserve"> and may depend on whole plant nutrient demand to build and maintain structures that support whole plant growth </w:t>
      </w:r>
      <w:r>
        <w:fldChar w:fldCharType="begin" w:fldLock="1"/>
      </w:r>
      <w: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Pr="007E5400">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6B96051C" w14:textId="03B2EC9F" w:rsidR="004035F7" w:rsidRDefault="004035F7" w:rsidP="00A754EC">
      <w:pPr>
        <w:spacing w:line="360" w:lineRule="auto"/>
        <w:ind w:firstLine="720"/>
      </w:pPr>
      <w:r>
        <w:t>Our results support water-nitrogen</w:t>
      </w:r>
      <w:r w:rsidR="00272E59">
        <w:t xml:space="preserve"> use</w:t>
      </w:r>
      <w:r>
        <w:t xml:space="preserve"> tradeoffs expected from photosynthetic least-cost theory in response to soil nitrogen availability. Specifically, we observed </w:t>
      </w:r>
      <w:r w:rsidR="003F2A85">
        <w:t>a slight stimulation in leaf nitrogen allocation and reduction in stomatal conductance</w:t>
      </w:r>
      <w:r>
        <w:t xml:space="preserve"> with increasing nitrogen fertilization, which</w:t>
      </w:r>
      <w:r w:rsidR="003F2A85">
        <w:t xml:space="preserve"> corresponded with a reduction in photosynthetic nitrogen-use efficiency and stimulation in intrinsic water-use efficiency. </w:t>
      </w:r>
      <w:r w:rsidR="00272E59">
        <w:t xml:space="preserve">However, except for a stimulation in leaf nitrogen allocation and leaf nitrogen content for inoculated individuals grown under low nitrogen fertilization, there was no effect of inoculation with </w:t>
      </w:r>
      <w:r>
        <w:rPr>
          <w:i/>
          <w:iCs/>
        </w:rPr>
        <w:t>B. japon</w:t>
      </w:r>
      <w:r w:rsidR="00272E59">
        <w:rPr>
          <w:i/>
          <w:iCs/>
        </w:rPr>
        <w:t>i</w:t>
      </w:r>
      <w:r>
        <w:rPr>
          <w:i/>
          <w:iCs/>
        </w:rPr>
        <w:t>cum</w:t>
      </w:r>
      <w:r>
        <w:t xml:space="preserve"> on</w:t>
      </w:r>
      <w:r w:rsidR="00272E59">
        <w:t xml:space="preserve"> leaf</w:t>
      </w:r>
      <w:r>
        <w:t xml:space="preserve"> </w:t>
      </w:r>
      <w:r w:rsidR="00272E59">
        <w:t xml:space="preserve">traits commonly associated with </w:t>
      </w:r>
      <w:r>
        <w:t>nitrogen-water use tradeoffs</w:t>
      </w:r>
      <w:r w:rsidR="00272E59">
        <w:t>.</w:t>
      </w:r>
    </w:p>
    <w:p w14:paraId="7FAB9327" w14:textId="77777777" w:rsidR="009E304C" w:rsidRDefault="009E304C" w:rsidP="00A754EC">
      <w:pPr>
        <w:spacing w:line="360" w:lineRule="auto"/>
        <w:ind w:firstLine="720"/>
      </w:pPr>
      <w:r>
        <w:t xml:space="preserve">While we did find support for </w:t>
      </w:r>
      <w:r w:rsidR="00272E59">
        <w:t xml:space="preserve">nitrogen-water use tradeoffs one might expect in response to increasing soil nitrogen fertilization, </w:t>
      </w:r>
      <w:r>
        <w:t xml:space="preserve">we also observed a strong whole plant growth response to soil nitrogen fertilization. Specifically, </w:t>
      </w:r>
      <w:r w:rsidR="00272E59">
        <w:t>increasing soil nitrogen fertilization led to an XX% stimulation in total leaf area and XX% stimulation in whole plant biomass when averaged across inoculation treatments</w:t>
      </w:r>
      <w:r>
        <w:t>, compared to an XX% reduction in leaf photosynthesis and XX% stimulation in leaf nitrogen allocation</w:t>
      </w:r>
      <w:r w:rsidR="00272E59">
        <w:t>.</w:t>
      </w:r>
      <w:r>
        <w:t xml:space="preserve"> </w:t>
      </w:r>
    </w:p>
    <w:p w14:paraId="3EC400B9" w14:textId="77777777" w:rsidR="009E304C" w:rsidRDefault="009E304C" w:rsidP="00A754EC">
      <w:pPr>
        <w:spacing w:line="360" w:lineRule="auto"/>
        <w:ind w:firstLine="720"/>
      </w:pPr>
    </w:p>
    <w:p w14:paraId="6D6E3C68" w14:textId="665750CF" w:rsidR="004035F7" w:rsidRDefault="009E304C" w:rsidP="00A754EC">
      <w:pPr>
        <w:spacing w:line="360" w:lineRule="auto"/>
        <w:ind w:firstLine="720"/>
      </w:pPr>
      <w:r>
        <w:lastRenderedPageBreak/>
        <w:t>These results suggest that the weak nitrogen-water use tradeoffs explained in the previous paragraph may have been facilitated by an XX% reduction in the carbon cost of nitrogen acquisition</w:t>
      </w:r>
    </w:p>
    <w:p w14:paraId="280C3A40" w14:textId="77777777" w:rsidR="004035F7" w:rsidRDefault="004035F7" w:rsidP="00A754EC">
      <w:pPr>
        <w:spacing w:line="360" w:lineRule="auto"/>
        <w:ind w:firstLine="720"/>
      </w:pPr>
    </w:p>
    <w:p w14:paraId="32E96B1A" w14:textId="77777777" w:rsidR="004035F7" w:rsidRDefault="004035F7" w:rsidP="00A754EC">
      <w:pPr>
        <w:spacing w:line="360" w:lineRule="auto"/>
        <w:ind w:firstLine="720"/>
      </w:pPr>
    </w:p>
    <w:p w14:paraId="2442D56C" w14:textId="78CEDC61" w:rsidR="004035F7" w:rsidRPr="004035F7" w:rsidRDefault="003F2A85" w:rsidP="00A754EC">
      <w:pPr>
        <w:spacing w:line="360" w:lineRule="auto"/>
        <w:ind w:firstLine="720"/>
      </w:pPr>
      <w:r>
        <w:t xml:space="preserve">However, these tradeoffs corresponded with strong </w:t>
      </w:r>
      <w:r w:rsidR="004035F7">
        <w:t xml:space="preserve">total leaf area and whole plant biomass </w:t>
      </w:r>
      <w:r>
        <w:t>responses to soil nitrogen fertilization</w:t>
      </w:r>
      <w:r w:rsidR="004035F7">
        <w:t xml:space="preserve">, and there was no effect of inoculation with </w:t>
      </w:r>
      <w:r w:rsidR="004035F7">
        <w:rPr>
          <w:i/>
          <w:iCs/>
        </w:rPr>
        <w:t>B. japonicum</w:t>
      </w:r>
    </w:p>
    <w:p w14:paraId="4672B9F4" w14:textId="77777777" w:rsidR="004035F7" w:rsidRDefault="004035F7" w:rsidP="00A754EC">
      <w:pPr>
        <w:spacing w:line="360" w:lineRule="auto"/>
        <w:ind w:firstLine="720"/>
      </w:pPr>
    </w:p>
    <w:p w14:paraId="06446341" w14:textId="77777777" w:rsidR="004035F7" w:rsidRDefault="004035F7" w:rsidP="00A754EC">
      <w:pPr>
        <w:spacing w:line="360" w:lineRule="auto"/>
        <w:ind w:firstLine="720"/>
      </w:pPr>
    </w:p>
    <w:p w14:paraId="5F57895C" w14:textId="77777777" w:rsidR="004035F7" w:rsidRDefault="004035F7" w:rsidP="00A754EC">
      <w:pPr>
        <w:spacing w:line="360" w:lineRule="auto"/>
        <w:ind w:firstLine="720"/>
      </w:pPr>
    </w:p>
    <w:p w14:paraId="0C27B5CB" w14:textId="093F6021" w:rsidR="003F2A85" w:rsidRDefault="003F2A85" w:rsidP="00A754EC">
      <w:pPr>
        <w:spacing w:line="360" w:lineRule="auto"/>
        <w:ind w:firstLine="720"/>
      </w:pPr>
      <w:r>
        <w:t xml:space="preserve">and a strong stimulation in </w:t>
      </w:r>
      <w:r w:rsidR="004035F7">
        <w:t xml:space="preserve">total leaf area in inoculated individuals grown under low nitrogen fertilization, suggesting a possible tradeoff between leaf demand to build and maintain photosynthetic machinery and whole </w:t>
      </w:r>
      <w:proofErr w:type="spellStart"/>
      <w:r w:rsidR="004035F7">
        <w:t>platn</w:t>
      </w:r>
      <w:proofErr w:type="spellEnd"/>
      <w:r w:rsidR="004035F7">
        <w:t xml:space="preserve"> demand to build and maintain structures that support whole plant growth. Our results suggest that symbioses with nitrogen-fixing bacteria did not modify nitrogen-water use tradeoffs</w:t>
      </w:r>
    </w:p>
    <w:p w14:paraId="21F6E7E4" w14:textId="77777777" w:rsidR="003F2A85" w:rsidRDefault="003F2A85" w:rsidP="00A754EC">
      <w:pPr>
        <w:spacing w:line="360" w:lineRule="auto"/>
        <w:ind w:firstLine="720"/>
      </w:pPr>
    </w:p>
    <w:p w14:paraId="5EA63AA7" w14:textId="77777777" w:rsidR="003F2A85" w:rsidRDefault="003F2A85" w:rsidP="00A754EC">
      <w:pPr>
        <w:spacing w:line="360" w:lineRule="auto"/>
        <w:ind w:firstLine="720"/>
      </w:pPr>
    </w:p>
    <w:p w14:paraId="4DFB3A8C" w14:textId="7AC1249B" w:rsidR="00293580" w:rsidRDefault="00BE2568" w:rsidP="00A754EC">
      <w:pPr>
        <w:spacing w:line="360" w:lineRule="auto"/>
        <w:ind w:firstLine="720"/>
      </w:pPr>
      <w:r>
        <w:t xml:space="preserve">Photosynthetic least-cost theory suggests that plants </w:t>
      </w:r>
      <w:r w:rsidR="00A85036">
        <w:t xml:space="preserve">can </w:t>
      </w:r>
      <w:r>
        <w:t>acclimate to growing conditions by minimizing the summed costs of nitrogen and water use</w:t>
      </w:r>
      <w:r w:rsidR="00A85036">
        <w:t xml:space="preserve"> </w:t>
      </w:r>
      <w:r w:rsidR="00A85036">
        <w:fldChar w:fldCharType="begin" w:fldLock="1"/>
      </w:r>
      <w:r w:rsidR="007E5400">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00A85036">
        <w:fldChar w:fldCharType="separate"/>
      </w:r>
      <w:r w:rsidR="00A85036" w:rsidRPr="00A85036">
        <w:rPr>
          <w:noProof/>
        </w:rPr>
        <w:t>(Prentice et al., 2014; Wright et al., 2003)</w:t>
      </w:r>
      <w:r w:rsidR="00A85036">
        <w:fldChar w:fldCharType="end"/>
      </w:r>
      <w:r>
        <w:t>. All else equal, the theory predicts that an increase in soil nitrogen availability should increase in water use efficiency and decrease in nitrogen use efficiency through an increase in leaf nitrogen allocation per stomatal conductance</w:t>
      </w:r>
      <w:r w:rsidR="007E5400">
        <w:t xml:space="preserve"> </w:t>
      </w:r>
      <w:r w:rsidR="007E5400">
        <w:fldChar w:fldCharType="begin" w:fldLock="1"/>
      </w:r>
      <w:r w:rsidR="007B1AFE">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rsidR="007E5400">
        <w:fldChar w:fldCharType="separate"/>
      </w:r>
      <w:r w:rsidR="007E5400" w:rsidRPr="007E5400">
        <w:rPr>
          <w:noProof/>
        </w:rPr>
        <w:t>(Paillassa et al., 2020)</w:t>
      </w:r>
      <w:r w:rsidR="007E5400">
        <w:fldChar w:fldCharType="end"/>
      </w:r>
      <w:r>
        <w:t>. However, the cost of nutrient use, and therefore the magnitude of nitrogen-water use tradeoffs, might vary in species different nutrient acquisition strategies</w:t>
      </w:r>
      <w:r w:rsidR="007E5400">
        <w:t xml:space="preserve"> due to differential costs of nutrient acquisition</w:t>
      </w:r>
      <w:r w:rsidR="00A85036">
        <w:t xml:space="preserve"> </w:t>
      </w:r>
      <w:r w:rsidR="00A85036">
        <w:fldChar w:fldCharType="begin" w:fldLock="1"/>
      </w:r>
      <w:r w:rsidR="00A85036">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A85036">
        <w:fldChar w:fldCharType="separate"/>
      </w:r>
      <w:r w:rsidR="00A85036" w:rsidRPr="00A85036">
        <w:rPr>
          <w:noProof/>
        </w:rPr>
        <w:t>(Brzostek et al., 2014; Perkowski et al., 2021; Terrer et al., 2018)</w:t>
      </w:r>
      <w:r w:rsidR="00A85036">
        <w:fldChar w:fldCharType="end"/>
      </w:r>
      <w:r>
        <w:t xml:space="preserve"> and may depend on whole plant nutrient demand</w:t>
      </w:r>
      <w:r w:rsidR="00956882">
        <w:t xml:space="preserve"> to build and maintain structures that support whole plant growth</w:t>
      </w:r>
      <w:r w:rsidR="007E5400">
        <w:t xml:space="preserve"> </w:t>
      </w:r>
      <w:r w:rsidR="007E5400">
        <w:fldChar w:fldCharType="begin" w:fldLock="1"/>
      </w:r>
      <w:r w:rsidR="007E5400">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rsidR="007E5400">
        <w:fldChar w:fldCharType="separate"/>
      </w:r>
      <w:r w:rsidR="007E5400" w:rsidRPr="007E5400">
        <w:rPr>
          <w:noProof/>
        </w:rPr>
        <w:t>(LeBauer &amp; Treseder, 2008; Liang et al., 2020)</w:t>
      </w:r>
      <w:r w:rsidR="007E5400">
        <w:fldChar w:fldCharType="end"/>
      </w:r>
      <w:r>
        <w:t>.</w:t>
      </w:r>
      <w:r w:rsidR="00956882">
        <w:t xml:space="preserve"> In this experiment, we grew </w:t>
      </w:r>
      <w:r w:rsidR="00956882">
        <w:rPr>
          <w:i/>
          <w:iCs/>
        </w:rPr>
        <w:t>G. max</w:t>
      </w:r>
      <w:r w:rsidR="00956882">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 </w:t>
      </w:r>
    </w:p>
    <w:p w14:paraId="2EAE4A1A" w14:textId="37E5D48A" w:rsidR="00956882" w:rsidRDefault="00956882" w:rsidP="00A754EC">
      <w:pPr>
        <w:spacing w:line="360" w:lineRule="auto"/>
        <w:ind w:firstLine="720"/>
      </w:pPr>
      <w:r>
        <w:lastRenderedPageBreak/>
        <w:t xml:space="preserve">Soil nitrogen fertilization had a strong positive effect on total leaf area and whole plant growth. </w:t>
      </w:r>
      <w:r w:rsidR="004940A0">
        <w:t>These patterns corresponded with a reduction in leaf photosynthesis and biochemical process rates and an increase in leaf nitrogen allocation, which led to a reduction in photosynthetic nitrogen use efficiency and increase in water use efficiency. Together, these results suggest stronger whole plant response than leaf acclimation response to soil nitrogen fertilization, supporting our third hypothesis</w:t>
      </w:r>
      <w:r w:rsidR="003F2A85">
        <w:t xml:space="preserve"> </w:t>
      </w:r>
      <w:r w:rsidR="004940A0">
        <w:t xml:space="preserve">that the strength of leaf nitrogen-water use tradeoffs might depend on whole plant nutrient demand. Notably, </w:t>
      </w:r>
      <w:r w:rsidR="004940A0">
        <w:rPr>
          <w:i/>
          <w:iCs/>
        </w:rPr>
        <w:t>G. max</w:t>
      </w:r>
      <w:r w:rsidR="004940A0">
        <w:t xml:space="preserve"> are fast growing species with high resource requirements for growth and reproduction, so it is likely that whole plant demand to build and maintain structures that support whole plant growth may have outweighed leaf demand to maintain tradeoffs between nitrogen and water usage.</w:t>
      </w:r>
    </w:p>
    <w:p w14:paraId="01774810" w14:textId="602256B1" w:rsidR="003F2A85" w:rsidRDefault="003F2A85" w:rsidP="00A754EC">
      <w:pPr>
        <w:spacing w:line="360" w:lineRule="auto"/>
        <w:ind w:firstLine="720"/>
      </w:pPr>
      <w:r>
        <w:t>Interestingly, there was no effect of inoculation on leaf nitrogen-water use tradeoffs despite an apparent stimulation in leaf nitrogen allocation and leaf nitrogen content in inoculated individuals grown under the low nitrogen fertilization treatment. However, there was a strong inoculation effect on total leaf area and structural carbon costs to acquire nitrogen, suggesting that inoculation had a larger contribution to satisfying whole plant nutrient demand than leaf nutrient demand to build and maintain photosynthetic machinery.</w:t>
      </w:r>
    </w:p>
    <w:p w14:paraId="1BB5E73F" w14:textId="77777777" w:rsidR="003F2A85" w:rsidRDefault="003F2A85" w:rsidP="00A754EC">
      <w:pPr>
        <w:spacing w:line="360" w:lineRule="auto"/>
        <w:ind w:firstLine="720"/>
      </w:pPr>
    </w:p>
    <w:p w14:paraId="0E9FA29A" w14:textId="13C51861" w:rsidR="00E33726" w:rsidRPr="003F2A85" w:rsidRDefault="00E33726" w:rsidP="00A754EC">
      <w:pPr>
        <w:spacing w:line="360" w:lineRule="auto"/>
      </w:pPr>
    </w:p>
    <w:p w14:paraId="0B44F0F9" w14:textId="5D522F09" w:rsidR="00E33726" w:rsidRDefault="00E33726" w:rsidP="00A754EC">
      <w:pPr>
        <w:spacing w:line="360" w:lineRule="auto"/>
      </w:pPr>
      <w:r>
        <w:rPr>
          <w:i/>
          <w:iCs/>
        </w:rPr>
        <w:t xml:space="preserve">Soil nitrogen fertilization </w:t>
      </w:r>
      <w:r w:rsidR="00096CD6">
        <w:rPr>
          <w:i/>
          <w:iCs/>
        </w:rPr>
        <w:t>and inoculation modifies tradeoffs between nitrogen and water use</w:t>
      </w:r>
    </w:p>
    <w:p w14:paraId="7035EB56" w14:textId="1E764587" w:rsidR="0030650A" w:rsidRDefault="007B3063" w:rsidP="00A754EC">
      <w:pPr>
        <w:spacing w:line="360" w:lineRule="auto"/>
        <w:ind w:firstLine="720"/>
      </w:pPr>
      <w:r>
        <w:t xml:space="preserve">Photosynthetic least-cost theory predicts that plants should respond to increased nutrient availability by increasing leaf nitrogen allocation and decreasing stomatal conductance, leading to a reduction in photosynthetic nitrogen-use efficiency and stimulation in water-use efficiency </w:t>
      </w:r>
      <w:r>
        <w:fldChar w:fldCharType="begin" w:fldLock="1"/>
      </w:r>
      <w:r w:rsidR="0030650A">
        <w:instrText>ADDIN CSL_CITATION {"citationItems":[{"id":"ITEM-1","itemData":{"DOI":"10.1111/ele.12211","ISSN":"1461023X","abstract":"A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Letters","id":"ITEM-1","issue":"1","issued":{"date-parts":[["2014","1"]]},"page":"82-91","title":"Balancing the costs of carbon gain and water transport: testing a new theoretical framework for plant functional ecology","type":"article-journal","volume":"17"},"uris":["http://www.mendeley.com/documents/?uuid=e847e008-126f-46c3-a215-d3160662c7ab"]},{"id":"ITEM-2","itemData":{"DOI":"0003-0147/2003/16101-010387","author":[{"dropping-particle":"","family":"Wright","given":"Ian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Naturalist","id":"ITEM-2","issue":"1","issued":{"date-parts":[["2003"]]},"page":"98-111","title":"Least-cost input mixtures of water and nitrogen for photosynthesis","type":"article-journal","volume":"161"},"uris":["http://www.mendeley.com/documents/?uuid=e792122e-1fd1-4c1a-9d09-7bd7a13fee68"]}],"mendeley":{"formattedCitation":"(Prentice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7B3063">
        <w:rPr>
          <w:noProof/>
        </w:rPr>
        <w:t>(Prentice et al., 2014; Wright et al., 2003)</w:t>
      </w:r>
      <w:r>
        <w:fldChar w:fldCharType="end"/>
      </w:r>
      <w:r>
        <w:t>.</w:t>
      </w:r>
      <w:r w:rsidR="00D0019D">
        <w:t xml:space="preserve"> Our results support these outcomes, indicating a </w:t>
      </w:r>
      <w:r w:rsidR="0030650A">
        <w:t xml:space="preserve">slight </w:t>
      </w:r>
      <w:r w:rsidR="002D7F0E">
        <w:t xml:space="preserve">stimulation in leaf nitrogen allocation and reduction in stomatal conductance that corresponded with a reduction in photosynthetic nitrogen-use efficiency and stimulation in intrinsic water-use efficiency. </w:t>
      </w:r>
    </w:p>
    <w:p w14:paraId="5BBA438F" w14:textId="50FC6BCA" w:rsidR="001D4CE3" w:rsidRDefault="0030650A" w:rsidP="00A754EC">
      <w:pPr>
        <w:spacing w:line="360" w:lineRule="auto"/>
        <w:ind w:firstLine="720"/>
      </w:pPr>
      <w:r>
        <w:t xml:space="preserve">Interestingly, inoculation had limited effects on leaf water-nitrogen use tradeoffs. </w:t>
      </w:r>
      <w:r w:rsidR="005A73E0">
        <w:t xml:space="preserve">While a stimulation in leaf nitrogen allocation led to a reduction in photosynthetic nitrogen use efficiency for inoculated individuals growing under low soil nitrogen, there was no individual or interactive effect of inoculation on stomatal conductance or intrinsic water use efficiency. Additionally, there was no observable effect of inoculation on leaf nitrogen per stomatal conductance or </w:t>
      </w:r>
      <w:proofErr w:type="spellStart"/>
      <w:r w:rsidR="005A73E0">
        <w:rPr>
          <w:i/>
          <w:iCs/>
        </w:rPr>
        <w:t>V</w:t>
      </w:r>
      <w:r w:rsidR="005A73E0">
        <w:rPr>
          <w:vertAlign w:val="subscript"/>
        </w:rPr>
        <w:t>cmax</w:t>
      </w:r>
      <w:proofErr w:type="spellEnd"/>
      <w:r w:rsidR="005A73E0">
        <w:t xml:space="preserve"> </w:t>
      </w:r>
      <w:r w:rsidR="005A73E0">
        <w:lastRenderedPageBreak/>
        <w:t xml:space="preserve">per stomatal conductance. These patterns suggest that inoculation does not </w:t>
      </w:r>
      <w:r w:rsidR="005942F6">
        <w:t>necessarily modify leaf nitrogen-water use tradeoffs, although could allow individuals to hedge bets against dry growing conditions. These results also indicate that a reduction in photosynthetic nitrogen-use efficiency may be driven by a lack of nutrient limitation, as nitrogen is less limited in the environment through nitrogen fixation than more finite pools of nitrogen in the soil.</w:t>
      </w:r>
    </w:p>
    <w:p w14:paraId="497528AE" w14:textId="561A13A7" w:rsidR="00303F2D" w:rsidRDefault="00303F2D" w:rsidP="00A754EC">
      <w:pPr>
        <w:spacing w:line="360" w:lineRule="auto"/>
      </w:pPr>
    </w:p>
    <w:p w14:paraId="4170C688" w14:textId="3494C663" w:rsidR="00303F2D" w:rsidRDefault="00303F2D" w:rsidP="00A754EC">
      <w:pPr>
        <w:spacing w:line="360" w:lineRule="auto"/>
      </w:pPr>
      <w:r>
        <w:rPr>
          <w:i/>
          <w:iCs/>
        </w:rPr>
        <w:t>Integrating leaf and whole plant processes into a single framework</w:t>
      </w:r>
    </w:p>
    <w:p w14:paraId="2AA1ED96" w14:textId="1BE6B5E9" w:rsidR="008873DD" w:rsidRDefault="008873DD" w:rsidP="00A754EC">
      <w:pPr>
        <w:spacing w:line="360" w:lineRule="auto"/>
        <w:ind w:firstLine="720"/>
      </w:pPr>
      <w:r>
        <w:t xml:space="preserve">The land surface component of Earth system models commonly predict photosynthesis based on empirically observed relationships between soil nitrogen availability, leaf nitrogen allocation, and photosynthetic capacity </w:t>
      </w:r>
      <w:r>
        <w:fldChar w:fldCharType="begin" w:fldLock="1"/>
      </w:r>
      <w:r>
        <w:instrText>ADDIN CSL_CITATION {"citationItems":[{"id":"ITEM-1","itemData":{"DOI":"10.1111/nph.14283","ISSN":"0028646X","author":[{"dropping-particle":"","family":"Rogers","given":"Alistair","non-dropping-particle":"","parse-names":false,"suffix":""},{"dropping-particle":"","family":"Medlyn","given":"Belinda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Phytologist","id":"ITEM-1","issue":"1","issued":{"date-parts":[["2017","1"]]},"page":"22-42","title":"A roadmap for improving the representation of photosynthesis in Earth system models","type":"article-journal","volume":"213"},"uris":["http://www.mendeley.com/documents/?uuid=2b8771ac-5f1d-4259-ab38-c0c6999be44d"]},{"id":"ITEM-2","itemData":{"DOI":"10.1007/s11120-013-9818-1","ISSN":"0166-8595","author":[{"dropping-particle":"","family":"Rogers","given":"Alistair","non-dropping-particle":"","parse-names":false,"suffix":""}],"container-title":"Photosynthesis Research","id":"ITEM-2","issue":"1-2","issued":{"date-parts":[["2014","2","7"]]},"page":"15-29","title":"The use and misuse of V&lt;sub&gt;c,max&lt;/sub&gt; in Earth System Models","type":"article-journal","volume":"119"},"uris":["http://www.mendeley.com/documents/?uuid=25f28ff1-7c62-46f2-9b1d-60fafb9797ef"]}],"mendeley":{"formattedCitation":"(Rogers, 2014; Rogers et al., 2017)","plainTextFormattedCitation":"(Rogers, 2014; Rogers et al., 2017)","previouslyFormattedCitation":"(Rogers, 2014; Rogers et al., 2017)"},"properties":{"noteIndex":0},"schema":"https://github.com/citation-style-language/schema/raw/master/csl-citation.json"}</w:instrText>
      </w:r>
      <w:r>
        <w:fldChar w:fldCharType="separate"/>
      </w:r>
      <w:r w:rsidRPr="0030650A">
        <w:rPr>
          <w:noProof/>
        </w:rPr>
        <w:t>(Rogers, 2014; Rogers et al., 2017)</w:t>
      </w:r>
      <w:r>
        <w:fldChar w:fldCharType="end"/>
      </w:r>
      <w:r>
        <w:t xml:space="preserve">. However, recent work suggests that leaf nitrogen allocation </w:t>
      </w:r>
      <w:r>
        <w:fldChar w:fldCharType="begin" w:fldLock="1"/>
      </w:r>
      <w:r w:rsidR="009A5542">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climate","type":"article-journal","volume":"14"},"uris":["http://www.mendeley.com/documents/?uuid=d26886a5-de26-4a8d-afa2-a17d2a28ee6e"]}],"mendeley":{"formattedCitation":"(Dong et al., 2017, 2020)","plainTextFormattedCitation":"(Dong et al., 2017, 2020)","previouslyFormattedCitation":"(Dong et al., 2017, 2020)"},"properties":{"noteIndex":0},"schema":"https://github.com/citation-style-language/schema/raw/master/csl-citation.json"}</w:instrText>
      </w:r>
      <w:r>
        <w:fldChar w:fldCharType="separate"/>
      </w:r>
      <w:r w:rsidRPr="00D9618B">
        <w:rPr>
          <w:noProof/>
        </w:rPr>
        <w:t>(Dong et al., 2017, 2020)</w:t>
      </w:r>
      <w:r>
        <w:fldChar w:fldCharType="end"/>
      </w:r>
      <w:r>
        <w:t xml:space="preserve"> and photosynthetic capacity </w:t>
      </w:r>
      <w:r>
        <w:fldChar w:fldCharType="begin" w:fldLock="1"/>
      </w:r>
      <w:r w:rsidR="0048753D">
        <w:instrText>ADDIN CSL_CITATION {"citationItems":[{"id":"ITEM-1","itemData":{"DOI":"10.1111/ele.13210","ISSN":"1461-023X","abstract":"Earth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Letters","editor":[{"dropping-particle":"","family":"Niu","given":"Shuli","non-dropping-particle":"","parse-names":false,"suffix":""}],"id":"ITEM-1","issue":"3","issued":{"date-parts":[["2019","3","4"]]},"page":"506-517","title":"Global photosynthetic capacity is optimized to the environment","type":"article-journal","volume":"22"},"uris":["http://www.mendeley.com/documents/?uuid=de810a7b-b01e-4be3-a228-03946531e91d"]},{"id":"ITEM-2","itemData":{"DOI":"10.1038/s42003-021-01985-7","ISBN":"4200302101","ISSN":"2399-3642","PMID":"33846550","abstract":"There is huge uncertainty about how global exchanges of carbon between the atmosphere and land will respond to continuing environmental change. A better representation of photosynthetic capacity is required for Earth System models to simulate carbon assimilation reliably. Here we use a global leaf-trait dataset to test whether photosynthetic capacity is quantitatively predictable from climate, based on optimality principles; and to explore how this prediction is modified by soil properties, including indices of nitrogen and phosphorus availability, measured in situ. The maximum rate of carboxylation standardized to 25 °C ( V cmax25 ) was found to be proportional to growing-season irradiance, and to increase—as predicted—towards both colder and drier climates. Individual species’ departures from predicted V cmax25 covaried with area-based leaf nitrogen ( N area ) but community-mean V cmax25 was unrelated to N area , which in turn was unrelated to the soil C:N ratio. In contrast, leaves with low area-based phosphorus ( P area ) had low V cmax25 (both between and within communities), and P area increased with total soil P. These findings do not support the assumption, adopted in some ecosystem and Earth System models, that leaf-level photosynthetic capacity depends on soil N supply. They do, however, support a previously-noted relationship between photosynthesis and soil P supply.","author":[{"dropping-particle":"","family":"Peng","given":"Yunke","non-dropping-particle":"","parse-names":false,"suffix":""},{"dropping-particle":"","family":"Bloomfield","given":"Keith J","non-dropping-particle":"","parse-names":false,"suffix":""},{"dropping-particle":"","family":"Cernusak","given":"Lucas A","non-dropping-particle":"","parse-names":false,"suffix":""},{"dropping-particle":"","family":"Domingues","given":"Tomas F","non-dropping-particle":"","parse-names":false,"suffix":""},{"dropping-particle":"","family":"Prentice","given":"Iain Colin","non-dropping-particle":"","parse-names":false,"suffix":""}],"container-title":"Communications Biology","id":"ITEM-2","issue":"1","issued":{"date-parts":[["2021","12","12"]]},"page":"462","title":"Global climate and nutrient controls of photosynthetic capacity","type":"article-journal","volume":"4"},"uris":["http://www.mendeley.com/documents/?uuid=3ef8e4be-d782-4101-b3db-1a91b9992fc1"]}],"mendeley":{"formattedCitation":"(Peng et al., 2021; N. G. Smith et al., 2019)","plainTextFormattedCitation":"(Peng et al., 2021; N. G. Smith et al., 2019)","previouslyFormattedCitation":"(Peng et al., 2021; N. G. Smith et al., 2019)"},"properties":{"noteIndex":0},"schema":"https://github.com/citation-style-language/schema/raw/master/csl-citation.json"}</w:instrText>
      </w:r>
      <w:r>
        <w:fldChar w:fldCharType="separate"/>
      </w:r>
      <w:r w:rsidR="007B1AFE" w:rsidRPr="007B1AFE">
        <w:rPr>
          <w:noProof/>
        </w:rPr>
        <w:t>(Peng et al., 2021; N. G. Smith et al., 2019)</w:t>
      </w:r>
      <w:r>
        <w:fldChar w:fldCharType="end"/>
      </w:r>
      <w:r>
        <w:t xml:space="preserve"> can each be predicted independent of soil nitrogen availability, indicating a possible decoupling of these relationships that require further inquiry. Our results show that soil nitrogen fertilization increased leaf nitrogen allocation, a pattern that did not coincide with an increase in leaf photosynthesis or photosynthetic capacity. Instead, soil nitrogen fertilization increased total leaf area, which effectively increased whole plant photosynthesis through a greater area of total light interception and stomata per plant. </w:t>
      </w:r>
    </w:p>
    <w:p w14:paraId="632E7825" w14:textId="77777777" w:rsidR="001B21C7" w:rsidRDefault="001B21C7" w:rsidP="00A754EC">
      <w:pPr>
        <w:spacing w:line="360" w:lineRule="auto"/>
        <w:rPr>
          <w:i/>
          <w:iCs/>
        </w:rPr>
      </w:pPr>
    </w:p>
    <w:p w14:paraId="6EE2234E" w14:textId="3B4D343D" w:rsidR="001D4CE3" w:rsidRDefault="001D4CE3" w:rsidP="00A754EC">
      <w:pPr>
        <w:spacing w:line="360" w:lineRule="auto"/>
      </w:pPr>
      <w:r>
        <w:rPr>
          <w:i/>
          <w:iCs/>
        </w:rPr>
        <w:t>Study limitations</w:t>
      </w:r>
    </w:p>
    <w:p w14:paraId="6A873158" w14:textId="32BA8BE0" w:rsidR="001B21C7" w:rsidRPr="001D4CE3" w:rsidRDefault="001D4CE3" w:rsidP="00A754EC">
      <w:pPr>
        <w:spacing w:line="360" w:lineRule="auto"/>
        <w:ind w:firstLine="720"/>
      </w:pPr>
      <w:r>
        <w:t>This study does have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E217B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any of the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species and a single inoculation species. While this did allow us to isolate mechanisms that drive leaf water-nitrogen responses to soil nutrients and inoculation 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t>
      </w:r>
      <w:r w:rsidR="001B21C7">
        <w:lastRenderedPageBreak/>
        <w:t xml:space="preserve">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7113F555" w14:textId="16CEBDAA" w:rsidR="00D3527E" w:rsidRDefault="00E33726" w:rsidP="00A754EC">
      <w:pPr>
        <w:spacing w:line="360" w:lineRule="auto"/>
        <w:ind w:firstLine="720"/>
      </w:pPr>
      <w:r>
        <w:t xml:space="preserve">In summary, </w:t>
      </w:r>
      <w:r w:rsidR="00A13B09">
        <w:t xml:space="preserve">increasing </w:t>
      </w:r>
      <w:r w:rsidR="00D3527E">
        <w:t xml:space="preserve">soil nitrogen fertilization increased leaf nitrogen allocation per stomatal conductance through an increase in leaf nitrogen allocation with no change in stomatal conductance. These patterns </w:t>
      </w:r>
      <w:r w:rsidR="00A13B09">
        <w:t>corresponded with a decrease in</w:t>
      </w:r>
      <w:r w:rsidR="00D3527E">
        <w:t xml:space="preserve"> photosynthetic nitrogen-use efficiency and increase</w:t>
      </w:r>
      <w:r w:rsidR="00A13B09">
        <w:t xml:space="preserve"> in</w:t>
      </w:r>
      <w:r w:rsidR="00D3527E">
        <w:t xml:space="preserve"> intrinsic water-use efficiency</w:t>
      </w:r>
      <w:r w:rsidR="00A13B09">
        <w:t xml:space="preserve"> with increasing fertilization</w:t>
      </w:r>
      <w:r w:rsidR="00D3527E">
        <w:t>. Interestingly, these nitrogen-water use tradeoffs occurred alongside an increase in total leaf area and whole plant biomass, indicating no</w:t>
      </w:r>
      <w:r w:rsidR="00A13B09">
        <w:t xml:space="preserve"> apparent</w:t>
      </w:r>
      <w:r w:rsidR="00D3527E">
        <w:t xml:space="preserve"> tradeoff between leaf and whole plant allocation decisions. The stimulation in leaf nitrogen allocation per stomatal conductance occurred alongside a reduction in structural carbon costs to acquire nitrogen, which could infer that these tradeoffs were driven by a reduction in the cost of acquiring nitrogen relative to water. Inoculation with </w:t>
      </w:r>
      <w:r w:rsidR="00D3527E">
        <w:rPr>
          <w:i/>
          <w:iCs/>
        </w:rPr>
        <w:t>B. japonicum</w:t>
      </w:r>
      <w:r w:rsidR="00D3527E">
        <w:t xml:space="preserve"> </w:t>
      </w:r>
      <w:r w:rsidR="00A13B09">
        <w:t>only increased leaf nitrogen allocation and decreased photosynthetic nitrogen-use efficiency under low soil nitrogen, which supports the common observation that advantages of nitrogen fixation may only be apparent under low soil nutrient environments due to high energetic costs of nitrogen fixation.</w:t>
      </w:r>
      <w:r w:rsidR="001D4CE3">
        <w:t xml:space="preserve"> Despite this, there was no inoculation effect on leaf nitrogen per stomatal conductance under low fertilization. These results deserve to be investigated again using a larger suite of soil fertilization treatments and more than a single species or inoculation type to determine whether these patterns are generalizable across species capable of forming associations with symbiotic nitrogen-fixing bacteria.</w:t>
      </w:r>
    </w:p>
    <w:p w14:paraId="44F898B6" w14:textId="494EE87A" w:rsidR="001B21C7" w:rsidRDefault="001B21C7" w:rsidP="00A754EC">
      <w:pPr>
        <w:spacing w:line="360" w:lineRule="auto"/>
      </w:pPr>
    </w:p>
    <w:p w14:paraId="73395A6C" w14:textId="52A86AB0" w:rsidR="001B21C7" w:rsidRDefault="001B21C7" w:rsidP="00A754EC">
      <w:pPr>
        <w:spacing w:line="360" w:lineRule="auto"/>
      </w:pPr>
      <w:r>
        <w:rPr>
          <w:b/>
          <w:bCs/>
        </w:rPr>
        <w:t>Acknowledgements</w:t>
      </w:r>
    </w:p>
    <w:p w14:paraId="287FB464" w14:textId="1729EB30"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4"/>
      <w:r>
        <w:t>NGS acknowledges funding support from the NSF (</w:t>
      </w:r>
      <w:r w:rsidRPr="00F33193">
        <w:t>DEB-2045968</w:t>
      </w:r>
      <w:r>
        <w:t>), Eric and Wendy Schmidt and Schmidt Futures, and Texas Tech University</w:t>
      </w:r>
      <w:commentRangeEnd w:id="4"/>
      <w:r>
        <w:rPr>
          <w:rStyle w:val="CommentReference"/>
          <w:rFonts w:eastAsia="Times New Roman" w:cs="Times New Roman"/>
        </w:rPr>
        <w:commentReference w:id="4"/>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131663A8" w:rsidR="00774D67" w:rsidRPr="00774D67" w:rsidRDefault="00303F2D" w:rsidP="00A754EC">
      <w:pPr>
        <w:spacing w:line="360" w:lineRule="auto"/>
      </w:pPr>
      <w:r>
        <w:lastRenderedPageBreak/>
        <w:t>EAP coordinated all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supported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1228E3EE" w14:textId="34392BE9" w:rsidR="00D17106" w:rsidRPr="00D17106" w:rsidRDefault="00772287" w:rsidP="00D17106">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D17106" w:rsidRPr="00D17106">
        <w:rPr>
          <w:rFonts w:cs="Times New Roman"/>
          <w:noProof/>
        </w:rPr>
        <w:t xml:space="preserve">Bates, D., Mächler, M., Bolker, B., &amp; Walker, S. (2015). Fitting linear mixed-effects models using lme4. </w:t>
      </w:r>
      <w:r w:rsidR="00D17106" w:rsidRPr="00D17106">
        <w:rPr>
          <w:rFonts w:cs="Times New Roman"/>
          <w:i/>
          <w:iCs/>
          <w:noProof/>
        </w:rPr>
        <w:t>Journal of Statistical Software</w:t>
      </w:r>
      <w:r w:rsidR="00D17106" w:rsidRPr="00D17106">
        <w:rPr>
          <w:rFonts w:cs="Times New Roman"/>
          <w:noProof/>
        </w:rPr>
        <w:t xml:space="preserve">, </w:t>
      </w:r>
      <w:r w:rsidR="00D17106" w:rsidRPr="00D17106">
        <w:rPr>
          <w:rFonts w:cs="Times New Roman"/>
          <w:i/>
          <w:iCs/>
          <w:noProof/>
        </w:rPr>
        <w:t>67</w:t>
      </w:r>
      <w:r w:rsidR="00D17106" w:rsidRPr="00D17106">
        <w:rPr>
          <w:rFonts w:cs="Times New Roman"/>
          <w:noProof/>
        </w:rPr>
        <w:t>(1), 1–48. https://doi.org/10.18637/jss.v067.i01</w:t>
      </w:r>
    </w:p>
    <w:p w14:paraId="45BCE69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Bernacchi, C. J., Singsaas, E. L., Pimentel, C., Portis, A. R., &amp; Long, S. P. (2001). Improved temperature response functions for models of Rubisco-limited photosynthesis. </w:t>
      </w:r>
      <w:r w:rsidRPr="00D17106">
        <w:rPr>
          <w:rFonts w:cs="Times New Roman"/>
          <w:i/>
          <w:iCs/>
          <w:noProof/>
        </w:rPr>
        <w:t>Plant, Cell and Environment</w:t>
      </w:r>
      <w:r w:rsidRPr="00D17106">
        <w:rPr>
          <w:rFonts w:cs="Times New Roman"/>
          <w:noProof/>
        </w:rPr>
        <w:t xml:space="preserve">, </w:t>
      </w:r>
      <w:r w:rsidRPr="00D17106">
        <w:rPr>
          <w:rFonts w:cs="Times New Roman"/>
          <w:i/>
          <w:iCs/>
          <w:noProof/>
        </w:rPr>
        <w:t>24</w:t>
      </w:r>
      <w:r w:rsidRPr="00D17106">
        <w:rPr>
          <w:rFonts w:cs="Times New Roman"/>
          <w:noProof/>
        </w:rPr>
        <w:t>(2), 253–259. https://doi.org/10.1046/j.1365-3040.2001.00668.x</w:t>
      </w:r>
    </w:p>
    <w:p w14:paraId="7AE82E5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Bialic‐Murphy, L., Smith, N. G., Voothuluru, P., McElderry, R. M., Roche, M. D., Cassidy, S. T., Kivlin, S. N., &amp; Kalisz, S. (2021). Invasion‐induced root–fungal disruptions alter plant water and nitrogen economies. </w:t>
      </w:r>
      <w:r w:rsidRPr="00D17106">
        <w:rPr>
          <w:rFonts w:cs="Times New Roman"/>
          <w:i/>
          <w:iCs/>
          <w:noProof/>
        </w:rPr>
        <w:t>Ecology Letters</w:t>
      </w:r>
      <w:r w:rsidRPr="00D17106">
        <w:rPr>
          <w:rFonts w:cs="Times New Roman"/>
          <w:noProof/>
        </w:rPr>
        <w:t xml:space="preserve">, </w:t>
      </w:r>
      <w:r w:rsidRPr="00D17106">
        <w:rPr>
          <w:rFonts w:cs="Times New Roman"/>
          <w:i/>
          <w:iCs/>
          <w:noProof/>
        </w:rPr>
        <w:t>24</w:t>
      </w:r>
      <w:r w:rsidRPr="00D17106">
        <w:rPr>
          <w:rFonts w:cs="Times New Roman"/>
          <w:noProof/>
        </w:rPr>
        <w:t>(6), 1145–1156. https://doi.org/10.1111/ele.13724</w:t>
      </w:r>
    </w:p>
    <w:p w14:paraId="38468B8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Bonan, G. B., Lawrence, P. J., Oleson, K. W., Levis, S., Jung, M., Reichstein, M., Lawrence, D. M., &amp; Swenson, S. C. (2011). Improving canopy processes in the Community Land Model version 4 (CLM4) using global flux fields empirically inferred from FLUXNET data. </w:t>
      </w:r>
      <w:r w:rsidRPr="00D17106">
        <w:rPr>
          <w:rFonts w:cs="Times New Roman"/>
          <w:i/>
          <w:iCs/>
          <w:noProof/>
        </w:rPr>
        <w:t>Journal of Geophysical Research</w:t>
      </w:r>
      <w:r w:rsidRPr="00D17106">
        <w:rPr>
          <w:rFonts w:cs="Times New Roman"/>
          <w:noProof/>
        </w:rPr>
        <w:t xml:space="preserve">, </w:t>
      </w:r>
      <w:r w:rsidRPr="00D17106">
        <w:rPr>
          <w:rFonts w:cs="Times New Roman"/>
          <w:i/>
          <w:iCs/>
          <w:noProof/>
        </w:rPr>
        <w:t>116</w:t>
      </w:r>
      <w:r w:rsidRPr="00D17106">
        <w:rPr>
          <w:rFonts w:cs="Times New Roman"/>
          <w:noProof/>
        </w:rPr>
        <w:t>(G2), G02014. https://doi.org/10.1029/2010JG001593</w:t>
      </w:r>
    </w:p>
    <w:p w14:paraId="0562D43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Booth, B. B. B., Jones, C. D., Collins, M., Totterdell, I. J., Cox, P. M., Sitch, S., Huntingford, C., Betts, R. A., Harris, G. R., &amp; Lloyd, J. (2012). High sensitivity of future global warming to land carbon cycle processes. </w:t>
      </w:r>
      <w:r w:rsidRPr="00D17106">
        <w:rPr>
          <w:rFonts w:cs="Times New Roman"/>
          <w:i/>
          <w:iCs/>
          <w:noProof/>
        </w:rPr>
        <w:t>Environmental Research Letters</w:t>
      </w:r>
      <w:r w:rsidRPr="00D17106">
        <w:rPr>
          <w:rFonts w:cs="Times New Roman"/>
          <w:noProof/>
        </w:rPr>
        <w:t xml:space="preserve">, </w:t>
      </w:r>
      <w:r w:rsidRPr="00D17106">
        <w:rPr>
          <w:rFonts w:cs="Times New Roman"/>
          <w:i/>
          <w:iCs/>
          <w:noProof/>
        </w:rPr>
        <w:t>7</w:t>
      </w:r>
      <w:r w:rsidRPr="00D17106">
        <w:rPr>
          <w:rFonts w:cs="Times New Roman"/>
          <w:noProof/>
        </w:rPr>
        <w:t>(2), 024002. https://doi.org/10.1088/1748-9326/7/2/024002</w:t>
      </w:r>
    </w:p>
    <w:p w14:paraId="3B742197"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Brix, H. (1971). Effects of nitrogen fertilization on photosynthesis and respiration in Douglas-fir. </w:t>
      </w:r>
      <w:r w:rsidRPr="00D17106">
        <w:rPr>
          <w:rFonts w:cs="Times New Roman"/>
          <w:i/>
          <w:iCs/>
          <w:noProof/>
        </w:rPr>
        <w:t>Forest Science</w:t>
      </w:r>
      <w:r w:rsidRPr="00D17106">
        <w:rPr>
          <w:rFonts w:cs="Times New Roman"/>
          <w:noProof/>
        </w:rPr>
        <w:t xml:space="preserve">, </w:t>
      </w:r>
      <w:r w:rsidRPr="00D17106">
        <w:rPr>
          <w:rFonts w:cs="Times New Roman"/>
          <w:i/>
          <w:iCs/>
          <w:noProof/>
        </w:rPr>
        <w:t>17</w:t>
      </w:r>
      <w:r w:rsidRPr="00D17106">
        <w:rPr>
          <w:rFonts w:cs="Times New Roman"/>
          <w:noProof/>
        </w:rPr>
        <w:t>(4), 407–414.</w:t>
      </w:r>
    </w:p>
    <w:p w14:paraId="71396F00"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Brzostek, E. R., Fisher, J. B., &amp; Phillips, R. P. (2014). Modeling the carbon cost of plant nitrogen acquisition: Mycorrhizal trade-offs and multipath resistance uptake improve predictions of retranslocation. </w:t>
      </w:r>
      <w:r w:rsidRPr="00D17106">
        <w:rPr>
          <w:rFonts w:cs="Times New Roman"/>
          <w:i/>
          <w:iCs/>
          <w:noProof/>
        </w:rPr>
        <w:t>Journal of Geophysical Research: Biogeosciences</w:t>
      </w:r>
      <w:r w:rsidRPr="00D17106">
        <w:rPr>
          <w:rFonts w:cs="Times New Roman"/>
          <w:noProof/>
        </w:rPr>
        <w:t xml:space="preserve">, </w:t>
      </w:r>
      <w:r w:rsidRPr="00D17106">
        <w:rPr>
          <w:rFonts w:cs="Times New Roman"/>
          <w:i/>
          <w:iCs/>
          <w:noProof/>
        </w:rPr>
        <w:t>119</w:t>
      </w:r>
      <w:r w:rsidRPr="00D17106">
        <w:rPr>
          <w:rFonts w:cs="Times New Roman"/>
          <w:noProof/>
        </w:rPr>
        <w:t>, 1684–1697. https://doi.org/10.1002/2014JG002660.Received</w:t>
      </w:r>
    </w:p>
    <w:p w14:paraId="4364485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Chapin, F. S. (2003). Effects of plant traits on ecosystem and regional processes: A conceptual framework for predicting the consequences of global change. </w:t>
      </w:r>
      <w:r w:rsidRPr="00D17106">
        <w:rPr>
          <w:rFonts w:cs="Times New Roman"/>
          <w:i/>
          <w:iCs/>
          <w:noProof/>
        </w:rPr>
        <w:t>Annals of Botany</w:t>
      </w:r>
      <w:r w:rsidRPr="00D17106">
        <w:rPr>
          <w:rFonts w:cs="Times New Roman"/>
          <w:noProof/>
        </w:rPr>
        <w:t xml:space="preserve">, </w:t>
      </w:r>
      <w:r w:rsidRPr="00D17106">
        <w:rPr>
          <w:rFonts w:cs="Times New Roman"/>
          <w:i/>
          <w:iCs/>
          <w:noProof/>
        </w:rPr>
        <w:t>91</w:t>
      </w:r>
      <w:r w:rsidRPr="00D17106">
        <w:rPr>
          <w:rFonts w:cs="Times New Roman"/>
          <w:noProof/>
        </w:rPr>
        <w:t>(4), 455–463. https://doi.org/10.1093/aob/mcg041</w:t>
      </w:r>
    </w:p>
    <w:p w14:paraId="7937F67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Dong, N., Prentice, I. C., Evans, B. J., Caddy-Retalic, S., Lowe, A. J., &amp; Wright, I. J. (2017). Leaf nitrogen from first principles: field evidence for adaptive variation with climate. </w:t>
      </w:r>
      <w:r w:rsidRPr="00D17106">
        <w:rPr>
          <w:rFonts w:cs="Times New Roman"/>
          <w:i/>
          <w:iCs/>
          <w:noProof/>
        </w:rPr>
        <w:lastRenderedPageBreak/>
        <w:t>Biogeosciences</w:t>
      </w:r>
      <w:r w:rsidRPr="00D17106">
        <w:rPr>
          <w:rFonts w:cs="Times New Roman"/>
          <w:noProof/>
        </w:rPr>
        <w:t xml:space="preserve">, </w:t>
      </w:r>
      <w:r w:rsidRPr="00D17106">
        <w:rPr>
          <w:rFonts w:cs="Times New Roman"/>
          <w:i/>
          <w:iCs/>
          <w:noProof/>
        </w:rPr>
        <w:t>14</w:t>
      </w:r>
      <w:r w:rsidRPr="00D17106">
        <w:rPr>
          <w:rFonts w:cs="Times New Roman"/>
          <w:noProof/>
        </w:rPr>
        <w:t>(2), 481–495. https://doi.org/10.5194/bg-14-481-2017</w:t>
      </w:r>
    </w:p>
    <w:p w14:paraId="72F70A4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Dong, N., Prentice, I. C., Wright, I. J., Evans, B. J., Togashi, H. F., Caddy-Retalic, S., McInerney, F. A., Sparrow, B., Leitch, E., &amp; Lowe, A. J. (2020). Components of leaf‐trait variation along environmental gradients. </w:t>
      </w:r>
      <w:r w:rsidRPr="00D17106">
        <w:rPr>
          <w:rFonts w:cs="Times New Roman"/>
          <w:i/>
          <w:iCs/>
          <w:noProof/>
        </w:rPr>
        <w:t>New Phytologist</w:t>
      </w:r>
      <w:r w:rsidRPr="00D17106">
        <w:rPr>
          <w:rFonts w:cs="Times New Roman"/>
          <w:noProof/>
        </w:rPr>
        <w:t xml:space="preserve">, </w:t>
      </w:r>
      <w:r w:rsidRPr="00D17106">
        <w:rPr>
          <w:rFonts w:cs="Times New Roman"/>
          <w:i/>
          <w:iCs/>
          <w:noProof/>
        </w:rPr>
        <w:t>228</w:t>
      </w:r>
      <w:r w:rsidRPr="00D17106">
        <w:rPr>
          <w:rFonts w:cs="Times New Roman"/>
          <w:noProof/>
        </w:rPr>
        <w:t>(1), 82–94. https://doi.org/10.1111/nph.16558</w:t>
      </w:r>
    </w:p>
    <w:p w14:paraId="0A52E22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Dong, N., Wright, I. J., Chen, J. M., Luo, X., Wang, H., Keenan, T. F., Smith, N. G., &amp; Prentice, I. C. (2022). Rising CO2 and warming reduce global canopy demand for nitrogen. </w:t>
      </w:r>
      <w:r w:rsidRPr="00D17106">
        <w:rPr>
          <w:rFonts w:cs="Times New Roman"/>
          <w:i/>
          <w:iCs/>
          <w:noProof/>
        </w:rPr>
        <w:t>New Phytologist</w:t>
      </w:r>
      <w:r w:rsidRPr="00D17106">
        <w:rPr>
          <w:rFonts w:cs="Times New Roman"/>
          <w:noProof/>
        </w:rPr>
        <w:t>. https://doi.org/10.1111/nph.18076</w:t>
      </w:r>
    </w:p>
    <w:p w14:paraId="28BA8BD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Duursma, R. (2015). Plantecophys - An R package for analyzing and modelling leaf gas exchange data. </w:t>
      </w:r>
      <w:r w:rsidRPr="00D17106">
        <w:rPr>
          <w:rFonts w:cs="Times New Roman"/>
          <w:i/>
          <w:iCs/>
          <w:noProof/>
        </w:rPr>
        <w:t>PLos ONE</w:t>
      </w:r>
      <w:r w:rsidRPr="00D17106">
        <w:rPr>
          <w:rFonts w:cs="Times New Roman"/>
          <w:noProof/>
        </w:rPr>
        <w:t xml:space="preserve">, </w:t>
      </w:r>
      <w:r w:rsidRPr="00D17106">
        <w:rPr>
          <w:rFonts w:cs="Times New Roman"/>
          <w:i/>
          <w:iCs/>
          <w:noProof/>
        </w:rPr>
        <w:t>10</w:t>
      </w:r>
      <w:r w:rsidRPr="00D17106">
        <w:rPr>
          <w:rFonts w:cs="Times New Roman"/>
          <w:noProof/>
        </w:rPr>
        <w:t>(11), e0143346. https://doi.org/10.1371/journal.pone.0143346&gt;</w:t>
      </w:r>
    </w:p>
    <w:p w14:paraId="1794A91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Evans, J. R. (1989). Photosynthesis and nitrogen relationships in leaves of C3 plants. </w:t>
      </w:r>
      <w:r w:rsidRPr="00D17106">
        <w:rPr>
          <w:rFonts w:cs="Times New Roman"/>
          <w:i/>
          <w:iCs/>
          <w:noProof/>
        </w:rPr>
        <w:t>Oecologia</w:t>
      </w:r>
      <w:r w:rsidRPr="00D17106">
        <w:rPr>
          <w:rFonts w:cs="Times New Roman"/>
          <w:noProof/>
        </w:rPr>
        <w:t xml:space="preserve">, </w:t>
      </w:r>
      <w:r w:rsidRPr="00D17106">
        <w:rPr>
          <w:rFonts w:cs="Times New Roman"/>
          <w:i/>
          <w:iCs/>
          <w:noProof/>
        </w:rPr>
        <w:t>78</w:t>
      </w:r>
      <w:r w:rsidRPr="00D17106">
        <w:rPr>
          <w:rFonts w:cs="Times New Roman"/>
          <w:noProof/>
        </w:rPr>
        <w:t>(1), 9–19. https://doi.org/10.1007/BF00377192</w:t>
      </w:r>
    </w:p>
    <w:p w14:paraId="3D282209"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Evans, J. R., &amp; Seemann, J. R. (1989). The allocation of protein nitrogen in the photosynthetic apparatus: costs, consequences, and control. </w:t>
      </w:r>
      <w:r w:rsidRPr="00D17106">
        <w:rPr>
          <w:rFonts w:cs="Times New Roman"/>
          <w:i/>
          <w:iCs/>
          <w:noProof/>
        </w:rPr>
        <w:t>Photosynthesis</w:t>
      </w:r>
      <w:r w:rsidRPr="00D17106">
        <w:rPr>
          <w:rFonts w:cs="Times New Roman"/>
          <w:noProof/>
        </w:rPr>
        <w:t xml:space="preserve">, </w:t>
      </w:r>
      <w:r w:rsidRPr="00D17106">
        <w:rPr>
          <w:rFonts w:cs="Times New Roman"/>
          <w:i/>
          <w:iCs/>
          <w:noProof/>
        </w:rPr>
        <w:t>8</w:t>
      </w:r>
      <w:r w:rsidRPr="00D17106">
        <w:rPr>
          <w:rFonts w:cs="Times New Roman"/>
          <w:noProof/>
        </w:rPr>
        <w:t>, 183–205.</w:t>
      </w:r>
    </w:p>
    <w:p w14:paraId="47AE9A1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Farquhar, G. D., von Caemmerer, S., &amp; Berry, J. A. (1980). A biochemical model of photosynthetic CO</w:t>
      </w:r>
      <w:r w:rsidRPr="00D17106">
        <w:rPr>
          <w:rFonts w:cs="Times New Roman"/>
          <w:i/>
          <w:iCs/>
          <w:noProof/>
        </w:rPr>
        <w:t>2</w:t>
      </w:r>
      <w:r w:rsidRPr="00D17106">
        <w:rPr>
          <w:rFonts w:cs="Times New Roman"/>
          <w:noProof/>
        </w:rPr>
        <w:t xml:space="preserve"> assimilation in leaves of C3 species. </w:t>
      </w:r>
      <w:r w:rsidRPr="00D17106">
        <w:rPr>
          <w:rFonts w:cs="Times New Roman"/>
          <w:i/>
          <w:iCs/>
          <w:noProof/>
        </w:rPr>
        <w:t>Planta</w:t>
      </w:r>
      <w:r w:rsidRPr="00D17106">
        <w:rPr>
          <w:rFonts w:cs="Times New Roman"/>
          <w:noProof/>
        </w:rPr>
        <w:t xml:space="preserve">, </w:t>
      </w:r>
      <w:r w:rsidRPr="00D17106">
        <w:rPr>
          <w:rFonts w:cs="Times New Roman"/>
          <w:i/>
          <w:iCs/>
          <w:noProof/>
        </w:rPr>
        <w:t>149</w:t>
      </w:r>
      <w:r w:rsidRPr="00D17106">
        <w:rPr>
          <w:rFonts w:cs="Times New Roman"/>
          <w:noProof/>
        </w:rPr>
        <w:t>(1), 78–90. https://doi.org/10.1007/BF00386231</w:t>
      </w:r>
    </w:p>
    <w:p w14:paraId="10598679"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D17106">
        <w:rPr>
          <w:rFonts w:cs="Times New Roman"/>
          <w:i/>
          <w:iCs/>
          <w:noProof/>
        </w:rPr>
        <w:t>Nature Plants</w:t>
      </w:r>
      <w:r w:rsidRPr="00D17106">
        <w:rPr>
          <w:rFonts w:cs="Times New Roman"/>
          <w:noProof/>
        </w:rPr>
        <w:t xml:space="preserve">, </w:t>
      </w:r>
      <w:r w:rsidRPr="00D17106">
        <w:rPr>
          <w:rFonts w:cs="Times New Roman"/>
          <w:i/>
          <w:iCs/>
          <w:noProof/>
        </w:rPr>
        <w:t>1</w:t>
      </w:r>
      <w:r w:rsidRPr="00D17106">
        <w:rPr>
          <w:rFonts w:cs="Times New Roman"/>
          <w:noProof/>
        </w:rPr>
        <w:t>(7), 15080. https://doi.org/10.1038/nplants.2015.80</w:t>
      </w:r>
    </w:p>
    <w:p w14:paraId="558892F1"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Firn, J., McGree, J. M., Harvey, E., Flores-Moreno, H., Schütz, M., Buckley, Y. M., Borer, E. T., Seabloom, E. W., La Pierre, K. J., MacDougall, A. S., Prober, S. M., Stevens, C. J., Sullivan, L. L., Porter, E., Ladouceur, E., Allen, C., Moromizato, K. H., Morgan, J. W., Harpole, W. S., … Risch, A. C. (2019). Leaf nutrients, not specific leaf area, are consistent indicators of elevated nutrient inputs. </w:t>
      </w:r>
      <w:r w:rsidRPr="00D17106">
        <w:rPr>
          <w:rFonts w:cs="Times New Roman"/>
          <w:i/>
          <w:iCs/>
          <w:noProof/>
        </w:rPr>
        <w:t>Nature Ecology &amp; Evolution</w:t>
      </w:r>
      <w:r w:rsidRPr="00D17106">
        <w:rPr>
          <w:rFonts w:cs="Times New Roman"/>
          <w:noProof/>
        </w:rPr>
        <w:t xml:space="preserve">, </w:t>
      </w:r>
      <w:r w:rsidRPr="00D17106">
        <w:rPr>
          <w:rFonts w:cs="Times New Roman"/>
          <w:i/>
          <w:iCs/>
          <w:noProof/>
        </w:rPr>
        <w:t>3</w:t>
      </w:r>
      <w:r w:rsidRPr="00D17106">
        <w:rPr>
          <w:rFonts w:cs="Times New Roman"/>
          <w:noProof/>
        </w:rPr>
        <w:t>(3), 400–406. https://doi.org/10.1038/s41559-018-0790-1</w:t>
      </w:r>
    </w:p>
    <w:p w14:paraId="737A1039"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Fox, J., &amp; Weisberg, S. (2019). </w:t>
      </w:r>
      <w:r w:rsidRPr="00D17106">
        <w:rPr>
          <w:rFonts w:cs="Times New Roman"/>
          <w:i/>
          <w:iCs/>
          <w:noProof/>
        </w:rPr>
        <w:t>An R companion to applied regression</w:t>
      </w:r>
      <w:r w:rsidRPr="00D17106">
        <w:rPr>
          <w:rFonts w:cs="Times New Roman"/>
          <w:noProof/>
        </w:rPr>
        <w:t xml:space="preserve"> (Third edit). Sage. https://socialsciences.mcmaster.ca/jfox/Books/Companion/</w:t>
      </w:r>
    </w:p>
    <w:p w14:paraId="2CCD5165"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lastRenderedPageBreak/>
        <w:t xml:space="preserve">Gutschick, V. P. (1981). Evolved strategies in nitrogen acquisition by plants. </w:t>
      </w:r>
      <w:r w:rsidRPr="00D17106">
        <w:rPr>
          <w:rFonts w:cs="Times New Roman"/>
          <w:i/>
          <w:iCs/>
          <w:noProof/>
        </w:rPr>
        <w:t>The American Naturalist</w:t>
      </w:r>
      <w:r w:rsidRPr="00D17106">
        <w:rPr>
          <w:rFonts w:cs="Times New Roman"/>
          <w:noProof/>
        </w:rPr>
        <w:t xml:space="preserve">, </w:t>
      </w:r>
      <w:r w:rsidRPr="00D17106">
        <w:rPr>
          <w:rFonts w:cs="Times New Roman"/>
          <w:i/>
          <w:iCs/>
          <w:noProof/>
        </w:rPr>
        <w:t>118</w:t>
      </w:r>
      <w:r w:rsidRPr="00D17106">
        <w:rPr>
          <w:rFonts w:cs="Times New Roman"/>
          <w:noProof/>
        </w:rPr>
        <w:t>(5), 607–637. https://doi.org/10.1086/283858</w:t>
      </w:r>
    </w:p>
    <w:p w14:paraId="5BB85EBD"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D17106">
        <w:rPr>
          <w:rFonts w:cs="Times New Roman"/>
          <w:i/>
          <w:iCs/>
          <w:noProof/>
        </w:rPr>
        <w:t>Proceedings of the National Academy of Sciences</w:t>
      </w:r>
      <w:r w:rsidRPr="00D17106">
        <w:rPr>
          <w:rFonts w:cs="Times New Roman"/>
          <w:noProof/>
        </w:rPr>
        <w:t xml:space="preserve">, </w:t>
      </w:r>
      <w:r w:rsidRPr="00D17106">
        <w:rPr>
          <w:rFonts w:cs="Times New Roman"/>
          <w:i/>
          <w:iCs/>
          <w:noProof/>
        </w:rPr>
        <w:t>113</w:t>
      </w:r>
      <w:r w:rsidRPr="00D17106">
        <w:rPr>
          <w:rFonts w:cs="Times New Roman"/>
          <w:noProof/>
        </w:rPr>
        <w:t>(14), 3832–3837. https://doi.org/10.1073/pnas.1520282113</w:t>
      </w:r>
    </w:p>
    <w:p w14:paraId="4B176AB3"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Hoagland, D. R., &amp; Arnon, D. I. (1950). The water-culture method for growing plants without soil. </w:t>
      </w:r>
      <w:r w:rsidRPr="00D17106">
        <w:rPr>
          <w:rFonts w:cs="Times New Roman"/>
          <w:i/>
          <w:iCs/>
          <w:noProof/>
        </w:rPr>
        <w:t>California Agricultural Experiment Station: 347</w:t>
      </w:r>
      <w:r w:rsidRPr="00D17106">
        <w:rPr>
          <w:rFonts w:cs="Times New Roman"/>
          <w:noProof/>
        </w:rPr>
        <w:t xml:space="preserve">, </w:t>
      </w:r>
      <w:r w:rsidRPr="00D17106">
        <w:rPr>
          <w:rFonts w:cs="Times New Roman"/>
          <w:i/>
          <w:iCs/>
          <w:noProof/>
        </w:rPr>
        <w:t>347</w:t>
      </w:r>
      <w:r w:rsidRPr="00D17106">
        <w:rPr>
          <w:rFonts w:cs="Times New Roman"/>
          <w:noProof/>
        </w:rPr>
        <w:t>(2), 1–32.</w:t>
      </w:r>
    </w:p>
    <w:p w14:paraId="5C65406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Hungate, B. A., Dukes, J. S., Shaw, M. R., Luo, Y., &amp; Field, C. B. (2003). Nitrogen and climate change. </w:t>
      </w:r>
      <w:r w:rsidRPr="00D17106">
        <w:rPr>
          <w:rFonts w:cs="Times New Roman"/>
          <w:i/>
          <w:iCs/>
          <w:noProof/>
        </w:rPr>
        <w:t>Science</w:t>
      </w:r>
      <w:r w:rsidRPr="00D17106">
        <w:rPr>
          <w:rFonts w:cs="Times New Roman"/>
          <w:noProof/>
        </w:rPr>
        <w:t xml:space="preserve">, </w:t>
      </w:r>
      <w:r w:rsidRPr="00D17106">
        <w:rPr>
          <w:rFonts w:cs="Times New Roman"/>
          <w:i/>
          <w:iCs/>
          <w:noProof/>
        </w:rPr>
        <w:t>302</w:t>
      </w:r>
      <w:r w:rsidRPr="00D17106">
        <w:rPr>
          <w:rFonts w:cs="Times New Roman"/>
          <w:noProof/>
        </w:rPr>
        <w:t>(5650), 1512–1513. https://doi.org/10.1126/science.1091390</w:t>
      </w:r>
    </w:p>
    <w:p w14:paraId="33646E0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IPCC. (2013). </w:t>
      </w:r>
      <w:r w:rsidRPr="00D17106">
        <w:rPr>
          <w:rFonts w:cs="Times New Roman"/>
          <w:i/>
          <w:iCs/>
          <w:noProof/>
        </w:rPr>
        <w:t>Climate Change 2013: The Physical Science Basis. Contribution of Working Group I to the Fifth Assessment Report of the Intergovernmental Panel on Climate Change</w:t>
      </w:r>
      <w:r w:rsidRPr="00D17106">
        <w:rPr>
          <w:rFonts w:cs="Times New Roman"/>
          <w:noProof/>
        </w:rPr>
        <w:t>.</w:t>
      </w:r>
    </w:p>
    <w:p w14:paraId="2EDF099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Katabuchi, M. (2015). LeafArea: An R package for rapid digital analysis of leaf area. </w:t>
      </w:r>
      <w:r w:rsidRPr="00D17106">
        <w:rPr>
          <w:rFonts w:cs="Times New Roman"/>
          <w:i/>
          <w:iCs/>
          <w:noProof/>
        </w:rPr>
        <w:t>Ecological Research</w:t>
      </w:r>
      <w:r w:rsidRPr="00D17106">
        <w:rPr>
          <w:rFonts w:cs="Times New Roman"/>
          <w:noProof/>
        </w:rPr>
        <w:t xml:space="preserve">, </w:t>
      </w:r>
      <w:r w:rsidRPr="00D17106">
        <w:rPr>
          <w:rFonts w:cs="Times New Roman"/>
          <w:i/>
          <w:iCs/>
          <w:noProof/>
        </w:rPr>
        <w:t>30</w:t>
      </w:r>
      <w:r w:rsidRPr="00D17106">
        <w:rPr>
          <w:rFonts w:cs="Times New Roman"/>
          <w:noProof/>
        </w:rPr>
        <w:t>(6), 1073–1077.</w:t>
      </w:r>
    </w:p>
    <w:p w14:paraId="3D7FE56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Kattge, J., &amp; Knorr, W. (2007). Temperature acclimation in a biochemical model of photosynthesis: a reanalysis of data from 36 species. </w:t>
      </w:r>
      <w:r w:rsidRPr="00D17106">
        <w:rPr>
          <w:rFonts w:cs="Times New Roman"/>
          <w:i/>
          <w:iCs/>
          <w:noProof/>
        </w:rPr>
        <w:t>Plant, Cell &amp; Environment</w:t>
      </w:r>
      <w:r w:rsidRPr="00D17106">
        <w:rPr>
          <w:rFonts w:cs="Times New Roman"/>
          <w:noProof/>
        </w:rPr>
        <w:t xml:space="preserve">, </w:t>
      </w:r>
      <w:r w:rsidRPr="00D17106">
        <w:rPr>
          <w:rFonts w:cs="Times New Roman"/>
          <w:i/>
          <w:iCs/>
          <w:noProof/>
        </w:rPr>
        <w:t>30</w:t>
      </w:r>
      <w:r w:rsidRPr="00D17106">
        <w:rPr>
          <w:rFonts w:cs="Times New Roman"/>
          <w:noProof/>
        </w:rPr>
        <w:t>(9), 1176–1190. https://doi.org/10.1111/j.1365-3040.2007.01690.x</w:t>
      </w:r>
    </w:p>
    <w:p w14:paraId="6E8FC04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Kenward, M. G., &amp; Roger, J. H. (1997). Small sample inference for fixed effects from restricted maximum likelihood. </w:t>
      </w:r>
      <w:r w:rsidRPr="00D17106">
        <w:rPr>
          <w:rFonts w:cs="Times New Roman"/>
          <w:i/>
          <w:iCs/>
          <w:noProof/>
        </w:rPr>
        <w:t>Biometrics</w:t>
      </w:r>
      <w:r w:rsidRPr="00D17106">
        <w:rPr>
          <w:rFonts w:cs="Times New Roman"/>
          <w:noProof/>
        </w:rPr>
        <w:t xml:space="preserve">, </w:t>
      </w:r>
      <w:r w:rsidRPr="00D17106">
        <w:rPr>
          <w:rFonts w:cs="Times New Roman"/>
          <w:i/>
          <w:iCs/>
          <w:noProof/>
        </w:rPr>
        <w:t>53</w:t>
      </w:r>
      <w:r w:rsidRPr="00D17106">
        <w:rPr>
          <w:rFonts w:cs="Times New Roman"/>
          <w:noProof/>
        </w:rPr>
        <w:t>(3), 983. https://doi.org/10.2307/2533558</w:t>
      </w:r>
    </w:p>
    <w:p w14:paraId="1BD088A3"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LeBauer, D. S., &amp; Treseder, K. (2008). Nitrogen limitation of net primary productivity. </w:t>
      </w:r>
      <w:r w:rsidRPr="00D17106">
        <w:rPr>
          <w:rFonts w:cs="Times New Roman"/>
          <w:i/>
          <w:iCs/>
          <w:noProof/>
        </w:rPr>
        <w:t>Ecology</w:t>
      </w:r>
      <w:r w:rsidRPr="00D17106">
        <w:rPr>
          <w:rFonts w:cs="Times New Roman"/>
          <w:noProof/>
        </w:rPr>
        <w:t xml:space="preserve">, </w:t>
      </w:r>
      <w:r w:rsidRPr="00D17106">
        <w:rPr>
          <w:rFonts w:cs="Times New Roman"/>
          <w:i/>
          <w:iCs/>
          <w:noProof/>
        </w:rPr>
        <w:t>89</w:t>
      </w:r>
      <w:r w:rsidRPr="00D17106">
        <w:rPr>
          <w:rFonts w:cs="Times New Roman"/>
          <w:noProof/>
        </w:rPr>
        <w:t>(2), 371–379. https://doi.org/10.1890/06-2057.1</w:t>
      </w:r>
    </w:p>
    <w:p w14:paraId="2A16A01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Lenth, R. (2019). </w:t>
      </w:r>
      <w:r w:rsidRPr="00D17106">
        <w:rPr>
          <w:rFonts w:cs="Times New Roman"/>
          <w:i/>
          <w:iCs/>
          <w:noProof/>
        </w:rPr>
        <w:t>emmeans: estimated marginal means, aka least-squares means</w:t>
      </w:r>
      <w:r w:rsidRPr="00D17106">
        <w:rPr>
          <w:rFonts w:cs="Times New Roman"/>
          <w:noProof/>
        </w:rPr>
        <w:t>.</w:t>
      </w:r>
    </w:p>
    <w:p w14:paraId="410797A0"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Li, W., Zhang, H., Huang, G., Liu, R., Wu, H., Zhao, C., &amp; McDowell, N. G. (2020). Effects of nitrogen enrichment on tree carbon allocation: A global synthesis. </w:t>
      </w:r>
      <w:r w:rsidRPr="00D17106">
        <w:rPr>
          <w:rFonts w:cs="Times New Roman"/>
          <w:i/>
          <w:iCs/>
          <w:noProof/>
        </w:rPr>
        <w:t>Global Ecology and Biogeography</w:t>
      </w:r>
      <w:r w:rsidRPr="00D17106">
        <w:rPr>
          <w:rFonts w:cs="Times New Roman"/>
          <w:noProof/>
        </w:rPr>
        <w:t xml:space="preserve">, </w:t>
      </w:r>
      <w:r w:rsidRPr="00D17106">
        <w:rPr>
          <w:rFonts w:cs="Times New Roman"/>
          <w:i/>
          <w:iCs/>
          <w:noProof/>
        </w:rPr>
        <w:t>29</w:t>
      </w:r>
      <w:r w:rsidRPr="00D17106">
        <w:rPr>
          <w:rFonts w:cs="Times New Roman"/>
          <w:noProof/>
        </w:rPr>
        <w:t>(3), 573–589. https://doi.org/10.1111/geb.13042</w:t>
      </w:r>
    </w:p>
    <w:p w14:paraId="5B509AB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Liang, X., Zhang, T., Lu, X., Ellsworth, D. S., BassiriRad, H., You, C., Wang, D., He, P., Deng, Q., Liu, H., Mo, J., &amp; Ye, Q. (2020). Global response patterns of plant photosynthesis to nitrogen addition: A meta‐analysis. </w:t>
      </w:r>
      <w:r w:rsidRPr="00D17106">
        <w:rPr>
          <w:rFonts w:cs="Times New Roman"/>
          <w:i/>
          <w:iCs/>
          <w:noProof/>
        </w:rPr>
        <w:t>Global Change Biology</w:t>
      </w:r>
      <w:r w:rsidRPr="00D17106">
        <w:rPr>
          <w:rFonts w:cs="Times New Roman"/>
          <w:noProof/>
        </w:rPr>
        <w:t xml:space="preserve">, </w:t>
      </w:r>
      <w:r w:rsidRPr="00D17106">
        <w:rPr>
          <w:rFonts w:cs="Times New Roman"/>
          <w:i/>
          <w:iCs/>
          <w:noProof/>
        </w:rPr>
        <w:t>26</w:t>
      </w:r>
      <w:r w:rsidRPr="00D17106">
        <w:rPr>
          <w:rFonts w:cs="Times New Roman"/>
          <w:noProof/>
        </w:rPr>
        <w:t>(6), 3585–3600. https://doi.org/10.1111/gcb.15071</w:t>
      </w:r>
    </w:p>
    <w:p w14:paraId="3E4CEE5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lastRenderedPageBreak/>
        <w:t xml:space="preserve">Maire, V., Wright, I. J., Prentice, I. C., Batjes, N. H., Bhaskar, R., van Bodegom, P. M., Cornwell, W. K., Ellsworth, D., Niinemets, Ü., Ordonez, A., Reich, P. B., &amp; Santiago, L. S. (2015). Global effects of soil and climate on leaf photosynthetic traits and rates. </w:t>
      </w:r>
      <w:r w:rsidRPr="00D17106">
        <w:rPr>
          <w:rFonts w:cs="Times New Roman"/>
          <w:i/>
          <w:iCs/>
          <w:noProof/>
        </w:rPr>
        <w:t>Global Ecology and Biogeography</w:t>
      </w:r>
      <w:r w:rsidRPr="00D17106">
        <w:rPr>
          <w:rFonts w:cs="Times New Roman"/>
          <w:noProof/>
        </w:rPr>
        <w:t xml:space="preserve">, </w:t>
      </w:r>
      <w:r w:rsidRPr="00D17106">
        <w:rPr>
          <w:rFonts w:cs="Times New Roman"/>
          <w:i/>
          <w:iCs/>
          <w:noProof/>
        </w:rPr>
        <w:t>24</w:t>
      </w:r>
      <w:r w:rsidRPr="00D17106">
        <w:rPr>
          <w:rFonts w:cs="Times New Roman"/>
          <w:noProof/>
        </w:rPr>
        <w:t>(6), 706–717. https://doi.org/10.1111/geb.12296</w:t>
      </w:r>
    </w:p>
    <w:p w14:paraId="285F9955"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D17106">
        <w:rPr>
          <w:rFonts w:cs="Times New Roman"/>
          <w:i/>
          <w:iCs/>
          <w:noProof/>
        </w:rPr>
        <w:t>Plant, Cell &amp; Environment</w:t>
      </w:r>
      <w:r w:rsidRPr="00D17106">
        <w:rPr>
          <w:rFonts w:cs="Times New Roman"/>
          <w:noProof/>
        </w:rPr>
        <w:t xml:space="preserve">, </w:t>
      </w:r>
      <w:r w:rsidRPr="00D17106">
        <w:rPr>
          <w:rFonts w:cs="Times New Roman"/>
          <w:i/>
          <w:iCs/>
          <w:noProof/>
        </w:rPr>
        <w:t>25</w:t>
      </w:r>
      <w:r w:rsidRPr="00D17106">
        <w:rPr>
          <w:rFonts w:cs="Times New Roman"/>
          <w:noProof/>
        </w:rPr>
        <w:t>(9), 1167–1179. https://doi.org/10.1046/j.1365-3040.2002.00891.x</w:t>
      </w:r>
    </w:p>
    <w:p w14:paraId="768A07AD"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O’Sullivan, O. S., Weerasinghe, K. W. L. K., Evans, J. R., Egerton, J. J. G., Tjoelker, M. G., &amp; Atkin, O. K. (2013). High-resolution temperature responses of leaf respiration in snow gum (</w:t>
      </w:r>
      <w:r w:rsidRPr="00D17106">
        <w:rPr>
          <w:rFonts w:cs="Times New Roman"/>
          <w:i/>
          <w:iCs/>
          <w:noProof/>
        </w:rPr>
        <w:t>Eucalyptus pauciflora</w:t>
      </w:r>
      <w:r w:rsidRPr="00D17106">
        <w:rPr>
          <w:rFonts w:cs="Times New Roman"/>
          <w:noProof/>
        </w:rPr>
        <w:t xml:space="preserve">) reveal high-temperature limits to respiratory function. </w:t>
      </w:r>
      <w:r w:rsidRPr="00D17106">
        <w:rPr>
          <w:rFonts w:cs="Times New Roman"/>
          <w:i/>
          <w:iCs/>
          <w:noProof/>
        </w:rPr>
        <w:t>Plant, Cell &amp; Environment</w:t>
      </w:r>
      <w:r w:rsidRPr="00D17106">
        <w:rPr>
          <w:rFonts w:cs="Times New Roman"/>
          <w:noProof/>
        </w:rPr>
        <w:t xml:space="preserve">, </w:t>
      </w:r>
      <w:r w:rsidRPr="00D17106">
        <w:rPr>
          <w:rFonts w:cs="Times New Roman"/>
          <w:i/>
          <w:iCs/>
          <w:noProof/>
        </w:rPr>
        <w:t>36</w:t>
      </w:r>
      <w:r w:rsidRPr="00D17106">
        <w:rPr>
          <w:rFonts w:cs="Times New Roman"/>
          <w:noProof/>
        </w:rPr>
        <w:t>(7), 1268–1284. https://doi.org/10.1111/pce.12057</w:t>
      </w:r>
    </w:p>
    <w:p w14:paraId="285561B9"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Onoda, Y., Wright, I. J., Evans, J. R., Hikosaka, K., Kitajima, K., Niinemets, Ü., Poorter, H., Tosens, T., &amp; Westoby, M. (2017). Physiological and structural tradeoffs underlying the leaf economics spectrum. </w:t>
      </w:r>
      <w:r w:rsidRPr="00D17106">
        <w:rPr>
          <w:rFonts w:cs="Times New Roman"/>
          <w:i/>
          <w:iCs/>
          <w:noProof/>
        </w:rPr>
        <w:t>New Phytologist</w:t>
      </w:r>
      <w:r w:rsidRPr="00D17106">
        <w:rPr>
          <w:rFonts w:cs="Times New Roman"/>
          <w:noProof/>
        </w:rPr>
        <w:t xml:space="preserve">, </w:t>
      </w:r>
      <w:r w:rsidRPr="00D17106">
        <w:rPr>
          <w:rFonts w:cs="Times New Roman"/>
          <w:i/>
          <w:iCs/>
          <w:noProof/>
        </w:rPr>
        <w:t>214</w:t>
      </w:r>
      <w:r w:rsidRPr="00D17106">
        <w:rPr>
          <w:rFonts w:cs="Times New Roman"/>
          <w:noProof/>
        </w:rPr>
        <w:t>(4), 1447–1463. https://doi.org/10.1111/nph.14496</w:t>
      </w:r>
    </w:p>
    <w:p w14:paraId="6E92C302"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Oreskes, N., Shrader-Frechette, K., &amp; Belitz, K. (1994). Verification , Validation , and Confirmation of Numerical Models in the Earth Sciences. </w:t>
      </w:r>
      <w:r w:rsidRPr="00D17106">
        <w:rPr>
          <w:rFonts w:cs="Times New Roman"/>
          <w:i/>
          <w:iCs/>
          <w:noProof/>
        </w:rPr>
        <w:t>Science</w:t>
      </w:r>
      <w:r w:rsidRPr="00D17106">
        <w:rPr>
          <w:rFonts w:cs="Times New Roman"/>
          <w:noProof/>
        </w:rPr>
        <w:t xml:space="preserve">, </w:t>
      </w:r>
      <w:r w:rsidRPr="00D17106">
        <w:rPr>
          <w:rFonts w:cs="Times New Roman"/>
          <w:i/>
          <w:iCs/>
          <w:noProof/>
        </w:rPr>
        <w:t>263</w:t>
      </w:r>
      <w:r w:rsidRPr="00D17106">
        <w:rPr>
          <w:rFonts w:cs="Times New Roman"/>
          <w:noProof/>
        </w:rPr>
        <w:t>(5147), 641–646. https://www.jstor.org/stable/2883078</w:t>
      </w:r>
    </w:p>
    <w:p w14:paraId="0F50048A"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D17106">
        <w:rPr>
          <w:rFonts w:cs="Times New Roman"/>
          <w:i/>
          <w:iCs/>
          <w:noProof/>
        </w:rPr>
        <w:t>New Phytologist</w:t>
      </w:r>
      <w:r w:rsidRPr="00D17106">
        <w:rPr>
          <w:rFonts w:cs="Times New Roman"/>
          <w:noProof/>
        </w:rPr>
        <w:t xml:space="preserve">, </w:t>
      </w:r>
      <w:r w:rsidRPr="00D17106">
        <w:rPr>
          <w:rFonts w:cs="Times New Roman"/>
          <w:i/>
          <w:iCs/>
          <w:noProof/>
        </w:rPr>
        <w:t>228</w:t>
      </w:r>
      <w:r w:rsidRPr="00D17106">
        <w:rPr>
          <w:rFonts w:cs="Times New Roman"/>
          <w:noProof/>
        </w:rPr>
        <w:t>(1), 121–135. https://doi.org/10.1111/nph.16702</w:t>
      </w:r>
    </w:p>
    <w:p w14:paraId="0BCAC953"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Peng, Y., Bloomfield, K. J., Cernusak, L. A., Domingues, T. F., &amp; Prentice, I. C. (2021). Global climate and nutrient controls of photosynthetic capacity. </w:t>
      </w:r>
      <w:r w:rsidRPr="00D17106">
        <w:rPr>
          <w:rFonts w:cs="Times New Roman"/>
          <w:i/>
          <w:iCs/>
          <w:noProof/>
        </w:rPr>
        <w:t>Communications Biology</w:t>
      </w:r>
      <w:r w:rsidRPr="00D17106">
        <w:rPr>
          <w:rFonts w:cs="Times New Roman"/>
          <w:noProof/>
        </w:rPr>
        <w:t xml:space="preserve">, </w:t>
      </w:r>
      <w:r w:rsidRPr="00D17106">
        <w:rPr>
          <w:rFonts w:cs="Times New Roman"/>
          <w:i/>
          <w:iCs/>
          <w:noProof/>
        </w:rPr>
        <w:t>4</w:t>
      </w:r>
      <w:r w:rsidRPr="00D17106">
        <w:rPr>
          <w:rFonts w:cs="Times New Roman"/>
          <w:noProof/>
        </w:rPr>
        <w:t>(1), 462. https://doi.org/10.1038/s42003-021-01985-7</w:t>
      </w:r>
    </w:p>
    <w:p w14:paraId="7D9A288D"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Perkowski, E. A., Waring, E. F., &amp; Smith, N. G. (2021). Root mass carbon costs to acquire nitrogen are determined by nitrogen and light availability in two species with different nitrogen acquisition strategies. </w:t>
      </w:r>
      <w:r w:rsidRPr="00D17106">
        <w:rPr>
          <w:rFonts w:cs="Times New Roman"/>
          <w:i/>
          <w:iCs/>
          <w:noProof/>
        </w:rPr>
        <w:t>Journal of Experimental Botany</w:t>
      </w:r>
      <w:r w:rsidRPr="00D17106">
        <w:rPr>
          <w:rFonts w:cs="Times New Roman"/>
          <w:noProof/>
        </w:rPr>
        <w:t xml:space="preserve">, </w:t>
      </w:r>
      <w:r w:rsidRPr="00D17106">
        <w:rPr>
          <w:rFonts w:cs="Times New Roman"/>
          <w:i/>
          <w:iCs/>
          <w:noProof/>
        </w:rPr>
        <w:t>72</w:t>
      </w:r>
      <w:r w:rsidRPr="00D17106">
        <w:rPr>
          <w:rFonts w:cs="Times New Roman"/>
          <w:noProof/>
        </w:rPr>
        <w:t>(15), 5766–5776. https://doi.org/10.1093/jxb/erab253</w:t>
      </w:r>
    </w:p>
    <w:p w14:paraId="1E129A4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lastRenderedPageBreak/>
        <w:t xml:space="preserve">Poorter, H., Bühler, J., Van Dusschoten, D., Climent, J., &amp; Postma, J. A. (2012). Pot size matters: A meta-analysis of the effects of rooting volume on plant growth. </w:t>
      </w:r>
      <w:r w:rsidRPr="00D17106">
        <w:rPr>
          <w:rFonts w:cs="Times New Roman"/>
          <w:i/>
          <w:iCs/>
          <w:noProof/>
        </w:rPr>
        <w:t>Functional Plant Biology</w:t>
      </w:r>
      <w:r w:rsidRPr="00D17106">
        <w:rPr>
          <w:rFonts w:cs="Times New Roman"/>
          <w:noProof/>
        </w:rPr>
        <w:t xml:space="preserve">, </w:t>
      </w:r>
      <w:r w:rsidRPr="00D17106">
        <w:rPr>
          <w:rFonts w:cs="Times New Roman"/>
          <w:i/>
          <w:iCs/>
          <w:noProof/>
        </w:rPr>
        <w:t>39</w:t>
      </w:r>
      <w:r w:rsidRPr="00D17106">
        <w:rPr>
          <w:rFonts w:cs="Times New Roman"/>
          <w:noProof/>
        </w:rPr>
        <w:t>(11), 839–850. https://doi.org/10.1071/FP12049</w:t>
      </w:r>
    </w:p>
    <w:p w14:paraId="4AB5E67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Prentice, I. C., Dong, N., Gleason, S. M., Maire, V., &amp; Wright, I. J. (2014). Balancing the costs of carbon gain and water transport: testing a new theoretical framework for plant functional ecology. </w:t>
      </w:r>
      <w:r w:rsidRPr="00D17106">
        <w:rPr>
          <w:rFonts w:cs="Times New Roman"/>
          <w:i/>
          <w:iCs/>
          <w:noProof/>
        </w:rPr>
        <w:t>Ecology Letters</w:t>
      </w:r>
      <w:r w:rsidRPr="00D17106">
        <w:rPr>
          <w:rFonts w:cs="Times New Roman"/>
          <w:noProof/>
        </w:rPr>
        <w:t xml:space="preserve">, </w:t>
      </w:r>
      <w:r w:rsidRPr="00D17106">
        <w:rPr>
          <w:rFonts w:cs="Times New Roman"/>
          <w:i/>
          <w:iCs/>
          <w:noProof/>
        </w:rPr>
        <w:t>17</w:t>
      </w:r>
      <w:r w:rsidRPr="00D17106">
        <w:rPr>
          <w:rFonts w:cs="Times New Roman"/>
          <w:noProof/>
        </w:rPr>
        <w:t>(1), 82–91. https://doi.org/10.1111/ele.12211</w:t>
      </w:r>
    </w:p>
    <w:p w14:paraId="3F575E6A"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Prentice, I. C., Liang, X., Medlyn, B. E., &amp; Wang, Y.-P. (2015). Reliable, robust and realistic: The three R’s of next-generation land-surface modelling. </w:t>
      </w:r>
      <w:r w:rsidRPr="00D17106">
        <w:rPr>
          <w:rFonts w:cs="Times New Roman"/>
          <w:i/>
          <w:iCs/>
          <w:noProof/>
        </w:rPr>
        <w:t>Atmospheric Chemistry and Physics</w:t>
      </w:r>
      <w:r w:rsidRPr="00D17106">
        <w:rPr>
          <w:rFonts w:cs="Times New Roman"/>
          <w:noProof/>
        </w:rPr>
        <w:t xml:space="preserve">, </w:t>
      </w:r>
      <w:r w:rsidRPr="00D17106">
        <w:rPr>
          <w:rFonts w:cs="Times New Roman"/>
          <w:i/>
          <w:iCs/>
          <w:noProof/>
        </w:rPr>
        <w:t>15</w:t>
      </w:r>
      <w:r w:rsidRPr="00D17106">
        <w:rPr>
          <w:rFonts w:cs="Times New Roman"/>
          <w:noProof/>
        </w:rPr>
        <w:t>, 5987–6005. https://doi.org/10.5194/acp-15-5987-2015</w:t>
      </w:r>
    </w:p>
    <w:p w14:paraId="15CDD3AA"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R Core Team. (2021). </w:t>
      </w:r>
      <w:r w:rsidRPr="00D17106">
        <w:rPr>
          <w:rFonts w:cs="Times New Roman"/>
          <w:i/>
          <w:iCs/>
          <w:noProof/>
        </w:rPr>
        <w:t>R: A language and environment for statistical computing</w:t>
      </w:r>
      <w:r w:rsidRPr="00D17106">
        <w:rPr>
          <w:rFonts w:cs="Times New Roman"/>
          <w:noProof/>
        </w:rPr>
        <w:t xml:space="preserve"> (4.1.1). R Foundation for Statistical Computing. https://www.r-project.org/</w:t>
      </w:r>
    </w:p>
    <w:p w14:paraId="143DDB5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Rastetter, E. B., Vitousek, P. M., Field, C. B., Shaver, G. R., Herbert, D., &amp; Ågren, G. I. (2001). Resource optimization and symbiotic nitrogen fixation. </w:t>
      </w:r>
      <w:r w:rsidRPr="00D17106">
        <w:rPr>
          <w:rFonts w:cs="Times New Roman"/>
          <w:i/>
          <w:iCs/>
          <w:noProof/>
        </w:rPr>
        <w:t>Ecosystems</w:t>
      </w:r>
      <w:r w:rsidRPr="00D17106">
        <w:rPr>
          <w:rFonts w:cs="Times New Roman"/>
          <w:noProof/>
        </w:rPr>
        <w:t xml:space="preserve">, </w:t>
      </w:r>
      <w:r w:rsidRPr="00D17106">
        <w:rPr>
          <w:rFonts w:cs="Times New Roman"/>
          <w:i/>
          <w:iCs/>
          <w:noProof/>
        </w:rPr>
        <w:t>4</w:t>
      </w:r>
      <w:r w:rsidRPr="00D17106">
        <w:rPr>
          <w:rFonts w:cs="Times New Roman"/>
          <w:noProof/>
        </w:rPr>
        <w:t>(4), 369–388. https://doi.org/10.1007/s10021-001-0018-z</w:t>
      </w:r>
    </w:p>
    <w:p w14:paraId="2414E72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Rogers, A. (2014). The use and misuse of V</w:t>
      </w:r>
      <w:r w:rsidRPr="00D17106">
        <w:rPr>
          <w:rFonts w:cs="Times New Roman"/>
          <w:noProof/>
          <w:vertAlign w:val="subscript"/>
        </w:rPr>
        <w:t>c,max</w:t>
      </w:r>
      <w:r w:rsidRPr="00D17106">
        <w:rPr>
          <w:rFonts w:cs="Times New Roman"/>
          <w:noProof/>
        </w:rPr>
        <w:t xml:space="preserve"> in Earth System Models. </w:t>
      </w:r>
      <w:r w:rsidRPr="00D17106">
        <w:rPr>
          <w:rFonts w:cs="Times New Roman"/>
          <w:i/>
          <w:iCs/>
          <w:noProof/>
        </w:rPr>
        <w:t>Photosynthesis Research</w:t>
      </w:r>
      <w:r w:rsidRPr="00D17106">
        <w:rPr>
          <w:rFonts w:cs="Times New Roman"/>
          <w:noProof/>
        </w:rPr>
        <w:t xml:space="preserve">, </w:t>
      </w:r>
      <w:r w:rsidRPr="00D17106">
        <w:rPr>
          <w:rFonts w:cs="Times New Roman"/>
          <w:i/>
          <w:iCs/>
          <w:noProof/>
        </w:rPr>
        <w:t>119</w:t>
      </w:r>
      <w:r w:rsidRPr="00D17106">
        <w:rPr>
          <w:rFonts w:cs="Times New Roman"/>
          <w:noProof/>
        </w:rPr>
        <w:t>(1–2), 15–29. https://doi.org/10.1007/s11120-013-9818-1</w:t>
      </w:r>
    </w:p>
    <w:p w14:paraId="50F5C79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Rogers, A., Medlyn, B. E., Dukes, J. S., Bonan, G., von Caemmerer, S., Dietze, M. C., Kattge, J., Leakey, A. D. B., Mercado, L. M., Niinemets, Ü., Prentice, I. C., Serbin, S. P., Sitch, S., Way, D. A., &amp; Zaehle, S. (2017). A roadmap for improving the representation of photosynthesis in Earth system models. </w:t>
      </w:r>
      <w:r w:rsidRPr="00D17106">
        <w:rPr>
          <w:rFonts w:cs="Times New Roman"/>
          <w:i/>
          <w:iCs/>
          <w:noProof/>
        </w:rPr>
        <w:t>New Phytologist</w:t>
      </w:r>
      <w:r w:rsidRPr="00D17106">
        <w:rPr>
          <w:rFonts w:cs="Times New Roman"/>
          <w:noProof/>
        </w:rPr>
        <w:t xml:space="preserve">, </w:t>
      </w:r>
      <w:r w:rsidRPr="00D17106">
        <w:rPr>
          <w:rFonts w:cs="Times New Roman"/>
          <w:i/>
          <w:iCs/>
          <w:noProof/>
        </w:rPr>
        <w:t>213</w:t>
      </w:r>
      <w:r w:rsidRPr="00D17106">
        <w:rPr>
          <w:rFonts w:cs="Times New Roman"/>
          <w:noProof/>
        </w:rPr>
        <w:t>(1), 22–42. https://doi.org/10.1111/nph.14283</w:t>
      </w:r>
    </w:p>
    <w:p w14:paraId="7FF70408"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Schneider, C. A., Rasband, W. S., &amp; Eliceiri, K. W. (2012). NIH Image to ImageJ: 25 years of image analysis. </w:t>
      </w:r>
      <w:r w:rsidRPr="00D17106">
        <w:rPr>
          <w:rFonts w:cs="Times New Roman"/>
          <w:i/>
          <w:iCs/>
          <w:noProof/>
        </w:rPr>
        <w:t>Nature Methods</w:t>
      </w:r>
      <w:r w:rsidRPr="00D17106">
        <w:rPr>
          <w:rFonts w:cs="Times New Roman"/>
          <w:noProof/>
        </w:rPr>
        <w:t xml:space="preserve">, </w:t>
      </w:r>
      <w:r w:rsidRPr="00D17106">
        <w:rPr>
          <w:rFonts w:cs="Times New Roman"/>
          <w:i/>
          <w:iCs/>
          <w:noProof/>
        </w:rPr>
        <w:t>9</w:t>
      </w:r>
      <w:r w:rsidRPr="00D17106">
        <w:rPr>
          <w:rFonts w:cs="Times New Roman"/>
          <w:noProof/>
        </w:rPr>
        <w:t>(7), 671–675. https://doi.org/10.1038/nmeth.2089</w:t>
      </w:r>
    </w:p>
    <w:p w14:paraId="4262A3BD"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Smith, N. G., &amp; Dukes, J. S. (2013). Plant respiration and photosynthesis in global-scale models: Incorporating acclimation to temperature and CO</w:t>
      </w:r>
      <w:r w:rsidRPr="00D17106">
        <w:rPr>
          <w:rFonts w:cs="Times New Roman"/>
          <w:noProof/>
          <w:vertAlign w:val="subscript"/>
        </w:rPr>
        <w:t>2</w:t>
      </w:r>
      <w:r w:rsidRPr="00D17106">
        <w:rPr>
          <w:rFonts w:cs="Times New Roman"/>
          <w:noProof/>
        </w:rPr>
        <w:t xml:space="preserve">. </w:t>
      </w:r>
      <w:r w:rsidRPr="00D17106">
        <w:rPr>
          <w:rFonts w:cs="Times New Roman"/>
          <w:i/>
          <w:iCs/>
          <w:noProof/>
        </w:rPr>
        <w:t>Global Change Biology</w:t>
      </w:r>
      <w:r w:rsidRPr="00D17106">
        <w:rPr>
          <w:rFonts w:cs="Times New Roman"/>
          <w:noProof/>
        </w:rPr>
        <w:t xml:space="preserve">, </w:t>
      </w:r>
      <w:r w:rsidRPr="00D17106">
        <w:rPr>
          <w:rFonts w:cs="Times New Roman"/>
          <w:i/>
          <w:iCs/>
          <w:noProof/>
        </w:rPr>
        <w:t>19</w:t>
      </w:r>
      <w:r w:rsidRPr="00D17106">
        <w:rPr>
          <w:rFonts w:cs="Times New Roman"/>
          <w:noProof/>
        </w:rPr>
        <w:t>(1), 45–63. https://doi.org/10.1111/j.1365-2486.2012.02797.x</w:t>
      </w:r>
    </w:p>
    <w:p w14:paraId="5D3054D0"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Smith, N. G., Keenan, T. F., Prentice, I. C., Wang, H., Wright, I. J., Niinemets, Ü., Crous, K. Y., Domingues, T. F., Guerrieri, R., Ishida, F. oko, Kattge, J., Kruger, E. L., Maire, V., Rogers, A., Serbin, S. P., Tarvainen, L., Togashi, H. F., Townsend, P. A., Wang, M., … Zhou, S.-X. (2019). Global photosynthetic capacity is optimized to the environment. </w:t>
      </w:r>
      <w:r w:rsidRPr="00D17106">
        <w:rPr>
          <w:rFonts w:cs="Times New Roman"/>
          <w:i/>
          <w:iCs/>
          <w:noProof/>
        </w:rPr>
        <w:t>Ecology Letters</w:t>
      </w:r>
      <w:r w:rsidRPr="00D17106">
        <w:rPr>
          <w:rFonts w:cs="Times New Roman"/>
          <w:noProof/>
        </w:rPr>
        <w:t xml:space="preserve">, </w:t>
      </w:r>
      <w:r w:rsidRPr="00D17106">
        <w:rPr>
          <w:rFonts w:cs="Times New Roman"/>
          <w:i/>
          <w:iCs/>
          <w:noProof/>
        </w:rPr>
        <w:t>22</w:t>
      </w:r>
      <w:r w:rsidRPr="00D17106">
        <w:rPr>
          <w:rFonts w:cs="Times New Roman"/>
          <w:noProof/>
        </w:rPr>
        <w:t>(3), 506–517. https://doi.org/10.1111/ele.13210</w:t>
      </w:r>
    </w:p>
    <w:p w14:paraId="22329086"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lastRenderedPageBreak/>
        <w:t xml:space="preserve">Smith, N. G., Lombardozzi, D. L., Tawfik, A., Bonan, G., &amp; Dukes, J. S. (2017). Biophysical consequences of photosynthetic temperature acclimation for climate. </w:t>
      </w:r>
      <w:r w:rsidRPr="00D17106">
        <w:rPr>
          <w:rFonts w:cs="Times New Roman"/>
          <w:i/>
          <w:iCs/>
          <w:noProof/>
        </w:rPr>
        <w:t>Journal of Advances in Modeling Earth Systems</w:t>
      </w:r>
      <w:r w:rsidRPr="00D17106">
        <w:rPr>
          <w:rFonts w:cs="Times New Roman"/>
          <w:noProof/>
        </w:rPr>
        <w:t xml:space="preserve">, </w:t>
      </w:r>
      <w:r w:rsidRPr="00D17106">
        <w:rPr>
          <w:rFonts w:cs="Times New Roman"/>
          <w:i/>
          <w:iCs/>
          <w:noProof/>
        </w:rPr>
        <w:t>9</w:t>
      </w:r>
      <w:r w:rsidRPr="00D17106">
        <w:rPr>
          <w:rFonts w:cs="Times New Roman"/>
          <w:noProof/>
        </w:rPr>
        <w:t>(1), 536–547. https://doi.org/10.1002/2016MS000732</w:t>
      </w:r>
    </w:p>
    <w:p w14:paraId="08DF19C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Smith, N. G., Malyshev, S. L., Shevliakova, E., Kattge, J., &amp; Dukes, J. S. (2016). Foliar temperature acclimation reduces simulated carbon sensitivity to climate. </w:t>
      </w:r>
      <w:r w:rsidRPr="00D17106">
        <w:rPr>
          <w:rFonts w:cs="Times New Roman"/>
          <w:i/>
          <w:iCs/>
          <w:noProof/>
        </w:rPr>
        <w:t>Nature Climate Change</w:t>
      </w:r>
      <w:r w:rsidRPr="00D17106">
        <w:rPr>
          <w:rFonts w:cs="Times New Roman"/>
          <w:noProof/>
        </w:rPr>
        <w:t xml:space="preserve">, </w:t>
      </w:r>
      <w:r w:rsidRPr="00D17106">
        <w:rPr>
          <w:rFonts w:cs="Times New Roman"/>
          <w:i/>
          <w:iCs/>
          <w:noProof/>
        </w:rPr>
        <w:t>6</w:t>
      </w:r>
      <w:r w:rsidRPr="00D17106">
        <w:rPr>
          <w:rFonts w:cs="Times New Roman"/>
          <w:noProof/>
        </w:rPr>
        <w:t>(4), 407–411. https://doi.org/10.1038/nclimate2878</w:t>
      </w:r>
    </w:p>
    <w:p w14:paraId="71EDC55B"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Smith, S. E., &amp; Read, D. J. (2008). </w:t>
      </w:r>
      <w:r w:rsidRPr="00D17106">
        <w:rPr>
          <w:rFonts w:cs="Times New Roman"/>
          <w:i/>
          <w:iCs/>
          <w:noProof/>
        </w:rPr>
        <w:t>Mycorrhizal Symbiosis</w:t>
      </w:r>
      <w:r w:rsidRPr="00D17106">
        <w:rPr>
          <w:rFonts w:cs="Times New Roman"/>
          <w:noProof/>
        </w:rPr>
        <w:t>.</w:t>
      </w:r>
    </w:p>
    <w:p w14:paraId="49B925E0"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Taiz, L., &amp; Zeiger, E. (2010). </w:t>
      </w:r>
      <w:r w:rsidRPr="00D17106">
        <w:rPr>
          <w:rFonts w:cs="Times New Roman"/>
          <w:i/>
          <w:iCs/>
          <w:noProof/>
        </w:rPr>
        <w:t>Plant physiology</w:t>
      </w:r>
      <w:r w:rsidRPr="00D17106">
        <w:rPr>
          <w:rFonts w:cs="Times New Roman"/>
          <w:noProof/>
        </w:rPr>
        <w:t xml:space="preserve"> (Fifth). Sinauer.</w:t>
      </w:r>
    </w:p>
    <w:p w14:paraId="5EEED8EA"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Terrer, C., Vicca, S., Stocker, B. D., Hungate, B. A., Phillips, R. P., Reich, P. B., Finzi, A. C., &amp; Prentice, I. C. (2018). Ecosystem responses to elevated &lt;scp&gt;CO&lt;/scp&gt; </w:t>
      </w:r>
      <w:r w:rsidRPr="00D17106">
        <w:rPr>
          <w:rFonts w:cs="Times New Roman"/>
          <w:noProof/>
          <w:vertAlign w:val="subscript"/>
        </w:rPr>
        <w:t>2</w:t>
      </w:r>
      <w:r w:rsidRPr="00D17106">
        <w:rPr>
          <w:rFonts w:cs="Times New Roman"/>
          <w:noProof/>
        </w:rPr>
        <w:t xml:space="preserve"> governed by plant–soil interactions and the cost of nitrogen acquisition. </w:t>
      </w:r>
      <w:r w:rsidRPr="00D17106">
        <w:rPr>
          <w:rFonts w:cs="Times New Roman"/>
          <w:i/>
          <w:iCs/>
          <w:noProof/>
        </w:rPr>
        <w:t>New Phytologist</w:t>
      </w:r>
      <w:r w:rsidRPr="00D17106">
        <w:rPr>
          <w:rFonts w:cs="Times New Roman"/>
          <w:noProof/>
        </w:rPr>
        <w:t xml:space="preserve">, </w:t>
      </w:r>
      <w:r w:rsidRPr="00D17106">
        <w:rPr>
          <w:rFonts w:cs="Times New Roman"/>
          <w:i/>
          <w:iCs/>
          <w:noProof/>
        </w:rPr>
        <w:t>217</w:t>
      </w:r>
      <w:r w:rsidRPr="00D17106">
        <w:rPr>
          <w:rFonts w:cs="Times New Roman"/>
          <w:noProof/>
        </w:rPr>
        <w:t>(2), 507–522. https://doi.org/10.1111/nph.14872</w:t>
      </w:r>
    </w:p>
    <w:p w14:paraId="0C048159"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Walker, A. P., Beckerman, A. P., Gu, L., Kattge, J., Cernusak, L. A., Domingues, T. F., Scales, J. C., Wohlfahrt, G., Wullschleger, S. D., &amp; Woodward, F. I. (2014). The relationship of leaf photosynthetic traits - Vcmax and Jmax - to leaf nitrogen, leaf phosphorus, and specific leaf area: a meta-analysis and modeling study. </w:t>
      </w:r>
      <w:r w:rsidRPr="00D17106">
        <w:rPr>
          <w:rFonts w:cs="Times New Roman"/>
          <w:i/>
          <w:iCs/>
          <w:noProof/>
        </w:rPr>
        <w:t>Ecology and Evolution</w:t>
      </w:r>
      <w:r w:rsidRPr="00D17106">
        <w:rPr>
          <w:rFonts w:cs="Times New Roman"/>
          <w:noProof/>
        </w:rPr>
        <w:t xml:space="preserve">, </w:t>
      </w:r>
      <w:r w:rsidRPr="00D17106">
        <w:rPr>
          <w:rFonts w:cs="Times New Roman"/>
          <w:i/>
          <w:iCs/>
          <w:noProof/>
        </w:rPr>
        <w:t>4</w:t>
      </w:r>
      <w:r w:rsidRPr="00D17106">
        <w:rPr>
          <w:rFonts w:cs="Times New Roman"/>
          <w:noProof/>
        </w:rPr>
        <w:t>(16), 3218–3235. https://doi.org/10.1002/ece3.1173</w:t>
      </w:r>
    </w:p>
    <w:p w14:paraId="23E2DBDF"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Wieder, W. R., Cleveland, C. C., Smith, W. K., &amp; Todd-Brown, K. (2015). Future productivity and carbon storage limited by terrestrial nutrient availability. </w:t>
      </w:r>
      <w:r w:rsidRPr="00D17106">
        <w:rPr>
          <w:rFonts w:cs="Times New Roman"/>
          <w:i/>
          <w:iCs/>
          <w:noProof/>
        </w:rPr>
        <w:t>Nature Geoscience</w:t>
      </w:r>
      <w:r w:rsidRPr="00D17106">
        <w:rPr>
          <w:rFonts w:cs="Times New Roman"/>
          <w:noProof/>
        </w:rPr>
        <w:t xml:space="preserve">, </w:t>
      </w:r>
      <w:r w:rsidRPr="00D17106">
        <w:rPr>
          <w:rFonts w:cs="Times New Roman"/>
          <w:i/>
          <w:iCs/>
          <w:noProof/>
        </w:rPr>
        <w:t>8</w:t>
      </w:r>
      <w:r w:rsidRPr="00D17106">
        <w:rPr>
          <w:rFonts w:cs="Times New Roman"/>
          <w:noProof/>
        </w:rPr>
        <w:t>(6), 441–444. https://doi.org/10.1038/ngeo2413</w:t>
      </w:r>
    </w:p>
    <w:p w14:paraId="5119B7C0"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Wieder, W. R., Lawrence, D. M., Fisher, R. A., Bonan, G. B., Cheng, S. J., Goodale, C. L., Grandy, A. S., Koven, C. D., Lombardozzi, D. L., Oleson, K. W., &amp; Thomas, R. Q. (2019). Beyond static benchmarking: using experimental manipulations to evaluate land model assumptions. </w:t>
      </w:r>
      <w:r w:rsidRPr="00D17106">
        <w:rPr>
          <w:rFonts w:cs="Times New Roman"/>
          <w:i/>
          <w:iCs/>
          <w:noProof/>
        </w:rPr>
        <w:t>Global Biogeochemical Cycles</w:t>
      </w:r>
      <w:r w:rsidRPr="00D17106">
        <w:rPr>
          <w:rFonts w:cs="Times New Roman"/>
          <w:noProof/>
        </w:rPr>
        <w:t xml:space="preserve">, </w:t>
      </w:r>
      <w:r w:rsidRPr="00D17106">
        <w:rPr>
          <w:rFonts w:cs="Times New Roman"/>
          <w:i/>
          <w:iCs/>
          <w:noProof/>
        </w:rPr>
        <w:t>33</w:t>
      </w:r>
      <w:r w:rsidRPr="00D17106">
        <w:rPr>
          <w:rFonts w:cs="Times New Roman"/>
          <w:noProof/>
        </w:rPr>
        <w:t>(10), 1289–1309. https://doi.org/10.1029/2018GB006141</w:t>
      </w:r>
    </w:p>
    <w:p w14:paraId="62AB345D"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Wright, I. J., Reich, P. B., &amp; Westoby, M. (2003). Least-cost input mixtures of water and nitrogen for photosynthesis. </w:t>
      </w:r>
      <w:r w:rsidRPr="00D17106">
        <w:rPr>
          <w:rFonts w:cs="Times New Roman"/>
          <w:i/>
          <w:iCs/>
          <w:noProof/>
        </w:rPr>
        <w:t>The American Naturalist</w:t>
      </w:r>
      <w:r w:rsidRPr="00D17106">
        <w:rPr>
          <w:rFonts w:cs="Times New Roman"/>
          <w:noProof/>
        </w:rPr>
        <w:t xml:space="preserve">, </w:t>
      </w:r>
      <w:r w:rsidRPr="00D17106">
        <w:rPr>
          <w:rFonts w:cs="Times New Roman"/>
          <w:i/>
          <w:iCs/>
          <w:noProof/>
        </w:rPr>
        <w:t>161</w:t>
      </w:r>
      <w:r w:rsidRPr="00D17106">
        <w:rPr>
          <w:rFonts w:cs="Times New Roman"/>
          <w:noProof/>
        </w:rPr>
        <w:t>(1), 98–111. https://doi.org/0003-0147/2003/16101-010387</w:t>
      </w:r>
    </w:p>
    <w:p w14:paraId="5D04B80A" w14:textId="77777777" w:rsidR="00D17106" w:rsidRPr="00D17106" w:rsidRDefault="00D17106" w:rsidP="00D17106">
      <w:pPr>
        <w:widowControl w:val="0"/>
        <w:autoSpaceDE w:val="0"/>
        <w:autoSpaceDN w:val="0"/>
        <w:adjustRightInd w:val="0"/>
        <w:spacing w:line="360" w:lineRule="auto"/>
        <w:ind w:left="480" w:hanging="480"/>
        <w:rPr>
          <w:rFonts w:cs="Times New Roman"/>
          <w:noProof/>
        </w:rPr>
      </w:pPr>
      <w:r w:rsidRPr="00D17106">
        <w:rPr>
          <w:rFonts w:cs="Times New Roman"/>
          <w:noProof/>
        </w:rPr>
        <w:t xml:space="preserve">Ziehn, T., Kattge, J., Knorr, W., &amp; Scholze, M. (2011). Improving the predictability of global CO2 assimilation rates under climate change. </w:t>
      </w:r>
      <w:r w:rsidRPr="00D17106">
        <w:rPr>
          <w:rFonts w:cs="Times New Roman"/>
          <w:i/>
          <w:iCs/>
          <w:noProof/>
        </w:rPr>
        <w:t>Geophysical Research Letters</w:t>
      </w:r>
      <w:r w:rsidRPr="00D17106">
        <w:rPr>
          <w:rFonts w:cs="Times New Roman"/>
          <w:noProof/>
        </w:rPr>
        <w:t xml:space="preserve">, </w:t>
      </w:r>
      <w:r w:rsidRPr="00D17106">
        <w:rPr>
          <w:rFonts w:cs="Times New Roman"/>
          <w:i/>
          <w:iCs/>
          <w:noProof/>
        </w:rPr>
        <w:t>38</w:t>
      </w:r>
      <w:r w:rsidRPr="00D17106">
        <w:rPr>
          <w:rFonts w:cs="Times New Roman"/>
          <w:noProof/>
        </w:rPr>
        <w:t>(10), L10404. https://doi.org/10.1029/2011GL047182</w:t>
      </w:r>
    </w:p>
    <w:p w14:paraId="66976A81" w14:textId="191532D3" w:rsidR="00772287" w:rsidRPr="00754725" w:rsidRDefault="00772287" w:rsidP="00D17106">
      <w:pPr>
        <w:widowControl w:val="0"/>
        <w:autoSpaceDE w:val="0"/>
        <w:autoSpaceDN w:val="0"/>
        <w:adjustRightInd w:val="0"/>
        <w:spacing w:line="360" w:lineRule="auto"/>
        <w:ind w:left="480" w:hanging="480"/>
        <w:rPr>
          <w:b/>
          <w:bCs/>
        </w:rPr>
      </w:pPr>
      <w:r>
        <w:rPr>
          <w:b/>
          <w:bCs/>
        </w:rPr>
        <w:lastRenderedPageBreak/>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524F9C" w:rsidRDefault="00524F9C" w:rsidP="007320E5">
      <w:pPr>
        <w:pStyle w:val="CommentText"/>
      </w:pPr>
      <w:r>
        <w:rPr>
          <w:rStyle w:val="CommentReference"/>
        </w:rPr>
        <w:annotationRef/>
      </w:r>
      <w:r w:rsidR="007320E5">
        <w:t>Open to suggestions!</w:t>
      </w:r>
    </w:p>
  </w:comment>
  <w:comment w:id="1" w:author="Perkowski, Evan A" w:date="2022-05-13T13:42:00Z" w:initials="PEA">
    <w:p w14:paraId="003F850E" w14:textId="7FFAD5F2" w:rsidR="00DA425E" w:rsidRDefault="00BC7961">
      <w:pPr>
        <w:pStyle w:val="CommentText"/>
      </w:pPr>
      <w:r>
        <w:rPr>
          <w:rStyle w:val="CommentReference"/>
        </w:rPr>
        <w:annotationRef/>
      </w:r>
      <w:r w:rsidR="00534BFA">
        <w:t>Joseph, is this correct? I took a stab at a number, but couldn’t</w:t>
      </w:r>
      <w:r w:rsidR="000443A6">
        <w:t xml:space="preserve"> remember how long you had </w:t>
      </w:r>
      <w:r w:rsidR="00217A2E">
        <w:t>put the soil in the sterilizer</w:t>
      </w:r>
    </w:p>
  </w:comment>
  <w:comment w:id="2" w:author="Perkowski, Evan A" w:date="2022-04-28T12:27:00Z" w:initials="PEA">
    <w:p w14:paraId="6D422C36" w14:textId="6B576A2C" w:rsidR="00EE5B74" w:rsidRDefault="00EE5B74">
      <w:pPr>
        <w:pStyle w:val="CommentText"/>
      </w:pPr>
      <w:r>
        <w:rPr>
          <w:rStyle w:val="CommentReference"/>
        </w:rPr>
        <w:annotationRef/>
      </w:r>
      <w:r w:rsidR="007B12CC">
        <w:rPr>
          <w:rStyle w:val="CommentReference"/>
        </w:rPr>
        <w:t>Is this correct?</w:t>
      </w:r>
    </w:p>
  </w:comment>
  <w:comment w:id="3" w:author="Perkowski, Evan A" w:date="2022-05-13T14:33:00Z" w:initials="PEA">
    <w:p w14:paraId="09BF8DC8" w14:textId="3EC9E3E8" w:rsidR="007755C4" w:rsidRDefault="007755C4">
      <w:pPr>
        <w:pStyle w:val="CommentText"/>
      </w:pPr>
      <w:r>
        <w:rPr>
          <w:rStyle w:val="CommentReference"/>
        </w:rPr>
        <w:annotationRef/>
      </w:r>
      <w:r>
        <w:t>Is this correct?</w:t>
      </w:r>
    </w:p>
  </w:comment>
  <w:comment w:id="4" w:author="Perkowski, Evan A" w:date="2022-05-26T16:05:00Z" w:initials="PEA">
    <w:p w14:paraId="61B5E931" w14:textId="1C010F7B" w:rsidR="004A35A3" w:rsidRDefault="004A35A3">
      <w:pPr>
        <w:pStyle w:val="CommentText"/>
      </w:pPr>
      <w:r>
        <w:rPr>
          <w:rStyle w:val="CommentReference"/>
        </w:rPr>
        <w:annotationRef/>
      </w:r>
      <w:r w:rsidR="000424C7">
        <w:t>I</w:t>
      </w:r>
      <w:r>
        <w:t xml:space="preserve"> copied funding acknowledgement </w:t>
      </w:r>
      <w:r w:rsidR="000424C7">
        <w:t xml:space="preserve">from the </w:t>
      </w:r>
      <w:proofErr w:type="spellStart"/>
      <w:r w:rsidR="000424C7">
        <w:t>NutNet</w:t>
      </w:r>
      <w:proofErr w:type="spellEnd"/>
      <w:r w:rsidR="000424C7">
        <w:t xml:space="preserve"> </w:t>
      </w:r>
      <w:proofErr w:type="spellStart"/>
      <w:r w:rsidR="000424C7">
        <w:t>ms.</w:t>
      </w:r>
      <w:proofErr w:type="spellEnd"/>
      <w:r w:rsidR="000424C7">
        <w:t xml:space="preserve"> Nick,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003F850E" w15:done="0"/>
  <w15:commentEx w15:paraId="6D422C36" w15:done="0"/>
  <w15:commentEx w15:paraId="09BF8DC8"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1506B0" w16cex:dateUtc="2022-04-28T17:27:00Z"/>
  <w16cex:commentExtensible w16cex:durableId="2628EA9E" w16cex:dateUtc="2022-05-13T19:33: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003F850E" w16cid:durableId="2628DEDC"/>
  <w16cid:commentId w16cid:paraId="6D422C36" w16cid:durableId="261506B0"/>
  <w16cid:commentId w16cid:paraId="09BF8DC8" w16cid:durableId="2628EA9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837072">
    <w:abstractNumId w:val="3"/>
  </w:num>
  <w:num w:numId="2" w16cid:durableId="908728602">
    <w:abstractNumId w:val="2"/>
  </w:num>
  <w:num w:numId="3" w16cid:durableId="601375841">
    <w:abstractNumId w:val="1"/>
  </w:num>
  <w:num w:numId="4" w16cid:durableId="14260734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37B5"/>
    <w:rsid w:val="00013F5C"/>
    <w:rsid w:val="00015827"/>
    <w:rsid w:val="00021BEB"/>
    <w:rsid w:val="000424C7"/>
    <w:rsid w:val="000443A6"/>
    <w:rsid w:val="00047FF3"/>
    <w:rsid w:val="00055528"/>
    <w:rsid w:val="00061330"/>
    <w:rsid w:val="00071365"/>
    <w:rsid w:val="0007680C"/>
    <w:rsid w:val="00080882"/>
    <w:rsid w:val="000846E5"/>
    <w:rsid w:val="00086E13"/>
    <w:rsid w:val="00091EA0"/>
    <w:rsid w:val="00096CD6"/>
    <w:rsid w:val="00097A1D"/>
    <w:rsid w:val="000A15F3"/>
    <w:rsid w:val="000A24B2"/>
    <w:rsid w:val="000B0465"/>
    <w:rsid w:val="000C5833"/>
    <w:rsid w:val="000D2FE4"/>
    <w:rsid w:val="000E1A24"/>
    <w:rsid w:val="000E40BD"/>
    <w:rsid w:val="000F0314"/>
    <w:rsid w:val="000F1E36"/>
    <w:rsid w:val="00106FCE"/>
    <w:rsid w:val="0011017D"/>
    <w:rsid w:val="00114DDF"/>
    <w:rsid w:val="00115F98"/>
    <w:rsid w:val="00131777"/>
    <w:rsid w:val="00140846"/>
    <w:rsid w:val="00140BC4"/>
    <w:rsid w:val="001438DB"/>
    <w:rsid w:val="001500C2"/>
    <w:rsid w:val="00150CFB"/>
    <w:rsid w:val="00166B47"/>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177ED"/>
    <w:rsid w:val="00217A2E"/>
    <w:rsid w:val="00231617"/>
    <w:rsid w:val="00235EDC"/>
    <w:rsid w:val="0025668C"/>
    <w:rsid w:val="00262143"/>
    <w:rsid w:val="00266AD9"/>
    <w:rsid w:val="00266FA1"/>
    <w:rsid w:val="00270350"/>
    <w:rsid w:val="00271F6C"/>
    <w:rsid w:val="00272DB1"/>
    <w:rsid w:val="00272E59"/>
    <w:rsid w:val="00283F06"/>
    <w:rsid w:val="0029276A"/>
    <w:rsid w:val="00293580"/>
    <w:rsid w:val="002948B1"/>
    <w:rsid w:val="002948E0"/>
    <w:rsid w:val="002A0FC6"/>
    <w:rsid w:val="002A5009"/>
    <w:rsid w:val="002C360E"/>
    <w:rsid w:val="002C4FBE"/>
    <w:rsid w:val="002C5045"/>
    <w:rsid w:val="002D044D"/>
    <w:rsid w:val="002D150D"/>
    <w:rsid w:val="002D7F0E"/>
    <w:rsid w:val="002F0BBB"/>
    <w:rsid w:val="002F24D6"/>
    <w:rsid w:val="002F57B0"/>
    <w:rsid w:val="00303814"/>
    <w:rsid w:val="00303F2D"/>
    <w:rsid w:val="0030516D"/>
    <w:rsid w:val="0030650A"/>
    <w:rsid w:val="00310558"/>
    <w:rsid w:val="00322974"/>
    <w:rsid w:val="0033651D"/>
    <w:rsid w:val="00340D31"/>
    <w:rsid w:val="00351491"/>
    <w:rsid w:val="00351A75"/>
    <w:rsid w:val="00360D30"/>
    <w:rsid w:val="00371C20"/>
    <w:rsid w:val="00376DE0"/>
    <w:rsid w:val="0038171F"/>
    <w:rsid w:val="0038539A"/>
    <w:rsid w:val="003873F0"/>
    <w:rsid w:val="003A7574"/>
    <w:rsid w:val="003B4F23"/>
    <w:rsid w:val="003B6FAA"/>
    <w:rsid w:val="003B782E"/>
    <w:rsid w:val="003C51C9"/>
    <w:rsid w:val="003D3439"/>
    <w:rsid w:val="003D74E1"/>
    <w:rsid w:val="003E1FC7"/>
    <w:rsid w:val="003E355C"/>
    <w:rsid w:val="003F2A85"/>
    <w:rsid w:val="00400618"/>
    <w:rsid w:val="004035F7"/>
    <w:rsid w:val="00403BBD"/>
    <w:rsid w:val="004111A1"/>
    <w:rsid w:val="00412BAB"/>
    <w:rsid w:val="00417C57"/>
    <w:rsid w:val="00421AE0"/>
    <w:rsid w:val="00421BAA"/>
    <w:rsid w:val="00430044"/>
    <w:rsid w:val="00431B7D"/>
    <w:rsid w:val="00433868"/>
    <w:rsid w:val="00437175"/>
    <w:rsid w:val="00440CFF"/>
    <w:rsid w:val="00447752"/>
    <w:rsid w:val="0045096E"/>
    <w:rsid w:val="00451CDF"/>
    <w:rsid w:val="00451ED1"/>
    <w:rsid w:val="00460EB9"/>
    <w:rsid w:val="00462729"/>
    <w:rsid w:val="0046524E"/>
    <w:rsid w:val="004654D8"/>
    <w:rsid w:val="00467321"/>
    <w:rsid w:val="00477955"/>
    <w:rsid w:val="0048004A"/>
    <w:rsid w:val="0048753D"/>
    <w:rsid w:val="00490BC5"/>
    <w:rsid w:val="0049190E"/>
    <w:rsid w:val="00492888"/>
    <w:rsid w:val="004940A0"/>
    <w:rsid w:val="00497794"/>
    <w:rsid w:val="004A35A3"/>
    <w:rsid w:val="004A3DE5"/>
    <w:rsid w:val="004A6C35"/>
    <w:rsid w:val="004A6E69"/>
    <w:rsid w:val="004B1EA4"/>
    <w:rsid w:val="004B5E0F"/>
    <w:rsid w:val="004C0BD2"/>
    <w:rsid w:val="004C3C71"/>
    <w:rsid w:val="004C7C69"/>
    <w:rsid w:val="004F4C11"/>
    <w:rsid w:val="00502BC6"/>
    <w:rsid w:val="0051142F"/>
    <w:rsid w:val="00515D2D"/>
    <w:rsid w:val="005214CF"/>
    <w:rsid w:val="00524F9C"/>
    <w:rsid w:val="00526968"/>
    <w:rsid w:val="00532E28"/>
    <w:rsid w:val="00534BFA"/>
    <w:rsid w:val="005379AB"/>
    <w:rsid w:val="00547EA6"/>
    <w:rsid w:val="00565C0A"/>
    <w:rsid w:val="005942F6"/>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13A93"/>
    <w:rsid w:val="006157EC"/>
    <w:rsid w:val="00621781"/>
    <w:rsid w:val="00651708"/>
    <w:rsid w:val="006569E0"/>
    <w:rsid w:val="0066049F"/>
    <w:rsid w:val="00674BF3"/>
    <w:rsid w:val="00675662"/>
    <w:rsid w:val="00696F09"/>
    <w:rsid w:val="006A5366"/>
    <w:rsid w:val="006C0352"/>
    <w:rsid w:val="006C060E"/>
    <w:rsid w:val="006C50B8"/>
    <w:rsid w:val="006C759F"/>
    <w:rsid w:val="006D1951"/>
    <w:rsid w:val="006E0881"/>
    <w:rsid w:val="006E3A3D"/>
    <w:rsid w:val="006E7608"/>
    <w:rsid w:val="0072033E"/>
    <w:rsid w:val="007320E5"/>
    <w:rsid w:val="00746CCB"/>
    <w:rsid w:val="00751149"/>
    <w:rsid w:val="00754725"/>
    <w:rsid w:val="00763DFE"/>
    <w:rsid w:val="00772287"/>
    <w:rsid w:val="00772D20"/>
    <w:rsid w:val="00774D67"/>
    <w:rsid w:val="007755C4"/>
    <w:rsid w:val="00786D44"/>
    <w:rsid w:val="0079226D"/>
    <w:rsid w:val="00792D5B"/>
    <w:rsid w:val="007A082A"/>
    <w:rsid w:val="007A2F1C"/>
    <w:rsid w:val="007A7928"/>
    <w:rsid w:val="007B12CC"/>
    <w:rsid w:val="007B13FC"/>
    <w:rsid w:val="007B192C"/>
    <w:rsid w:val="007B1AFE"/>
    <w:rsid w:val="007B3063"/>
    <w:rsid w:val="007B6BD6"/>
    <w:rsid w:val="007C1C57"/>
    <w:rsid w:val="007C2F39"/>
    <w:rsid w:val="007D0701"/>
    <w:rsid w:val="007D2877"/>
    <w:rsid w:val="007E5400"/>
    <w:rsid w:val="007F426D"/>
    <w:rsid w:val="0081139F"/>
    <w:rsid w:val="00817E03"/>
    <w:rsid w:val="00847557"/>
    <w:rsid w:val="0084793A"/>
    <w:rsid w:val="00850627"/>
    <w:rsid w:val="00850723"/>
    <w:rsid w:val="00852AF7"/>
    <w:rsid w:val="0087300A"/>
    <w:rsid w:val="00884550"/>
    <w:rsid w:val="00885391"/>
    <w:rsid w:val="008854FF"/>
    <w:rsid w:val="008873DD"/>
    <w:rsid w:val="00887478"/>
    <w:rsid w:val="00895284"/>
    <w:rsid w:val="0089764A"/>
    <w:rsid w:val="008C398A"/>
    <w:rsid w:val="008C4F5B"/>
    <w:rsid w:val="008C56B6"/>
    <w:rsid w:val="008D34FA"/>
    <w:rsid w:val="008D46B4"/>
    <w:rsid w:val="008D6E2F"/>
    <w:rsid w:val="008E2BDE"/>
    <w:rsid w:val="008E75B9"/>
    <w:rsid w:val="008E7FEB"/>
    <w:rsid w:val="008F26FA"/>
    <w:rsid w:val="008F457A"/>
    <w:rsid w:val="008F6058"/>
    <w:rsid w:val="00902FD9"/>
    <w:rsid w:val="00912680"/>
    <w:rsid w:val="0091473E"/>
    <w:rsid w:val="00916FB5"/>
    <w:rsid w:val="009214F3"/>
    <w:rsid w:val="00926F7B"/>
    <w:rsid w:val="009273E2"/>
    <w:rsid w:val="0093380B"/>
    <w:rsid w:val="00947B9C"/>
    <w:rsid w:val="009515D2"/>
    <w:rsid w:val="00956882"/>
    <w:rsid w:val="00957D32"/>
    <w:rsid w:val="00973FA7"/>
    <w:rsid w:val="00984B84"/>
    <w:rsid w:val="00987F23"/>
    <w:rsid w:val="00993546"/>
    <w:rsid w:val="00996C9F"/>
    <w:rsid w:val="009A5542"/>
    <w:rsid w:val="009A60BD"/>
    <w:rsid w:val="009C62F2"/>
    <w:rsid w:val="009C63FC"/>
    <w:rsid w:val="009D2C98"/>
    <w:rsid w:val="009D3874"/>
    <w:rsid w:val="009D7ED8"/>
    <w:rsid w:val="009E304C"/>
    <w:rsid w:val="009E31F0"/>
    <w:rsid w:val="009E6ED3"/>
    <w:rsid w:val="009F0F34"/>
    <w:rsid w:val="00A03A1B"/>
    <w:rsid w:val="00A138D0"/>
    <w:rsid w:val="00A13B09"/>
    <w:rsid w:val="00A1612D"/>
    <w:rsid w:val="00A30C53"/>
    <w:rsid w:val="00A3337F"/>
    <w:rsid w:val="00A33E81"/>
    <w:rsid w:val="00A33FE7"/>
    <w:rsid w:val="00A433B8"/>
    <w:rsid w:val="00A44260"/>
    <w:rsid w:val="00A46FE6"/>
    <w:rsid w:val="00A57BBF"/>
    <w:rsid w:val="00A73883"/>
    <w:rsid w:val="00A747FF"/>
    <w:rsid w:val="00A754EC"/>
    <w:rsid w:val="00A85036"/>
    <w:rsid w:val="00A97B6C"/>
    <w:rsid w:val="00A97E81"/>
    <w:rsid w:val="00AA5502"/>
    <w:rsid w:val="00AA6BAB"/>
    <w:rsid w:val="00AB17F0"/>
    <w:rsid w:val="00AB654B"/>
    <w:rsid w:val="00AC38E7"/>
    <w:rsid w:val="00AD6759"/>
    <w:rsid w:val="00AF1559"/>
    <w:rsid w:val="00AF17C1"/>
    <w:rsid w:val="00AF426E"/>
    <w:rsid w:val="00B035D5"/>
    <w:rsid w:val="00B11CB2"/>
    <w:rsid w:val="00B346E3"/>
    <w:rsid w:val="00B452E0"/>
    <w:rsid w:val="00B84938"/>
    <w:rsid w:val="00BA5B53"/>
    <w:rsid w:val="00BA75F3"/>
    <w:rsid w:val="00BB1D36"/>
    <w:rsid w:val="00BC0551"/>
    <w:rsid w:val="00BC7961"/>
    <w:rsid w:val="00BD310E"/>
    <w:rsid w:val="00BD4037"/>
    <w:rsid w:val="00BE2568"/>
    <w:rsid w:val="00BF7930"/>
    <w:rsid w:val="00C074CA"/>
    <w:rsid w:val="00C15F8B"/>
    <w:rsid w:val="00C24060"/>
    <w:rsid w:val="00C32E51"/>
    <w:rsid w:val="00C377A1"/>
    <w:rsid w:val="00C4037A"/>
    <w:rsid w:val="00C41A80"/>
    <w:rsid w:val="00C4618D"/>
    <w:rsid w:val="00C57242"/>
    <w:rsid w:val="00C6042C"/>
    <w:rsid w:val="00C64309"/>
    <w:rsid w:val="00C66EFD"/>
    <w:rsid w:val="00C70400"/>
    <w:rsid w:val="00C72B7A"/>
    <w:rsid w:val="00C8325C"/>
    <w:rsid w:val="00C859D6"/>
    <w:rsid w:val="00CB446B"/>
    <w:rsid w:val="00CC06E6"/>
    <w:rsid w:val="00CC5E7B"/>
    <w:rsid w:val="00CE366A"/>
    <w:rsid w:val="00CF0D09"/>
    <w:rsid w:val="00CF48BE"/>
    <w:rsid w:val="00D0019D"/>
    <w:rsid w:val="00D01503"/>
    <w:rsid w:val="00D04ECF"/>
    <w:rsid w:val="00D16FB9"/>
    <w:rsid w:val="00D17106"/>
    <w:rsid w:val="00D272B1"/>
    <w:rsid w:val="00D3527E"/>
    <w:rsid w:val="00D373FB"/>
    <w:rsid w:val="00D45E15"/>
    <w:rsid w:val="00D634C4"/>
    <w:rsid w:val="00D64D0D"/>
    <w:rsid w:val="00D660CD"/>
    <w:rsid w:val="00D66A72"/>
    <w:rsid w:val="00D67D74"/>
    <w:rsid w:val="00D80427"/>
    <w:rsid w:val="00D86784"/>
    <w:rsid w:val="00D87519"/>
    <w:rsid w:val="00D9075F"/>
    <w:rsid w:val="00D90888"/>
    <w:rsid w:val="00D9618B"/>
    <w:rsid w:val="00DA425E"/>
    <w:rsid w:val="00DC3DBA"/>
    <w:rsid w:val="00DC4961"/>
    <w:rsid w:val="00DD0878"/>
    <w:rsid w:val="00DE2FE3"/>
    <w:rsid w:val="00DE33E1"/>
    <w:rsid w:val="00E0208C"/>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4E30"/>
    <w:rsid w:val="00EA5D43"/>
    <w:rsid w:val="00EB0C0F"/>
    <w:rsid w:val="00EB2706"/>
    <w:rsid w:val="00EB5CA3"/>
    <w:rsid w:val="00EC11A8"/>
    <w:rsid w:val="00EC6B47"/>
    <w:rsid w:val="00ED1628"/>
    <w:rsid w:val="00ED2735"/>
    <w:rsid w:val="00EE5B74"/>
    <w:rsid w:val="00EE796F"/>
    <w:rsid w:val="00EF3C3C"/>
    <w:rsid w:val="00F00703"/>
    <w:rsid w:val="00F073BB"/>
    <w:rsid w:val="00F07852"/>
    <w:rsid w:val="00F2556B"/>
    <w:rsid w:val="00F57D74"/>
    <w:rsid w:val="00F633C1"/>
    <w:rsid w:val="00F75EB7"/>
    <w:rsid w:val="00F76F37"/>
    <w:rsid w:val="00F83744"/>
    <w:rsid w:val="00F87256"/>
    <w:rsid w:val="00F9445D"/>
    <w:rsid w:val="00FC0900"/>
    <w:rsid w:val="00FD777D"/>
    <w:rsid w:val="00FE31B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42</Pages>
  <Words>47852</Words>
  <Characters>272757</Characters>
  <Application>Microsoft Office Word</Application>
  <DocSecurity>0</DocSecurity>
  <Lines>2272</Lines>
  <Paragraphs>639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15</cp:revision>
  <dcterms:created xsi:type="dcterms:W3CDTF">2022-05-17T18:00:00Z</dcterms:created>
  <dcterms:modified xsi:type="dcterms:W3CDTF">2022-05-31T22:04:00Z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