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DF4A9" w14:textId="125BC69C" w:rsidR="00754725" w:rsidRPr="00115F98" w:rsidRDefault="00754725" w:rsidP="00A754EC">
      <w:pPr>
        <w:spacing w:line="360" w:lineRule="auto"/>
      </w:pPr>
      <w:commentRangeStart w:id="0"/>
      <w:r>
        <w:rPr>
          <w:b/>
          <w:bCs/>
        </w:rPr>
        <w:t>T</w:t>
      </w:r>
      <w:commentRangeEnd w:id="0"/>
      <w:r w:rsidR="00524F9C">
        <w:rPr>
          <w:rStyle w:val="CommentReference"/>
          <w:rFonts w:eastAsia="Times New Roman" w:cs="Times New Roman"/>
        </w:rPr>
        <w:commentReference w:id="0"/>
      </w:r>
      <w:r w:rsidRPr="0070582B">
        <w:rPr>
          <w:b/>
          <w:bCs/>
        </w:rPr>
        <w:t>itle</w:t>
      </w:r>
      <w:r>
        <w:t xml:space="preserve">: </w:t>
      </w:r>
      <w:r w:rsidR="00115F98">
        <w:t xml:space="preserve">Soil nitrogen fertilization and inoculation with </w:t>
      </w:r>
      <w:proofErr w:type="spellStart"/>
      <w:r w:rsidR="00115F98">
        <w:rPr>
          <w:i/>
          <w:iCs/>
        </w:rPr>
        <w:t>Bradyrhizobium</w:t>
      </w:r>
      <w:proofErr w:type="spellEnd"/>
      <w:r w:rsidR="00115F98">
        <w:rPr>
          <w:i/>
          <w:iCs/>
        </w:rPr>
        <w:t xml:space="preserve"> japonicum</w:t>
      </w:r>
      <w:r w:rsidR="00115F98">
        <w:t xml:space="preserve"> shape</w:t>
      </w:r>
      <w:r w:rsidR="00ED2735">
        <w:t>s</w:t>
      </w:r>
      <w:r w:rsidR="00115F98">
        <w:t xml:space="preserve"> tradeoffs between whole plant growth and leaf nitrogen-water use tradeoffs </w:t>
      </w:r>
      <w:r w:rsidR="00115F98" w:rsidRPr="00115F98">
        <w:t xml:space="preserve">in </w:t>
      </w:r>
      <w:r w:rsidR="00115F98">
        <w:rPr>
          <w:i/>
          <w:iCs/>
        </w:rPr>
        <w:t>Glycine max</w:t>
      </w:r>
      <w:r w:rsidR="00115F98">
        <w:t xml:space="preserve"> L.</w:t>
      </w:r>
    </w:p>
    <w:p w14:paraId="15E8CF0C" w14:textId="74562F99" w:rsidR="00115F98" w:rsidRDefault="00115F98" w:rsidP="00A754EC">
      <w:pPr>
        <w:spacing w:line="360" w:lineRule="auto"/>
        <w:rPr>
          <w:b/>
          <w:bCs/>
        </w:rPr>
      </w:pPr>
    </w:p>
    <w:p w14:paraId="296CE4EA" w14:textId="77777777" w:rsidR="00A754EC" w:rsidRDefault="00A754EC" w:rsidP="00A754EC">
      <w:pPr>
        <w:spacing w:line="360" w:lineRule="auto"/>
        <w:rPr>
          <w:b/>
          <w:bCs/>
        </w:rPr>
      </w:pPr>
    </w:p>
    <w:p w14:paraId="238FEE9C" w14:textId="6952508B" w:rsidR="00754725" w:rsidRPr="00182295" w:rsidRDefault="00754725" w:rsidP="00A754EC">
      <w:pPr>
        <w:spacing w:line="360" w:lineRule="auto"/>
      </w:pPr>
      <w:r>
        <w:rPr>
          <w:b/>
          <w:bCs/>
        </w:rPr>
        <w:t>Running Head:</w:t>
      </w:r>
    </w:p>
    <w:p w14:paraId="63C189C5" w14:textId="10F212D8" w:rsidR="00754725" w:rsidRDefault="00754725" w:rsidP="00A754EC">
      <w:pPr>
        <w:spacing w:line="360" w:lineRule="auto"/>
        <w:rPr>
          <w:b/>
          <w:bCs/>
        </w:rPr>
      </w:pPr>
    </w:p>
    <w:p w14:paraId="31C9A709" w14:textId="77777777" w:rsidR="00A754EC" w:rsidRDefault="00A754EC" w:rsidP="00A754EC">
      <w:pPr>
        <w:spacing w:line="360" w:lineRule="auto"/>
        <w:rPr>
          <w:b/>
          <w:bCs/>
        </w:rPr>
      </w:pPr>
    </w:p>
    <w:p w14:paraId="12CF4620" w14:textId="38000088" w:rsidR="00754725" w:rsidRPr="00AA5310" w:rsidRDefault="00754725" w:rsidP="00A754EC">
      <w:pPr>
        <w:spacing w:line="360" w:lineRule="auto"/>
      </w:pPr>
      <w:r>
        <w:rPr>
          <w:b/>
          <w:bCs/>
        </w:rPr>
        <w:t>Author List:</w:t>
      </w:r>
      <w:r>
        <w:t xml:space="preserve"> Evan A. Perkowski</w:t>
      </w:r>
      <w:r>
        <w:rPr>
          <w:vertAlign w:val="superscript"/>
        </w:rPr>
        <w:t>1</w:t>
      </w:r>
      <w:r>
        <w:t>, Joseph Terrones</w:t>
      </w:r>
      <w:r>
        <w:rPr>
          <w:vertAlign w:val="superscript"/>
        </w:rPr>
        <w:t>1</w:t>
      </w:r>
      <w:r>
        <w:t>, Hannah German</w:t>
      </w:r>
      <w:r>
        <w:rPr>
          <w:vertAlign w:val="superscript"/>
        </w:rPr>
        <w:t>1</w:t>
      </w:r>
      <w:r>
        <w:t>, Nicholas G. Smith</w:t>
      </w:r>
      <w:r>
        <w:rPr>
          <w:vertAlign w:val="superscript"/>
        </w:rPr>
        <w:t>1</w:t>
      </w:r>
    </w:p>
    <w:p w14:paraId="34C20142" w14:textId="117C8D04" w:rsidR="00754725" w:rsidRPr="00182CD2" w:rsidRDefault="00754725" w:rsidP="00A754EC">
      <w:pPr>
        <w:spacing w:line="360" w:lineRule="auto"/>
      </w:pPr>
      <w:r>
        <w:rPr>
          <w:b/>
          <w:bCs/>
        </w:rPr>
        <w:t>Author Affiliations:</w:t>
      </w:r>
      <w:r>
        <w:t xml:space="preserve"> </w:t>
      </w:r>
      <w:r>
        <w:rPr>
          <w:vertAlign w:val="superscript"/>
        </w:rPr>
        <w:t>1</w:t>
      </w:r>
      <w:r>
        <w:t>Department of Biological Sciences, Texas Tech University, Lubbock, TX USA</w:t>
      </w:r>
    </w:p>
    <w:p w14:paraId="11B70D55" w14:textId="713AFEFE" w:rsidR="00754725" w:rsidRDefault="00754725" w:rsidP="00A754EC">
      <w:pPr>
        <w:spacing w:line="360" w:lineRule="auto"/>
        <w:rPr>
          <w:b/>
        </w:rPr>
      </w:pPr>
    </w:p>
    <w:p w14:paraId="7F555C51" w14:textId="77777777" w:rsidR="00A754EC" w:rsidRDefault="00A754EC" w:rsidP="00A754EC">
      <w:pPr>
        <w:spacing w:line="360" w:lineRule="auto"/>
        <w:rPr>
          <w:b/>
        </w:rPr>
      </w:pPr>
    </w:p>
    <w:p w14:paraId="36872CE1" w14:textId="77777777" w:rsidR="00754725" w:rsidRPr="002F526D" w:rsidRDefault="00754725" w:rsidP="00A754EC">
      <w:pPr>
        <w:spacing w:line="360" w:lineRule="auto"/>
        <w:rPr>
          <w:b/>
        </w:rPr>
      </w:pPr>
      <w:r>
        <w:rPr>
          <w:b/>
        </w:rPr>
        <w:t>Manuscript compilation details</w:t>
      </w:r>
    </w:p>
    <w:p w14:paraId="7AD173A6" w14:textId="6F5022B4" w:rsidR="00754725" w:rsidRDefault="00754725" w:rsidP="00A754EC">
      <w:pPr>
        <w:spacing w:line="360" w:lineRule="auto"/>
        <w:rPr>
          <w:bCs/>
        </w:rPr>
      </w:pPr>
      <w:r w:rsidRPr="00895468">
        <w:rPr>
          <w:b/>
        </w:rPr>
        <w:t>Abstract:</w:t>
      </w:r>
      <w:r>
        <w:rPr>
          <w:bCs/>
        </w:rPr>
        <w:t xml:space="preserve"> </w:t>
      </w:r>
      <w:r w:rsidR="009B1682">
        <w:rPr>
          <w:bCs/>
        </w:rPr>
        <w:t>284</w:t>
      </w:r>
      <w:r w:rsidR="006569E0">
        <w:rPr>
          <w:bCs/>
        </w:rPr>
        <w:t xml:space="preserve"> words</w:t>
      </w:r>
    </w:p>
    <w:p w14:paraId="504EA52F" w14:textId="73DC40BB" w:rsidR="00754725" w:rsidRDefault="00754725" w:rsidP="00A754EC">
      <w:pPr>
        <w:spacing w:line="360" w:lineRule="auto"/>
        <w:rPr>
          <w:bCs/>
        </w:rPr>
      </w:pPr>
      <w:r w:rsidRPr="00006BDD">
        <w:rPr>
          <w:b/>
        </w:rPr>
        <w:t>Main text word count</w:t>
      </w:r>
      <w:r>
        <w:rPr>
          <w:bCs/>
        </w:rPr>
        <w:t>:</w:t>
      </w:r>
    </w:p>
    <w:p w14:paraId="7423DBE8" w14:textId="5D40A6AA" w:rsidR="00754725" w:rsidRDefault="00754725" w:rsidP="00A754EC">
      <w:pPr>
        <w:spacing w:line="360" w:lineRule="auto"/>
        <w:ind w:firstLine="720"/>
        <w:rPr>
          <w:bCs/>
        </w:rPr>
      </w:pPr>
      <w:r>
        <w:rPr>
          <w:bCs/>
        </w:rPr>
        <w:t xml:space="preserve">Introduction: </w:t>
      </w:r>
      <w:r w:rsidR="006B734B">
        <w:rPr>
          <w:bCs/>
        </w:rPr>
        <w:t>1379</w:t>
      </w:r>
      <w:r>
        <w:rPr>
          <w:bCs/>
        </w:rPr>
        <w:t xml:space="preserve"> words</w:t>
      </w:r>
    </w:p>
    <w:p w14:paraId="1EB83956" w14:textId="7AB578E4" w:rsidR="00754725" w:rsidRDefault="00754725" w:rsidP="00A754EC">
      <w:pPr>
        <w:spacing w:line="360" w:lineRule="auto"/>
        <w:ind w:firstLine="720"/>
        <w:rPr>
          <w:bCs/>
        </w:rPr>
      </w:pPr>
      <w:r>
        <w:rPr>
          <w:bCs/>
        </w:rPr>
        <w:t xml:space="preserve">Methods: </w:t>
      </w:r>
      <w:r w:rsidR="006B734B">
        <w:rPr>
          <w:bCs/>
        </w:rPr>
        <w:t>2017</w:t>
      </w:r>
      <w:r>
        <w:rPr>
          <w:bCs/>
        </w:rPr>
        <w:t xml:space="preserve"> words</w:t>
      </w:r>
    </w:p>
    <w:p w14:paraId="1C7C5B01" w14:textId="493D0DCE" w:rsidR="00754725" w:rsidRDefault="00754725" w:rsidP="00A754EC">
      <w:pPr>
        <w:spacing w:line="360" w:lineRule="auto"/>
        <w:ind w:firstLine="720"/>
        <w:rPr>
          <w:bCs/>
        </w:rPr>
      </w:pPr>
      <w:r>
        <w:rPr>
          <w:bCs/>
        </w:rPr>
        <w:t xml:space="preserve">Results: </w:t>
      </w:r>
      <w:r w:rsidR="009B1682">
        <w:rPr>
          <w:bCs/>
        </w:rPr>
        <w:t>1522</w:t>
      </w:r>
      <w:r>
        <w:rPr>
          <w:bCs/>
        </w:rPr>
        <w:t xml:space="preserve"> words (not including text in figures or tables)</w:t>
      </w:r>
    </w:p>
    <w:p w14:paraId="69BC0922" w14:textId="7C6ED460" w:rsidR="00754725" w:rsidRDefault="00754725" w:rsidP="00A754EC">
      <w:pPr>
        <w:spacing w:line="360" w:lineRule="auto"/>
        <w:ind w:firstLine="720"/>
        <w:rPr>
          <w:bCs/>
        </w:rPr>
      </w:pPr>
      <w:r>
        <w:rPr>
          <w:bCs/>
        </w:rPr>
        <w:t>Discussion: XX words (XX % of total word count)</w:t>
      </w:r>
    </w:p>
    <w:p w14:paraId="6DB73A09" w14:textId="37B8AAF1" w:rsidR="00754725" w:rsidRDefault="00754725" w:rsidP="00A754EC">
      <w:pPr>
        <w:spacing w:line="360" w:lineRule="auto"/>
        <w:rPr>
          <w:bCs/>
        </w:rPr>
      </w:pPr>
      <w:r w:rsidRPr="00006BDD">
        <w:rPr>
          <w:b/>
        </w:rPr>
        <w:t>References</w:t>
      </w:r>
      <w:r>
        <w:rPr>
          <w:bCs/>
        </w:rPr>
        <w:t>: XX</w:t>
      </w:r>
    </w:p>
    <w:p w14:paraId="293A5F8F" w14:textId="73C1F3CE" w:rsidR="00754725" w:rsidRDefault="00754725" w:rsidP="00A754EC">
      <w:pPr>
        <w:spacing w:line="360" w:lineRule="auto"/>
        <w:rPr>
          <w:bCs/>
        </w:rPr>
      </w:pPr>
      <w:r>
        <w:rPr>
          <w:b/>
        </w:rPr>
        <w:t>Tables and Figures</w:t>
      </w:r>
      <w:r>
        <w:rPr>
          <w:bCs/>
        </w:rPr>
        <w:t xml:space="preserve">: </w:t>
      </w:r>
      <w:r w:rsidR="006B734B">
        <w:rPr>
          <w:bCs/>
        </w:rPr>
        <w:t>5</w:t>
      </w:r>
      <w:r>
        <w:rPr>
          <w:bCs/>
        </w:rPr>
        <w:t xml:space="preserve"> tables, </w:t>
      </w:r>
      <w:r w:rsidR="006B734B">
        <w:rPr>
          <w:bCs/>
        </w:rPr>
        <w:t>6</w:t>
      </w:r>
      <w:r>
        <w:rPr>
          <w:bCs/>
        </w:rPr>
        <w:t xml:space="preserve"> figures</w:t>
      </w:r>
    </w:p>
    <w:p w14:paraId="3F70C731" w14:textId="6490DDFE" w:rsidR="00754725" w:rsidRPr="00F73BB7" w:rsidRDefault="00754725" w:rsidP="00A754EC">
      <w:pPr>
        <w:spacing w:line="360" w:lineRule="auto"/>
        <w:rPr>
          <w:bCs/>
        </w:rPr>
      </w:pPr>
      <w:r>
        <w:rPr>
          <w:b/>
        </w:rPr>
        <w:t>Supplemental Information</w:t>
      </w:r>
      <w:r>
        <w:rPr>
          <w:bCs/>
        </w:rPr>
        <w:t>: This manuscript reports XX tables and XX figures as supplemental information</w:t>
      </w:r>
      <w:r>
        <w:rPr>
          <w:b/>
        </w:rPr>
        <w:br w:type="page"/>
      </w:r>
    </w:p>
    <w:p w14:paraId="2A46FF76" w14:textId="037BDE8E" w:rsidR="00754725" w:rsidRDefault="003B6FAA" w:rsidP="00A754EC">
      <w:pPr>
        <w:spacing w:line="360" w:lineRule="auto"/>
        <w:rPr>
          <w:b/>
          <w:bCs/>
        </w:rPr>
      </w:pPr>
      <w:r>
        <w:rPr>
          <w:b/>
          <w:bCs/>
        </w:rPr>
        <w:lastRenderedPageBreak/>
        <w:t>Abstract</w:t>
      </w:r>
    </w:p>
    <w:p w14:paraId="481F6C48" w14:textId="5CF6F6C2" w:rsidR="00B62938" w:rsidRDefault="009B1682" w:rsidP="00A754EC">
      <w:pPr>
        <w:spacing w:line="360" w:lineRule="auto"/>
      </w:pPr>
      <w:r>
        <w:t>Many t</w:t>
      </w:r>
      <w:r w:rsidR="00621CDE">
        <w:t>errestrial biosphere models formulate photosynthesis based on positive linear relationships between soil nutrient availability, leaf nutrient allocation, and photosynthetic capacity. While commonly observed in nature, this formulation does not account for plant acclimation responses to the environment, which can modify leaf nutrient allocation and photosynthetic capacity independent of soil nutrient availability.</w:t>
      </w:r>
      <w:r w:rsidR="0085460C">
        <w:t xml:space="preserve"> Photosynthetic least-cost theory could be a useful solution for including acclimation responses in next generation terrestrial biosphere models</w:t>
      </w:r>
      <w:r w:rsidR="004039EE">
        <w:t>. However,</w:t>
      </w:r>
      <w:r w:rsidR="0085460C">
        <w:t xml:space="preserve"> few direct tests of the theory exist aside from a few global gradient analyses,</w:t>
      </w:r>
      <w:r w:rsidR="004039EE">
        <w:t xml:space="preserve"> which</w:t>
      </w:r>
      <w:r w:rsidR="0085460C">
        <w:t xml:space="preserve"> limit</w:t>
      </w:r>
      <w:r w:rsidR="004039EE">
        <w:t>s</w:t>
      </w:r>
      <w:r w:rsidR="0085460C">
        <w:t xml:space="preserve"> our ability to </w:t>
      </w:r>
      <w:r w:rsidR="004039EE">
        <w:t xml:space="preserve">evaluate underlying </w:t>
      </w:r>
      <w:r w:rsidR="0085460C">
        <w:t>assumptions</w:t>
      </w:r>
      <w:r w:rsidR="004039EE">
        <w:t xml:space="preserve"> of the theory</w:t>
      </w:r>
      <w:r w:rsidR="0085460C">
        <w:t xml:space="preserve">. In this study, we measured leaf and </w:t>
      </w:r>
      <w:r w:rsidR="00C07F2A">
        <w:t xml:space="preserve">whole plant traits in </w:t>
      </w:r>
      <w:r w:rsidR="003B410D">
        <w:rPr>
          <w:i/>
          <w:iCs/>
        </w:rPr>
        <w:t xml:space="preserve">Glycine max </w:t>
      </w:r>
      <w:r w:rsidR="003B410D" w:rsidRPr="00462729">
        <w:t>L. (</w:t>
      </w:r>
      <w:proofErr w:type="spellStart"/>
      <w:r w:rsidR="003B410D" w:rsidRPr="00462729">
        <w:t>Merr</w:t>
      </w:r>
      <w:proofErr w:type="spellEnd"/>
      <w:r w:rsidR="003B410D" w:rsidRPr="00462729">
        <w:t>.)</w:t>
      </w:r>
      <w:r w:rsidR="003B410D">
        <w:t xml:space="preserve"> grown under two soil nitrogen fertilization treatments both with and without </w:t>
      </w:r>
      <w:proofErr w:type="spellStart"/>
      <w:r w:rsidR="003B410D">
        <w:rPr>
          <w:i/>
          <w:iCs/>
        </w:rPr>
        <w:t>Bradyrhizobium</w:t>
      </w:r>
      <w:proofErr w:type="spellEnd"/>
      <w:r w:rsidR="003B410D">
        <w:rPr>
          <w:i/>
          <w:iCs/>
        </w:rPr>
        <w:t xml:space="preserve"> japonicum</w:t>
      </w:r>
      <w:r w:rsidR="003B410D">
        <w:t xml:space="preserve"> </w:t>
      </w:r>
      <w:r w:rsidR="003B410D">
        <w:t xml:space="preserve">inoculation </w:t>
      </w:r>
      <w:r w:rsidR="00C07F2A">
        <w:t>through</w:t>
      </w:r>
      <w:r w:rsidR="003B410D">
        <w:t xml:space="preserve"> a full factorial greenhouse experiment</w:t>
      </w:r>
      <w:r w:rsidR="00C07F2A">
        <w:t>. After a seven-week growth period, we found that increasing nitrogen fertilization increased leaf nitrogen allocation, leaf nitrogen per stomatal conductance, total leaf area, and total biomass. These patterns corresponded with a reduction in leaf photosynthesis, photosynthetic nitrogen use efficiency, stomatal conductance</w:t>
      </w:r>
      <w:r w:rsidR="004039EE">
        <w:t>, and structural carbon costs to acquire nitrogen</w:t>
      </w:r>
      <w:r w:rsidR="00C07F2A">
        <w:t>. Interestingly, inoculation increased leaf nitrogen allocation and total leaf area</w:t>
      </w:r>
      <w:r w:rsidR="004039EE">
        <w:t xml:space="preserve"> and decreased structural carbon costs to acquire nitrogen</w:t>
      </w:r>
      <w:r w:rsidR="003032DB">
        <w:t xml:space="preserve">, but only under low fertilization. There was also no overall effect of inoculation on </w:t>
      </w:r>
      <w:r w:rsidR="00C07F2A">
        <w:t xml:space="preserve">leaf biochemistry, photosynthetic nitrogen use efficiency, water use efficiency, or whole plant growth. </w:t>
      </w:r>
      <w:r w:rsidR="00B62938">
        <w:t xml:space="preserve">While the </w:t>
      </w:r>
      <w:r w:rsidR="003032DB">
        <w:t>effects</w:t>
      </w:r>
      <w:r w:rsidR="00B62938">
        <w:t xml:space="preserve"> of nitrogen fertilization on nitrogen-water use tradeoffs</w:t>
      </w:r>
      <w:r w:rsidR="003032DB">
        <w:t xml:space="preserve"> observed here</w:t>
      </w:r>
      <w:r w:rsidR="00B62938">
        <w:t xml:space="preserve"> support patterns expected from photosynthetic least-cost theory, we speculate that these responses may have been </w:t>
      </w:r>
      <w:r w:rsidR="003032DB">
        <w:t>diminished</w:t>
      </w:r>
      <w:r w:rsidR="00B62938">
        <w:t xml:space="preserve"> by stronger whole plant growth responses to fertilization. Additionally, we found no evidence to suggest that inoculation modified patterns expected from theory, although did contribute to biomass accumulation</w:t>
      </w:r>
      <w:r w:rsidR="006D7E2D">
        <w:t xml:space="preserve"> and total leaf area</w:t>
      </w:r>
      <w:r w:rsidR="00B62938">
        <w:t xml:space="preserve"> under low soil nitrogen that may have further </w:t>
      </w:r>
      <w:r w:rsidR="006D7E2D">
        <w:t xml:space="preserve">diminished </w:t>
      </w:r>
      <w:r w:rsidR="00B62938">
        <w:t>the magnitude of leaf acclimation responses</w:t>
      </w:r>
      <w:r w:rsidR="006D7E2D">
        <w:t xml:space="preserve"> to soil nitrogen fertilization</w:t>
      </w:r>
      <w:r w:rsidR="00B62938">
        <w:t>.</w:t>
      </w:r>
    </w:p>
    <w:p w14:paraId="6C178996" w14:textId="77777777" w:rsidR="003B6FAA" w:rsidRDefault="003B6FAA" w:rsidP="00A754EC">
      <w:pPr>
        <w:spacing w:line="360" w:lineRule="auto"/>
        <w:rPr>
          <w:b/>
          <w:bCs/>
        </w:rPr>
      </w:pPr>
    </w:p>
    <w:p w14:paraId="5679DE14" w14:textId="44358146" w:rsidR="00754725" w:rsidRDefault="003B6FAA" w:rsidP="00A754EC">
      <w:pPr>
        <w:spacing w:line="360" w:lineRule="auto"/>
        <w:rPr>
          <w:b/>
          <w:bCs/>
        </w:rPr>
      </w:pPr>
      <w:r>
        <w:rPr>
          <w:b/>
          <w:bCs/>
        </w:rPr>
        <w:t>Keywords</w:t>
      </w:r>
    </w:p>
    <w:p w14:paraId="60F62E0F" w14:textId="0E33D442" w:rsidR="003B6FAA" w:rsidRPr="00091EA0" w:rsidRDefault="00B62938" w:rsidP="00A754EC">
      <w:pPr>
        <w:spacing w:line="360" w:lineRule="auto"/>
      </w:pPr>
      <w:r>
        <w:t>n</w:t>
      </w:r>
      <w:r w:rsidR="00091EA0" w:rsidRPr="00091EA0">
        <w:t>itrogen fixation</w:t>
      </w:r>
      <w:r w:rsidR="00091EA0">
        <w:t>; photosynthetic least-cost theory; whole plant growth; greenhouse; crops; nutrient acquisition strategy</w:t>
      </w:r>
      <w:r w:rsidR="003B6FAA" w:rsidRPr="00091EA0">
        <w:br w:type="page"/>
      </w:r>
    </w:p>
    <w:p w14:paraId="3ABB4CFB" w14:textId="77777777" w:rsidR="00A97E81" w:rsidRDefault="003B6FAA" w:rsidP="00A754EC">
      <w:pPr>
        <w:spacing w:line="360" w:lineRule="auto"/>
      </w:pPr>
      <w:r>
        <w:rPr>
          <w:b/>
          <w:bCs/>
        </w:rPr>
        <w:lastRenderedPageBreak/>
        <w:t>Introduction</w:t>
      </w:r>
      <w:r w:rsidR="00FF2F22">
        <w:t xml:space="preserve"> </w:t>
      </w:r>
    </w:p>
    <w:p w14:paraId="3F1F96EE" w14:textId="6A84690F" w:rsidR="003003F0" w:rsidRDefault="00DC4961" w:rsidP="00B86B96">
      <w:pPr>
        <w:spacing w:line="360" w:lineRule="auto"/>
        <w:ind w:firstLine="720"/>
        <w:rPr>
          <w:color w:val="000000"/>
        </w:rPr>
      </w:pPr>
      <w:r>
        <w:t xml:space="preserve">Photosynthesis provides </w:t>
      </w:r>
      <w:r w:rsidR="007D2877">
        <w:t>food, fiber, shelter, and fuel to terrestrial systems</w:t>
      </w:r>
      <w:r w:rsidR="004C7C69">
        <w:t xml:space="preserve">, </w:t>
      </w:r>
      <w:r w:rsidR="00E74A6D">
        <w:t>and</w:t>
      </w:r>
      <w:r w:rsidR="004C7C69">
        <w:t xml:space="preserve"> represent</w:t>
      </w:r>
      <w:r w:rsidR="00E74A6D">
        <w:t>s</w:t>
      </w:r>
      <w:r w:rsidR="004C7C69">
        <w:t xml:space="preserve"> the l</w:t>
      </w:r>
      <w:r w:rsidR="00EC11A8">
        <w:t xml:space="preserve">argest carbon flux between the atmosphere and biosphere </w:t>
      </w:r>
      <w:r w:rsidR="007D2877">
        <w:fldChar w:fldCharType="begin" w:fldLock="1"/>
      </w:r>
      <w:r w:rsidR="00EC11A8">
        <w:instrText>ADDIN CSL_CITATION {"citationItems":[{"id":"ITEM-1","itemData":{"author":[{"dropping-particle":"","family":"IPCC","given":"","non-dropping-particle":"","parse-names":false,"suffix":""}],"id":"ITEM-1","issued":{"date-parts":[["2013"]]},"title":"Climate Change 2013: The Physical Science Basis. Contribution of Working Group I to the Fifth Assessment Report of the Intergovernmental Panel on Climate Change","type":"report"},"uris":["http://www.mendeley.com/documents/?uuid=e29664ea-7c72-41ce-9b14-f487ba00dbc9"]},{"id":"ITEM-2","itemData":{"DOI":"10.1093/aob/mcg041","ISSN":"03057364","PMID":"12588725","abstract":"Human activities are causing widespread changes in the species composition of natural and managed ecosystems, but the consequences of these changes are poorly understood. This paper presents a conceptual framework for predicting the ecosystem and regional consequences of changes in plant species composition. Changes in species composition have greatest ecological effects when they modify the ecological factors that directly control (and respond to) ecosystem processes. These interactive controls include: functional types of organisms present in the ecosystem; soil resources used by organisms to grow and reproduce; modulators such as microclimate that influence the activity of organisms; disturbance regime; and human activities. Plant traits related to size and growth rate are particularly important because they determine the productive capacity of vegetation and the rates of decomposition and nitrogen mineralization. Because the same plant traits affect most key processes in the cycling of carbon and nutrients, changes in plant traits tend to affect most biogeochemical cycling processes in parallel. Plant traits also have landscape and regional effects through their effects on water and energy exchange and disturbance regime. © 2003 Annals of Botany Company.","author":[{"dropping-particle":"","family":"Chapin","given":"F. Stuart","non-dropping-particle":"","parse-names":false,"suffix":""}],"container-title":"Annals of Botany","id":"ITEM-2","issue":"4","issued":{"date-parts":[["2003"]]},"page":"455-463","title":"Effects of plant traits on ecosystem and regional processes: A conceptual framework for predicting the consequences of global change","type":"article-journal","volume":"91"},"uris":["http://www.mendeley.com/documents/?uuid=d18b5f40-5334-42dd-b08a-b2152affae33"]}],"mendeley":{"formattedCitation":"(Chapin, 2003; IPCC, 2013)","plainTextFormattedCitation":"(Chapin, 2003; IPCC, 2013)","previouslyFormattedCitation":"(Chapin, 2003; IPCC, 2013)"},"properties":{"noteIndex":0},"schema":"https://github.com/citation-style-language/schema/raw/master/csl-citation.json"}</w:instrText>
      </w:r>
      <w:r w:rsidR="007D2877">
        <w:fldChar w:fldCharType="separate"/>
      </w:r>
      <w:r w:rsidR="007D2877" w:rsidRPr="007D2877">
        <w:rPr>
          <w:noProof/>
        </w:rPr>
        <w:t>(Chapin, 2003; IPCC, 2013)</w:t>
      </w:r>
      <w:r w:rsidR="007D2877">
        <w:fldChar w:fldCharType="end"/>
      </w:r>
      <w:r w:rsidR="007D2877">
        <w:t>.</w:t>
      </w:r>
      <w:r w:rsidR="006E7608">
        <w:t xml:space="preserve"> </w:t>
      </w:r>
      <w:r w:rsidR="00EC11A8">
        <w:t xml:space="preserve">The photosynthetic reactions that underpin the provisioning of these ecosystem </w:t>
      </w:r>
      <w:r w:rsidR="006E7608">
        <w:t>services</w:t>
      </w:r>
      <w:r w:rsidR="00283F06">
        <w:t xml:space="preserve"> ar</w:t>
      </w:r>
      <w:r w:rsidR="00EC11A8">
        <w:t xml:space="preserve">e </w:t>
      </w:r>
      <w:r w:rsidR="00283F06">
        <w:t>regulated by ecosystem carbon and nutrient biogeochemical cycle</w:t>
      </w:r>
      <w:r w:rsidR="009D3874">
        <w:t>s</w:t>
      </w:r>
      <w:r w:rsidR="00EC11A8">
        <w:t xml:space="preserve"> </w:t>
      </w:r>
      <w:r w:rsidR="00EC11A8">
        <w:fldChar w:fldCharType="begin" w:fldLock="1"/>
      </w:r>
      <w:r w:rsidR="004C7C69">
        <w:instrText>ADDIN CSL_CITATION {"citationItems":[{"id":"ITEM-1","itemData":{"DOI":"10.1126/science.1091390","ISSN":"0036-8075","abstract":"To develop low-energy architecture, designers need knowledge about passive cooling techniques and shading devices. This paper focuses on the impact of management strategies for external mobile shadings and cooling by natural ventilation. Various control rules are simulated for both techniques. Resulting energy demand and comfort conditions are discussed. For shadings, strategies based on both internal temperature and solar irradiation set points are shown to be more efficient than strategies based on solar irradiation or internal temperature alone. For natural ventilation, strategies limiting the flow rate when outside temperature exceeds internal temperature are found to have no major impact on comfort conditions for the Belgian weather. A flow rate limitation when external temperature drops is found to be efficient to save energy. Objectives of this paper are to show that management choices have a real impact on energy and comfort criteria and to help designers to choose the adequate management rules for their projects. © 2005 Elsevier Ltd. All rights reserved.","author":[{"dropping-particle":"","family":"Hungate","given":"Bruce A","non-dropping-particle":"","parse-names":false,"suffix":""},{"dropping-particle":"","family":"Dukes","given":"Jeffrey S","non-dropping-particle":"","parse-names":false,"suffix":""},{"dropping-particle":"","family":"Shaw","given":"M Rebecca","non-dropping-particle":"","parse-names":false,"suffix":""},{"dropping-particle":"","family":"Luo","given":"Yiqi","non-dropping-particle":"","parse-names":false,"suffix":""},{"dropping-particle":"","family":"Field","given":"Christopher B","non-dropping-particle":"","parse-names":false,"suffix":""}],"container-title":"Science","id":"ITEM-1","issue":"5650","issued":{"date-parts":[["2003","11","28"]]},"note":"Models that incorporate nutrient cycling predict much less CO2 sequestration (i.e. uptake via photosynthesis) than models that lack these feedbacks. \n\nTherefore, models that do not include nutrient feedbacks tend to overestimate carbon uptake under CO2, and may not be as realistic as those that include nutrient cycling","page":"1512-1513","title":"Nitrogen and climate change","type":"article-journal","volume":"302"},"uris":["http://www.mendeley.com/documents/?uuid=27d5f9a2-ef0f-4622-8624-6b2e99d109bc"]},{"id":"ITEM-2","itemData":{"DOI":"10.1890/06-2057.1","abstract":"Our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types.","author":[{"dropping-particle":"","family":"LeBauer","given":"David S","non-dropping-particle":"","parse-names":false,"suffix":""},{"dropping-particle":"","family":"Treseder","given":"Kathleen","non-dropping-particle":"","parse-names":false,"suffix":""}],"container-title":"Ecology","id":"ITEM-2","issue":"2","issued":{"date-parts":[["2008"]]},"page":"371-379","title":"Nitrogen limitation of net primary productivity","type":"article-journal","volume":"89"},"uris":["http://www.mendeley.com/documents/?uuid=9a0f3748-3fb9-483a-aeb3-fcaab5fa4acc"]}],"mendeley":{"formattedCitation":"(Hungate et al., 2003; LeBauer &amp; Treseder, 2008)","plainTextFormattedCitation":"(Hungate et al., 2003; LeBauer &amp; Treseder, 2008)","previouslyFormattedCitation":"(Hungate et al., 2003; LeBauer &amp; Treseder, 2008)"},"properties":{"noteIndex":0},"schema":"https://github.com/citation-style-language/schema/raw/master/csl-citation.json"}</w:instrText>
      </w:r>
      <w:r w:rsidR="00EC11A8">
        <w:fldChar w:fldCharType="separate"/>
      </w:r>
      <w:r w:rsidR="00EC11A8" w:rsidRPr="00EC11A8">
        <w:rPr>
          <w:noProof/>
        </w:rPr>
        <w:t>(Hungate et al., 2003; LeBauer &amp; Treseder, 2008)</w:t>
      </w:r>
      <w:r w:rsidR="00EC11A8">
        <w:fldChar w:fldCharType="end"/>
      </w:r>
      <w:r w:rsidR="00283F06">
        <w:t xml:space="preserve">. </w:t>
      </w:r>
      <w:r w:rsidR="00EC11A8">
        <w:t>Specifically, plants use nutrient-dense photosynthetic enzymes to fix carbon dioxide into simple sugars,</w:t>
      </w:r>
      <w:r w:rsidR="00A33FE7">
        <w:t xml:space="preserve"> which are</w:t>
      </w:r>
      <w:r w:rsidR="003003F0">
        <w:t xml:space="preserve"> </w:t>
      </w:r>
      <w:r w:rsidR="00A33FE7">
        <w:t>accumulated as biomass, lost through respiration, or shuttled belowground to acquire</w:t>
      </w:r>
      <w:r w:rsidR="003003F0">
        <w:t xml:space="preserve"> important soil resource</w:t>
      </w:r>
      <w:r w:rsidR="002C2B2A">
        <w:t>s such as nutrients or water</w:t>
      </w:r>
      <w:r w:rsidR="003032DB">
        <w:t xml:space="preserve"> </w:t>
      </w:r>
      <w:r w:rsidR="003032DB">
        <w:fldChar w:fldCharType="begin" w:fldLock="1"/>
      </w:r>
      <w:r w:rsidR="003032DB">
        <w:instrText>ADDIN CSL_CITATION {"citationItems":[{"id":"ITEM-1","itemData":{"ISBN":"0878938664","author":[{"dropping-particle":"","family":"Taiz","given":"Lincoln","non-dropping-particle":"","parse-names":false,"suffix":""},{"dropping-particle":"","family":"Zeiger","given":"Eduardo","non-dropping-particle":"","parse-names":false,"suffix":""}],"edition":"Fifth","id":"ITEM-1","issued":{"date-parts":[["2010"]]},"publisher":"Sinauer","publisher-place":"Sunderland, Massachusetts","title":"Plant physiology","type":"book"},"uris":["http://www.mendeley.com/documents/?uuid=a30e8c0f-3451-475e-a67d-d8d4d9915f2f"]}],"mendeley":{"formattedCitation":"(Taiz &amp; Zeiger, 2010)","plainTextFormattedCitation":"(Taiz &amp; Zeiger, 2010)","previouslyFormattedCitation":"(Taiz &amp; Zeiger, 2010)"},"properties":{"noteIndex":0},"schema":"https://github.com/citation-style-language/schema/raw/master/csl-citation.json"}</w:instrText>
      </w:r>
      <w:r w:rsidR="003032DB">
        <w:fldChar w:fldCharType="separate"/>
      </w:r>
      <w:r w:rsidR="003032DB" w:rsidRPr="003032DB">
        <w:rPr>
          <w:noProof/>
        </w:rPr>
        <w:t>(Taiz &amp; Zeiger, 2010)</w:t>
      </w:r>
      <w:r w:rsidR="003032DB">
        <w:fldChar w:fldCharType="end"/>
      </w:r>
      <w:r w:rsidR="003003F0">
        <w:t xml:space="preserve">. Nutrients acquired belowground </w:t>
      </w:r>
      <w:r w:rsidR="002C2B2A">
        <w:t xml:space="preserve">are then used to </w:t>
      </w:r>
      <w:r w:rsidR="003003F0">
        <w:t>build</w:t>
      </w:r>
      <w:r w:rsidR="002C2B2A">
        <w:t xml:space="preserve"> </w:t>
      </w:r>
      <w:r w:rsidR="003003F0">
        <w:t xml:space="preserve">and maintain photosynthetic enzymes or </w:t>
      </w:r>
      <w:r w:rsidR="002C2B2A">
        <w:t xml:space="preserve">other </w:t>
      </w:r>
      <w:r w:rsidR="003003F0">
        <w:t xml:space="preserve">structures that support whole plant growth </w:t>
      </w:r>
      <w:r w:rsidR="003032DB">
        <w:t>(</w:t>
      </w:r>
      <w:r w:rsidR="003032DB" w:rsidRPr="003032DB">
        <w:rPr>
          <w:highlight w:val="yellow"/>
        </w:rPr>
        <w:t>cite</w:t>
      </w:r>
      <w:r w:rsidR="003032DB">
        <w:t xml:space="preserve">) </w:t>
      </w:r>
      <w:r w:rsidR="007F4329">
        <w:t>Due to the link between carbon and nutrient biogeochemical cycle dynamics and photosynthe</w:t>
      </w:r>
      <w:r w:rsidR="003032DB">
        <w:t>sis</w:t>
      </w:r>
      <w:r w:rsidR="007F4329">
        <w:t>, terrestrial biosphere models are sensitive to the formulation and simulation of photosynthe</w:t>
      </w:r>
      <w:r w:rsidR="003032DB">
        <w:t>tic processes</w:t>
      </w:r>
      <w:r w:rsidR="007F4329">
        <w:t xml:space="preserve"> </w:t>
      </w:r>
      <w:r w:rsidR="002C2B2A">
        <w:rPr>
          <w:color w:val="000000"/>
        </w:rPr>
        <w:fldChar w:fldCharType="begin" w:fldLock="1"/>
      </w:r>
      <w:r w:rsidR="002C2B2A">
        <w:rPr>
          <w:color w:val="000000"/>
        </w:rPr>
        <w:instrText>ADDIN CSL_CITATION {"citationItems":[{"id":"ITEM-1","itemData":{"DOI":"10.1029/2011GL047182","ISSN":"00948276","abstract":"Feedbacks between the terrestrial carbon cycle and the atmosphere have the potential to greatly modify expected rates of future climate change. This makes it all the more urgent to exploit all existing data for the purpose of accurate modelling of the underlying processes. Here we use a Bayesian random sampling method to constrain parameters of the Farquhar model of leaf photosynthesis and a model of leaf respiration against a comprehensive set of plant trait data at the leaf level. The resulting probability density function (PDF) of model parameters is contrasted with a PDF derived using a conventional “expert knowledge” approach. When running the Biosphere Energy Transfer Hydrology (BETHY) scheme with a 1000‐ member sub‐sample of each of the two PDFs for present climate and a climate scenario, we find that the use of plant trait data is able to reduce the uncertainty range of simulated net leaf assimilation (NLA) by more than a factor of two. Most of the remaining variability is caused by only four parameters, associated with the acclimation of photosynthesis to plant growth temperature and to how leaf stomata react to atmospheric CO 2 concentration. We suggest that this method should be used extensively to parameterize Earth system models, given that data bases on plant traits are increasingly being made available to the modelling community.","author":[{"dropping-particle":"","family":"Ziehn","given":"T","non-dropping-particle":"","parse-names":false,"suffix":""},{"dropping-particle":"","family":"Kattge","given":"Jens","non-dropping-particle":"","parse-names":false,"suffix":""},{"dropping-particle":"","family":"Knorr","given":"Wolfgang","non-dropping-particle":"","parse-names":false,"suffix":""},{"dropping-particle":"","family":"Scholze","given":"M","non-dropping-particle":"","parse-names":false,"suffix":""}],"container-title":"Geophysical Research Letters","id":"ITEM-1","issue":"10","issued":{"date-parts":[["2011","5"]]},"page":"L10404","title":"Improving the predictability of global CO2 assimilation rates under climate change","type":"article-journal","volume":"38"},"uris":["http://www.mendeley.com/documents/?uuid=3333b029-9665-43fc-9d3f-788a6962bab8"]},{"id":"ITEM-2","itemData":{"DOI":"10.1029/2010JG001593","ISSN":"0148-0227","author":[{"dropping-particle":"","family":"Bonan","given":"Gordon B","non-dropping-particle":"","parse-names":false,"suffix":""},{"dropping-particle":"","family":"Lawrence","given":"Peter J","non-dropping-particle":"","parse-names":false,"suffix":""},{"dropping-particle":"","family":"Oleson","given":"Keith W","non-dropping-particle":"","parse-names":false,"suffix":""},{"dropping-particle":"","family":"Levis","given":"Samuel","non-dropping-particle":"","parse-names":false,"suffix":""},{"dropping-particle":"","family":"Jung","given":"Martin","non-dropping-particle":"","parse-names":false,"suffix":""},{"dropping-particle":"","family":"Reichstein","given":"Markus","non-dropping-particle":"","parse-names":false,"suffix":""},{"dropping-particle":"","family":"Lawrence","given":"David M","non-dropping-particle":"","parse-names":false,"suffix":""},{"dropping-particle":"","family":"Swenson","given":"Sean C","non-dropping-particle":"","parse-names":false,"suffix":""}],"container-title":"Journal of Geophysical Research","id":"ITEM-2","issue":"G2","issued":{"date-parts":[["2011","5","18"]]},"page":"G02014","title":"Improving canopy processes in the Community Land Model version 4 (CLM4) using global flux fields empirically inferred from FLUXNET data","type":"article-journal","volume":"116"},"uris":["http://www.mendeley.com/documents/?uuid=6e41c996-dadb-4442-9633-cd99007adcd0"]},{"id":"ITEM-3","itemData":{"DOI":"10.1088/1748-9326/7/2/024002","ISSN":"1748-9326","abstract":"Unknowns in future global warming are usually assumed to arise from uncertainties either in the amount of anthropogenic greenhouse gas emissions or in the sensitivity of the climate to changes in greenhouse gas concentrations. Characterizing the additional uncertainty in relating CO2 emissions to atmospheric concentrations has relied on either a small number of complex models with diversity in process representations, or simple models. To date, these models indicate that the relevant carbon cycle uncertainties are smaller than the uncertainties in physical climate feedbacks and emissions. Here, for a single emissions scenario, we use a full coupled climate–carbon cycle model and a systematic method to explore uncertainties in the land carbon cycle feedback. We find a plausible range of climate–carbon cycle feedbacks significantly larger than previously estimated. Indeed the range of CO2 concentrations arising from our single emissions scenario is greater than that previously estimated across the full range of IPCC SRES emissions scenarios with carbon cycle uncertainties ignored. The sensitivity of photosynthetic metabolism to temperature emerges as the most important uncertainty. This highlights an aspect of current land carbon modelling where there are open questions about the potential role of plant acclimation to increasing temperatures. There is an urgent need for better understanding of plant photosynthetic responses to high temperature, as these responses are shown here to be key contributors to the magnitude of future change.","author":[{"dropping-particle":"","family":"Booth","given":"Ben B B","non-dropping-particle":"","parse-names":false,"suffix":""},{"dropping-particle":"","family":"Jones","given":"Chris D","non-dropping-particle":"","parse-names":false,"suffix":""},{"dropping-particle":"","family":"Collins","given":"Mat","non-dropping-particle":"","parse-names":false,"suffix":""},{"dropping-particle":"","family":"Totterdell","given":"Ian J","non-dropping-particle":"","parse-names":false,"suffix":""},{"dropping-particle":"","family":"Cox","given":"Peter M","non-dropping-particle":"","parse-names":false,"suffix":""},{"dropping-particle":"","family":"Sitch","given":"Stephen","non-dropping-particle":"","parse-names":false,"suffix":""},{"dropping-particle":"","family":"Huntingford","given":"Chris","non-dropping-particle":"","parse-names":false,"suffix":""},{"dropping-particle":"","family":"Betts","given":"Richard A","non-dropping-particle":"","parse-names":false,"suffix":""},{"dropping-particle":"","family":"Harris","given":"Glen R","non-dropping-particle":"","parse-names":false,"suffix":""},{"dropping-particle":"","family":"Lloyd","given":"Jon","non-dropping-particle":"","parse-names":false,"suffix":""}],"container-title":"Environmental Research Letters","id":"ITEM-3","issue":"2","issued":{"date-parts":[["2012","6","1"]]},"page":"024002","title":"High sensitivity of future global warming to land carbon cycle processes","type":"article-journal","volume":"7"},"uris":["http://www.mendeley.com/documents/?uuid=796593ad-abd3-4f97-b450-368363e6ae7a"]},{"id":"ITEM-4","itemData":{"DOI":"10.1038/nclimate2878","ISSN":"1758-678X","abstract":"Plant photosynthesis and respiration are the largest carbon fluxes between the terrestrial biosphere and the atmo- sphere1, and their parameterizations represent large sources of uncertainty in projections of land carbon uptake in Earth system models2,3 (ESMs). The incorporation of temperature acclimation of photosynthesis and foliar respiration, commonly observed processes, into ESMs has been proposed as a way to reduce this uncertainty2. Here we show that, across 15 flux tower sites spanning multiple biomes at various locations worldwide (10◦ S–67◦ N), acclimation parameteri- zations4,5 improve a model’s ability to reproduce observed net ecosystem exchange of CO2. This improvement is most notable in tropical biomes, where photosynthetic acclimation increased model performance by 36%. The consequences of acclimation for simulated terrestrial carbon uptake depend on the process, region and time period evaluated. Globally, including acclimation has a net effect of increasing carbon assimilation and storage, an effect that diminishes with time, but persists well into the future. Our results suggest that land models omitting foliar temperature acclimation are likely to overestimate the temperature sensitivity of terrestrial carbon exchange, thus biasing projections of future carbon storage and estimates of policy indicators such as the transient climate response to cumulative carbon emissions1.","author":[{"dropping-particle":"","family":"Smith","given":"Nicholas G","non-dropping-particle":"","parse-names":false,"suffix":""},{"dropping-particle":"","family":"Malyshev","given":"Sergey L","non-dropping-particle":"","parse-names":false,"suffix":""},{"dropping-particle":"","family":"Shevliakova","given":"Elena","non-dropping-particle":"","parse-names":false,"suffix":""},{"dropping-particle":"","family":"Kattge","given":"Jens","non-dropping-particle":"","parse-names":false,"suffix":""},{"dropping-particle":"","family":"Dukes","given":"Jeffrey S","non-dropping-particle":"","parse-names":false,"suffix":""}],"container-title":"Nature Climate Change","id":"ITEM-4","issue":"4","issued":{"date-parts":[["2016","4","7"]]},"page":"407-411","title":"Foliar temperature acclimation reduces simulated carbon sensitivity to climate","type":"article-journal","volume":"6"},"uris":["http://www.mendeley.com/documents/?uuid=f36cabfa-36d0-48cb-8988-0410f8fca693"]},{"id":"ITEM-5","itemData":{"DOI":"10.1002/2016MS000732","ISSN":"19422466","abstract":"Large-eddy simulation is used to study the sensitivity of trade wind cumulus clouds to pertur-bations in cloud droplet number concentrations. We find that the trade wind cumulus system approaches a radiative-convective equilibrium state, modified by net warming and drying from imposed large-scale advective forcing. The system requires several days to reach equilibrium when cooling rates are specified but much less time, and with less sensitivity to cloud droplet number density, when radiation depends real-istically on the vertical distribution of water vapor. The transient behavior and the properties of the near-equilibrium cloud field depend on the microphysical state and therefore on the cloud droplet number den-sity, here taken as a proxy for the ambient aerosol. The primary response of the cloud field to changes in the cloud droplet number density is deepening of the cloud layer. This deepening leads to a decrease in rel-ative humidity and a faster evaporation of small clouds and cloud remnants constituting a negative lifetime effect. In the near-equilibrium regime, the decrease in cloud cover compensates much of the Twomey effect, i.e., the brightening of the clouds, and the overall aerosol effect on the albedo of the organized pre-cipitating cumulus cloud field is small.","author":[{"dropping-particle":"","family":"Smith","given":"Nicholas G","non-dropping-particle":"","parse-names":false,"suffix":""},{"dropping-particle":"","family":"Lombardozzi","given":"Danica L","non-dropping-particle":"","parse-names":false,"suffix":""},{"dropping-particle":"","family":"Tawfik","given":"Ahmed","non-dropping-particle":"","parse-names":false,"suffix":""},{"dropping-particle":"","family":"Bonan","given":"Gordon","non-dropping-particle":"","parse-names":false,"suffix":""},{"dropping-particle":"","family":"Dukes","given":"Jeffrey S","non-dropping-particle":"","parse-names":false,"suffix":""}],"container-title":"Journal of Advances in Modeling Earth Systems","id":"ITEM-5","issue":"1","issued":{"date-parts":[["2017","3"]]},"page":"536-547","title":"Biophysical consequences of photosynthetic temperature acclimation for climate","type":"article-journal","volume":"9"},"uris":["http://www.mendeley.com/documents/?uuid=2b872483-83b1-475c-9293-9c4299f866f5"]}],"mendeley":{"formattedCitation":"(Bonan et al., 2011; Booth et al., 2012; N. G. Smith et al., 2016, 2017; Ziehn et al., 2011)","plainTextFormattedCitation":"(Bonan et al., 2011; Booth et al., 2012; N. G. Smith et al., 2016, 2017; Ziehn et al., 2011)","previouslyFormattedCitation":"(Bonan et al., 2011; Booth et al., 2012; N. G. Smith et al., 2016, 2017; Ziehn et al., 2011)"},"properties":{"noteIndex":0},"schema":"https://github.com/citation-style-language/schema/raw/master/csl-citation.json"}</w:instrText>
      </w:r>
      <w:r w:rsidR="002C2B2A">
        <w:rPr>
          <w:color w:val="000000"/>
        </w:rPr>
        <w:fldChar w:fldCharType="separate"/>
      </w:r>
      <w:r w:rsidR="002C2B2A" w:rsidRPr="00547EA6">
        <w:rPr>
          <w:noProof/>
          <w:color w:val="000000"/>
        </w:rPr>
        <w:t>(Bonan et al., 2011; Booth et al., 2012; N. G. Smith et al., 2016, 2017; Ziehn et al., 2011)</w:t>
      </w:r>
      <w:r w:rsidR="002C2B2A">
        <w:rPr>
          <w:color w:val="000000"/>
        </w:rPr>
        <w:fldChar w:fldCharType="end"/>
      </w:r>
      <w:r w:rsidR="002C2B2A">
        <w:rPr>
          <w:color w:val="000000"/>
        </w:rPr>
        <w:t>.</w:t>
      </w:r>
      <w:r w:rsidR="007F4329">
        <w:rPr>
          <w:color w:val="000000"/>
        </w:rPr>
        <w:t xml:space="preserve"> The formulation of photosynthe</w:t>
      </w:r>
      <w:r w:rsidR="003032DB">
        <w:rPr>
          <w:color w:val="000000"/>
        </w:rPr>
        <w:t>tic processes</w:t>
      </w:r>
      <w:r w:rsidR="007F4329">
        <w:rPr>
          <w:color w:val="000000"/>
        </w:rPr>
        <w:t xml:space="preserve"> in these models should therefore be </w:t>
      </w:r>
      <w:r w:rsidR="003032DB">
        <w:rPr>
          <w:color w:val="000000"/>
        </w:rPr>
        <w:t>evaluated</w:t>
      </w:r>
      <w:r w:rsidR="007F4329">
        <w:rPr>
          <w:color w:val="000000"/>
        </w:rPr>
        <w:t xml:space="preserve"> using robust, empirically tested processes</w:t>
      </w:r>
      <w:r w:rsidR="00B86B96">
        <w:rPr>
          <w:color w:val="000000"/>
        </w:rPr>
        <w:t xml:space="preserve"> that are generalizable across time and space</w:t>
      </w:r>
      <w:r w:rsidR="007F4329">
        <w:rPr>
          <w:color w:val="000000"/>
        </w:rPr>
        <w:t xml:space="preserve"> </w:t>
      </w:r>
      <w:r w:rsidR="007F4329">
        <w:rPr>
          <w:color w:val="000000"/>
        </w:rPr>
        <w:fldChar w:fldCharType="begin" w:fldLock="1"/>
      </w:r>
      <w:r w:rsidR="006D3E93">
        <w:rPr>
          <w:color w:val="000000"/>
        </w:rPr>
        <w:instrText>ADDIN CSL_CITATION {"citationItems":[{"id":"ITEM-1","itemData":{"DOI":"10.1029/2018GB006141","ISSN":"0886-6236","author":[{"dropping-particle":"","family":"Wieder","given":"William R","non-dropping-particle":"","parse-names":false,"suffix":""},{"dropping-particle":"","family":"Lawrence","given":"David M","non-dropping-particle":"","parse-names":false,"suffix":""},{"dropping-particle":"","family":"Fisher","given":"Rosie A","non-dropping-particle":"","parse-names":false,"suffix":""},{"dropping-particle":"","family":"Bonan","given":"Gordon B","non-dropping-particle":"","parse-names":false,"suffix":""},{"dropping-particle":"","family":"Cheng","given":"Susan J","non-dropping-particle":"","parse-names":false,"suffix":""},{"dropping-particle":"","family":"Goodale","given":"Christine L","non-dropping-particle":"","parse-names":false,"suffix":""},{"dropping-particle":"","family":"Grandy","given":"A Stuart","non-dropping-particle":"","parse-names":false,"suffix":""},{"dropping-particle":"","family":"Koven","given":"Charles D","non-dropping-particle":"","parse-names":false,"suffix":""},{"dropping-particle":"","family":"Lombardozzi","given":"Danica L","non-dropping-particle":"","parse-names":false,"suffix":""},{"dropping-particle":"","family":"Oleson","given":"Keith W","non-dropping-particle":"","parse-names":false,"suffix":""},{"dropping-particle":"","family":"Thomas","given":"R Quinn","non-dropping-particle":"","parse-names":false,"suffix":""}],"container-title":"Global Biogeochemical Cycles","id":"ITEM-1","issue":"10","issued":{"date-parts":[["2019","10","28"]]},"page":"1289-1309","title":"Beyond static benchmarking: using experimental manipulations to evaluate land model assumptions","type":"article-journal","volume":"33"},"uris":["http://www.mendeley.com/documents/?uuid=be8ebbf3-fb1e-4be5-9c6c-b3173a082364"]}],"mendeley":{"formattedCitation":"(Wieder et al., 2019)","plainTextFormattedCitation":"(Wieder et al., 2019)","previouslyFormattedCitation":"(Wieder et al., 2019)"},"properties":{"noteIndex":0},"schema":"https://github.com/citation-style-language/schema/raw/master/csl-citation.json"}</w:instrText>
      </w:r>
      <w:r w:rsidR="007F4329">
        <w:rPr>
          <w:color w:val="000000"/>
        </w:rPr>
        <w:fldChar w:fldCharType="separate"/>
      </w:r>
      <w:r w:rsidR="007F4329" w:rsidRPr="007F4329">
        <w:rPr>
          <w:noProof/>
          <w:color w:val="000000"/>
        </w:rPr>
        <w:t>(Wieder et al., 2019)</w:t>
      </w:r>
      <w:r w:rsidR="007F4329">
        <w:rPr>
          <w:color w:val="000000"/>
        </w:rPr>
        <w:fldChar w:fldCharType="end"/>
      </w:r>
      <w:r w:rsidR="003032DB">
        <w:rPr>
          <w:color w:val="000000"/>
        </w:rPr>
        <w:t>.</w:t>
      </w:r>
    </w:p>
    <w:p w14:paraId="3263D8F1" w14:textId="24C8B834" w:rsidR="00987F23" w:rsidRDefault="004C7C69" w:rsidP="003032DB">
      <w:pPr>
        <w:spacing w:line="360" w:lineRule="auto"/>
        <w:ind w:firstLine="720"/>
      </w:pPr>
      <w:r>
        <w:t>Many current generation terrestrial biosphere models predict leaf-level photosynthesis using parameters assigned by plant functional type through</w:t>
      </w:r>
      <w:r w:rsidR="00E0208C">
        <w:t xml:space="preserve"> linear</w:t>
      </w:r>
      <w:r>
        <w:t xml:space="preserve"> relationships between soil nutrient availability, leaf nutrient allocation, and photosynthetic capacity </w:t>
      </w:r>
      <w:r w:rsidR="009273E2">
        <w:fldChar w:fldCharType="begin" w:fldLock="1"/>
      </w:r>
      <w:r w:rsidR="0048753D">
        <w:instrText>ADDIN CSL_CITATION {"citationItems":[{"id":"ITEM-1","itemData":{"DOI":"10.1007/s11120-013-9818-1","ISSN":"0166-8595","author":[{"dropping-particle":"","family":"Rogers","given":"Alistair","non-dropping-particle":"","parse-names":false,"suffix":""}],"container-title":"Photosynthesis Research","id":"ITEM-1","issue":"1-2","issued":{"date-parts":[["2014","2","7"]]},"page":"15-29","title":"The use and misuse of V&lt;sub&gt;c,max&lt;/sub&gt; in Earth System Models","type":"article-journal","volume":"119"},"uris":["http://www.mendeley.com/documents/?uuid=25f28ff1-7c62-46f2-9b1d-60fafb9797ef"]},{"id":"ITEM-2","itemData":{"DOI":"10.1111/nph.14283","ISSN":"0028646X","author":[{"dropping-particle":"","family":"Rogers","given":"Alistair","non-dropping-particle":"","parse-names":false,"suffix":""},{"dropping-particle":"","family":"Medlyn","given":"Belinda E","non-dropping-particle":"","parse-names":false,"suffix":""},{"dropping-particle":"","family":"Dukes","given":"Jeffrey S","non-dropping-particle":"","parse-names":false,"suffix":""},{"dropping-particle":"","family":"Bonan","given":"Gordon","non-dropping-particle":"","parse-names":false,"suffix":""},{"dropping-particle":"","family":"Caemmerer","given":"Susanne","non-dropping-particle":"von","parse-names":false,"suffix":""},{"dropping-particle":"","family":"Dietze","given":"Michael C","non-dropping-particle":"","parse-names":false,"suffix":""},{"dropping-particle":"","family":"Kattge","given":"Jens","non-dropping-particle":"","parse-names":false,"suffix":""},{"dropping-particle":"","family":"Leakey","given":"Andrew D B","non-dropping-particle":"","parse-names":false,"suffix":""},{"dropping-particle":"","family":"Mercado","given":"Lina M","non-dropping-particle":"","parse-names":false,"suffix":""},{"dropping-particle":"","family":"Niinemets","given":"Ülo","non-dropping-particle":"","parse-names":false,"suffix":""},{"dropping-particle":"","family":"Prentice","given":"I Colin","non-dropping-particle":"","parse-names":false,"suffix":""},{"dropping-particle":"","family":"Serbin","given":"Shawn P","non-dropping-particle":"","parse-names":false,"suffix":""},{"dropping-particle":"","family":"Sitch","given":"Stephen","non-dropping-particle":"","parse-names":false,"suffix":""},{"dropping-particle":"","family":"Way","given":"Danielle A","non-dropping-particle":"","parse-names":false,"suffix":""},{"dropping-particle":"","family":"Zaehle","given":"Sönke","non-dropping-particle":"","parse-names":false,"suffix":""}],"container-title":"New Phytologist","id":"ITEM-2","issue":"1","issued":{"date-parts":[["2017","1"]]},"page":"22-42","title":"A roadmap for improving the representation of photosynthesis in Earth system models","type":"article-journal","volume":"213"},"uris":["http://www.mendeley.com/documents/?uuid=2b8771ac-5f1d-4259-ab38-c0c6999be44d"]},{"id":"ITEM-3","itemData":{"DOI":"10.1111/j.1365-2486.2012.02797.x","ISSN":"13541013","PMID":"23504720","abstract":"To realistically simulate climate feedbacks from the land surface to the atmosphere, models must replicate the responses of plants to environmental changes. Several processes, operating at various scales, cause the responses of photosynthesis and plant respiration to temperature and CO2 to change over time of exposure to new or changing environmental conditions. Here, we review the latest empirical evidence that short-term responses of plant carbon exchange rates to temperature and CO2 are modified by plant photosynthetic and respiratory acclimation as well as biogeochemical feedbacks. We assess the frequency with which these responses have been incorporated into vegetation models, and highlight recently designed algorithms that can facilitate their incorporation. Few models currently include representations of the long-term plant responses that have been recorded by empirical studies, likely because these responses are still poorly understood at scales relevant for models. Studies show that, at a regional scale, simulated carbon flux between the atmosphere and vegetation can dramatically differ between versions of models that do and do not include acclimation. However, the realism of these results is difficult to evaluate, as algorithm development is still in an early stage, and a limited number of data are available. We provide a series of recommendations that suggest how a combination of empirical and modeling studies can produce mechanistic algorithms that will realistically simulate longer term responses within global-scale models. © 2012 Blackwell Publishing Ltd.","author":[{"dropping-particle":"","family":"Smith","given":"Nicholas G","non-dropping-particle":"","parse-names":false,"suffix":""},{"dropping-particle":"","family":"Dukes","given":"Jeffrey S","non-dropping-particle":"","parse-names":false,"suffix":""}],"container-title":"Global Change Biology","id":"ITEM-3","issue":"1","issued":{"date-parts":[["2013"]]},"page":"45-63","title":"Plant respiration and photosynthesis in global-scale models: Incorporating acclimation to temperature and CO&lt;sub&gt;2&lt;/sub&gt;","type":"article-journal","volume":"19"},"uris":["http://www.mendeley.com/documents/?uuid=b45ebbbe-9cfa-41ef-9337-8bc2bfdfb16b"]}],"mendeley":{"formattedCitation":"(Rogers, 2014; Rogers et al., 2017; N. G. Smith &amp; Dukes, 2013)","plainTextFormattedCitation":"(Rogers, 2014; Rogers et al., 2017; N. G. Smith &amp; Dukes, 2013)","previouslyFormattedCitation":"(Rogers, 2014; Rogers et al., 2017; N. G. Smith &amp; Dukes, 2013)"},"properties":{"noteIndex":0},"schema":"https://github.com/citation-style-language/schema/raw/master/csl-citation.json"}</w:instrText>
      </w:r>
      <w:r w:rsidR="009273E2">
        <w:fldChar w:fldCharType="separate"/>
      </w:r>
      <w:r w:rsidR="007B1AFE" w:rsidRPr="007B1AFE">
        <w:rPr>
          <w:noProof/>
        </w:rPr>
        <w:t>(Rogers, 2014; Rogers et al., 2017; N. G. Smith &amp; Dukes, 2013)</w:t>
      </w:r>
      <w:r w:rsidR="009273E2">
        <w:fldChar w:fldCharType="end"/>
      </w:r>
      <w:r w:rsidR="009A5542">
        <w:t>.</w:t>
      </w:r>
      <w:r w:rsidR="00565C0A">
        <w:t xml:space="preserve"> </w:t>
      </w:r>
      <w:r w:rsidR="004B5E0F">
        <w:t xml:space="preserve">These models predict leaf nutrient allocation from soil nutrient availability based on the assumption that increasing soil nutrient availability generally increases leaf nutrient allocation </w:t>
      </w:r>
      <w:r w:rsidR="004B5E0F">
        <w:fldChar w:fldCharType="begin" w:fldLock="1"/>
      </w:r>
      <w:r w:rsidR="00403BBD">
        <w:instrText>ADDIN CSL_CITATION {"citationItems":[{"id":"ITEM-1","itemData":{"DOI":"10.1038/s41559-018-0790-1","ISSN":"2397-334X","author":[{"dropping-particle":"","family":"Firn","given":"Jennifer","non-dropping-particle":"","parse-names":false,"suffix":""},{"dropping-particle":"","family":"McGree","given":"James M","non-dropping-particle":"","parse-names":false,"suffix":""},{"dropping-particle":"","family":"Harvey","given":"Eric","non-dropping-particle":"","parse-names":false,"suffix":""},{"dropping-particle":"","family":"Flores-Moreno","given":"Habacuc","non-dropping-particle":"","parse-names":false,"suffix":""},{"dropping-particle":"","family":"Schütz","given":"Martin","non-dropping-particle":"","parse-names":false,"suffix":""},{"dropping-particle":"","family":"Buckley","given":"Yvonne M","non-dropping-particle":"","parse-names":false,"suffix":""},{"dropping-particle":"","family":"Borer","given":"Elizabeth T","non-dropping-particle":"","parse-names":false,"suffix":""},{"dropping-particle":"","family":"Seabloom","given":"Eric W","non-dropping-particle":"","parse-names":false,"suffix":""},{"dropping-particle":"","family":"Pierre","given":"Kimberly J","non-dropping-particle":"La","parse-names":false,"suffix":""},{"dropping-particle":"","family":"MacDougall","given":"Andrew S","non-dropping-particle":"","parse-names":false,"suffix":""},{"dropping-particle":"","family":"Prober","given":"Suzanne M","non-dropping-particle":"","parse-names":false,"suffix":""},{"dropping-particle":"","family":"Stevens","given":"Carly J","non-dropping-particle":"","parse-names":false,"suffix":""},{"dropping-particle":"","family":"Sullivan","given":"Lauren L","non-dropping-particle":"","parse-names":false,"suffix":""},{"dropping-particle":"","family":"Porter","given":"Erica","non-dropping-particle":"","parse-names":false,"suffix":""},{"dropping-particle":"","family":"Ladouceur","given":"Emma","non-dropping-particle":"","parse-names":false,"suffix":""},{"dropping-particle":"","family":"Allen","given":"Charlotte","non-dropping-particle":"","parse-names":false,"suffix":""},{"dropping-particle":"","family":"Moromizato","given":"Karine H","non-dropping-particle":"","parse-names":false,"suffix":""},{"dropping-particle":"","family":"Morgan","given":"John W","non-dropping-particle":"","parse-names":false,"suffix":""},{"dropping-particle":"","family":"Harpole","given":"W Stanley","non-dropping-particle":"","parse-names":false,"suffix":""},{"dropping-particle":"","family":"Hautier","given":"Yann","non-dropping-particle":"","parse-names":false,"suffix":""},{"dropping-particle":"","family":"Eisenhauer","given":"Nico","non-dropping-particle":"","parse-names":false,"suffix":""},{"dropping-particle":"","family":"Wright","given":"Justin P","non-dropping-particle":"","parse-names":false,"suffix":""},{"dropping-particle":"","family":"Adler","given":"Peter B","non-dropping-particle":"","parse-names":false,"suffix":""},{"dropping-particle":"","family":"Arnillas","given":"Carlos Alberto","non-dropping-particle":"","parse-names":false,"suffix":""},{"dropping-particle":"","family":"Bakker","given":"Jonathan D","non-dropping-particle":"","parse-names":false,"suffix":""},{"dropping-particle":"","family":"Biederman","given":"Lori","non-dropping-particle":"","parse-names":false,"suffix":""},{"dropping-particle":"","family":"Broadbent","given":"Arthur A D","non-dropping-particle":"","parse-names":false,"suffix":""},{"dropping-particle":"","family":"Brown","given":"Cynthia S","non-dropping-particle":"","parse-names":false,"suffix":""},{"dropping-particle":"","family":"Bugalho","given":"Miguel N","non-dropping-particle":"","parse-names":false,"suffix":""},{"dropping-particle":"","family":"Caldeira","given":"Maria C","non-dropping-particle":"","parse-names":false,"suffix":""},{"dropping-particle":"","family":"Cleland","given":"Elsa E","non-dropping-particle":"","parse-names":false,"suffix":""},{"dropping-particle":"","family":"Ebeling","given":"Anne","non-dropping-particle":"","parse-names":false,"suffix":""},{"dropping-particle":"","family":"Fay","given":"Philip A","non-dropping-particle":"","parse-names":false,"suffix":""},{"dropping-particle":"","family":"Hagenah","given":"Nicole","non-dropping-particle":"","parse-names":false,"suffix":""},{"dropping-particle":"","family":"Kleinhesselink","given":"Andrew R","non-dropping-particle":"","parse-names":false,"suffix":""},{"dropping-particle":"","family":"Mitchell","given":"Rachel","non-dropping-particle":"","parse-names":false,"suffix":""},{"dropping-particle":"","family":"Moore","given":"Joslin L","non-dropping-particle":"","parse-names":false,"suffix":""},{"dropping-particle":"","family":"Nogueira","given":"Carla","non-dropping-particle":"","parse-names":false,"suffix":""},{"dropping-particle":"","family":"Peri","given":"Pablo Luis","non-dropping-particle":"","parse-names":false,"suffix":""},{"dropping-particle":"","family":"Roscher","given":"Christiane","non-dropping-particle":"","parse-names":false,"suffix":""},{"dropping-particle":"","family":"Smith","given":"Melinda D","non-dropping-particle":"","parse-names":false,"suffix":""},{"dropping-particle":"","family":"Wragg","given":"Peter D","non-dropping-particle":"","parse-names":false,"suffix":""},{"dropping-particle":"","family":"Risch","given":"Anita C","non-dropping-particle":"","parse-names":false,"suffix":""}],"container-title":"Nature Ecology &amp; Evolution","id":"ITEM-1","issue":"3","issued":{"date-parts":[["2019","3","4"]]},"page":"400-406","title":"Leaf nutrients, not specific leaf area, are consistent indicators of elevated nutrient inputs","type":"article-journal","volume":"3"},"uris":["http://www.mendeley.com/documents/?uuid=aa4fd087-f2a3-4dc4-b20c-8e5dbc931ba3"]},{"id":"ITEM-2","itemData":{"DOI":"10.1111/geb.13042","ISSN":"1466-822X","author":[{"dropping-particle":"","family":"Li","given":"Weibin","non-dropping-particle":"","parse-names":false,"suffix":""},{"dropping-particle":"","family":"Zhang","given":"Hongxia","non-dropping-particle":"","parse-names":false,"suffix":""},{"dropping-particle":"","family":"Huang","given":"Guozhu","non-dropping-particle":"","parse-names":false,"suffix":""},{"dropping-particle":"","family":"Liu","given":"Ruixue","non-dropping-particle":"","parse-names":false,"suffix":""},{"dropping-particle":"","family":"Wu","given":"Hongjing","non-dropping-particle":"","parse-names":false,"suffix":""},{"dropping-particle":"","family":"Zhao","given":"Chuanyan","non-dropping-particle":"","parse-names":false,"suffix":""},{"dropping-particle":"","family":"McDowell","given":"Nate G.","non-dropping-particle":"","parse-names":false,"suffix":""}],"container-title":"Global Ecology and Biogeography","id":"ITEM-2","issue":"3","issued":{"date-parts":[["2020","3","6"]]},"page":"573-589","title":"Effects of nitrogen enrichment on tree carbon allocation: A global synthesis","type":"article-journal","volume":"29"},"uris":["http://www.mendeley.com/documents/?uuid=97d32149-0d7f-456a-89b4-109a86f6d490"]},{"id":"ITEM-3","itemData":{"DOI":"10.1111/gcb.15071","ISSN":"1354-1013","abstract":"A mechanistic understanding of plant photosynthetic response is needed to reliably predict changes in terrestrial carbon (C) gain under conditions of chronically elevated atmospheric nitrogen (N) deposition. Here, using 2,683 observations from 240 jour- nal articles, we conducted a global meta-analysis to reveal effects of N addition on 14 photosynthesis-related traits and affecting moderators. We found that across 320 terrestrial plant species, leaf N was enhanced comparably on mass basis (Nmass , +18.4%) and area basis (Narea, +14.3%), with no changes in specific leaf area or leaf mass per area. Total leaf area (TLA) was increased significantly, as indicated by the in- creases in total leaf biomass (+46.5%), leaf area per plant (+29.7%), and leaf area index (LAI, +24.4%). To a lesser extent than for TLA, N addition significantly enhanced leaf photosynthetic rate per area (Aarea, +12.6%), stomatal conductance (gs, +7.5%), and transpiration rate (E, +10.5%). The responses of Aarea were positively related with that of gs, with no changes in instantaneous water-use efficiency and only slight in- creases in long-term water-use efficiency (+2.5%) inferred from 13C composition. The responses of traits depended on biological, experimental, and environmental moder- ators. As experimental duration and N load increased, the responses of LAI and Aarea diminished while that of E increased significantly. The observed patterns of increases in both TLA and E indicate that N deposition will increase the amount of water used by plants. Taken together, N deposition will enhance gross photosynthetic C gain of the terrestrial plants while increasing their water loss to the atmosphere, but the effects on C gain might diminish over time and that on plant water use would be am- plified if N deposition persists","author":[{"dropping-particle":"","family":"Liang","given":"Xingyun","non-dropping-particle":"","parse-names":false,"suffix":""},{"dropping-particle":"","family":"Zhang","given":"Tong","non-dropping-particle":"","parse-names":false,"suffix":""},{"dropping-particle":"","family":"Lu","given":"Xiankai","non-dropping-particle":"","parse-names":false,"suffix":""},{"dropping-particle":"","family":"Ellsworth","given":"David S","non-dropping-particle":"","parse-names":false,"suffix":""},{"dropping-particle":"","family":"BassiriRad","given":"Hormoz","non-dropping-particle":"","parse-names":false,"suffix":""},{"dropping-particle":"","family":"You","given":"Chengming","non-dropping-particle":"","parse-names":false,"suffix":""},{"dropping-particle":"","family":"Wang","given":"Dong","non-dropping-particle":"","parse-names":false,"suffix":""},{"dropping-particle":"","family":"He","given":"Pengcheng","non-dropping-particle":"","parse-names":false,"suffix":""},{"dropping-particle":"","family":"Deng","given":"Qi","non-dropping-particle":"","parse-names":false,"suffix":""},{"dropping-particle":"","family":"Liu","given":"Hui","non-dropping-particle":"","parse-names":false,"suffix":""},{"dropping-particle":"","family":"Mo","given":"Jiangming","non-dropping-particle":"","parse-names":false,"suffix":""},{"dropping-particle":"","family":"Ye","given":"Qing","non-dropping-particle":"","parse-names":false,"suffix":""}],"container-title":"Global Change Biology","id":"ITEM-3","issue":"6","issued":{"date-parts":[["2020","6","8"]]},"page":"3585-3600","title":"Global response patterns of plant photosynthesis to nitrogen addition: A meta‐analysis","type":"article-journal","volume":"26"},"uris":["http://www.mendeley.com/documents/?uuid=c936a49f-196c-406d-ac18-be1d835be620"]}],"mendeley":{"formattedCitation":"(Firn et al., 2019; Li et al., 2020; Liang et al., 2020)","manualFormatting":"(Firn et al., 2019; Li et al., 2020; Liang et al., 2020)","plainTextFormattedCitation":"(Firn et al., 2019; Li et al., 2020; Liang et al., 2020)","previouslyFormattedCitation":"(Firn et al., 2019; Li et al., 2020; Liang et al., 2020)"},"properties":{"noteIndex":0},"schema":"https://github.com/citation-style-language/schema/raw/master/csl-citation.json"}</w:instrText>
      </w:r>
      <w:r w:rsidR="004B5E0F">
        <w:fldChar w:fldCharType="separate"/>
      </w:r>
      <w:r w:rsidR="004B5E0F" w:rsidRPr="00E67FB9">
        <w:rPr>
          <w:noProof/>
        </w:rPr>
        <w:t>(Firn et al., 2019; Li et al., 2020; Liang et al., 2020)</w:t>
      </w:r>
      <w:r w:rsidR="004B5E0F">
        <w:fldChar w:fldCharType="end"/>
      </w:r>
      <w:r w:rsidR="004B5E0F">
        <w:t xml:space="preserve">, </w:t>
      </w:r>
      <w:r w:rsidR="00502BC6">
        <w:t>which</w:t>
      </w:r>
      <w:r w:rsidR="00F2556B">
        <w:t xml:space="preserve"> can</w:t>
      </w:r>
      <w:r w:rsidR="00502BC6">
        <w:t xml:space="preserve"> </w:t>
      </w:r>
      <w:r w:rsidR="004B5E0F">
        <w:t xml:space="preserve">correspond with </w:t>
      </w:r>
      <w:r w:rsidR="00502BC6">
        <w:t>an increase</w:t>
      </w:r>
      <w:r w:rsidR="004B5E0F">
        <w:t xml:space="preserve"> in photosynthetic capacity </w:t>
      </w:r>
      <w:r w:rsidR="004B5E0F">
        <w:fldChar w:fldCharType="begin" w:fldLock="1"/>
      </w:r>
      <w:r w:rsidR="00403BBD">
        <w:instrText>ADDIN CSL_CITATION {"citationItems":[{"id":"ITEM-1","itemData":{"DOI":"10.1111/gcb.15071","ISSN":"1354-1013","abstract":"A mechanistic understanding of plant photosynthetic response is needed to reliably predict changes in terrestrial carbon (C) gain under conditions of chronically elevated atmospheric nitrogen (N) deposition. Here, using 2,683 observations from 240 jour- nal articles, we conducted a global meta-analysis to reveal effects of N addition on 14 photosynthesis-related traits and affecting moderators. We found that across 320 terrestrial plant species, leaf N was enhanced comparably on mass basis (Nmass , +18.4%) and area basis (Narea, +14.3%), with no changes in specific leaf area or leaf mass per area. Total leaf area (TLA) was increased significantly, as indicated by the in- creases in total leaf biomass (+46.5%), leaf area per plant (+29.7%), and leaf area index (LAI, +24.4%). To a lesser extent than for TLA, N addition significantly enhanced leaf photosynthetic rate per area (Aarea, +12.6%), stomatal conductance (gs, +7.5%), and transpiration rate (E, +10.5%). The responses of Aarea were positively related with that of gs, with no changes in instantaneous water-use efficiency and only slight in- creases in long-term water-use efficiency (+2.5%) inferred from 13C composition. The responses of traits depended on biological, experimental, and environmental moder- ators. As experimental duration and N load increased, the responses of LAI and Aarea diminished while that of E increased significantly. The observed patterns of increases in both TLA and E indicate that N deposition will increase the amount of water used by plants. Taken together, N deposition will enhance gross photosynthetic C gain of the terrestrial plants while increasing their water loss to the atmosphere, but the effects on C gain might diminish over time and that on plant water use would be am- plified if N deposition persists","author":[{"dropping-particle":"","family":"Liang","given":"Xingyun","non-dropping-particle":"","parse-names":false,"suffix":""},{"dropping-particle":"","family":"Zhang","given":"Tong","non-dropping-particle":"","parse-names":false,"suffix":""},{"dropping-particle":"","family":"Lu","given":"Xiankai","non-dropping-particle":"","parse-names":false,"suffix":""},{"dropping-particle":"","family":"Ellsworth","given":"David S","non-dropping-particle":"","parse-names":false,"suffix":""},{"dropping-particle":"","family":"BassiriRad","given":"Hormoz","non-dropping-particle":"","parse-names":false,"suffix":""},{"dropping-particle":"","family":"You","given":"Chengming","non-dropping-particle":"","parse-names":false,"suffix":""},{"dropping-particle":"","family":"Wang","given":"Dong","non-dropping-particle":"","parse-names":false,"suffix":""},{"dropping-particle":"","family":"He","given":"Pengcheng","non-dropping-particle":"","parse-names":false,"suffix":""},{"dropping-particle":"","family":"Deng","given":"Qi","non-dropping-particle":"","parse-names":false,"suffix":""},{"dropping-particle":"","family":"Liu","given":"Hui","non-dropping-particle":"","parse-names":false,"suffix":""},{"dropping-particle":"","family":"Mo","given":"Jiangming","non-dropping-particle":"","parse-names":false,"suffix":""},{"dropping-particle":"","family":"Ye","given":"Qing","non-dropping-particle":"","parse-names":false,"suffix":""}],"container-title":"Global Change Biology","id":"ITEM-1","issue":"6","issued":{"date-parts":[["2020","6","8"]]},"page":"3585-3600","title":"Global response patterns of plant photosynthesis to nitrogen addition: A meta‐analysis","type":"article-journal","volume":"26"},"uris":["http://www.mendeley.com/documents/?uuid=c936a49f-196c-406d-ac18-be1d835be620"]},{"id":"ITEM-2","itemData":{"DOI":"10.1111/geb.13042","ISSN":"1466-822X","author":[{"dropping-particle":"","family":"Li","given":"Weibin","non-dropping-particle":"","parse-names":false,"suffix":""},{"dropping-particle":"","family":"Zhang","given":"Hongxia","non-dropping-particle":"","parse-names":false,"suffix":""},{"dropping-particle":"","family":"Huang","given":"Guozhu","non-dropping-particle":"","parse-names":false,"suffix":""},{"dropping-particle":"","family":"Liu","given":"Ruixue","non-dropping-particle":"","parse-names":false,"suffix":""},{"dropping-particle":"","family":"Wu","given":"Hongjing","non-dropping-particle":"","parse-names":false,"suffix":""},{"dropping-particle":"","family":"Zhao","given":"Chuanyan","non-dropping-particle":"","parse-names":false,"suffix":""},{"dropping-particle":"","family":"McDowell","given":"Nate G.","non-dropping-particle":"","parse-names":false,"suffix":""}],"container-title":"Global Ecology and Biogeography","id":"ITEM-2","issue":"3","issued":{"date-parts":[["2020","3","6"]]},"page":"573-589","title":"Effects of nitrogen enrichment on tree carbon allocation: A global synthesis","type":"article-journal","volume":"29"},"uris":["http://www.mendeley.com/documents/?uuid=97d32149-0d7f-456a-89b4-109a86f6d490"]}],"mendeley":{"formattedCitation":"(Li et al., 2020; Liang et al., 2020)","manualFormatting":"(Li et al., 2020; Liang et al., 2020)","plainTextFormattedCitation":"(Li et al., 2020; Liang et al., 2020)","previouslyFormattedCitation":"(Li et al., 2020; Liang et al., 2020)"},"properties":{"noteIndex":0},"schema":"https://github.com/citation-style-language/schema/raw/master/csl-citation.json"}</w:instrText>
      </w:r>
      <w:r w:rsidR="004B5E0F">
        <w:fldChar w:fldCharType="separate"/>
      </w:r>
      <w:r w:rsidR="004B5E0F" w:rsidRPr="009742EE">
        <w:rPr>
          <w:noProof/>
        </w:rPr>
        <w:t>(Li et al., 2020; Liang et al., 2020)</w:t>
      </w:r>
      <w:r w:rsidR="004B5E0F">
        <w:fldChar w:fldCharType="end"/>
      </w:r>
      <w:r w:rsidR="004B5E0F">
        <w:t>.</w:t>
      </w:r>
      <w:r w:rsidR="00621781">
        <w:t xml:space="preserve"> While empirical support for </w:t>
      </w:r>
      <w:r w:rsidR="00B86B96">
        <w:t>these positive relationships</w:t>
      </w:r>
      <w:r w:rsidR="00621781">
        <w:t xml:space="preserve"> is extensive </w:t>
      </w:r>
      <w:r w:rsidR="00621781">
        <w:fldChar w:fldCharType="begin" w:fldLock="1"/>
      </w:r>
      <w:r w:rsidR="00B86B96">
        <w:instrText>ADDIN CSL_CITATION {"citationItems":[{"id":"ITEM-1","itemData":{"author":[{"dropping-particle":"","family":"Brix","given":"H","non-dropping-particle":"","parse-names":false,"suffix":""}],"container-title":"Forest Science","id":"ITEM-1","issue":"4","issued":{"date-parts":[["1971"]]},"page":"407-414","title":"Effects of nitrogen fertilization on photosynthesis and respiration in Douglas-fir","type":"article-journal","volume":"17"},"uris":["http://www.mendeley.com/documents/?uuid=0d816862-8b2e-4a7d-a608-cc70ebf504cb"]},{"id":"ITEM-2","itemData":{"DOI":"10.1002/ece3.1173","ISSN":"20457758","author":[{"dropping-particle":"","family":"Walker","given":"Anthony P","non-dropping-particle":"","parse-names":false,"suffix":""},{"dropping-particle":"","family":"Beckerman","given":"Andrew P","non-dropping-particle":"","parse-names":false,"suffix":""},{"dropping-particle":"","family":"Gu","given":"Lianhong","non-dropping-particle":"","parse-names":false,"suffix":""},{"dropping-particle":"","family":"Kattge","given":"Jens","non-dropping-particle":"","parse-names":false,"suffix":""},{"dropping-particle":"","family":"Cernusak","given":"Lucas A","non-dropping-particle":"","parse-names":false,"suffix":""},{"dropping-particle":"","family":"Domingues","given":"Tomas F","non-dropping-particle":"","parse-names":false,"suffix":""},{"dropping-particle":"","family":"Scales","given":"Joanna C","non-dropping-particle":"","parse-names":false,"suffix":""},{"dropping-particle":"","family":"Wohlfahrt","given":"Georg","non-dropping-particle":"","parse-names":false,"suffix":""},{"dropping-particle":"","family":"Wullschleger","given":"Stan D","non-dropping-particle":"","parse-names":false,"suffix":""},{"dropping-particle":"","family":"Woodward","given":"F. Ian","non-dropping-particle":"","parse-names":false,"suffix":""}],"container-title":"Ecology and Evolution","id":"ITEM-2","issue":"16","issued":{"date-parts":[["2014","8"]]},"page":"3218-3235","title":"The relationship of leaf photosynthetic traits - Vcmax and Jmax - to leaf nitrogen, leaf phosphorus, and specific leaf area: a meta-analysis and modeling study","type":"article-journal","volume":"4"},"uris":["http://www.mendeley.com/documents/?uuid=f2d11739-e7fe-4603-a9bb-fc59ddb6a65c"]},{"id":"ITEM-3","itemData":{"author":[{"dropping-particle":"","family":"Evans","given":"John R","non-dropping-particle":"","parse-names":false,"suffix":""},{"dropping-particle":"","family":"Seemann","given":"Jeffrey R","non-dropping-particle":"","parse-names":false,"suffix":""}],"container-title":"Photosynthesis","id":"ITEM-3","issued":{"date-parts":[["1989"]]},"page":"183-205","title":"The allocation of protein nitrogen in the photosynthetic apparatus: costs, consequences, and control","type":"article-journal","volume":"8"},"uris":["http://www.mendeley.com/documents/?uuid=b85d6cb6-b3cb-471b-9b1b-d018e804566a"]},{"id":"ITEM-4","itemData":{"DOI":"10.1007/BF00377192","ISSN":"0029-8549","author":[{"dropping-particle":"","family":"Evans","given":"John R","non-dropping-particle":"","parse-names":false,"suffix":""}],"container-title":"Oecologia","id":"ITEM-4","issue":"1","issued":{"date-parts":[["1989","1"]]},"page":"9-19","title":"Photosynthesis and nitrogen relationships in leaves of C3 plants","type":"article-journal","volume":"78"},"uris":["http://www.mendeley.com/documents/?uuid=20ca2eec-0707-46d9-b95a-10c6371d8aab"]},{"id":"ITEM-5","itemData":{"DOI":"10.1038/s41559-018-0790-1","ISSN":"2397-334X","author":[{"dropping-particle":"","family":"Firn","given":"Jennifer","non-dropping-particle":"","parse-names":false,"suffix":""},{"dropping-particle":"","family":"McGree","given":"James M","non-dropping-particle":"","parse-names":false,"suffix":""},{"dropping-particle":"","family":"Harvey","given":"Eric","non-dropping-particle":"","parse-names":false,"suffix":""},{"dropping-particle":"","family":"Flores-Moreno","given":"Habacuc","non-dropping-particle":"","parse-names":false,"suffix":""},{"dropping-particle":"","family":"Schütz","given":"Martin","non-dropping-particle":"","parse-names":false,"suffix":""},{"dropping-particle":"","family":"Buckley","given":"Yvonne M","non-dropping-particle":"","parse-names":false,"suffix":""},{"dropping-particle":"","family":"Borer","given":"Elizabeth T","non-dropping-particle":"","parse-names":false,"suffix":""},{"dropping-particle":"","family":"Seabloom","given":"Eric W","non-dropping-particle":"","parse-names":false,"suffix":""},{"dropping-particle":"","family":"Pierre","given":"Kimberly J","non-dropping-particle":"La","parse-names":false,"suffix":""},{"dropping-particle":"","family":"MacDougall","given":"Andrew S","non-dropping-particle":"","parse-names":false,"suffix":""},{"dropping-particle":"","family":"Prober","given":"Suzanne M","non-dropping-particle":"","parse-names":false,"suffix":""},{"dropping-particle":"","family":"Stevens","given":"Carly J","non-dropping-particle":"","parse-names":false,"suffix":""},{"dropping-particle":"","family":"Sullivan","given":"Lauren L","non-dropping-particle":"","parse-names":false,"suffix":""},{"dropping-particle":"","family":"Porter","given":"Erica","non-dropping-particle":"","parse-names":false,"suffix":""},{"dropping-particle":"","family":"Ladouceur","given":"Emma","non-dropping-particle":"","parse-names":false,"suffix":""},{"dropping-particle":"","family":"Allen","given":"Charlotte","non-dropping-particle":"","parse-names":false,"suffix":""},{"dropping-particle":"","family":"Moromizato","given":"Karine H","non-dropping-particle":"","parse-names":false,"suffix":""},{"dropping-particle":"","family":"Morgan","given":"John W","non-dropping-particle":"","parse-names":false,"suffix":""},{"dropping-particle":"","family":"Harpole","given":"W Stanley","non-dropping-particle":"","parse-names":false,"suffix":""},{"dropping-particle":"","family":"Hautier","given":"Yann","non-dropping-particle":"","parse-names":false,"suffix":""},{"dropping-particle":"","family":"Eisenhauer","given":"Nico","non-dropping-particle":"","parse-names":false,"suffix":""},{"dropping-particle":"","family":"Wright","given":"Justin P","non-dropping-particle":"","parse-names":false,"suffix":""},{"dropping-particle":"","family":"Adler","given":"Peter B","non-dropping-particle":"","parse-names":false,"suffix":""},{"dropping-particle":"","family":"Arnillas","given":"Carlos Alberto","non-dropping-particle":"","parse-names":false,"suffix":""},{"dropping-particle":"","family":"Bakker","given":"Jonathan D","non-dropping-particle":"","parse-names":false,"suffix":""},{"dropping-particle":"","family":"Biederman","given":"Lori","non-dropping-particle":"","parse-names":false,"suffix":""},{"dropping-particle":"","family":"Broadbent","given":"Arthur A D","non-dropping-particle":"","parse-names":false,"suffix":""},{"dropping-particle":"","family":"Brown","given":"Cynthia S","non-dropping-particle":"","parse-names":false,"suffix":""},{"dropping-particle":"","family":"Bugalho","given":"Miguel N","non-dropping-particle":"","parse-names":false,"suffix":""},{"dropping-particle":"","family":"Caldeira","given":"Maria C","non-dropping-particle":"","parse-names":false,"suffix":""},{"dropping-particle":"","family":"Cleland","given":"Elsa E","non-dropping-particle":"","parse-names":false,"suffix":""},{"dropping-particle":"","family":"Ebeling","given":"Anne","non-dropping-particle":"","parse-names":false,"suffix":""},{"dropping-particle":"","family":"Fay","given":"Philip A","non-dropping-particle":"","parse-names":false,"suffix":""},{"dropping-particle":"","family":"Hagenah","given":"Nicole","non-dropping-particle":"","parse-names":false,"suffix":""},{"dropping-particle":"","family":"Kleinhesselink","given":"Andrew R","non-dropping-particle":"","parse-names":false,"suffix":""},{"dropping-particle":"","family":"Mitchell","given":"Rachel","non-dropping-particle":"","parse-names":false,"suffix":""},{"dropping-particle":"","family":"Moore","given":"Joslin L","non-dropping-particle":"","parse-names":false,"suffix":""},{"dropping-particle":"","family":"Nogueira","given":"Carla","non-dropping-particle":"","parse-names":false,"suffix":""},{"dropping-particle":"","family":"Peri","given":"Pablo Luis","non-dropping-particle":"","parse-names":false,"suffix":""},{"dropping-particle":"","family":"Roscher","given":"Christiane","non-dropping-particle":"","parse-names":false,"suffix":""},{"dropping-particle":"","family":"Smith","given":"Melinda D","non-dropping-particle":"","parse-names":false,"suffix":""},{"dropping-particle":"","family":"Wragg","given":"Peter D","non-dropping-particle":"","parse-names":false,"suffix":""},{"dropping-particle":"","family":"Risch","given":"Anita C","non-dropping-particle":"","parse-names":false,"suffix":""}],"container-title":"Nature Ecology &amp; Evolution","id":"ITEM-5","issue":"3","issued":{"date-parts":[["2019","3","4"]]},"page":"400-406","title":"Leaf nutrients, not specific leaf area, are consistent indicators of elevated nutrient inputs","type":"article-journal","volume":"3"},"uris":["http://www.mendeley.com/documents/?uuid=aa4fd087-f2a3-4dc4-b20c-8e5dbc931ba3"]}],"mendeley":{"formattedCitation":"(Brix, 1971; Evans, 1989; Evans &amp; Seemann, 1989; Firn et al., 2019; Walker et al., 2014)","manualFormatting":"(e.g., Brix, 1971; Evans, 1989; Evans &amp; Seemann, 1989; Firn et al., 2019; Walker et al., 2014)","plainTextFormattedCitation":"(Brix, 1971; Evans, 1989; Evans &amp; Seemann, 1989; Firn et al., 2019; Walker et al., 2014)","previouslyFormattedCitation":"(Brix, 1971; Evans, 1989; Evans &amp; Seemann, 1989; Firn et al., 2019; Walker et al., 2014)"},"properties":{"noteIndex":0},"schema":"https://github.com/citation-style-language/schema/raw/master/csl-citation.json"}</w:instrText>
      </w:r>
      <w:r w:rsidR="00621781">
        <w:fldChar w:fldCharType="separate"/>
      </w:r>
      <w:r w:rsidR="00D17106" w:rsidRPr="00D17106">
        <w:rPr>
          <w:noProof/>
        </w:rPr>
        <w:t>(</w:t>
      </w:r>
      <w:r w:rsidR="00B86B96">
        <w:rPr>
          <w:noProof/>
        </w:rPr>
        <w:t xml:space="preserve">e.g., </w:t>
      </w:r>
      <w:r w:rsidR="00D17106" w:rsidRPr="00D17106">
        <w:rPr>
          <w:noProof/>
        </w:rPr>
        <w:t>Brix, 1971; Evans, 1989; Evans &amp; Seemann, 1989; Firn et al., 2019; Walker et al., 2014)</w:t>
      </w:r>
      <w:r w:rsidR="00621781">
        <w:fldChar w:fldCharType="end"/>
      </w:r>
      <w:r w:rsidR="00621781">
        <w:t xml:space="preserve">, </w:t>
      </w:r>
      <w:r w:rsidR="00E0208C">
        <w:t>the assumption that</w:t>
      </w:r>
      <w:r w:rsidR="00621781">
        <w:t xml:space="preserve"> these relationships are</w:t>
      </w:r>
      <w:r w:rsidR="00E0208C">
        <w:t xml:space="preserve"> linearly related </w:t>
      </w:r>
      <w:r w:rsidR="00B86B96">
        <w:t>cannot account for plant acclimation responses to environmental change</w:t>
      </w:r>
      <w:r w:rsidR="00E0208C">
        <w:t xml:space="preserve">, which can </w:t>
      </w:r>
      <w:r w:rsidR="00987F23">
        <w:t>modify</w:t>
      </w:r>
      <w:r w:rsidR="00E0208C">
        <w:t xml:space="preserve"> leaf nutrient allocation and photosynthetic capacity independent of soil nutrient availability</w:t>
      </w:r>
      <w:r w:rsidR="003032DB">
        <w:t xml:space="preserve"> </w:t>
      </w:r>
      <w:r w:rsidR="003032DB">
        <w:fldChar w:fldCharType="begin" w:fldLock="1"/>
      </w:r>
      <w:r w:rsidR="003032DB">
        <w:instrText>ADDIN CSL_CITATION {"citationItems":[{"id":"ITEM-1","itemData":{"DOI":"10.1111/j.0269-8463.2004.00847.x","ISSN":"0269-8463","author":[{"dropping-particle":"","family":"Onoda","given":"Yusuke","non-dropping-particle":"","parse-names":false,"suffix":""},{"dropping-particle":"","family":"Hikosaka","given":"Kouki","non-dropping-particle":"","parse-names":false,"suffix":""},{"dropping-particle":"","family":"Hirose","given":"Tadaki","non-dropping-particle":"","parse-names":false,"suffix":""}],"container-title":"Functional Ecology","id":"ITEM-1","issue":"3","issued":{"date-parts":[["2004","6"]]},"page":"419-425","title":"Allocation of nitrogen to cell walls decreases photosynthetic nitrogen-use efficiency","type":"article-journal","volume":"18"},"uris":["http://www.mendeley.com/documents/?uuid=5e00425b-d6e5-4c7b-988b-eef5376be50e"]},{"id":"ITEM-2","itemData":{"DOI":"10.1111/nph.14496","ISSN":"0028-646X","author":[{"dropping-particle":"","family":"Onoda","given":"Yusuke","non-dropping-particle":"","parse-names":false,"suffix":""},{"dropping-particle":"","family":"Wright","given":"Ian J","non-dropping-particle":"","parse-names":false,"suffix":""},{"dropping-particle":"","family":"Evans","given":"John R","non-dropping-particle":"","parse-names":false,"suffix":""},{"dropping-particle":"","family":"Hikosaka","given":"Kouki","non-dropping-particle":"","parse-names":false,"suffix":""},{"dropping-particle":"","family":"Kitajima","given":"Kaoru","non-dropping-particle":"","parse-names":false,"suffix":""},{"dropping-particle":"","family":"Niinemets","given":"Ülo","non-dropping-particle":"","parse-names":false,"suffix":""},{"dropping-particle":"","family":"Poorter","given":"Hendrik","non-dropping-particle":"","parse-names":false,"suffix":""},{"dropping-particle":"","family":"Tosens","given":"Tiina","non-dropping-particle":"","parse-names":false,"suffix":""},{"dropping-particle":"","family":"Westoby","given":"Mark","non-dropping-particle":"","parse-names":false,"suffix":""}],"container-title":"New Phytologist","id":"ITEM-2","issue":"4","issued":{"date-parts":[["2017","6","10"]]},"page":"1447-1463","title":"Physiological and structural tradeoffs underlying the leaf economics spectrum","type":"article-journal","volume":"214"},"uris":["http://www.mendeley.com/documents/?uuid=ff5cdcf7-65e9-4303-a5a8-917b0ce34f57"]},{"id":"ITEM-3","itemData":{"DOI":"10.5194/bg-14-481-2017","ISSN":"1726-4189","abstract":"Abstract. Nitrogen content per unit leaf area (Narea) is a key variable in plant functional ecology and biogeochemistry. Narea comprises a structural component, which scales with leaf mass per area (LMA), and a metabolic component, which scales with Rubisco capacity. The co-ordination hypothesis, as implemented in LPJ and related global vegetation models, predicts that Rubisco capacity should be directly proportional to irradiance but should decrease with increases in ci : ca and temperature because the amount of Rubisco required to achieve a given assimilation rate declines with increases in both. We tested these predictions using LMA, leaf δ13C, and leaf N measurements on complete species assemblages sampled at sites on a north–south transect from tropical to temperate Australia. Partial effects of mean canopy irradiance, mean annual temperature, and ci : ca (from δ13C) on Narea were all significant and their directions and magnitudes were in line with predictions. Over 80 % of the variance in community-mean (ln) Narea was accounted for by these predictors plus LMA. Moreover, Narea could be decomposed into two components, one proportional to LMA (slightly steeper in N-fixers), and the other to Rubisco capacity as predicted by the co-ordination hypothesis. Trait gradient analysis revealed ci : ca to be perfectly plastic, while species turnover contributed about half the variation in LMA and Narea. Interest has surged in methods to predict continuous leaf-trait variation from environmental factors, in order to improve ecosystem models. Coupled carbon–nitrogen models require a method to predict Narea that is more realistic than the widespread assumptions that Narea is proportional to photosynthetic capacity, and/or that Narea (and photosynthetic capacity) are determined by N supply from the soil. Our results indicate that Narea has a useful degree of predictability, from a combination of LMA and ci : ca – themselves in part environmentally determined – with Rubisco activity, as predicted from local growing conditions. This finding is consistent with a plant-centred approach to modelling, emphasizing the adaptive regulation of traits. Models that account for biodiversity will also need to partition community-level trait variation into components due to phenotypic plasticity and/or genotypic differentiation within species vs. progressive species replacement, along environmental gradients. Our analysis suggests that variation in Narea is about evenly split …","author":[{"dropping-particle":"","family":"Dong","given":"Ning","non-dropping-particle":"","parse-names":false,"suffix":""},{"dropping-particle":"","family":"Prentice","given":"Iain Colin","non-dropping-particle":"","parse-names":false,"suffix":""},{"dropping-particle":"","family":"Evans","given":"Bradley J","non-dropping-particle":"","parse-names":false,"suffix":""},{"dropping-particle":"","family":"Caddy-Retalic","given":"Stefan","non-dropping-particle":"","parse-names":false,"suffix":""},{"dropping-particle":"","family":"Lowe","given":"Andrew J","non-dropping-particle":"","parse-names":false,"suffix":""},{"dropping-particle":"","family":"Wright","given":"Ian J","non-dropping-particle":"","parse-names":false,"suffix":""}],"container-title":"Biogeosciences","id":"ITEM-3","issue":"2","issued":{"date-parts":[["2017","1","30"]]},"page":"481-495","title":"Leaf nitrogen from first principles: field evidence for adaptive variation with climate","type":"article-journal","volume":"14"},"uris":["http://www.mendeley.com/documents/?uuid=d26886a5-de26-4a8d-afa2-a17d2a28ee6e"]},{"id":"ITEM-4","itemData":{"DOI":"10.1111/ele.13210","ISSN":"1461-023X","abstract":"Earth system models (ESMs) use photosynthetic capacity, indexed by the maximum Rubisco car- boxylation rate (Vcmax), to simulate carbon assimilation and typically rely on empirical estimates, including an assumed dependence on leaf nitrogen determined from soil fertility. In contrast, new theory, based on biochemical coordination and co-optimization of carboxylation and water costs for photosynthesis, suggests that optimal Vcmax can be predicted from climate alone, irrespective of soil fertility. Here, we develop this theory and find it captures 64% of observed variability in a global, field-measured Vcmax dataset for C3 plants. Soil fertility indices explained substantially less variation (32%). These results indicate that environmentally regulated biophysical constraints and light availability are the first-order drivers of global photosynthetic capacity. Through acclimation and adaptation, plants efficiently utilize resources at the leaf level, thus maximizing potential resource use for growth and reproduction. Our theory offers a robust strategy for dynamically predicting photosynthetic capacity in ESMs.","author":[{"dropping-particle":"","family":"Smith","given":"Nicholas G","non-dropping-particle":"","parse-names":false,"suffix":""},{"dropping-particle":"","family":"Keenan","given":"Trevor F","non-dropping-particle":"","parse-names":false,"suffix":""},{"dropping-particle":"","family":"Prentice","given":"I C","non-dropping-particle":"","parse-names":false,"suffix":""},{"dropping-particle":"","family":"Wang","given":"Han","non-dropping-particle":"","parse-names":false,"suffix":""},{"dropping-particle":"","family":"Wright","given":"Ian J","non-dropping-particle":"","parse-names":false,"suffix":""},{"dropping-particle":"","family":"Niinemets","given":"Ülo","non-dropping-particle":"","parse-names":false,"suffix":""},{"dropping-particle":"","family":"Crous","given":"Kristine Y","non-dropping-particle":"","parse-names":false,"suffix":""},{"dropping-particle":"","family":"Domingues","given":"Tomas F","non-dropping-particle":"","parse-names":false,"suffix":""},{"dropping-particle":"","family":"Guerrieri","given":"Rossella","non-dropping-particle":"","parse-names":false,"suffix":""},{"dropping-particle":"","family":"Ishida","given":"FY oko","non-dropping-particle":"","parse-names":false,"suffix":""},{"dropping-particle":"","family":"Kattge","given":"Jens","non-dropping-particle":"","parse-names":false,"suffix":""},{"dropping-particle":"","family":"Kruger","given":"Eric L","non-dropping-particle":"","parse-names":false,"suffix":""},{"dropping-particle":"","family":"Maire","given":"Vincent","non-dropping-particle":"","parse-names":false,"suffix":""},{"dropping-particle":"","family":"Rogers","given":"Alistair","non-dropping-particle":"","parse-names":false,"suffix":""},{"dropping-particle":"","family":"Serbin","given":"Shawn P","non-dropping-particle":"","parse-names":false,"suffix":""},{"dropping-particle":"","family":"Tarvainen","given":"Lasse","non-dropping-particle":"","parse-names":false,"suffix":""},{"dropping-particle":"","family":"Togashi","given":"Henrique F","non-dropping-particle":"","parse-names":false,"suffix":""},{"dropping-particle":"","family":"Townsend","given":"Philip A","non-dropping-particle":"","parse-names":false,"suffix":""},{"dropping-particle":"","family":"Wang","given":"Meng","non-dropping-particle":"","parse-names":false,"suffix":""},{"dropping-particle":"","family":"Weerasinghe","given":"Lasantha K","non-dropping-particle":"","parse-names":false,"suffix":""},{"dropping-particle":"","family":"Zhou","given":"Shuang-Xi","non-dropping-particle":"","parse-names":false,"suffix":""}],"container-title":"Ecology Letters","editor":[{"dropping-particle":"","family":"Niu","given":"Shuli","non-dropping-particle":"","parse-names":false,"suffix":""}],"id":"ITEM-4","issue":"3","issued":{"date-parts":[["2019","3","4"]]},"page":"506-517","title":"Global photosynthetic capacity is optimized to the environment","type":"article-journal","volume":"22"},"uris":["http://www.mendeley.com/documents/?uuid=de810a7b-b01e-4be3-a228-03946531e91d"]}],"mendeley":{"formattedCitation":"(Dong et al., 2017; Onoda et al., 2004, 2017; N. G. Smith et al., 2019)","plainTextFormattedCitation":"(Dong et al., 2017; Onoda et al., 2004, 2017; N. G. Smith et al., 2019)"},"properties":{"noteIndex":0},"schema":"https://github.com/citation-style-language/schema/raw/master/csl-citation.json"}</w:instrText>
      </w:r>
      <w:r w:rsidR="003032DB">
        <w:fldChar w:fldCharType="separate"/>
      </w:r>
      <w:r w:rsidR="003032DB" w:rsidRPr="003032DB">
        <w:rPr>
          <w:noProof/>
        </w:rPr>
        <w:t>(Dong et al., 2017; Onoda et al., 2004, 2017; N. G. Smith et al., 2019)</w:t>
      </w:r>
      <w:r w:rsidR="003032DB">
        <w:fldChar w:fldCharType="end"/>
      </w:r>
      <w:r w:rsidR="003032DB">
        <w:t>. Indeed, r</w:t>
      </w:r>
      <w:r w:rsidR="00B86B96">
        <w:t xml:space="preserve">ecent work </w:t>
      </w:r>
      <w:r w:rsidR="00E0208C">
        <w:t xml:space="preserve">suggests that </w:t>
      </w:r>
      <w:r w:rsidR="005B6DED">
        <w:t xml:space="preserve">leaf nutrient allocation and photosynthetic capacity </w:t>
      </w:r>
      <w:r w:rsidR="00987F23">
        <w:t xml:space="preserve">can be </w:t>
      </w:r>
      <w:r w:rsidR="003032DB">
        <w:t xml:space="preserve">independently </w:t>
      </w:r>
      <w:r w:rsidR="00987F23">
        <w:t xml:space="preserve">predicted </w:t>
      </w:r>
      <w:r w:rsidR="003032DB">
        <w:t>by</w:t>
      </w:r>
      <w:r w:rsidR="00987F23">
        <w:t xml:space="preserve"> aboveground climate, leaf traits, or other edaphic characteristics such as soil pH </w:t>
      </w:r>
      <w:r w:rsidR="00A97E81">
        <w:fldChar w:fldCharType="begin" w:fldLock="1"/>
      </w:r>
      <w:r w:rsidR="00097A1D">
        <w:instrText>ADDIN CSL_CITATION {"citationItems":[{"id":"ITEM-1","itemData":{"DOI":"10.1111/ele.13210","ISSN":"1461-023X","abstract":"Earth system models (ESMs) use photosynthetic capacity, indexed by the maximum Rubisco car- boxylation rate (Vcmax), to simulate carbon assimilation and typically rely on empirical estimates, including an assumed dependence on leaf nitrogen determined from soil fertility. In contrast, new theory, based on biochemical coordination and co-optimization of carboxylation and water costs for photosynthesis, suggests that optimal Vcmax can be predicted from climate alone, irrespective of soil fertility. Here, we develop this theory and find it captures 64% of observed variability in a global, field-measured Vcmax dataset for C3 plants. Soil fertility indices explained substantially less variation (32%). These results indicate that environmentally regulated biophysical constraints and light availability are the first-order drivers of global photosynthetic capacity. Through acclimation and adaptation, plants efficiently utilize resources at the leaf level, thus maximizing potential resource use for growth and reproduction. Our theory offers a robust strategy for dynamically predicting photosynthetic capacity in ESMs.","author":[{"dropping-particle":"","family":"Smith","given":"Nicholas G","non-dropping-particle":"","parse-names":false,"suffix":""},{"dropping-particle":"","family":"Keenan","given":"Trevor F","non-dropping-particle":"","parse-names":false,"suffix":""},{"dropping-particle":"","family":"Prentice","given":"I C","non-dropping-particle":"","parse-names":false,"suffix":""},{"dropping-particle":"","family":"Wang","given":"Han","non-dropping-particle":"","parse-names":false,"suffix":""},{"dropping-particle":"","family":"Wright","given":"Ian J","non-dropping-particle":"","parse-names":false,"suffix":""},{"dropping-particle":"","family":"Niinemets","given":"Ülo","non-dropping-particle":"","parse-names":false,"suffix":""},{"dropping-particle":"","family":"Crous","given":"Kristine Y","non-dropping-particle":"","parse-names":false,"suffix":""},{"dropping-particle":"","family":"Domingues","given":"Tomas F","non-dropping-particle":"","parse-names":false,"suffix":""},{"dropping-particle":"","family":"Guerrieri","given":"Rossella","non-dropping-particle":"","parse-names":false,"suffix":""},{"dropping-particle":"","family":"Ishida","given":"FY oko","non-dropping-particle":"","parse-names":false,"suffix":""},{"dropping-particle":"","family":"Kattge","given":"Jens","non-dropping-particle":"","parse-names":false,"suffix":""},{"dropping-particle":"","family":"Kruger","given":"Eric L","non-dropping-particle":"","parse-names":false,"suffix":""},{"dropping-particle":"","family":"Maire","given":"Vincent","non-dropping-particle":"","parse-names":false,"suffix":""},{"dropping-particle":"","family":"Rogers","given":"Alistair","non-dropping-particle":"","parse-names":false,"suffix":""},{"dropping-particle":"","family":"Serbin","given":"Shawn P","non-dropping-particle":"","parse-names":false,"suffix":""},{"dropping-particle":"","family":"Tarvainen","given":"Lasse","non-dropping-particle":"","parse-names":false,"suffix":""},{"dropping-particle":"","family":"Togashi","given":"Henrique F","non-dropping-particle":"","parse-names":false,"suffix":""},{"dropping-particle":"","family":"Townsend","given":"Philip A","non-dropping-particle":"","parse-names":false,"suffix":""},{"dropping-particle":"","family":"Wang","given":"Meng","non-dropping-particle":"","parse-names":false,"suffix":""},{"dropping-particle":"","family":"Weerasinghe","given":"Lasantha K","non-dropping-particle":"","parse-names":false,"suffix":""},{"dropping-particle":"","family":"Zhou","given":"Shuang-Xi","non-dropping-particle":"","parse-names":false,"suffix":""}],"container-title":"Ecology Letters","editor":[{"dropping-particle":"","family":"Niu","given":"Shuli","non-dropping-particle":"","parse-names":false,"suffix":""}],"id":"ITEM-1","issue":"3","issued":{"date-parts":[["2019","3","4"]]},"page":"506-517","title":"Global photosynthetic capacity is optimized to the environment","type":"article-journal","volume":"22"},"uris":["http://www.mendeley.com/documents/?uuid=de810a7b-b01e-4be3-a228-03946531e91d"]},{"id":"ITEM-2","itemData":{"DOI":"10.1111/nph.16702","ISSN":"0028-646X","abstract":"\u000f Photosynthetic ‘least-cost’ theory posits that the optimal trait combination for a given envi- ronment is that where the summed costs of photosynthetic water and nutrient acquisition/ use are minimised. The effects of soil water and nutrient availability on photosynthesis should be stronger as climate-related costs for both resources increase. \u000f Two independent datasets of photosynthetic traits, Globamax (1509 species, 288 sites) and Glob13C (3645 species, 594 sites), were used to quantify biophysical and biochemical limita- tions of photosynthesis and the key variable Ci /Ca (CO 2 drawdown during photosynthesis). Climate and soil variables were associated with both datasets. \u000f The biochemical photosynthetic capacity was higher on alkaline soils. This effect was strongest at more arid sites, where water unit-costs are presumably higher. Higher values of soil silt and depth increased Ci /Ca, likely by providing greater H 2O supply, alleviating biophys- ical photosynthetic limitation when soil water is scarce. \u000f Climate is important in controlling the optimal balance of H 2 O and N costs for photosynthe- sis, but soil properties change these costs, both directly and indirectly. In total, soil properties modify the climate-demand driven predictions of Ci /Ca by up to 30% at a global scale.","author":[{"dropping-particle":"","family":"Paillassa","given":"Jennifer","non-dropping-particle":"","parse-names":false,"suffix":""},{"dropping-particle":"","family":"Wright","given":"Ian J","non-dropping-particle":"","parse-names":false,"suffix":""},{"dropping-particle":"","family":"Prentice","given":"I Colin","non-dropping-particle":"","parse-names":false,"suffix":""},{"dropping-particle":"","family":"Pepin","given":"Steeve","non-dropping-particle":"","parse-names":false,"suffix":""},{"dropping-particle":"","family":"Smith","given":"Nicholas G","non-dropping-particle":"","parse-names":false,"suffix":""},{"dropping-particle":"","family":"Ethier","given":"Gilbert","non-dropping-particle":"","parse-names":false,"suffix":""},{"dropping-particle":"","family":"Westerband","given":"Andrea C","non-dropping-particle":"","parse-names":false,"suffix":""},{"dropping-particle":"","family":"Lamarque","given":"Laurent J","non-dropping-particle":"","parse-names":false,"suffix":""},{"dropping-particle":"","family":"Wang","given":"Han","non-dropping-particle":"","parse-names":false,"suffix":""},{"dropping-particle":"","family":"Cornwell","given":"William K","non-dropping-particle":"","parse-names":false,"suffix":""},{"dropping-particle":"","family":"Maire","given":"Vincent","non-dropping-particle":"","parse-names":false,"suffix":""}],"container-title":"New Phytologist","id":"ITEM-2","issue":"1","issued":{"date-parts":[["2020","10","9"]]},"page":"121-135","title":"When and where soil is important to modify the carbon and water economy of leaves","type":"article-journal","volume":"228"},"uris":["http://www.mendeley.com/documents/?uuid=7a979be5-4341-4431-bd38-7ceeeada2df2"]},{"id":"ITEM-3","itemData":{"DOI":"10.5194/bg-14-481-2017","ISSN":"1726-4189","abstract":"Abstract. Nitrogen content per unit leaf area (Narea) is a key variable in plant functional ecology and biogeochemistry. Narea comprises a structural component, which scales with leaf mass per area (LMA), and a metabolic component, which scales with Rubisco capacity. The co-ordination hypothesis, as implemented in LPJ and related global vegetation models, predicts that Rubisco capacity should be directly proportional to irradiance but should decrease with increases in ci : ca and temperature because the amount of Rubisco required to achieve a given assimilation rate declines with increases in both. We tested these predictions using LMA, leaf δ13C, and leaf N measurements on complete species assemblages sampled at sites on a north–south transect from tropical to temperate Australia. Partial effects of mean canopy irradiance, mean annual temperature, and ci : ca (from δ13C) on Narea were all significant and their directions and magnitudes were in line with predictions. Over 80 % of the variance in community-mean (ln) Narea was accounted for by these predictors plus LMA. Moreover, Narea could be decomposed into two components, one proportional to LMA (slightly steeper in N-fixers), and the other to Rubisco capacity as predicted by the co-ordination hypothesis. Trait gradient analysis revealed ci : ca to be perfectly plastic, while species turnover contributed about half the variation in LMA and Narea. Interest has surged in methods to predict continuous leaf-trait variation from environmental factors, in order to improve ecosystem models. Coupled carbon–nitrogen models require a method to predict Narea that is more realistic than the widespread assumptions that Narea is proportional to photosynthetic capacity, and/or that Narea (and photosynthetic capacity) are determined by N supply from the soil. Our results indicate that Narea has a useful degree of predictability, from a combination of LMA and ci : ca – themselves in part environmentally determined – with Rubisco activity, as predicted from local growing conditions. This finding is consistent with a plant-centred approach to modelling, emphasizing the adaptive regulation of traits. Models that account for biodiversity will also need to partition community-level trait variation into components due to phenotypic plasticity and/or genotypic differentiation within species vs. progressive species replacement, along environmental gradients. Our analysis suggests that variation in Narea is about evenly split …","author":[{"dropping-particle":"","family":"Dong","given":"Ning","non-dropping-particle":"","parse-names":false,"suffix":""},{"dropping-particle":"","family":"Prentice","given":"Iain Colin","non-dropping-particle":"","parse-names":false,"suffix":""},{"dropping-particle":"","family":"Evans","given":"Bradley J","non-dropping-particle":"","parse-names":false,"suffix":""},{"dropping-particle":"","family":"Caddy-Retalic","given":"Stefan","non-dropping-particle":"","parse-names":false,"suffix":""},{"dropping-particle":"","family":"Lowe","given":"Andrew J","non-dropping-particle":"","parse-names":false,"suffix":""},{"dropping-particle":"","family":"Wright","given":"Ian J","non-dropping-particle":"","parse-names":false,"suffix":""}],"container-title":"Biogeosciences","id":"ITEM-3","issue":"2","issued":{"date-parts":[["2017","1","30"]]},"page":"481-495","title":"Leaf nitrogen from first principles: field evidence for adaptive variation with climate","type":"article-journal","volume":"14"},"uris":["http://www.mendeley.com/documents/?uuid=d26886a5-de26-4a8d-afa2-a17d2a28ee6e"]},{"id":"ITEM-4","itemData":{"DOI":"10.1111/nph.16558","ISSN":"0028-646X","author":[{"dropping-particle":"","family":"Dong","given":"Ning","non-dropping-particle":"","parse-names":false,"suffix":""},{"dropping-particle":"","family":"Prentice","given":"Iain Colin","non-dropping-particle":"","parse-names":false,"suffix":""},{"dropping-particle":"","family":"Wright","given":"Ian J","non-dropping-particle":"","parse-names":false,"suffix":""},{"dropping-particle":"","family":"Evans","given":"Bradley J","non-dropping-particle":"","parse-names":false,"suffix":""},{"dropping-particle":"","family":"Togashi","given":"Henrique F","non-dropping-particle":"","parse-names":false,"suffix":""},{"dropping-particle":"","family":"Caddy-Retalic","given":"Stefan","non-dropping-particle":"","parse-names":false,"suffix":""},{"dropping-particle":"","family":"McInerney","given":"Francesca A","non-dropping-particle":"","parse-names":false,"suffix":""},{"dropping-particle":"","family":"Sparrow","given":"Ben","non-dropping-particle":"","parse-names":false,"suffix":""},{"dropping-particle":"","family":"Leitch","given":"Emrys","non-dropping-particle":"","parse-names":false,"suffix":""},{"dropping-particle":"","family":"Lowe","given":"Andrew J","non-dropping-particle":"","parse-names":false,"suffix":""}],"container-title":"New Phytologist","id":"ITEM-4","issue":"1","issued":{"date-parts":[["2020","10","24"]]},"page":"82-94","title":"Components of leaf‐trait variation along environmental gradients","type":"article-journal","volume":"228"},"uris":["http://www.mendeley.com/documents/?uuid=665ee559-637a-4c3e-ab28-1c199c696d00"]},{"id":"ITEM-5","itemData":{"DOI":"10.1111/geb.12296","ISSN":"1466822X","abstract":"Aim The influence of soil properties on photosynthetic traits in higher plants is poorly quantified in comparison with that of climate. We address this situation by quantifying the unique and joint contributions to global leaf-trait variation from soils and climate. Location Terrestrial ecosystems world-wide. Methods Using a trait dataset comprising 1509 species from 288 sites, with climate and soil data derived from global datasets, we quantified the effects of 20 soil and 26 climate variables on light-saturated photosynthetic rate (Aarea ), stomatal conductance (gs), leaf nitrogen and phosphorus (Narea and Parea ) and specific leaf area (SLA) using mixed regression models and multivariate analyses. Results Soil variables were stronger predictors of leaf traits than climatic vari- ables, except for SLA.On average, Narea , Parea and Aarea increased and SLA decreased with increasing soil pH and with increasing site aridity. gs declined and Parea increased with soil available P (Pavail ). Narea was unrelated to total soil N. Joint effects of soil and climate dominated over their unique effects on Narea and Parea , while unique effects of soils dominated for Aarea and gs . Path analysis indicated that variation in Aarea reflected the combined independent influences ofNarea and gs , the former promoted by high pH and aridity and the latter by low Pavail . Main conclusions Three environmental variables were key for explaining vari- ation in leaf traits: soil pH and Pavail , and the climatic moisture index (the ratio of precipitation to potential evapotranspiration). Although the reliability of global soil datasets lags behind that of climate datasets, our results nonetheless provide compelling evidence that both can be jointly used in broad-scale analyses, and that effects uniquely attributable to soil properties are important determinants of leaf photosynthetic traits and rates. A significant future challenge is to better disentan- gle the covarying physiological, ecological and evolutionary mechanisms that underpin","author":[{"dropping-particle":"","family":"Maire","given":"Vincent","non-dropping-particle":"","parse-names":false,"suffix":""},{"dropping-particle":"","family":"Wright","given":"Ian J","non-dropping-particle":"","parse-names":false,"suffix":""},{"dropping-particle":"","family":"Prentice","given":"I Colin","non-dropping-particle":"","parse-names":false,"suffix":""},{"dropping-particle":"","family":"Batjes","given":"Niels H","non-dropping-particle":"","parse-names":false,"suffix":""},{"dropping-particle":"","family":"Bhaskar","given":"Radika","non-dropping-particle":"","parse-names":false,"suffix":""},{"dropping-particle":"","family":"Bodegom","given":"Peter M","non-dropping-particle":"van","parse-names":false,"suffix":""},{"dropping-particle":"","family":"Cornwell","given":"William K","non-dropping-particle":"","parse-names":false,"suffix":""},{"dropping-particle":"","family":"Ellsworth","given":"David","non-dropping-particle":"","parse-names":false,"suffix":""},{"dropping-particle":"","family":"Niinemets","given":"Ülo","non-dropping-particle":"","parse-names":false,"suffix":""},{"dropping-particle":"","family":"Ordonez","given":"Alejandro","non-dropping-particle":"","parse-names":false,"suffix":""},{"dropping-particle":"","family":"Reich","given":"Peter B","non-dropping-particle":"","parse-names":false,"suffix":""},{"dropping-particle":"","family":"Santiago","given":"Louis S","non-dropping-particle":"","parse-names":false,"suffix":""}],"container-title":"Global Ecology and Biogeography","id":"ITEM-5","issue":"6","issued":{"date-parts":[["2015","6"]]},"page":"706-717","title":"Global effects of soil and climate on leaf photosynthetic traits and rates","type":"article-journal","volume":"24"},"uris":["http://www.mendeley.com/documents/?uuid=c8b5be1f-ccaf-4b94-b7f4-925def9d5721"]}],"mendeley":{"formattedCitation":"(Dong et al., 2017, 2020; Maire et al., 2015; Paillassa et al., 2020; N. G. Smith et al., 2019)","plainTextFormattedCitation":"(Dong et al., 2017, 2020; Maire et al., 2015; Paillassa et al., 2020; N. G. Smith et al., 2019)","previouslyFormattedCitation":"(Dong et al., 2017, 2020; Maire et al., 2015; Paillassa et al., 2020; N. G. Smith et al., 2019)"},"properties":{"noteIndex":0},"schema":"https://github.com/citation-style-language/schema/raw/master/csl-citation.json"}</w:instrText>
      </w:r>
      <w:r w:rsidR="00A97E81">
        <w:fldChar w:fldCharType="separate"/>
      </w:r>
      <w:r w:rsidR="007B1AFE" w:rsidRPr="007B1AFE">
        <w:rPr>
          <w:noProof/>
        </w:rPr>
        <w:t xml:space="preserve">(Dong et al., 2017, 2020; Maire et al., 2015; Paillassa et al., 2020; N. G. Smith et al., </w:t>
      </w:r>
      <w:r w:rsidR="007B1AFE" w:rsidRPr="007B1AFE">
        <w:rPr>
          <w:noProof/>
        </w:rPr>
        <w:lastRenderedPageBreak/>
        <w:t>2019)</w:t>
      </w:r>
      <w:r w:rsidR="00A97E81">
        <w:fldChar w:fldCharType="end"/>
      </w:r>
      <w:r w:rsidR="00987F23">
        <w:t xml:space="preserve">. </w:t>
      </w:r>
      <w:r w:rsidR="00D17106">
        <w:t xml:space="preserve">These studies call the generality of positive relationships between soil nutrient availability, leaf nutrient allocation, and photosynthetic capacity into question, and imply that leaf nutrient allocation and photosynthetic capacity may be better predicted through factors that influence leaf nutrient demand to build and maintain photosynthetic enzymes </w:t>
      </w:r>
      <w:r w:rsidR="00D17106">
        <w:fldChar w:fldCharType="begin" w:fldLock="1"/>
      </w:r>
      <w:r w:rsidR="003003F0">
        <w:instrText>ADDIN CSL_CITATION {"citationItems":[{"id":"ITEM-1","itemData":{"DOI":"10.1111/nph.18076","ISSN":"0028-646X","abstract":"Nitrogen (N) limitation has been considered as a constraint on terrestrial carbon uptake in response to rising CO 2 and climate change. By extension, it has been suggested that declining carboxylation capacity (V cmax) and leaf N content in enhanced-CO 2 experiments and satellite records signify increasing N limitation of primary production. We predicted V cmax using the coordination hypothesis, and estimated changes in leaf-level photosynthetic N for 1982-2016 assuming proportionality with leaf-level V cmax at 25˚C. Whole-canopy photosynthetic N was derived using satellite-based leaf area index (LAI) data and an empirical extinction coefficient for V cmax , and converted to annual N demand using estimated leaf turnover times. The predicted spatial pattern of V cmax shares key features with an independent reconstruction from remotely-sensed leaf chlorophyll content. Predicted leaf photosynthetic N declined by 0.27 % yr-1 , while observed leaf (total) N declined by 0.2-0.25 % yr-1. Predicted global canopy N (and N demand) declined from 1996 onwards, despite increasing LAI. Leaf-level responses to rising CO 2 , and to a lesser extent temperature, may have reduced the canopy requirement for N by more than rising LAI has increased it. This finding provides an alternative explanation for declining leaf N that does not depend on increasing N limitation.","author":[{"dropping-particle":"","family":"Dong","given":"Ning","non-dropping-particle":"","parse-names":false,"suffix":""},{"dropping-particle":"","family":"Wright","given":"Ian J","non-dropping-particle":"","parse-names":false,"suffix":""},{"dropping-particle":"","family":"Chen","given":"Jing M","non-dropping-particle":"","parse-names":false,"suffix":""},{"dropping-particle":"","family":"Luo","given":"Xiangzhong","non-dropping-particle":"","parse-names":false,"suffix":""},{"dropping-particle":"","family":"Wang","given":"Han","non-dropping-particle":"","parse-names":false,"suffix":""},{"dropping-particle":"","family":"Keenan","given":"Trevor F","non-dropping-particle":"","parse-names":false,"suffix":""},{"dropping-particle":"","family":"Smith","given":"Nicholas G","non-dropping-particle":"","parse-names":false,"suffix":""},{"dropping-particle":"","family":"Prentice","given":"Iain Colin","non-dropping-particle":"","parse-names":false,"suffix":""}],"container-title":"New Phytologist","id":"ITEM-1","issued":{"date-parts":[["2022","4","22"]]},"title":"Rising CO2 and warming reduce global canopy demand for nitrogen","type":"article-journal"},"uris":["http://www.mendeley.com/documents/?uuid=8f26b717-0c63-4a11-b766-e27b90eb396f"]}],"mendeley":{"formattedCitation":"(Dong et al., 2022)","plainTextFormattedCitation":"(Dong et al., 2022)","previouslyFormattedCitation":"(Dong et al., 2022)"},"properties":{"noteIndex":0},"schema":"https://github.com/citation-style-language/schema/raw/master/csl-citation.json"}</w:instrText>
      </w:r>
      <w:r w:rsidR="00D17106">
        <w:fldChar w:fldCharType="separate"/>
      </w:r>
      <w:r w:rsidR="00D17106" w:rsidRPr="00D17106">
        <w:rPr>
          <w:noProof/>
        </w:rPr>
        <w:t>(Dong et al., 2022)</w:t>
      </w:r>
      <w:r w:rsidR="00D17106">
        <w:fldChar w:fldCharType="end"/>
      </w:r>
      <w:r w:rsidR="00B86B96">
        <w:t>.</w:t>
      </w:r>
    </w:p>
    <w:p w14:paraId="7CEDCA2C" w14:textId="11BF42D2" w:rsidR="00350162" w:rsidRDefault="00F57D74" w:rsidP="00350162">
      <w:pPr>
        <w:spacing w:line="360" w:lineRule="auto"/>
        <w:ind w:firstLine="720"/>
      </w:pPr>
      <w:r>
        <w:t>Photosynthetic least-cost theory provides a framework for understanding how</w:t>
      </w:r>
      <w:r w:rsidR="00A3337F">
        <w:t xml:space="preserve"> leaf nutrient demand</w:t>
      </w:r>
      <w:r w:rsidR="00D17106">
        <w:t xml:space="preserve"> to build and maintain photosynthetic enzymes</w:t>
      </w:r>
      <w:r w:rsidR="00A3337F">
        <w:t xml:space="preserve"> </w:t>
      </w:r>
      <w:r w:rsidR="00351491">
        <w:t>modifies</w:t>
      </w:r>
      <w:r w:rsidR="00A3337F">
        <w:t xml:space="preserve"> leaf nutrient allocation and photosynthetic capacity.</w:t>
      </w:r>
      <w:r w:rsidR="00350162">
        <w:t xml:space="preserve"> The theory does not fully decouple relationships between soil nutrient availability, leaf nutrient allocation, or photosynthetic capacity, but instead reframes these patterns as acclimation responses to a given growing environment. </w:t>
      </w:r>
      <w:r>
        <w:t xml:space="preserve">First principles of the theory suggest that </w:t>
      </w:r>
      <w:r w:rsidR="00262143">
        <w:t>plants</w:t>
      </w:r>
      <w:r w:rsidR="00A33E81">
        <w:t xml:space="preserve"> </w:t>
      </w:r>
      <w:r w:rsidR="00114DDF">
        <w:t>acclimate to environment</w:t>
      </w:r>
      <w:r w:rsidR="00A3337F">
        <w:t>s</w:t>
      </w:r>
      <w:r w:rsidR="00114DDF">
        <w:t xml:space="preserve"> by</w:t>
      </w:r>
      <w:r w:rsidR="00262143">
        <w:t xml:space="preserve"> </w:t>
      </w:r>
      <w:r w:rsidR="00114DDF">
        <w:t xml:space="preserve">maximizing photosynthetic carbon uptake at the lowest summed cost of water and nitrogen use </w:t>
      </w:r>
      <w:r>
        <w:fldChar w:fldCharType="begin" w:fldLock="1"/>
      </w:r>
      <w:r w:rsidR="00235EDC">
        <w:instrText>ADDIN CSL_CITATION {"citationItems":[{"id":"ITEM-1","itemData":{"DOI":"0003-0147/2003/16101-010387","author":[{"dropping-particle":"","family":"Wright","given":"Ian J","non-dropping-particle":"","parse-names":false,"suffix":""},{"dropping-particle":"","family":"Reich","given":"Peter B","non-dropping-particle":"","parse-names":false,"suffix":""},{"dropping-particle":"","family":"Westoby","given":"Mark","non-dropping-particle":"","parse-names":false,"suffix":""}],"container-title":"The American Naturalist","id":"ITEM-1","issue":"1","issued":{"date-parts":[["2003"]]},"page":"98-111","title":"Least-cost input mixtures of water and nitrogen for photosynthesis","type":"article-journal","volume":"161"},"uris":["http://www.mendeley.com/documents/?uuid=e792122e-1fd1-4c1a-9d09-7bd7a13fee68"]},{"id":"ITEM-2","itemData":{"DOI":"10.1111/ele.12211","ISSN":"1461023X","abstract":"A novel framework is presented for the analysis of ecophysiological field measurements and modelling. The hypothesis ‘leaves minimise the summed unit costs of transpiration and carboxylation’ predicts leaf-internal/ambient CO 2 ratios (c i/c a) and slopes of maximum carboxylation rate (Vcmax ) or leaf nitrogen (Narea ) vs. stomatal conductance. Analysis of data on woody species from contrasting climates (cold-hot, dry-wet) yielded steeper slopes and lower mean c i /c a ratios at the dry or cold sites than at the wet or hot sites. High atmospheric vapour pressure deficit implies low c i / c a in dry climates. High water viscosity (more costly transport) and low photorespiration (less costly photosynthesis) imply low c i /ca in cold climates. Observed site-mean c i /c a shifts are pre- dicted quantitatively for temperature contrasts (by photorespiration plus viscosity effects) and approximately for aridity contrasts. The theory explains the dependency of c i /ca ratios on temper- ature and vapour pressure deficit, and observed relationships of leaf d13 C and Narea to aridity","author":[{"dropping-particle":"","family":"Prentice","given":"I Colin","non-dropping-particle":"","parse-names":false,"suffix":""},{"dropping-particle":"","family":"Dong","given":"Ning","non-dropping-particle":"","parse-names":false,"suffix":""},{"dropping-particle":"","family":"Gleason","given":"Sean M","non-dropping-particle":"","parse-names":false,"suffix":""},{"dropping-particle":"","family":"Maire","given":"Vincent","non-dropping-particle":"","parse-names":false,"suffix":""},{"dropping-particle":"","family":"Wright","given":"Ian J","non-dropping-particle":"","parse-names":false,"suffix":""}],"container-title":"Ecology Letters","id":"ITEM-2","issue":"1","issued":{"date-parts":[["2014","1"]]},"page":"82-91","title":"Balancing the costs of carbon gain and water transport: testing a new theoretical framework for plant functional ecology","type":"article-journal","volume":"17"},"uris":["http://www.mendeley.com/documents/?uuid=e847e008-126f-46c3-a215-d3160662c7ab"]}],"mendeley":{"formattedCitation":"(Prentice et al., 2014; Wright et al., 2003)","plainTextFormattedCitation":"(Prentice et al., 2014; Wright et al., 2003)","previouslyFormattedCitation":"(Prentice et al., 2014; Wright et al., 2003)"},"properties":{"noteIndex":0},"schema":"https://github.com/citation-style-language/schema/raw/master/csl-citation.json"}</w:instrText>
      </w:r>
      <w:r>
        <w:fldChar w:fldCharType="separate"/>
      </w:r>
      <w:r w:rsidRPr="00F57D74">
        <w:rPr>
          <w:noProof/>
        </w:rPr>
        <w:t>(Prentice et al., 2014; Wright et al., 2003)</w:t>
      </w:r>
      <w:r>
        <w:fldChar w:fldCharType="end"/>
      </w:r>
      <w:r>
        <w:t xml:space="preserve">. </w:t>
      </w:r>
      <w:r w:rsidR="00114DDF">
        <w:t xml:space="preserve">The theory </w:t>
      </w:r>
      <w:r w:rsidR="00A33E81">
        <w:t>predicts</w:t>
      </w:r>
      <w:r w:rsidR="00114DDF">
        <w:t xml:space="preserve"> that costs of water and nutrient use are substitutable, such that plants can</w:t>
      </w:r>
      <w:r w:rsidR="00594F9B">
        <w:t xml:space="preserve"> acclimate to a given environment by sacrificing less efficient use of a relatively more abundant </w:t>
      </w:r>
      <w:r w:rsidR="00114DDF">
        <w:t xml:space="preserve">and less costly resource to use in exchange for more efficient use of a relatively less abundant and more costly resource to use </w:t>
      </w:r>
      <w:r w:rsidR="00114DDF">
        <w:fldChar w:fldCharType="begin" w:fldLock="1"/>
      </w:r>
      <w:r w:rsidR="00114DDF">
        <w:instrText>ADDIN CSL_CITATION {"citationItems":[{"id":"ITEM-1","itemData":{"DOI":"0003-0147/2003/16101-010387","author":[{"dropping-particle":"","family":"Wright","given":"Ian J","non-dropping-particle":"","parse-names":false,"suffix":""},{"dropping-particle":"","family":"Reich","given":"Peter B","non-dropping-particle":"","parse-names":false,"suffix":""},{"dropping-particle":"","family":"Westoby","given":"Mark","non-dropping-particle":"","parse-names":false,"suffix":""}],"container-title":"The American Naturalist","id":"ITEM-1","issue":"1","issued":{"date-parts":[["2003"]]},"page":"98-111","title":"Least-cost input mixtures of water and nitrogen for photosynthesis","type":"article-journal","volume":"161"},"uris":["http://www.mendeley.com/documents/?uuid=e792122e-1fd1-4c1a-9d09-7bd7a13fee68"]}],"mendeley":{"formattedCitation":"(Wright et al., 2003)","plainTextFormattedCitation":"(Wright et al., 2003)","previouslyFormattedCitation":"(Wright et al., 2003)"},"properties":{"noteIndex":0},"schema":"https://github.com/citation-style-language/schema/raw/master/csl-citation.json"}</w:instrText>
      </w:r>
      <w:r w:rsidR="00114DDF">
        <w:fldChar w:fldCharType="separate"/>
      </w:r>
      <w:r w:rsidR="00114DDF" w:rsidRPr="00262143">
        <w:rPr>
          <w:noProof/>
        </w:rPr>
        <w:t>(Wright et al., 2003)</w:t>
      </w:r>
      <w:r w:rsidR="00114DDF">
        <w:fldChar w:fldCharType="end"/>
      </w:r>
      <w:r w:rsidR="00114DDF">
        <w:t>.</w:t>
      </w:r>
      <w:r w:rsidR="004B5E0F">
        <w:t xml:space="preserve"> </w:t>
      </w:r>
      <w:r w:rsidR="00594F9B">
        <w:t xml:space="preserve">For example, the theory predicts that, all else equal, </w:t>
      </w:r>
      <w:r w:rsidR="00E26AC6">
        <w:t xml:space="preserve">plants </w:t>
      </w:r>
      <w:r w:rsidR="00E8768C">
        <w:t>should</w:t>
      </w:r>
      <w:r w:rsidR="00E26AC6">
        <w:t xml:space="preserve"> respond to an increase in soil n</w:t>
      </w:r>
      <w:r w:rsidR="00C15F8B">
        <w:t>itrogen</w:t>
      </w:r>
      <w:r w:rsidR="00E26AC6">
        <w:t xml:space="preserve"> availability by sacrificing less efficient nitrogen use for more efficient water use, </w:t>
      </w:r>
      <w:r w:rsidR="00350162">
        <w:t xml:space="preserve">a response that would be achieved with greater leaf nitrogen allocation per stomatal conductance at a given photosynthetic rate </w:t>
      </w:r>
      <w:r w:rsidR="00D64D0D">
        <w:fldChar w:fldCharType="begin" w:fldLock="1"/>
      </w:r>
      <w:r w:rsidR="00A33E81">
        <w:instrText>ADDIN CSL_CITATION {"citationItems":[{"id":"ITEM-1","itemData":{"DOI":"10.1111/ele.12211","ISSN":"1461023X","abstract":"A novel framework is presented for the analysis of ecophysiological field measurements and modelling. The hypothesis ‘leaves minimise the summed unit costs of transpiration and carboxylation’ predicts leaf-internal/ambient CO 2 ratios (c i/c a) and slopes of maximum carboxylation rate (Vcmax ) or leaf nitrogen (Narea ) vs. stomatal conductance. Analysis of data on woody species from contrasting climates (cold-hot, dry-wet) yielded steeper slopes and lower mean c i /c a ratios at the dry or cold sites than at the wet or hot sites. High atmospheric vapour pressure deficit implies low c i / c a in dry climates. High water viscosity (more costly transport) and low photorespiration (less costly photosynthesis) imply low c i /ca in cold climates. Observed site-mean c i /c a shifts are pre- dicted quantitatively for temperature contrasts (by photorespiration plus viscosity effects) and approximately for aridity contrasts. The theory explains the dependency of c i /ca ratios on temper- ature and vapour pressure deficit, and observed relationships of leaf d13 C and Narea to aridity","author":[{"dropping-particle":"","family":"Prentice","given":"I Colin","non-dropping-particle":"","parse-names":false,"suffix":""},{"dropping-particle":"","family":"Dong","given":"Ning","non-dropping-particle":"","parse-names":false,"suffix":""},{"dropping-particle":"","family":"Gleason","given":"Sean M","non-dropping-particle":"","parse-names":false,"suffix":""},{"dropping-particle":"","family":"Maire","given":"Vincent","non-dropping-particle":"","parse-names":false,"suffix":""},{"dropping-particle":"","family":"Wright","given":"Ian J","non-dropping-particle":"","parse-names":false,"suffix":""}],"container-title":"Ecology Letters","id":"ITEM-1","issue":"1","issued":{"date-parts":[["2014","1"]]},"page":"82-91","title":"Balancing the costs of carbon gain and water transport: testing a new theoretical framework for plant functional ecology","type":"article-journal","volume":"17"},"uris":["http://www.mendeley.com/documents/?uuid=e847e008-126f-46c3-a215-d3160662c7ab"]}],"mendeley":{"formattedCitation":"(Prentice et al., 2014)","manualFormatting":"(Prentice et al., 2014)","plainTextFormattedCitation":"(Prentice et al., 2014)","previouslyFormattedCitation":"(Prentice et al., 2014)"},"properties":{"noteIndex":0},"schema":"https://github.com/citation-style-language/schema/raw/master/csl-citation.json"}</w:instrText>
      </w:r>
      <w:r w:rsidR="00D64D0D">
        <w:fldChar w:fldCharType="separate"/>
      </w:r>
      <w:r w:rsidR="00D64D0D" w:rsidRPr="00D64D0D">
        <w:rPr>
          <w:noProof/>
        </w:rPr>
        <w:t>(Prentice et al., 2014)</w:t>
      </w:r>
      <w:r w:rsidR="00D64D0D">
        <w:fldChar w:fldCharType="end"/>
      </w:r>
      <w:r w:rsidR="00D64D0D">
        <w:t>.</w:t>
      </w:r>
      <w:r w:rsidR="0046396A">
        <w:t xml:space="preserve"> While promising, few direct tests of photosynthetic least cost theory exist aside from a few global gradient analyses, and manipulative experiments are needed to test underlying assumptions and mechanisms of the theory across different spatiotemporal scales and plant functional groups.</w:t>
      </w:r>
    </w:p>
    <w:p w14:paraId="360593C4" w14:textId="5445561D" w:rsidR="00A1612D" w:rsidRDefault="003D74E1" w:rsidP="007022D1">
      <w:pPr>
        <w:spacing w:line="360" w:lineRule="auto"/>
        <w:ind w:firstLine="720"/>
      </w:pPr>
      <w:r>
        <w:t>Whole plant responses to soil nitrogen availability may modify expected leaf nitrogen-water use tradeoffs expected from photosynthetic least-cost theory.</w:t>
      </w:r>
      <w:r w:rsidR="00A73883">
        <w:t xml:space="preserve"> </w:t>
      </w:r>
      <w:r w:rsidR="000F0314">
        <w:t>Soil nutrient availability</w:t>
      </w:r>
      <w:r>
        <w:t xml:space="preserve"> </w:t>
      </w:r>
      <w:r w:rsidR="000F0314">
        <w:t>has been shown to exert stronger effect</w:t>
      </w:r>
      <w:r w:rsidR="002F57B0">
        <w:t>s</w:t>
      </w:r>
      <w:r w:rsidR="000F0314">
        <w:t xml:space="preserve"> on whole plant growth and total leaf area than leaf photosynthesis, photosynthetic capacity, leaf nitrogen allocation, and water use efficiency </w:t>
      </w:r>
      <w:r w:rsidR="000F0314">
        <w:fldChar w:fldCharType="begin" w:fldLock="1"/>
      </w:r>
      <w:r w:rsidR="00A85036">
        <w:instrText>ADDIN CSL_CITATION {"citationItems":[{"id":"ITEM-1","itemData":{"DOI":"10.1111/gcb.15071","ISSN":"1354-1013","abstract":"A mechanistic understanding of plant photosynthetic response is needed to reliably predict changes in terrestrial carbon (C) gain under conditions of chronically elevated atmospheric nitrogen (N) deposition. Here, using 2,683 observations from 240 jour- nal articles, we conducted a global meta-analysis to reveal effects of N addition on 14 photosynthesis-related traits and affecting moderators. We found that across 320 terrestrial plant species, leaf N was enhanced comparably on mass basis (Nmass , +18.4%) and area basis (Narea, +14.3%), with no changes in specific leaf area or leaf mass per area. Total leaf area (TLA) was increased significantly, as indicated by the in- creases in total leaf biomass (+46.5%), leaf area per plant (+29.7%), and leaf area index (LAI, +24.4%). To a lesser extent than for TLA, N addition significantly enhanced leaf photosynthetic rate per area (Aarea, +12.6%), stomatal conductance (gs, +7.5%), and transpiration rate (E, +10.5%). The responses of Aarea were positively related with that of gs, with no changes in instantaneous water-use efficiency and only slight in- creases in long-term water-use efficiency (+2.5%) inferred from 13C composition. The responses of traits depended on biological, experimental, and environmental moder- ators. As experimental duration and N load increased, the responses of LAI and Aarea diminished while that of E increased significantly. The observed patterns of increases in both TLA and E indicate that N deposition will increase the amount of water used by plants. Taken together, N deposition will enhance gross photosynthetic C gain of the terrestrial plants while increasing their water loss to the atmosphere, but the effects on C gain might diminish over time and that on plant water use would be am- plified if N deposition persists","author":[{"dropping-particle":"","family":"Liang","given":"Xingyun","non-dropping-particle":"","parse-names":false,"suffix":""},{"dropping-particle":"","family":"Zhang","given":"Tong","non-dropping-particle":"","parse-names":false,"suffix":""},{"dropping-particle":"","family":"Lu","given":"Xiankai","non-dropping-particle":"","parse-names":false,"suffix":""},{"dropping-particle":"","family":"Ellsworth","given":"David S","non-dropping-particle":"","parse-names":false,"suffix":""},{"dropping-particle":"","family":"BassiriRad","given":"Hormoz","non-dropping-particle":"","parse-names":false,"suffix":""},{"dropping-particle":"","family":"You","given":"Chengming","non-dropping-particle":"","parse-names":false,"suffix":""},{"dropping-particle":"","family":"Wang","given":"Dong","non-dropping-particle":"","parse-names":false,"suffix":""},{"dropping-particle":"","family":"He","given":"Pengcheng","non-dropping-particle":"","parse-names":false,"suffix":""},{"dropping-particle":"","family":"Deng","given":"Qi","non-dropping-particle":"","parse-names":false,"suffix":""},{"dropping-particle":"","family":"Liu","given":"Hui","non-dropping-particle":"","parse-names":false,"suffix":""},{"dropping-particle":"","family":"Mo","given":"Jiangming","non-dropping-particle":"","parse-names":false,"suffix":""},{"dropping-particle":"","family":"Ye","given":"Qing","non-dropping-particle":"","parse-names":false,"suffix":""}],"container-title":"Global Change Biology","id":"ITEM-1","issue":"6","issued":{"date-parts":[["2020","6","8"]]},"page":"3585-3600","title":"Global response patterns of plant photosynthesis to nitrogen addition: A meta‐analysis","type":"article-journal","volume":"26"},"uris":["http://www.mendeley.com/documents/?uuid=c936a49f-196c-406d-ac18-be1d835be620"]},{"id":"ITEM-2","itemData":{"DOI":"10.1890/06-2057.1","abstract":"Our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types.","author":[{"dropping-particle":"","family":"LeBauer","given":"David S","non-dropping-particle":"","parse-names":false,"suffix":""},{"dropping-particle":"","family":"Treseder","given":"Kathleen","non-dropping-particle":"","parse-names":false,"suffix":""}],"container-title":"Ecology","id":"ITEM-2","issue":"2","issued":{"date-parts":[["2008"]]},"page":"371-379","title":"Nitrogen limitation of net primary productivity","type":"article-journal","volume":"89"},"uris":["http://www.mendeley.com/documents/?uuid=9a0f3748-3fb9-483a-aeb3-fcaab5fa4acc"]}],"mendeley":{"formattedCitation":"(LeBauer &amp; Treseder, 2008; Liang et al., 2020)","plainTextFormattedCitation":"(LeBauer &amp; Treseder, 2008; Liang et al., 2020)","previouslyFormattedCitation":"(LeBauer &amp; Treseder, 2008; Liang et al., 2020)"},"properties":{"noteIndex":0},"schema":"https://github.com/citation-style-language/schema/raw/master/csl-citation.json"}</w:instrText>
      </w:r>
      <w:r w:rsidR="000F0314">
        <w:fldChar w:fldCharType="separate"/>
      </w:r>
      <w:r w:rsidR="00C15F8B" w:rsidRPr="00C15F8B">
        <w:rPr>
          <w:noProof/>
        </w:rPr>
        <w:t>(LeBauer &amp; Treseder, 2008; Liang et al., 2020)</w:t>
      </w:r>
      <w:r w:rsidR="000F0314">
        <w:fldChar w:fldCharType="end"/>
      </w:r>
      <w:r w:rsidR="000F0314">
        <w:t>. The stronger whole plant response to soil nutrient availability</w:t>
      </w:r>
      <w:r w:rsidR="004A6E69">
        <w:t xml:space="preserve"> may be explained through multiple nutrient limitation, which limit</w:t>
      </w:r>
      <w:r w:rsidR="00D64D0D">
        <w:t>s</w:t>
      </w:r>
      <w:r w:rsidR="00B452E0">
        <w:t xml:space="preserve"> </w:t>
      </w:r>
      <w:r w:rsidR="004A6E69">
        <w:t>net primary productivity</w:t>
      </w:r>
      <w:r w:rsidR="00D17106">
        <w:t xml:space="preserve"> globally</w:t>
      </w:r>
      <w:r w:rsidR="004A6E69">
        <w:t xml:space="preserve"> </w:t>
      </w:r>
      <w:r w:rsidR="000F0314">
        <w:fldChar w:fldCharType="begin" w:fldLock="1"/>
      </w:r>
      <w:r w:rsidR="00FE5E18">
        <w:instrText>ADDIN CSL_CITATION {"citationItems":[{"id":"ITEM-1","itemData":{"DOI":"10.1038/ngeo2413","ISSN":"1752-0894","author":[{"dropping-particle":"","family":"Wieder","given":"William R","non-dropping-particle":"","parse-names":false,"suffix":""},{"dropping-particle":"","family":"Cleveland","given":"Cory C","non-dropping-particle":"","parse-names":false,"suffix":""},{"dropping-particle":"","family":"Smith","given":"W Kolby","non-dropping-particle":"","parse-names":false,"suffix":""},{"dropping-particle":"","family":"Todd-Brown","given":"Katherine","non-dropping-particle":"","parse-names":false,"suffix":""}],"container-title":"Nature Geoscience","id":"ITEM-1","issue":"6","issued":{"date-parts":[["2015","6","20"]]},"page":"441-444","title":"Future productivity and carbon storage limited by terrestrial nutrient availability","type":"article-journal","volume":"8"},"uris":["http://www.mendeley.com/documents/?uuid=ec005334-3b59-4670-9a5b-915a944b890d"]},{"id":"ITEM-2","itemData":{"DOI":"10.1890/06-2057.1","abstract":"Our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types.","author":[{"dropping-particle":"","family":"LeBauer","given":"David S","non-dropping-particle":"","parse-names":false,"suffix":""},{"dropping-particle":"","family":"Treseder","given":"Kathleen","non-dropping-particle":"","parse-names":false,"suffix":""}],"container-title":"Ecology","id":"ITEM-2","issue":"2","issued":{"date-parts":[["2008"]]},"page":"371-379","title":"Nitrogen limitation of net primary productivity","type":"article-journal","volume":"89"},"uris":["http://www.mendeley.com/documents/?uuid=9a0f3748-3fb9-483a-aeb3-fcaab5fa4acc"]},{"id":"ITEM-3","itemData":{"DOI":"10.1038/nplants.2015.80","ISSN":"2055-0278","author":[{"dropping-particle":"","family":"Fay","given":"Philip A","non-dropping-particle":"","parse-names":false,"suffix":""},{"dropping-particle":"","family":"Prober","given":"Suzanne M","non-dropping-particle":"","parse-names":false,"suffix":""},{"dropping-particle":"","family":"Harpole","given":"W Stanley","non-dropping-particle":"","parse-names":false,"suffix":""},{"dropping-particle":"","family":"Knops","given":"Johannes M H","non-dropping-particle":"","parse-names":false,"suffix":""},{"dropping-particle":"","family":"Bakker","given":"Jonathan D","non-dropping-particle":"","parse-names":false,"suffix":""},{"dropping-particle":"","family":"Borer","given":"Elizabeth T","non-dropping-particle":"","parse-names":false,"suffix":""},{"dropping-particle":"","family":"Lind","given":"Eric M","non-dropping-particle":"","parse-names":false,"suffix":""},{"dropping-particle":"","family":"MacDougall","given":"Andrew S","non-dropping-particle":"","parse-names":false,"suffix":""},{"dropping-particle":"","family":"Seabloom","given":"Eric W","non-dropping-particle":"","parse-names":false,"suffix":""},{"dropping-particle":"","family":"Wragg","given":"Peter D","non-dropping-particle":"","parse-names":false,"suffix":""},{"dropping-particle":"","family":"Adler","given":"Peter B","non-dropping-particle":"","parse-names":false,"suffix":""},{"dropping-particle":"","family":"Blumenthal","given":"Dana M","non-dropping-particle":"","parse-names":false,"suffix":""},{"dropping-particle":"","family":"Buckley","given":"Yvonne M","non-dropping-particle":"","parse-names":false,"suffix":""},{"dropping-particle":"","family":"Chu","given":"Chengjin","non-dropping-particle":"","parse-names":false,"suffix":""},{"dropping-particle":"","family":"Cleland","given":"Elsa E","non-dropping-particle":"","parse-names":false,"suffix":""},{"dropping-particle":"","family":"Collins","given":"Scott L","non-dropping-particle":"","parse-names":false,"suffix":""},{"dropping-particle":"","family":"Davies","given":"Kendi F","non-dropping-particle":"","parse-names":false,"suffix":""},{"dropping-particle":"","family":"Du","given":"Guozhen","non-dropping-particle":"","parse-names":false,"suffix":""},{"dropping-particle":"","family":"Feng","given":"Xiaohui","non-dropping-particle":"","parse-names":false,"suffix":""},{"dropping-particle":"","family":"Firn","given":"Jennifer","non-dropping-particle":"","parse-names":false,"suffix":""},{"dropping-particle":"","family":"Gruner","given":"Daniel S","non-dropping-particle":"","parse-names":false,"suffix":""},{"dropping-particle":"","family":"Hagenah","given":"Nicole","non-dropping-particle":"","parse-names":false,"suffix":""},{"dropping-particle":"","family":"Hautier","given":"Yann","non-dropping-particle":"","parse-names":false,"suffix":""},{"dropping-particle":"","family":"Heckman","given":"Robert W","non-dropping-particle":"","parse-names":false,"suffix":""},{"dropping-particle":"","family":"Jin","given":"Virginia L","non-dropping-particle":"","parse-names":false,"suffix":""},{"dropping-particle":"","family":"Kirkman","given":"Kevin P","non-dropping-particle":"","parse-names":false,"suffix":""},{"dropping-particle":"","family":"Klein","given":"Julia A","non-dropping-particle":"","parse-names":false,"suffix":""},{"dropping-particle":"","family":"Ladwig","given":"Laura M","non-dropping-particle":"","parse-names":false,"suffix":""},{"dropping-particle":"","family":"Li","given":"Qi","non-dropping-particle":"","parse-names":false,"suffix":""},{"dropping-particle":"","family":"McCulley","given":"Rebecca L","non-dropping-particle":"","parse-names":false,"suffix":""},{"dropping-particle":"","family":"Melbourne","given":"Brett A","non-dropping-particle":"","parse-names":false,"suffix":""},{"dropping-particle":"","family":"Mitchell","given":"Charles E","non-dropping-particle":"","parse-names":false,"suffix":""},{"dropping-particle":"","family":"Moore","given":"Joslin L","non-dropping-particle":"","parse-names":false,"suffix":""},{"dropping-particle":"","family":"Morgan","given":"John W","non-dropping-particle":"","parse-names":false,"suffix":""},{"dropping-particle":"","family":"Risch","given":"Anita C","non-dropping-particle":"","parse-names":false,"suffix":""},{"dropping-particle":"","family":"Schütz","given":"Martin","non-dropping-particle":"","parse-names":false,"suffix":""},{"dropping-particle":"","family":"Stevens","given":"Carly J","non-dropping-particle":"","parse-names":false,"suffix":""},{"dropping-particle":"","family":"Wedin","given":"David A","non-dropping-particle":"","parse-names":false,"suffix":""},{"dropping-particle":"","family":"Yang","given":"Louie H","non-dropping-particle":"","parse-names":false,"suffix":""}],"container-title":"Nature Plants","id":"ITEM-3","issue":"7","issued":{"date-parts":[["2015","7","6"]]},"page":"15080","title":"Grassland productivity limited by multiple nutrients","type":"article-journal","volume":"1"},"uris":["http://www.mendeley.com/documents/?uuid=a62c0db7-4b0d-43d0-870c-34311e8a7ebe"]}],"mendeley":{"formattedCitation":"(Fay et al., 2015; LeBauer &amp; Treseder, 2008; Wieder et al., 2015)","plainTextFormattedCitation":"(Fay et al., 2015; LeBauer &amp; Treseder, 2008; Wieder et al., 2015)","previouslyFormattedCitation":"(Fay et al., 2015; LeBauer &amp; Treseder, 2008; Wieder et al., 2015)"},"properties":{"noteIndex":0},"schema":"https://github.com/citation-style-language/schema/raw/master/csl-citation.json"}</w:instrText>
      </w:r>
      <w:r w:rsidR="000F0314">
        <w:fldChar w:fldCharType="separate"/>
      </w:r>
      <w:r w:rsidR="004A6E69" w:rsidRPr="004A6E69">
        <w:rPr>
          <w:noProof/>
        </w:rPr>
        <w:t>(Fay et al., 2015; LeBauer &amp; Treseder, 2008; Wieder et al., 2015)</w:t>
      </w:r>
      <w:r w:rsidR="000F0314">
        <w:fldChar w:fldCharType="end"/>
      </w:r>
      <w:r w:rsidR="000F0314">
        <w:t xml:space="preserve">. </w:t>
      </w:r>
      <w:r w:rsidR="001D541B">
        <w:t xml:space="preserve">In such cases where net primary productivity is limited by soil nutrient availability, or if individuals have high resource requirements for growth (e.g., juvenile individuals or annual </w:t>
      </w:r>
      <w:r w:rsidR="001D541B">
        <w:lastRenderedPageBreak/>
        <w:t>species), nutrient demand to build and maintain structures that support whole plant growth</w:t>
      </w:r>
      <w:r w:rsidR="007022D1">
        <w:t xml:space="preserve"> </w:t>
      </w:r>
      <w:r w:rsidR="001D541B">
        <w:t xml:space="preserve">may be </w:t>
      </w:r>
      <w:r w:rsidR="00B452E0">
        <w:t>higher</w:t>
      </w:r>
      <w:r w:rsidR="001D541B">
        <w:t xml:space="preserve"> than nutrient demand to build and maintain photosynthetic enzymes in a single leaf</w:t>
      </w:r>
      <w:r w:rsidR="007022D1">
        <w:t xml:space="preserve">, which </w:t>
      </w:r>
      <w:r w:rsidR="00D17106">
        <w:t>could minimize</w:t>
      </w:r>
      <w:r w:rsidR="007022D1">
        <w:t xml:space="preserve"> expected leaf acclimation responses to changing environments. </w:t>
      </w:r>
      <w:r w:rsidR="004A6E69">
        <w:t xml:space="preserve">No studies that investigate </w:t>
      </w:r>
      <w:r w:rsidR="001438DB">
        <w:t>patterns expected from photosynthetic least</w:t>
      </w:r>
      <w:r w:rsidR="00C15F8B">
        <w:t>-</w:t>
      </w:r>
      <w:r w:rsidR="001438DB">
        <w:t>cost theory</w:t>
      </w:r>
      <w:r w:rsidR="004A6E69">
        <w:t xml:space="preserve"> have considered whole plant responses to soil nutrient availability in their analyses</w:t>
      </w:r>
      <w:r w:rsidR="001438DB">
        <w:t>.</w:t>
      </w:r>
    </w:p>
    <w:p w14:paraId="1746E619" w14:textId="1CA2ACE0" w:rsidR="00DA425E" w:rsidRDefault="00B452E0" w:rsidP="006D3E93">
      <w:pPr>
        <w:spacing w:line="360" w:lineRule="auto"/>
        <w:ind w:firstLine="720"/>
      </w:pPr>
      <w:r>
        <w:t>Additionally</w:t>
      </w:r>
      <w:r w:rsidR="001438DB">
        <w:t>, leaf and whole plant</w:t>
      </w:r>
      <w:r w:rsidR="00FE5E18">
        <w:t xml:space="preserve"> </w:t>
      </w:r>
      <w:r w:rsidR="007022D1">
        <w:t>acclimation responses to changing environments</w:t>
      </w:r>
      <w:r w:rsidR="001438DB">
        <w:t xml:space="preserve"> may depend on a species’ dominant mode of nutrient acquisition</w:t>
      </w:r>
      <w:r w:rsidR="00EB2706">
        <w:t>. Plants acquire nutrients through different nutrient acquisition strategies</w:t>
      </w:r>
      <w:r w:rsidR="00D17106">
        <w:t xml:space="preserve"> such as</w:t>
      </w:r>
      <w:r w:rsidR="00EB2706">
        <w:t xml:space="preserve"> direct uptake </w:t>
      </w:r>
      <w:r w:rsidR="00D17106">
        <w:t xml:space="preserve">or through </w:t>
      </w:r>
      <w:r w:rsidR="00EB2706">
        <w:t>symbioses with mycorrhizal fungi</w:t>
      </w:r>
      <w:r w:rsidR="00D17106">
        <w:t xml:space="preserve"> and</w:t>
      </w:r>
      <w:r w:rsidR="00EB2706">
        <w:t xml:space="preserve"> symbiotic nitrogen</w:t>
      </w:r>
      <w:r w:rsidR="007022D1">
        <w:t>-</w:t>
      </w:r>
      <w:r w:rsidR="00EB2706">
        <w:t>fixing bacteria</w:t>
      </w:r>
      <w:r w:rsidR="001A743B">
        <w:t xml:space="preserve"> </w:t>
      </w:r>
      <w:r w:rsidR="007B1AFE">
        <w:fldChar w:fldCharType="begin" w:fldLock="1"/>
      </w:r>
      <w:r w:rsidR="0048753D">
        <w:instrText>ADDIN CSL_CITATION {"citationItems":[{"id":"ITEM-1","itemData":{"author":[{"dropping-particle":"","family":"Smith","given":"Sally E","non-dropping-particle":"","parse-names":false,"suffix":""},{"dropping-particle":"","family":"Read","given":"David J","non-dropping-particle":"","parse-names":false,"suffix":""}],"id":"ITEM-1","issued":{"date-parts":[["2008"]]},"title":"Mycorrhizal Symbiosis","type":"book"},"uris":["http://www.mendeley.com/documents/?uuid=7de52699-7fb0-461b-b0db-02c8da38a432"]}],"mendeley":{"formattedCitation":"(S. E. Smith &amp; Read, 2008)","plainTextFormattedCitation":"(S. E. Smith &amp; Read, 2008)","previouslyFormattedCitation":"(S. E. Smith &amp; Read, 2008)"},"properties":{"noteIndex":0},"schema":"https://github.com/citation-style-language/schema/raw/master/csl-citation.json"}</w:instrText>
      </w:r>
      <w:r w:rsidR="007B1AFE">
        <w:fldChar w:fldCharType="separate"/>
      </w:r>
      <w:r w:rsidR="007B1AFE" w:rsidRPr="007B1AFE">
        <w:rPr>
          <w:noProof/>
        </w:rPr>
        <w:t>(S. E. Smith &amp; Read, 2008)</w:t>
      </w:r>
      <w:r w:rsidR="007B1AFE">
        <w:fldChar w:fldCharType="end"/>
      </w:r>
      <w:r w:rsidR="00EB2706">
        <w:t xml:space="preserve">. Costs of nutrient use included in photosynthetic least-cost frameworks implicitly include </w:t>
      </w:r>
      <w:r w:rsidR="001A743B">
        <w:t>costs of nutrient acquisition</w:t>
      </w:r>
      <w:r w:rsidR="006D3E93">
        <w:t xml:space="preserve"> </w:t>
      </w:r>
      <w:r w:rsidR="006D3E93">
        <w:fldChar w:fldCharType="begin" w:fldLock="1"/>
      </w:r>
      <w:r w:rsidR="00C7318F">
        <w:instrText>ADDIN CSL_CITATION {"citationItems":[{"id":"ITEM-1","itemData":{"DOI":"10.1111/nph.16702","ISSN":"0028-646X","abstract":"\u000f Photosynthetic ‘least-cost’ theory posits that the optimal trait combination for a given envi- ronment is that where the summed costs of photosynthetic water and nutrient acquisition/ use are minimised. The effects of soil water and nutrient availability on photosynthesis should be stronger as climate-related costs for both resources increase. \u000f Two independent datasets of photosynthetic traits, Globamax (1509 species, 288 sites) and Glob13C (3645 species, 594 sites), were used to quantify biophysical and biochemical limita- tions of photosynthesis and the key variable Ci /Ca (CO 2 drawdown during photosynthesis). Climate and soil variables were associated with both datasets. \u000f The biochemical photosynthetic capacity was higher on alkaline soils. This effect was strongest at more arid sites, where water unit-costs are presumably higher. Higher values of soil silt and depth increased Ci /Ca, likely by providing greater H 2O supply, alleviating biophys- ical photosynthetic limitation when soil water is scarce. \u000f Climate is important in controlling the optimal balance of H 2 O and N costs for photosynthe- sis, but soil properties change these costs, both directly and indirectly. In total, soil properties modify the climate-demand driven predictions of Ci /Ca by up to 30% at a global scale.","author":[{"dropping-particle":"","family":"Paillassa","given":"Jennifer","non-dropping-particle":"","parse-names":false,"suffix":""},{"dropping-particle":"","family":"Wright","given":"Ian J","non-dropping-particle":"","parse-names":false,"suffix":""},{"dropping-particle":"","family":"Prentice","given":"I Colin","non-dropping-particle":"","parse-names":false,"suffix":""},{"dropping-particle":"","family":"Pepin","given":"Steeve","non-dropping-particle":"","parse-names":false,"suffix":""},{"dropping-particle":"","family":"Smith","given":"Nicholas G","non-dropping-particle":"","parse-names":false,"suffix":""},{"dropping-particle":"","family":"Ethier","given":"Gilbert","non-dropping-particle":"","parse-names":false,"suffix":""},{"dropping-particle":"","family":"Westerband","given":"Andrea C","non-dropping-particle":"","parse-names":false,"suffix":""},{"dropping-particle":"","family":"Lamarque","given":"Laurent J","non-dropping-particle":"","parse-names":false,"suffix":""},{"dropping-particle":"","family":"Wang","given":"Han","non-dropping-particle":"","parse-names":false,"suffix":""},{"dropping-particle":"","family":"Cornwell","given":"William K","non-dropping-particle":"","parse-names":false,"suffix":""},{"dropping-particle":"","family":"Maire","given":"Vincent","non-dropping-particle":"","parse-names":false,"suffix":""}],"container-title":"New Phytologist","id":"ITEM-1","issue":"1","issued":{"date-parts":[["2020","10","9"]]},"page":"121-135","title":"When and where soil is important to modify the carbon and water economy of leaves","type":"article-journal","volume":"228"},"uris":["http://www.mendeley.com/documents/?uuid=7a979be5-4341-4431-bd38-7ceeeada2df2"]}],"mendeley":{"formattedCitation":"(Paillassa et al., 2020)","plainTextFormattedCitation":"(Paillassa et al., 2020)","previouslyFormattedCitation":"(Paillassa et al., 2020)"},"properties":{"noteIndex":0},"schema":"https://github.com/citation-style-language/schema/raw/master/csl-citation.json"}</w:instrText>
      </w:r>
      <w:r w:rsidR="006D3E93">
        <w:fldChar w:fldCharType="separate"/>
      </w:r>
      <w:r w:rsidR="006D3E93" w:rsidRPr="006D3E93">
        <w:rPr>
          <w:noProof/>
        </w:rPr>
        <w:t>(Paillassa et al., 2020)</w:t>
      </w:r>
      <w:r w:rsidR="006D3E93">
        <w:fldChar w:fldCharType="end"/>
      </w:r>
      <w:r w:rsidR="001A743B">
        <w:t xml:space="preserve">, which have been shown to vary in species that have different nutrient acquisition strategies </w:t>
      </w:r>
      <w:r w:rsidR="00EB2706">
        <w:fldChar w:fldCharType="begin" w:fldLock="1"/>
      </w:r>
      <w:r w:rsidR="00EB2706">
        <w:instrText>ADDIN CSL_CITATION {"citationItems":[{"id":"ITEM-1","itemData":{"DOI":"10.1002/2014JG002660.Received","abstract":"Accurate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sink.","author":[{"dropping-particle":"","family":"Brzostek","given":"Edward R","non-dropping-particle":"","parse-names":false,"suffix":""},{"dropping-particle":"","family":"Fisher","given":"Joshua B","non-dropping-particle":"","parse-names":false,"suffix":""},{"dropping-particle":"","family":"Phillips","given":"Richard P","non-dropping-particle":"","parse-names":false,"suffix":""}],"container-title":"Journal of Geophysical Research: Biogeosciences","id":"ITEM-1","issued":{"date-parts":[["2014"]]},"page":"1684-1697","title":"Modeling the carbon cost of plant nitrogen acquisition: Mycorrhizal trade-offs and multipath resistance uptake improve predictions of retranslocation","type":"article-journal","volume":"119"},"uris":["http://www.mendeley.com/documents/?uuid=d402da8e-476e-48bc-8d9c-7c76f7aa03a4"]},{"id":"ITEM-2","itemData":{"DOI":"10.1093/jxb/erab253","ISSN":"0022-0957","abstract":"Plant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Botany","editor":[{"dropping-particle":"","family":"Rogers","given":"Alistair","non-dropping-particle":"","parse-names":false,"suffix":""}],"id":"ITEM-2","issue":"15","issued":{"date-parts":[["2021","7","28"]]},"page":"5766-5776","title":"Root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strategies","type":"article-journal","volume":"72"},"uris":["http://www.mendeley.com/documents/?uuid=233b0f00-9a30-4c3a-a2bb-5e67ae9c0e5f"]},{"id":"ITEM-3","itemData":{"DOI":"10.1111/nph.14872","ISBN":"7476820487","ISSN":"0028-646X","abstract":"Land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Phytologist","id":"ITEM-3","issue":"2","issued":{"date-parts":[["2018","1","6"]]},"page":"507-522","title":"Ecosystem responses to elevated &lt;scp&gt;CO&lt;/scp&gt; &lt;sub&gt;2&lt;/sub&gt; governed by plant–soil interactions and the cost of nitrogen acquisition","type":"article-journal","volume":"217"},"uris":["http://www.mendeley.com/documents/?uuid=f5a032e4-11bd-468b-88f1-a7a4ce482036"]}],"mendeley":{"formattedCitation":"(Brzostek et al., 2014; Perkowski et al., 2021; Terrer et al., 2018)","plainTextFormattedCitation":"(Brzostek et al., 2014; Perkowski et al., 2021; Terrer et al., 2018)","previouslyFormattedCitation":"(Brzostek et al., 2014; Perkowski et al., 2021; Terrer et al., 2018)"},"properties":{"noteIndex":0},"schema":"https://github.com/citation-style-language/schema/raw/master/csl-citation.json"}</w:instrText>
      </w:r>
      <w:r w:rsidR="00EB2706">
        <w:fldChar w:fldCharType="separate"/>
      </w:r>
      <w:r w:rsidR="00EB2706" w:rsidRPr="00266FA1">
        <w:rPr>
          <w:noProof/>
        </w:rPr>
        <w:t>(Brzostek et al., 2014; Perkowski et al., 2021; Terrer et al., 2018)</w:t>
      </w:r>
      <w:r w:rsidR="00EB2706">
        <w:fldChar w:fldCharType="end"/>
      </w:r>
      <w:r w:rsidR="007022D1">
        <w:t xml:space="preserve">. The observed variance in costs of nutrient acquisition across acquisition strategy types could scale to influence to cost of using nitrogen relative to water </w:t>
      </w:r>
      <w:r w:rsidR="00A1612D">
        <w:fldChar w:fldCharType="begin" w:fldLock="1"/>
      </w:r>
      <w:r w:rsidR="00DE2FE3">
        <w:instrText>ADDIN CSL_CITATION {"citationItems":[{"id":"ITEM-1","itemData":{"DOI":"10.1111/ele.13724","ISSN":"1461-023X","PMID":"33759325","abstract":"Despite widespread evidence that biological invasion influences both the biotic and abiotic soil environments, the extent to which these two pathways underpin the effects of invasion on plant traits and performance remains unknown. Leveraging a long-term (14-year) field experiment, we show that an allelochemical-producing invader affects plants through biotic mechanisms, altering the soil fungal community composition, with no apparent shifts in soil nutrient availability. Changes in belowground fungal communities resulted in high costs of nutrient uptake for native perennials and a shift in plant traits linked to their water and nutrient use efficiencies. Some plants in the invaded community compensate for the disruption of nutritional symbionts and reduced nutrient provisioning by sanctioning more nitrogen to photosynthesis and expending more water, which demonstrates a trade-off in trait investment. For the first time, we show that the disruption of belowground nutritional symbionts can drive plants towards alternative regions of their trait space in order to maintain water and nutrient economics.","author":[{"dropping-particle":"","family":"Bialic‐Murphy","given":"Lalasia","non-dropping-particle":"","parse-names":false,"suffix":""},{"dropping-particle":"","family":"Smith","given":"Nicholas G","non-dropping-particle":"","parse-names":false,"suffix":""},{"dropping-particle":"","family":"Voothuluru","given":"Priya","non-dropping-particle":"","parse-names":false,"suffix":""},{"dropping-particle":"","family":"McElderry","given":"Robert M","non-dropping-particle":"","parse-names":false,"suffix":""},{"dropping-particle":"","family":"Roche","given":"Morgan D","non-dropping-particle":"","parse-names":false,"suffix":""},{"dropping-particle":"","family":"Cassidy","given":"Steven T","non-dropping-particle":"","parse-names":false,"suffix":""},{"dropping-particle":"","family":"Kivlin","given":"Stephanie N","non-dropping-particle":"","parse-names":false,"suffix":""},{"dropping-particle":"","family":"Kalisz","given":"Susan","non-dropping-particle":"","parse-names":false,"suffix":""}],"container-title":"Ecology Letters","editor":[{"dropping-particle":"","family":"Rejmanek","given":"Marcel","non-dropping-particle":"","parse-names":false,"suffix":""}],"id":"ITEM-1","issue":"6","issued":{"date-parts":[["2021","6","23"]]},"page":"1145-1156","title":"Invasion‐induced root–fungal disruptions alter plant water and nitrogen economies","type":"article-journal","volume":"24"},"uris":["http://www.mendeley.com/documents/?uuid=40e8c158-e0e6-42ac-bc96-6a2d1831408e"]},{"id":"ITEM-2","itemData":{"DOI":"10.1111/nph.16702","ISSN":"0028-646X","abstract":"\u000f Photosynthetic ‘least-cost’ theory posits that the optimal trait combination for a given envi- ronment is that where the summed costs of photosynthetic water and nutrient acquisition/ use are minimised. The effects of soil water and nutrient availability on photosynthesis should be stronger as climate-related costs for both resources increase. \u000f Two independent datasets of photosynthetic traits, Globamax (1509 species, 288 sites) and Glob13C (3645 species, 594 sites), were used to quantify biophysical and biochemical limita- tions of photosynthesis and the key variable Ci /Ca (CO 2 drawdown during photosynthesis). Climate and soil variables were associated with both datasets. \u000f The biochemical photosynthetic capacity was higher on alkaline soils. This effect was strongest at more arid sites, where water unit-costs are presumably higher. Higher values of soil silt and depth increased Ci /Ca, likely by providing greater H 2O supply, alleviating biophys- ical photosynthetic limitation when soil water is scarce. \u000f Climate is important in controlling the optimal balance of H 2 O and N costs for photosynthe- sis, but soil properties change these costs, both directly and indirectly. In total, soil properties modify the climate-demand driven predictions of Ci /Ca by up to 30% at a global scale.","author":[{"dropping-particle":"","family":"Paillassa","given":"Jennifer","non-dropping-particle":"","parse-names":false,"suffix":""},{"dropping-particle":"","family":"Wright","given":"Ian J","non-dropping-particle":"","parse-names":false,"suffix":""},{"dropping-particle":"","family":"Prentice","given":"I Colin","non-dropping-particle":"","parse-names":false,"suffix":""},{"dropping-particle":"","family":"Pepin","given":"Steeve","non-dropping-particle":"","parse-names":false,"suffix":""},{"dropping-particle":"","family":"Smith","given":"Nicholas G","non-dropping-particle":"","parse-names":false,"suffix":""},{"dropping-particle":"","family":"Ethier","given":"Gilbert","non-dropping-particle":"","parse-names":false,"suffix":""},{"dropping-particle":"","family":"Westerband","given":"Andrea C","non-dropping-particle":"","parse-names":false,"suffix":""},{"dropping-particle":"","family":"Lamarque","given":"Laurent J","non-dropping-particle":"","parse-names":false,"suffix":""},{"dropping-particle":"","family":"Wang","given":"Han","non-dropping-particle":"","parse-names":false,"suffix":""},{"dropping-particle":"","family":"Cornwell","given":"William K","non-dropping-particle":"","parse-names":false,"suffix":""},{"dropping-particle":"","family":"Maire","given":"Vincent","non-dropping-particle":"","parse-names":false,"suffix":""}],"container-title":"New Phytologist","id":"ITEM-2","issue":"1","issued":{"date-parts":[["2020","10","9"]]},"page":"121-135","title":"When and where soil is important to modify the carbon and water economy of leaves","type":"article-journal","volume":"228"},"uris":["http://www.mendeley.com/documents/?uuid=7a979be5-4341-4431-bd38-7ceeeada2df2"]}],"mendeley":{"formattedCitation":"(Bialic‐Murphy et al., 2021; Paillassa et al., 2020)","plainTextFormattedCitation":"(Bialic‐Murphy et al., 2021; Paillassa et al., 2020)","previouslyFormattedCitation":"(Bialic‐Murphy et al., 2021; Paillassa et al., 2020)"},"properties":{"noteIndex":0},"schema":"https://github.com/citation-style-language/schema/raw/master/csl-citation.json"}</w:instrText>
      </w:r>
      <w:r w:rsidR="00A1612D">
        <w:fldChar w:fldCharType="separate"/>
      </w:r>
      <w:r w:rsidR="00A1612D" w:rsidRPr="00A1612D">
        <w:rPr>
          <w:noProof/>
        </w:rPr>
        <w:t>(Bialic‐Murphy et al., 2021; Paillassa et al., 2020)</w:t>
      </w:r>
      <w:r w:rsidR="00A1612D">
        <w:fldChar w:fldCharType="end"/>
      </w:r>
      <w:r w:rsidR="006D3E93">
        <w:t>, although these patterns might depend on the effect of acquisition strategy on whole plant nutrient demand</w:t>
      </w:r>
      <w:r w:rsidR="003D74E1">
        <w:t>.</w:t>
      </w:r>
      <w:r w:rsidR="00097A1D">
        <w:t xml:space="preserve"> </w:t>
      </w:r>
      <w:r w:rsidR="006D3E93">
        <w:t xml:space="preserve">Interestingly, one previous </w:t>
      </w:r>
      <w:r w:rsidR="00097A1D">
        <w:t xml:space="preserve">study suggests that disruptions in soil microbial communities due to </w:t>
      </w:r>
      <w:r w:rsidR="006D3E93">
        <w:t>garlic mustard</w:t>
      </w:r>
      <w:r w:rsidR="00C70400">
        <w:t xml:space="preserve"> </w:t>
      </w:r>
      <w:r w:rsidR="00097A1D">
        <w:t>invas</w:t>
      </w:r>
      <w:r w:rsidR="00C70400">
        <w:t>ion</w:t>
      </w:r>
      <w:r w:rsidR="00097A1D">
        <w:t xml:space="preserve"> increased the cost of nutrient uptake for native species, which led to trademark nitrogen-water use tradeoffs expected from photosynthetic least-cost theory </w:t>
      </w:r>
      <w:r w:rsidR="00097A1D">
        <w:fldChar w:fldCharType="begin" w:fldLock="1"/>
      </w:r>
      <w:r w:rsidR="00BF7930">
        <w:instrText>ADDIN CSL_CITATION {"citationItems":[{"id":"ITEM-1","itemData":{"DOI":"10.1111/ele.13724","ISSN":"1461-023X","PMID":"33759325","abstract":"Despite widespread evidence that biological invasion influences both the biotic and abiotic soil environments, the extent to which these two pathways underpin the effects of invasion on plant traits and performance remains unknown. Leveraging a long-term (14-year) field experiment, we show that an allelochemical-producing invader affects plants through biotic mechanisms, altering the soil fungal community composition, with no apparent shifts in soil nutrient availability. Changes in belowground fungal communities resulted in high costs of nutrient uptake for native perennials and a shift in plant traits linked to their water and nutrient use efficiencies. Some plants in the invaded community compensate for the disruption of nutritional symbionts and reduced nutrient provisioning by sanctioning more nitrogen to photosynthesis and expending more water, which demonstrates a trade-off in trait investment. For the first time, we show that the disruption of belowground nutritional symbionts can drive plants towards alternative regions of their trait space in order to maintain water and nutrient economics.","author":[{"dropping-particle":"","family":"Bialic‐Murphy","given":"Lalasia","non-dropping-particle":"","parse-names":false,"suffix":""},{"dropping-particle":"","family":"Smith","given":"Nicholas G","non-dropping-particle":"","parse-names":false,"suffix":""},{"dropping-particle":"","family":"Voothuluru","given":"Priya","non-dropping-particle":"","parse-names":false,"suffix":""},{"dropping-particle":"","family":"McElderry","given":"Robert M","non-dropping-particle":"","parse-names":false,"suffix":""},{"dropping-particle":"","family":"Roche","given":"Morgan D","non-dropping-particle":"","parse-names":false,"suffix":""},{"dropping-particle":"","family":"Cassidy","given":"Steven T","non-dropping-particle":"","parse-names":false,"suffix":""},{"dropping-particle":"","family":"Kivlin","given":"Stephanie N","non-dropping-particle":"","parse-names":false,"suffix":""},{"dropping-particle":"","family":"Kalisz","given":"Susan","non-dropping-particle":"","parse-names":false,"suffix":""}],"container-title":"Ecology Letters","editor":[{"dropping-particle":"","family":"Rejmanek","given":"Marcel","non-dropping-particle":"","parse-names":false,"suffix":""}],"id":"ITEM-1","issue":"6","issued":{"date-parts":[["2021","6","23"]]},"page":"1145-1156","title":"Invasion‐induced root–fungal disruptions alter plant water and nitrogen economies","type":"article-journal","volume":"24"},"uris":["http://www.mendeley.com/documents/?uuid=40e8c158-e0e6-42ac-bc96-6a2d1831408e"]}],"mendeley":{"formattedCitation":"(Bialic‐Murphy et al., 2021)","plainTextFormattedCitation":"(Bialic‐Murphy et al., 2021)","previouslyFormattedCitation":"(Bialic‐Murphy et al., 2021)"},"properties":{"noteIndex":0},"schema":"https://github.com/citation-style-language/schema/raw/master/csl-citation.json"}</w:instrText>
      </w:r>
      <w:r w:rsidR="00097A1D">
        <w:fldChar w:fldCharType="separate"/>
      </w:r>
      <w:r w:rsidR="00097A1D" w:rsidRPr="00097A1D">
        <w:rPr>
          <w:noProof/>
        </w:rPr>
        <w:t>(Bialic‐Murphy et al., 2021)</w:t>
      </w:r>
      <w:r w:rsidR="00097A1D">
        <w:fldChar w:fldCharType="end"/>
      </w:r>
      <w:r w:rsidR="00097A1D">
        <w:t xml:space="preserve">. </w:t>
      </w:r>
      <w:r w:rsidR="006D3E93">
        <w:t xml:space="preserve">No study to date has investigated effects of acquisition strategy on nitrogen-water use tradeoffs in species </w:t>
      </w:r>
      <w:r w:rsidR="00097A1D">
        <w:t xml:space="preserve">capable of associating with symbiotic nitrogen-fixing bacteria, which is important to understand due to the </w:t>
      </w:r>
      <w:r w:rsidR="00BF7930">
        <w:t xml:space="preserve">high </w:t>
      </w:r>
      <w:r w:rsidR="00097A1D">
        <w:t>energetic costs of nitrogen fixation</w:t>
      </w:r>
      <w:r w:rsidR="00BF7930">
        <w:t xml:space="preserve"> </w:t>
      </w:r>
      <w:r w:rsidR="00BF7930">
        <w:fldChar w:fldCharType="begin" w:fldLock="1"/>
      </w:r>
      <w:r w:rsidR="00C70400">
        <w:instrText>ADDIN CSL_CITATION {"citationItems":[{"id":"ITEM-1","itemData":{"DOI":"10.1086/283858","ISSN":"0003-0147","abstract":"Eleven features of nitrogen metabolism in the plant and in the ecosystem are delineated, each appearing to have negative survival value, especially negative effects on yield. These include apparent failures in controls over N2 fixation and over nitrate uptake; preventable energy losses in soil microbial metabolism and in root reduction in nitrate; preventable mass losses of nitrogen via denitrification and ammonia volatilization, and insufficient partitioning of photosynthetic energy to support N2 fixation in N-limited ecosystems. A quantitative examination of the energetics of metabolizing N2, NH3, and NO3 - reveals behind often high costs some energy inefficiencies required for sufficiently fast kinetics and some compromises with other metabolisms. Cost: benefit ratios can be defined for assimilation of the three forms of N, and each ratio may vary significantly according to other physiological demands, such as pH control at the rhizosphere or stomatal closure for efficient use of water. For the individual plant, I then proposed a number of metabolic principles based on the energetics inside the plant, suitably constrained, and also compromised with the metabolic strategy of soil bacteria. These principles rank-order the preferences for N sources. They also outline complementary roles for normal fast or feedback controls based on immediate environmental variations, integrative controls over relative growth rates of tissues, and nonnutritional controls that schedule maturation. The overall view is that plants in their N-nutrition follow a set of quantifiable strategies, or simple patterns in metabolic adaptations to varied conditions. The goal is to maximize yield over a range of conditions, but at times to sacrifice yield potential for clear requirements such as early competitiveness in canopy expansion. The strategies are heavily conditioned by energetics. Indeed, many are principally patterns of optimally allocating photosynthetic (energy) resources between alternatives such as N2 versus NO3 - assimilation. I note that agricultural breeding to alter adaptation ranges and to increase yield readily incurs conflicts of desired traits, such as that between ability to use high levels of fertilizer N and ability to mature. I propose that conflicts are easier to foresee between strategies (controlled blocks of biochemical activities, in genetically fixed patterns) than between individual biochemical activities. A second general use of the strategic view ma…","author":[{"dropping-particle":"","family":"Gutschick","given":"Vincent P","non-dropping-particle":"","parse-names":false,"suffix":""}],"container-title":"The American Naturalist","id":"ITEM-1","issue":"5","issued":{"date-parts":[["1981","11"]]},"page":"607-637","title":"Evolved strategies in nitrogen acquisition by plants","type":"article-journal","volume":"118"},"uris":["http://www.mendeley.com/documents/?uuid=1c3a9353-36db-4bd4-a8e4-23c7335f696e"]}],"mendeley":{"formattedCitation":"(Gutschick, 1981)","plainTextFormattedCitation":"(Gutschick, 1981)","previouslyFormattedCitation":"(Gutschick, 1981)"},"properties":{"noteIndex":0},"schema":"https://github.com/citation-style-language/schema/raw/master/csl-citation.json"}</w:instrText>
      </w:r>
      <w:r w:rsidR="00BF7930">
        <w:fldChar w:fldCharType="separate"/>
      </w:r>
      <w:r w:rsidR="00BF7930" w:rsidRPr="00BF7930">
        <w:rPr>
          <w:noProof/>
        </w:rPr>
        <w:t>(Gutschick, 1981)</w:t>
      </w:r>
      <w:r w:rsidR="00BF7930">
        <w:fldChar w:fldCharType="end"/>
      </w:r>
      <w:r w:rsidR="00D17106">
        <w:t>,</w:t>
      </w:r>
      <w:r w:rsidR="00C70400">
        <w:t xml:space="preserve"> the ability of </w:t>
      </w:r>
      <w:r w:rsidR="006D3E93">
        <w:t xml:space="preserve">nitrogen-fixing </w:t>
      </w:r>
      <w:r w:rsidR="00C70400">
        <w:t xml:space="preserve">species to rapidly shift from nitrogen fixation to direct uptake when costs of nitrogen fixation are no longer beneficial </w:t>
      </w:r>
      <w:r w:rsidR="00C70400">
        <w:fldChar w:fldCharType="begin" w:fldLock="1"/>
      </w:r>
      <w:r w:rsidR="004940A0">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id":"ITEM-2","itemData":{"DOI":"10.1007/s10021-001-0018-z","ISSN":"1432-9840","author":[{"dropping-particle":"","family":"Rastetter","given":"E B","non-dropping-particle":"","parse-names":false,"suffix":""},{"dropping-particle":"","family":"Vitousek","given":"Peter M","non-dropping-particle":"","parse-names":false,"suffix":""},{"dropping-particle":"","family":"Field","given":"Christopher B","non-dropping-particle":"","parse-names":false,"suffix":""},{"dropping-particle":"","family":"Shaver","given":"G R","non-dropping-particle":"","parse-names":false,"suffix":""},{"dropping-particle":"","family":"Herbert","given":"D","non-dropping-particle":"","parse-names":false,"suffix":""},{"dropping-particle":"","family":"Ågren","given":"Göran I","non-dropping-particle":"","parse-names":false,"suffix":""}],"container-title":"Ecosystems","id":"ITEM-2","issue":"4","issued":{"date-parts":[["2001","7","1"]]},"page":"369-388","title":"Resource optimization and symbiotic nitrogen fixation","type":"article-journal","volume":"4"},"uris":["http://www.mendeley.com/documents/?uuid=5f7192cc-7244-42a5-a23f-57f5715a703f"]}],"mendeley":{"formattedCitation":"(Perkowski et al., 2021; Rastetter et al., 2001)","plainTextFormattedCitation":"(Perkowski et al., 2021; Rastetter et al., 2001)","previouslyFormattedCitation":"(Perkowski et al., 2021; Rastetter et al., 2001)"},"properties":{"noteIndex":0},"schema":"https://github.com/citation-style-language/schema/raw/master/csl-citation.json"}</w:instrText>
      </w:r>
      <w:r w:rsidR="00C70400">
        <w:fldChar w:fldCharType="separate"/>
      </w:r>
      <w:r w:rsidR="00C70400" w:rsidRPr="00C70400">
        <w:rPr>
          <w:noProof/>
        </w:rPr>
        <w:t>(Perkowski et al., 2021; Rastetter et al., 2001)</w:t>
      </w:r>
      <w:r w:rsidR="00C70400">
        <w:fldChar w:fldCharType="end"/>
      </w:r>
      <w:r w:rsidR="00D17106">
        <w:t xml:space="preserve">, and </w:t>
      </w:r>
      <w:r w:rsidR="00DA425E">
        <w:t>the ability of nitrogen-fixing species to increase nutrient inputs and sustain organic carbon pools in agroecosystems ().</w:t>
      </w:r>
    </w:p>
    <w:p w14:paraId="71FD1459" w14:textId="62894202" w:rsidR="00C70400" w:rsidRPr="00C70400" w:rsidRDefault="00FF7948" w:rsidP="00A754EC">
      <w:pPr>
        <w:spacing w:line="360" w:lineRule="auto"/>
        <w:ind w:firstLine="720"/>
      </w:pPr>
      <w:r>
        <w:t xml:space="preserve">In this study, </w:t>
      </w:r>
      <w:r w:rsidR="00FD777D">
        <w:t xml:space="preserve">we </w:t>
      </w:r>
      <w:r>
        <w:t>grew</w:t>
      </w:r>
      <w:r w:rsidR="00C70400">
        <w:t xml:space="preserve"> </w:t>
      </w:r>
      <w:r w:rsidR="00C70400">
        <w:rPr>
          <w:i/>
          <w:iCs/>
        </w:rPr>
        <w:t>Glycine max</w:t>
      </w:r>
      <w:r w:rsidR="00C70400">
        <w:t xml:space="preserve"> L. (</w:t>
      </w:r>
      <w:proofErr w:type="spellStart"/>
      <w:r w:rsidR="00C70400">
        <w:t>Merr</w:t>
      </w:r>
      <w:proofErr w:type="spellEnd"/>
      <w:r w:rsidR="00C70400">
        <w:t>.) under two soil nitrogen fertilization treatments and two inoculation treatments in a full factorial greenhouse experiment. We used this experiment to test the following hypotheses:</w:t>
      </w:r>
    </w:p>
    <w:p w14:paraId="56D3CF0F" w14:textId="1DE03667" w:rsidR="00E8768C" w:rsidRDefault="00E8768C" w:rsidP="00A754EC">
      <w:pPr>
        <w:pStyle w:val="ListParagraph"/>
        <w:numPr>
          <w:ilvl w:val="0"/>
          <w:numId w:val="4"/>
        </w:numPr>
        <w:spacing w:line="360" w:lineRule="auto"/>
      </w:pPr>
      <w:r>
        <w:t>S</w:t>
      </w:r>
      <w:r w:rsidR="00FF7948">
        <w:t>oil nitrogen fertilization w</w:t>
      </w:r>
      <w:r>
        <w:t xml:space="preserve">ill </w:t>
      </w:r>
      <w:r w:rsidR="00FF7948">
        <w:t>increase whole plant growth through an increase in total leaf area</w:t>
      </w:r>
      <w:r w:rsidR="00D01503">
        <w:t>, which w</w:t>
      </w:r>
      <w:r>
        <w:t>ill</w:t>
      </w:r>
      <w:r w:rsidR="00D01503">
        <w:t xml:space="preserve"> increase whole </w:t>
      </w:r>
      <w:r>
        <w:t>plant growth</w:t>
      </w:r>
      <w:r w:rsidR="00FF7948">
        <w:t xml:space="preserve">. </w:t>
      </w:r>
      <w:r w:rsidR="00C41A80">
        <w:t>I</w:t>
      </w:r>
      <w:r w:rsidR="00FF7948">
        <w:t>noculation w</w:t>
      </w:r>
      <w:r>
        <w:t>ill</w:t>
      </w:r>
      <w:r w:rsidR="00FF7948">
        <w:t xml:space="preserve"> also increase </w:t>
      </w:r>
      <w:r>
        <w:t xml:space="preserve">total leaf area and </w:t>
      </w:r>
      <w:r w:rsidR="00FF7948">
        <w:t>whole plant growth, but only under the low soil nitrogen treatment</w:t>
      </w:r>
      <w:r w:rsidR="0038171F">
        <w:t xml:space="preserve">. </w:t>
      </w:r>
      <w:r w:rsidR="0038171F">
        <w:lastRenderedPageBreak/>
        <w:t>We expect that this would be</w:t>
      </w:r>
      <w:r w:rsidR="00FF7948">
        <w:t xml:space="preserve"> due to a reduction in nodulation</w:t>
      </w:r>
      <w:r w:rsidR="0038171F">
        <w:t xml:space="preserve"> and increase in direct uptake</w:t>
      </w:r>
      <w:r w:rsidR="00D01503">
        <w:t xml:space="preserve"> with increasing fertilization</w:t>
      </w:r>
      <w:r w:rsidR="0038171F">
        <w:t>.</w:t>
      </w:r>
    </w:p>
    <w:p w14:paraId="596FA6A2" w14:textId="09E614FC" w:rsidR="00E8768C" w:rsidRDefault="00E8768C" w:rsidP="00A754EC">
      <w:pPr>
        <w:pStyle w:val="ListParagraph"/>
        <w:numPr>
          <w:ilvl w:val="0"/>
          <w:numId w:val="4"/>
        </w:numPr>
        <w:spacing w:line="360" w:lineRule="auto"/>
      </w:pPr>
      <w:r>
        <w:t>S</w:t>
      </w:r>
      <w:r w:rsidR="008F6058">
        <w:t>oil nitrogen fertilization w</w:t>
      </w:r>
      <w:r>
        <w:t>ill</w:t>
      </w:r>
      <w:r w:rsidR="008F6058">
        <w:t xml:space="preserve"> increase </w:t>
      </w:r>
      <w:r w:rsidR="00FF7948">
        <w:t xml:space="preserve">leaf nitrogen per stomatal conductance through an increase in leaf nitrogen allocation </w:t>
      </w:r>
      <w:r w:rsidR="00231617">
        <w:t xml:space="preserve">and reduction in stomatal conductance. </w:t>
      </w:r>
      <w:r w:rsidR="00C41A80">
        <w:t>T</w:t>
      </w:r>
      <w:r w:rsidR="00231617">
        <w:t xml:space="preserve">his response </w:t>
      </w:r>
      <w:r>
        <w:t>will</w:t>
      </w:r>
      <w:r w:rsidR="00231617">
        <w:t xml:space="preserve"> be driven by a reduction in the carbon cost of acquiring nitrogen versus water, causing individuals to sacrifice inefficient nitrogen</w:t>
      </w:r>
      <w:r>
        <w:t xml:space="preserve"> use</w:t>
      </w:r>
      <w:r w:rsidR="00231617">
        <w:t xml:space="preserve"> for more efficient</w:t>
      </w:r>
      <w:r>
        <w:t xml:space="preserve"> water</w:t>
      </w:r>
      <w:r w:rsidR="00231617">
        <w:t xml:space="preserve"> use.</w:t>
      </w:r>
      <w:r w:rsidR="00D01503">
        <w:t xml:space="preserve"> We </w:t>
      </w:r>
      <w:r w:rsidR="00C41A80">
        <w:t>expect</w:t>
      </w:r>
      <w:r w:rsidR="00D01503">
        <w:t xml:space="preserve"> that inoculation w</w:t>
      </w:r>
      <w:r>
        <w:t>ill</w:t>
      </w:r>
      <w:r w:rsidR="00D01503">
        <w:t xml:space="preserve"> increase the magnitude of nitrogen-water </w:t>
      </w:r>
      <w:r w:rsidR="00DA425E">
        <w:t>tradeoffs but</w:t>
      </w:r>
      <w:r w:rsidR="00D01503">
        <w:t xml:space="preserve"> w</w:t>
      </w:r>
      <w:r>
        <w:t>ill</w:t>
      </w:r>
      <w:r w:rsidR="00D01503">
        <w:t xml:space="preserve"> only be observed </w:t>
      </w:r>
      <w:r>
        <w:t>in</w:t>
      </w:r>
      <w:r w:rsidR="00D01503">
        <w:t xml:space="preserve"> the low soil nitrogen treatment</w:t>
      </w:r>
      <w:r w:rsidR="0038171F">
        <w:t xml:space="preserve"> due </w:t>
      </w:r>
      <w:r w:rsidR="00DA425E">
        <w:t>to shifts away from nitrogen fixation with increasing fertilization</w:t>
      </w:r>
      <w:r w:rsidR="00D01503">
        <w:t>.</w:t>
      </w:r>
      <w:r w:rsidR="008E2BDE">
        <w:t xml:space="preserve"> </w:t>
      </w:r>
    </w:p>
    <w:p w14:paraId="63C57384" w14:textId="0A8AC1FC" w:rsidR="008E2BDE" w:rsidRPr="00192404" w:rsidRDefault="00E8768C" w:rsidP="00A754EC">
      <w:pPr>
        <w:pStyle w:val="ListParagraph"/>
        <w:numPr>
          <w:ilvl w:val="0"/>
          <w:numId w:val="4"/>
        </w:numPr>
        <w:spacing w:line="360" w:lineRule="auto"/>
      </w:pPr>
      <w:r>
        <w:t>E</w:t>
      </w:r>
      <w:r w:rsidR="008E2BDE">
        <w:t>ffects of soil nitrogen fertilization and inoculation on leaf nitrogen-water use tradeoffs w</w:t>
      </w:r>
      <w:r>
        <w:t>ill</w:t>
      </w:r>
      <w:r w:rsidR="008E2BDE">
        <w:t xml:space="preserve"> depend on whole plant </w:t>
      </w:r>
      <w:r w:rsidR="0038171F">
        <w:t xml:space="preserve">acclimation </w:t>
      </w:r>
      <w:r w:rsidR="00C41A80">
        <w:t>responses</w:t>
      </w:r>
      <w:r w:rsidR="0038171F">
        <w:t xml:space="preserve"> to soil nitrogen availability</w:t>
      </w:r>
      <w:r>
        <w:t xml:space="preserve">. </w:t>
      </w:r>
      <w:r w:rsidR="00C41A80">
        <w:t>W</w:t>
      </w:r>
      <w:r w:rsidR="008E2BDE">
        <w:t>eak</w:t>
      </w:r>
      <w:r w:rsidR="00C41A80">
        <w:t xml:space="preserve"> or null whole plant</w:t>
      </w:r>
      <w:r w:rsidR="008E2BDE">
        <w:t xml:space="preserve"> responses to either soil nitrogen fertilization or inoculation w</w:t>
      </w:r>
      <w:r>
        <w:t>ill</w:t>
      </w:r>
      <w:r w:rsidR="008E2BDE">
        <w:t xml:space="preserve"> enhance leaf nitrogen-water use tradeoffs. However, if soil nitrogen fertilization or inoculation elicit</w:t>
      </w:r>
      <w:r>
        <w:t xml:space="preserve"> </w:t>
      </w:r>
      <w:r w:rsidR="008E2BDE">
        <w:t>strong whole plant growth response</w:t>
      </w:r>
      <w:r>
        <w:t>s</w:t>
      </w:r>
      <w:r w:rsidR="008E2BDE">
        <w:t xml:space="preserve">, then we </w:t>
      </w:r>
      <w:r w:rsidR="0038171F">
        <w:t>expect</w:t>
      </w:r>
      <w:r>
        <w:t xml:space="preserve"> either weak or no effect of these treatments </w:t>
      </w:r>
      <w:r w:rsidR="008E2BDE">
        <w:t>on leaf nitrogen-water use tradeoffs</w:t>
      </w:r>
    </w:p>
    <w:p w14:paraId="5FBCABC9" w14:textId="77777777" w:rsidR="008E2BDE" w:rsidRDefault="008E2BDE" w:rsidP="00A754EC">
      <w:pPr>
        <w:spacing w:line="360" w:lineRule="auto"/>
        <w:rPr>
          <w:b/>
          <w:bCs/>
        </w:rPr>
      </w:pPr>
    </w:p>
    <w:p w14:paraId="3CF5076B" w14:textId="66B59908" w:rsidR="00D67D74" w:rsidRDefault="00D67D74" w:rsidP="00A754EC">
      <w:pPr>
        <w:spacing w:line="360" w:lineRule="auto"/>
      </w:pPr>
      <w:r>
        <w:rPr>
          <w:b/>
          <w:bCs/>
        </w:rPr>
        <w:t>Methods</w:t>
      </w:r>
    </w:p>
    <w:p w14:paraId="382A6306" w14:textId="21CCA58D" w:rsidR="00D67D74" w:rsidRDefault="00D67D74" w:rsidP="00A754EC">
      <w:pPr>
        <w:spacing w:line="360" w:lineRule="auto"/>
      </w:pPr>
      <w:r>
        <w:rPr>
          <w:i/>
          <w:iCs/>
        </w:rPr>
        <w:t>Experimental Design</w:t>
      </w:r>
    </w:p>
    <w:p w14:paraId="1D16EEDF" w14:textId="4D4DD807" w:rsidR="00FF6F53" w:rsidRDefault="0011017D" w:rsidP="00A754EC">
      <w:pPr>
        <w:spacing w:line="360" w:lineRule="auto"/>
        <w:ind w:firstLine="720"/>
        <w:rPr>
          <w:rFonts w:cs="Times New Roman"/>
        </w:rPr>
      </w:pPr>
      <w:r>
        <w:rPr>
          <w:i/>
          <w:iCs/>
        </w:rPr>
        <w:t>Glycine max</w:t>
      </w:r>
      <w:r>
        <w:t xml:space="preserve"> </w:t>
      </w:r>
      <w:r w:rsidR="00ED1628">
        <w:t xml:space="preserve">seeds </w:t>
      </w:r>
      <w:r>
        <w:t xml:space="preserve">were planted in </w:t>
      </w:r>
      <w:r w:rsidR="0089764A">
        <w:t xml:space="preserve">64 </w:t>
      </w:r>
      <w:r>
        <w:t>6-liter pots (</w:t>
      </w:r>
      <w:r w:rsidR="007B6BD6">
        <w:t>NS-600, Nursery Supplies, Orange, CA, USA</w:t>
      </w:r>
      <w:r>
        <w:t>) containing unfertilized potting mix (</w:t>
      </w:r>
      <w:proofErr w:type="spellStart"/>
      <w:r>
        <w:t>Sungro</w:t>
      </w:r>
      <w:proofErr w:type="spellEnd"/>
      <w:r>
        <w:t xml:space="preserve"> Sunshine Mix #2, </w:t>
      </w:r>
      <w:r w:rsidRPr="007B6BD6">
        <w:t>Agawam, MA, USA)</w:t>
      </w:r>
      <w:r w:rsidR="007B6BD6" w:rsidRPr="007B6BD6">
        <w:t>.</w:t>
      </w:r>
      <w:r w:rsidR="007B6BD6">
        <w:t xml:space="preserve"> </w:t>
      </w:r>
      <w:r w:rsidR="0089764A">
        <w:t>Pots and potting mix were steam s</w:t>
      </w:r>
      <w:r w:rsidR="00F83744">
        <w:t>terilized</w:t>
      </w:r>
      <w:r w:rsidR="0089764A">
        <w:t xml:space="preserve"> at </w:t>
      </w:r>
      <w:r w:rsidR="00534BFA">
        <w:t>95</w:t>
      </w:r>
      <w:r w:rsidR="0089764A" w:rsidRPr="00863849">
        <w:rPr>
          <w:rFonts w:ascii="Symbol" w:eastAsia="Symbol" w:hAnsi="Symbol" w:cs="Symbol"/>
          <w:color w:val="000000"/>
        </w:rPr>
        <w:t></w:t>
      </w:r>
      <w:r w:rsidR="0089764A" w:rsidRPr="00863849">
        <w:rPr>
          <w:color w:val="000000"/>
        </w:rPr>
        <w:t>C</w:t>
      </w:r>
      <w:r w:rsidR="0089764A">
        <w:t xml:space="preserve"> for </w:t>
      </w:r>
      <w:commentRangeStart w:id="1"/>
      <w:r w:rsidR="00BC7961">
        <w:t>4</w:t>
      </w:r>
      <w:commentRangeEnd w:id="1"/>
      <w:r w:rsidR="00BC7961">
        <w:rPr>
          <w:rStyle w:val="CommentReference"/>
          <w:rFonts w:eastAsia="Times New Roman" w:cs="Times New Roman"/>
        </w:rPr>
        <w:commentReference w:id="1"/>
      </w:r>
      <w:r w:rsidR="0089764A">
        <w:t xml:space="preserve"> hours to eliminate any bacterial or fungal growth. Thirty-two randomly selected pots were</w:t>
      </w:r>
      <w:r w:rsidR="00D373FB">
        <w:t xml:space="preserve"> planted with seeds</w:t>
      </w:r>
      <w:r w:rsidR="0089764A">
        <w:t xml:space="preserve"> inoculated with </w:t>
      </w:r>
      <w:proofErr w:type="spellStart"/>
      <w:r w:rsidR="007B6BD6" w:rsidRPr="007B6BD6">
        <w:rPr>
          <w:rFonts w:cs="Times New Roman"/>
          <w:i/>
          <w:iCs/>
        </w:rPr>
        <w:t>Bradyrhizobium</w:t>
      </w:r>
      <w:proofErr w:type="spellEnd"/>
      <w:r w:rsidR="007B6BD6" w:rsidRPr="007B6BD6">
        <w:rPr>
          <w:rFonts w:cs="Times New Roman"/>
          <w:i/>
          <w:iCs/>
        </w:rPr>
        <w:t xml:space="preserve"> japonicum</w:t>
      </w:r>
      <w:r w:rsidR="007B6BD6" w:rsidRPr="007B6BD6">
        <w:rPr>
          <w:rFonts w:cs="Times New Roman"/>
        </w:rPr>
        <w:t xml:space="preserve"> (</w:t>
      </w:r>
      <w:proofErr w:type="spellStart"/>
      <w:r w:rsidR="007B6BD6" w:rsidRPr="007B6BD6">
        <w:rPr>
          <w:rFonts w:cs="Times New Roman"/>
        </w:rPr>
        <w:t>Verdesian</w:t>
      </w:r>
      <w:proofErr w:type="spellEnd"/>
      <w:r w:rsidR="007B6BD6" w:rsidRPr="007B6BD6">
        <w:rPr>
          <w:rFonts w:cs="Times New Roman"/>
        </w:rPr>
        <w:t xml:space="preserve"> N-Dure™ Soybean,</w:t>
      </w:r>
      <w:r w:rsidR="007B6BD6">
        <w:rPr>
          <w:rFonts w:cs="Times New Roman"/>
        </w:rPr>
        <w:t xml:space="preserve"> Cary, NC, USA)</w:t>
      </w:r>
      <w:r w:rsidR="00675662">
        <w:rPr>
          <w:rFonts w:cs="Times New Roman"/>
        </w:rPr>
        <w:t xml:space="preserve"> following a brief surface sterilization in </w:t>
      </w:r>
      <w:r w:rsidR="005A7A45" w:rsidRPr="0038171F">
        <w:rPr>
          <w:rFonts w:cs="Times New Roman"/>
          <w:highlight w:val="yellow"/>
        </w:rPr>
        <w:t>XX</w:t>
      </w:r>
      <w:r w:rsidR="00675662">
        <w:rPr>
          <w:rFonts w:cs="Times New Roman"/>
        </w:rPr>
        <w:t xml:space="preserve">% </w:t>
      </w:r>
      <w:r w:rsidR="00534BFA">
        <w:rPr>
          <w:rFonts w:cs="Times New Roman"/>
        </w:rPr>
        <w:t>sodium hypochlorite</w:t>
      </w:r>
      <w:r w:rsidR="0038171F">
        <w:rPr>
          <w:rFonts w:cs="Times New Roman"/>
        </w:rPr>
        <w:t xml:space="preserve"> for </w:t>
      </w:r>
      <w:r w:rsidR="0038171F" w:rsidRPr="0038171F">
        <w:rPr>
          <w:rFonts w:cs="Times New Roman"/>
          <w:highlight w:val="yellow"/>
        </w:rPr>
        <w:t>XX</w:t>
      </w:r>
      <w:r w:rsidR="0038171F">
        <w:rPr>
          <w:rFonts w:cs="Times New Roman"/>
        </w:rPr>
        <w:t xml:space="preserve"> minutes followed three (</w:t>
      </w:r>
      <w:r w:rsidR="0038171F" w:rsidRPr="0038171F">
        <w:rPr>
          <w:rFonts w:cs="Times New Roman"/>
          <w:highlight w:val="yellow"/>
        </w:rPr>
        <w:t>?</w:t>
      </w:r>
      <w:r w:rsidR="0038171F">
        <w:rPr>
          <w:rFonts w:cs="Times New Roman"/>
        </w:rPr>
        <w:t>)</w:t>
      </w:r>
      <w:r w:rsidR="00DA425E">
        <w:rPr>
          <w:rFonts w:cs="Times New Roman"/>
        </w:rPr>
        <w:t xml:space="preserve"> washes in</w:t>
      </w:r>
      <w:r w:rsidR="0038171F">
        <w:rPr>
          <w:rFonts w:cs="Times New Roman"/>
        </w:rPr>
        <w:t xml:space="preserve"> ultrapure water</w:t>
      </w:r>
      <w:r w:rsidR="00D373FB">
        <w:rPr>
          <w:rFonts w:cs="Times New Roman"/>
        </w:rPr>
        <w:t xml:space="preserve">. </w:t>
      </w:r>
      <w:r w:rsidR="0089764A">
        <w:rPr>
          <w:rFonts w:cs="Times New Roman"/>
        </w:rPr>
        <w:t xml:space="preserve">The remaining </w:t>
      </w:r>
      <w:r w:rsidR="00912680">
        <w:rPr>
          <w:rFonts w:cs="Times New Roman"/>
        </w:rPr>
        <w:t xml:space="preserve">32 </w:t>
      </w:r>
      <w:r w:rsidR="0089764A">
        <w:rPr>
          <w:rFonts w:cs="Times New Roman"/>
        </w:rPr>
        <w:t xml:space="preserve">pots </w:t>
      </w:r>
      <w:r w:rsidR="00651708">
        <w:rPr>
          <w:rFonts w:cs="Times New Roman"/>
        </w:rPr>
        <w:t xml:space="preserve">were planted with seeds that did not receive </w:t>
      </w:r>
      <w:r w:rsidR="0089764A">
        <w:rPr>
          <w:rFonts w:cs="Times New Roman"/>
        </w:rPr>
        <w:t>any inoculation</w:t>
      </w:r>
      <w:r w:rsidR="00912680">
        <w:rPr>
          <w:rFonts w:cs="Times New Roman"/>
        </w:rPr>
        <w:t xml:space="preserve"> treatment</w:t>
      </w:r>
      <w:r w:rsidR="00ED1628">
        <w:rPr>
          <w:rFonts w:cs="Times New Roman"/>
        </w:rPr>
        <w:t xml:space="preserve">. Uninoculated seeds were also surface sterilized in </w:t>
      </w:r>
      <w:r w:rsidR="005A7A45" w:rsidRPr="0038171F">
        <w:rPr>
          <w:rFonts w:cs="Times New Roman"/>
          <w:highlight w:val="yellow"/>
        </w:rPr>
        <w:t>XX</w:t>
      </w:r>
      <w:r w:rsidR="00ED1628">
        <w:rPr>
          <w:rFonts w:cs="Times New Roman"/>
        </w:rPr>
        <w:t xml:space="preserve">% </w:t>
      </w:r>
      <w:r w:rsidR="00534BFA">
        <w:rPr>
          <w:rFonts w:cs="Times New Roman"/>
        </w:rPr>
        <w:t>sodium hypochlorit</w:t>
      </w:r>
      <w:r w:rsidR="0038171F">
        <w:rPr>
          <w:rFonts w:cs="Times New Roman"/>
        </w:rPr>
        <w:t xml:space="preserve">e for </w:t>
      </w:r>
      <w:r w:rsidR="0038171F" w:rsidRPr="007F426D">
        <w:rPr>
          <w:rFonts w:cs="Times New Roman"/>
          <w:highlight w:val="yellow"/>
        </w:rPr>
        <w:t>XX</w:t>
      </w:r>
      <w:r w:rsidR="0038171F">
        <w:rPr>
          <w:rFonts w:cs="Times New Roman"/>
        </w:rPr>
        <w:t xml:space="preserve"> minutes followed by three ultrapure water washes</w:t>
      </w:r>
      <w:r w:rsidR="00C41A80">
        <w:rPr>
          <w:rFonts w:cs="Times New Roman"/>
        </w:rPr>
        <w:t xml:space="preserve"> to ensure that the only difference between seed treatments was the inoculation treatment</w:t>
      </w:r>
      <w:r w:rsidR="0038171F">
        <w:rPr>
          <w:rFonts w:cs="Times New Roman"/>
        </w:rPr>
        <w:t>.</w:t>
      </w:r>
    </w:p>
    <w:p w14:paraId="42F7CA6B" w14:textId="54E7F0E9" w:rsidR="00D67D74" w:rsidRPr="00412BAB" w:rsidRDefault="00912680" w:rsidP="00A754EC">
      <w:pPr>
        <w:autoSpaceDE w:val="0"/>
        <w:autoSpaceDN w:val="0"/>
        <w:adjustRightInd w:val="0"/>
        <w:spacing w:line="360" w:lineRule="auto"/>
        <w:ind w:firstLine="720"/>
        <w:rPr>
          <w:rFonts w:cs="Times New Roman"/>
        </w:rPr>
      </w:pPr>
      <w:r>
        <w:rPr>
          <w:rFonts w:cs="Times New Roman"/>
        </w:rPr>
        <w:t xml:space="preserve">Upon planting, </w:t>
      </w:r>
      <w:r w:rsidR="00675662">
        <w:rPr>
          <w:rFonts w:cs="Times New Roman"/>
        </w:rPr>
        <w:t xml:space="preserve">all </w:t>
      </w:r>
      <w:r>
        <w:rPr>
          <w:rFonts w:cs="Times New Roman"/>
        </w:rPr>
        <w:t>p</w:t>
      </w:r>
      <w:r w:rsidR="007B6BD6">
        <w:rPr>
          <w:rFonts w:cs="Times New Roman"/>
        </w:rPr>
        <w:t xml:space="preserve">ots were </w:t>
      </w:r>
      <w:r w:rsidR="0089764A">
        <w:rPr>
          <w:rFonts w:cs="Times New Roman"/>
        </w:rPr>
        <w:t xml:space="preserve">immediately </w:t>
      </w:r>
      <w:r w:rsidR="007B6BD6">
        <w:rPr>
          <w:rFonts w:cs="Times New Roman"/>
        </w:rPr>
        <w:t xml:space="preserve">placed in </w:t>
      </w:r>
      <w:r w:rsidR="0089764A">
        <w:rPr>
          <w:rFonts w:cs="Times New Roman"/>
        </w:rPr>
        <w:t>one of four random blocks in a greenhouse</w:t>
      </w:r>
      <w:r>
        <w:rPr>
          <w:rFonts w:cs="Times New Roman"/>
        </w:rPr>
        <w:t xml:space="preserve"> and received one </w:t>
      </w:r>
      <w:r w:rsidR="007B6BD6">
        <w:rPr>
          <w:rFonts w:cs="Times New Roman"/>
        </w:rPr>
        <w:t xml:space="preserve">of two nitrogen fertilization treatments as 150 mL of a modified Hoagland’s solution </w:t>
      </w:r>
      <w:r w:rsidR="007B6BD6">
        <w:rPr>
          <w:rFonts w:cs="Times New Roman"/>
        </w:rPr>
        <w:fldChar w:fldCharType="begin" w:fldLock="1"/>
      </w:r>
      <w:r w:rsidR="001D4CE3">
        <w:rPr>
          <w:rFonts w:cs="Times New Roman"/>
        </w:rPr>
        <w:instrText>ADDIN CSL_CITATION {"citationItems":[{"id":"ITEM-1","itemData":{"abstract":"This is a revised edition of a popular account issued in 1938 H.A., 10: 28 based on the investigations of the two authors. Since then, experience in the U.S.A. and elsewhere has failed, in the authors' opinion, to support the early exaggerated claims for the value of the technique. Their experience leads to the conclusion that for its successful operation a knowledge of plant physiology is essential, that its commercial application is only likely to be successful under limited conditions and expert supervision, and that its results are rarely superior to those of soil culture. If, despite this, the would-be \"nutriculturist\" persists, he will find much to encourage and enlighten him on pp. 23-32, which contain directions on type of container, nature of bed, aeration of root system, planting procedures, the management of solutions, selection and preparation of solution, and the use of nutrient solutions for demonstrating mineral deficiencies.","author":[{"dropping-particle":"","family":"Hoagland","given":"Dennis R","non-dropping-particle":"","parse-names":false,"suffix":""},{"dropping-particle":"","family":"Arnon","given":"Daniel I","non-dropping-particle":"","parse-names":false,"suffix":""}],"container-title":"California Agricultural Experiment Station: 347","id":"ITEM-1","issue":"2","issued":{"date-parts":[["1950"]]},"page":"1-32","publisher":"California Agricultural Experiment Station: 347","title":"The water-culture method for growing plants without soil","type":"article-journal","volume":"347"},"uris":["http://www.mendeley.com/documents/?uuid=dd11fb6a-bf0e-4621-ae2a-1fd2345a784e"]}],"mendeley":{"formattedCitation":"(Hoagland &amp; Arnon, 1950)","plainTextFormattedCitation":"(Hoagland &amp; Arnon, 1950)","previouslyFormattedCitation":"(Hoagland &amp; Arnon, 1950)"},"properties":{"noteIndex":0},"schema":"https://github.com/citation-style-language/schema/raw/master/csl-citation.json"}</w:instrText>
      </w:r>
      <w:r w:rsidR="007B6BD6">
        <w:rPr>
          <w:rFonts w:cs="Times New Roman"/>
        </w:rPr>
        <w:fldChar w:fldCharType="separate"/>
      </w:r>
      <w:r w:rsidR="007B6BD6" w:rsidRPr="007B6BD6">
        <w:rPr>
          <w:rFonts w:cs="Times New Roman"/>
          <w:noProof/>
        </w:rPr>
        <w:t>(Hoagland &amp; Arnon, 1950)</w:t>
      </w:r>
      <w:r w:rsidR="007B6BD6">
        <w:rPr>
          <w:rFonts w:cs="Times New Roman"/>
        </w:rPr>
        <w:fldChar w:fldCharType="end"/>
      </w:r>
      <w:r w:rsidR="007B6BD6">
        <w:rPr>
          <w:rFonts w:cs="Times New Roman"/>
        </w:rPr>
        <w:t xml:space="preserve"> equivalent to either 70 or 630 ppm N twice per </w:t>
      </w:r>
      <w:r w:rsidR="007B6BD6">
        <w:rPr>
          <w:rFonts w:cs="Times New Roman"/>
        </w:rPr>
        <w:lastRenderedPageBreak/>
        <w:t>week</w:t>
      </w:r>
      <w:r w:rsidR="0089764A">
        <w:rPr>
          <w:rFonts w:cs="Times New Roman"/>
        </w:rPr>
        <w:t xml:space="preserve"> for a span of </w:t>
      </w:r>
      <w:r w:rsidR="0089764A" w:rsidRPr="00EE5B74">
        <w:rPr>
          <w:rFonts w:cs="Times New Roman"/>
          <w:highlight w:val="yellow"/>
        </w:rPr>
        <w:t>s</w:t>
      </w:r>
      <w:r w:rsidR="00150CFB">
        <w:rPr>
          <w:rFonts w:cs="Times New Roman"/>
          <w:highlight w:val="yellow"/>
        </w:rPr>
        <w:t>even</w:t>
      </w:r>
      <w:r w:rsidR="0089764A" w:rsidRPr="00EE5B74">
        <w:rPr>
          <w:rFonts w:cs="Times New Roman"/>
          <w:highlight w:val="yellow"/>
        </w:rPr>
        <w:t xml:space="preserve"> weeks</w:t>
      </w:r>
      <w:r w:rsidR="007B6BD6">
        <w:rPr>
          <w:rFonts w:cs="Times New Roman"/>
        </w:rPr>
        <w:t>. Nitrogen fertilization doses were received as topical agents to the soil surface and were modified to keep concentrations of other macro</w:t>
      </w:r>
      <w:r w:rsidR="007B12CC">
        <w:rPr>
          <w:rFonts w:cs="Times New Roman"/>
        </w:rPr>
        <w:t>nutrients</w:t>
      </w:r>
      <w:r w:rsidR="007B6BD6">
        <w:rPr>
          <w:rFonts w:cs="Times New Roman"/>
        </w:rPr>
        <w:t xml:space="preserve"> and micronutrients equivalent</w:t>
      </w:r>
      <w:r w:rsidR="0089764A">
        <w:rPr>
          <w:rFonts w:cs="Times New Roman"/>
        </w:rPr>
        <w:t xml:space="preserve"> (</w:t>
      </w:r>
      <w:r w:rsidR="0089764A" w:rsidRPr="00080882">
        <w:rPr>
          <w:rFonts w:cs="Times New Roman"/>
        </w:rPr>
        <w:t>Table S1</w:t>
      </w:r>
      <w:r w:rsidR="0089764A">
        <w:rPr>
          <w:rFonts w:cs="Times New Roman"/>
        </w:rPr>
        <w:t>)</w:t>
      </w:r>
      <w:r w:rsidR="007B6BD6">
        <w:rPr>
          <w:rFonts w:cs="Times New Roman"/>
        </w:rPr>
        <w:t xml:space="preserve">. </w:t>
      </w:r>
      <w:r w:rsidR="00926F7B">
        <w:rPr>
          <w:rFonts w:cs="Times New Roman"/>
        </w:rPr>
        <w:t>Throughout the experiment, p</w:t>
      </w:r>
      <w:r w:rsidR="007B6BD6">
        <w:rPr>
          <w:rFonts w:cs="Times New Roman"/>
        </w:rPr>
        <w:t xml:space="preserve">lants were routinely well-watered to </w:t>
      </w:r>
      <w:r w:rsidR="007B12CC">
        <w:rPr>
          <w:rFonts w:cs="Times New Roman"/>
        </w:rPr>
        <w:t>minimize any chance of</w:t>
      </w:r>
      <w:r w:rsidR="007B6BD6">
        <w:rPr>
          <w:rFonts w:cs="Times New Roman"/>
        </w:rPr>
        <w:t xml:space="preserve"> water stress</w:t>
      </w:r>
      <w:r>
        <w:rPr>
          <w:rFonts w:cs="Times New Roman"/>
        </w:rPr>
        <w:t>.</w:t>
      </w:r>
      <w:r w:rsidR="00412BAB">
        <w:rPr>
          <w:rFonts w:cs="Times New Roman"/>
        </w:rPr>
        <w:t xml:space="preserve"> There was no evidence of pot size induced growth limitation at the time of biomass harvest, indicated by marginal mean whole plant biomass: pot volume ratios less than 1 g L</w:t>
      </w:r>
      <w:r w:rsidR="00412BAB">
        <w:rPr>
          <w:rFonts w:cs="Times New Roman"/>
          <w:vertAlign w:val="superscript"/>
        </w:rPr>
        <w:t>-1</w:t>
      </w:r>
      <w:r w:rsidR="00412BAB">
        <w:rPr>
          <w:rFonts w:cs="Times New Roman"/>
        </w:rPr>
        <w:t xml:space="preserve"> within each treatment combination (</w:t>
      </w:r>
      <w:r w:rsidR="00412BAB" w:rsidRPr="00433868">
        <w:rPr>
          <w:rFonts w:cs="Times New Roman"/>
        </w:rPr>
        <w:t>Table S2; Fig. S1</w:t>
      </w:r>
      <w:r w:rsidR="00412BAB">
        <w:rPr>
          <w:rFonts w:cs="Times New Roman"/>
        </w:rPr>
        <w:t xml:space="preserve">; </w:t>
      </w:r>
      <w:r w:rsidR="00412BAB">
        <w:rPr>
          <w:rFonts w:cs="Times New Roman"/>
        </w:rPr>
        <w:fldChar w:fldCharType="begin" w:fldLock="1"/>
      </w:r>
      <w:r w:rsidR="00412BAB">
        <w:rPr>
          <w:rFonts w:cs="Times New Roman"/>
        </w:rPr>
        <w:instrText xml:space="preserve">ADDIN CSL_CITATION {"citationItems":[{"id":"ITEM-1","itemData":{"DOI":"10.1071/FP12049","ISSN":"14454408","abstract":"The majority of experiments in plant biology use plants grown in some kind of container or pot. We conducted a meta-analysis on 65 studies that analysed the effect of pot size on growth and underlying variables. On average, a doubling of the pot size increased biomass production by 43%. Further analysis of pot size effects on the underlying components of growth suggests that reduced growth in smaller pots is caused mainly by a reduction in photosynthesis per unit leaf area, rather than by changes in leaf morphology or biomass allocation. The appropriate pot size will logically depend on the size of the plants growing in them. Based on various lines of evidence we suggest that an appropriate pot size is one in which the plant biomass does not exceed 1gL-1. In current research practice </w:instrText>
      </w:r>
      <w:r w:rsidR="00412BAB">
        <w:rPr>
          <w:rFonts w:ascii="Cambria Math" w:hAnsi="Cambria Math" w:cs="Cambria Math"/>
        </w:rPr>
        <w:instrText>∼</w:instrText>
      </w:r>
      <w:r w:rsidR="00412BAB">
        <w:rPr>
          <w:rFonts w:cs="Times New Roman"/>
        </w:rPr>
        <w:instrText>65% of the experiments exceed that threshold. We suggest that researchers need to carefully consider the pot size in their experiments, as small pots may change experimental results and defy the purpose of the experiment. © 2012 CSIRO.","author":[{"dropping-particle":"","family":"Poorter","given":"Hendrik","non-dropping-particle":"","parse-names":false,"suffix":""},{"dropping-particle":"","family":"Bühler","given":"Jonas","non-dropping-particle":"","parse-names":false,"suffix":""},{"dropping-particle":"","family":"Dusschoten","given":"Dagmar","non-dropping-particle":"Van","parse-names":false,"suffix":""},{"dropping-particle":"","family":"Climent","given":"Joś","non-dropping-particle":"","parse-names":false,"suffix":""},{"dropping-particle":"","family":"Postma","given":"Johannes A.","non-dropping-particle":"","parse-names":false,"suffix":""}],"container-title":"Functional Plant Biology","id":"ITEM-1","issue":"11","issued":{"date-parts":[["2012"]]},"page":"839-850","title":"Pot size matters: A meta-analysis of the effects of rooting volume on plant growth","type":"article-journal","volume":"39"},"uris":["http://www.mendeley.com/documents/?uuid=d2fc7dd0-f985-4014-a0fc-d0bf916ae5a9"]}],"mendeley":{"formattedCitation":"(Poorter et al., 2012)","manualFormatting":"Poorter et al., 2012)","plainTextFormattedCitation":"(Poorter et al., 2012)","previouslyFormattedCitation":"(Poorter et al., 2012)"},"properties":{"noteIndex":0},"schema":"https://github.com/citation-style-language/schema/raw/master/csl-citation.json"}</w:instrText>
      </w:r>
      <w:r w:rsidR="00412BAB">
        <w:rPr>
          <w:rFonts w:cs="Times New Roman"/>
        </w:rPr>
        <w:fldChar w:fldCharType="separate"/>
      </w:r>
      <w:r w:rsidR="00412BAB" w:rsidRPr="00CF48BE">
        <w:rPr>
          <w:rFonts w:cs="Times New Roman"/>
          <w:noProof/>
        </w:rPr>
        <w:t>Poorte</w:t>
      </w:r>
      <w:r w:rsidR="00412BAB" w:rsidRPr="00412BAB">
        <w:rPr>
          <w:rFonts w:cs="Times New Roman"/>
          <w:noProof/>
        </w:rPr>
        <w:t>r et al., 20</w:t>
      </w:r>
      <w:r w:rsidR="00412BAB" w:rsidRPr="00CF48BE">
        <w:rPr>
          <w:rFonts w:cs="Times New Roman"/>
          <w:noProof/>
        </w:rPr>
        <w:t>12)</w:t>
      </w:r>
      <w:r w:rsidR="00412BAB">
        <w:rPr>
          <w:rFonts w:cs="Times New Roman"/>
        </w:rPr>
        <w:fldChar w:fldCharType="end"/>
      </w:r>
      <w:r w:rsidR="00412BAB">
        <w:rPr>
          <w:rFonts w:cs="Times New Roman"/>
        </w:rPr>
        <w:t>.</w:t>
      </w:r>
    </w:p>
    <w:p w14:paraId="7A34FC86" w14:textId="5DC8ACDE" w:rsidR="00D67D74" w:rsidRDefault="00D67D74" w:rsidP="00A754EC">
      <w:pPr>
        <w:spacing w:line="360" w:lineRule="auto"/>
      </w:pPr>
    </w:p>
    <w:p w14:paraId="20C86C76" w14:textId="171776F8" w:rsidR="00D67D74" w:rsidRPr="00863849" w:rsidRDefault="00D67D74" w:rsidP="00A754EC">
      <w:pPr>
        <w:tabs>
          <w:tab w:val="left" w:pos="593"/>
        </w:tabs>
        <w:autoSpaceDE w:val="0"/>
        <w:autoSpaceDN w:val="0"/>
        <w:adjustRightInd w:val="0"/>
        <w:spacing w:line="360" w:lineRule="auto"/>
        <w:rPr>
          <w:color w:val="000000"/>
        </w:rPr>
      </w:pPr>
      <w:r w:rsidRPr="00863849">
        <w:rPr>
          <w:i/>
          <w:iCs/>
          <w:color w:val="000000"/>
        </w:rPr>
        <w:t xml:space="preserve">Leaf </w:t>
      </w:r>
      <w:r>
        <w:rPr>
          <w:i/>
          <w:iCs/>
          <w:color w:val="000000"/>
        </w:rPr>
        <w:t>gas exchange</w:t>
      </w:r>
      <w:r w:rsidR="00DD0878">
        <w:rPr>
          <w:i/>
          <w:iCs/>
          <w:color w:val="000000"/>
        </w:rPr>
        <w:t xml:space="preserve"> and leaf </w:t>
      </w:r>
      <w:r>
        <w:rPr>
          <w:i/>
          <w:iCs/>
          <w:color w:val="000000"/>
        </w:rPr>
        <w:t>trait measurements</w:t>
      </w:r>
    </w:p>
    <w:p w14:paraId="175181CA" w14:textId="2A2AEAE4" w:rsidR="0022275C" w:rsidRPr="00C57242" w:rsidRDefault="00F83744" w:rsidP="0022275C">
      <w:pPr>
        <w:autoSpaceDE w:val="0"/>
        <w:autoSpaceDN w:val="0"/>
        <w:adjustRightInd w:val="0"/>
        <w:spacing w:line="360" w:lineRule="auto"/>
        <w:ind w:firstLine="720"/>
        <w:rPr>
          <w:color w:val="000000"/>
        </w:rPr>
      </w:pPr>
      <w:r>
        <w:rPr>
          <w:color w:val="000000"/>
        </w:rPr>
        <w:t>Six weeks after experiment initiation, w</w:t>
      </w:r>
      <w:r w:rsidR="00D67D74">
        <w:rPr>
          <w:color w:val="000000"/>
        </w:rPr>
        <w:t xml:space="preserve">e sampled </w:t>
      </w:r>
      <w:r w:rsidR="00D67D74" w:rsidRPr="00863849">
        <w:rPr>
          <w:color w:val="000000"/>
        </w:rPr>
        <w:t>one</w:t>
      </w:r>
      <w:r w:rsidR="00D67D74">
        <w:rPr>
          <w:color w:val="000000"/>
        </w:rPr>
        <w:t xml:space="preserve"> random, fully expanded leaf</w:t>
      </w:r>
      <w:r w:rsidR="00D67D74" w:rsidRPr="00D67D74">
        <w:rPr>
          <w:color w:val="000000"/>
        </w:rPr>
        <w:t xml:space="preserve"> </w:t>
      </w:r>
      <w:r w:rsidR="00D67D74" w:rsidRPr="00863849">
        <w:rPr>
          <w:color w:val="000000"/>
        </w:rPr>
        <w:t>with little to no visible external damage</w:t>
      </w:r>
      <w:r w:rsidR="00D67D74">
        <w:rPr>
          <w:color w:val="000000"/>
        </w:rPr>
        <w:t xml:space="preserve"> </w:t>
      </w:r>
      <w:r w:rsidR="00D67D74">
        <w:t>for gas exchange measurements</w:t>
      </w:r>
      <w:r>
        <w:t xml:space="preserve">. </w:t>
      </w:r>
      <w:r w:rsidR="00D67D74">
        <w:rPr>
          <w:color w:val="000000"/>
        </w:rPr>
        <w:t xml:space="preserve">Leaves were attached to a </w:t>
      </w:r>
      <w:r w:rsidR="00D67D74" w:rsidRPr="00863849">
        <w:rPr>
          <w:color w:val="000000"/>
        </w:rPr>
        <w:t>Li-COR LI-6800 (Li-COR Bioscience</w:t>
      </w:r>
      <w:r w:rsidR="00412BAB">
        <w:rPr>
          <w:color w:val="000000"/>
        </w:rPr>
        <w:t>s</w:t>
      </w:r>
      <w:r w:rsidR="00D67D74" w:rsidRPr="00863849">
        <w:rPr>
          <w:color w:val="000000"/>
        </w:rPr>
        <w:t>, Lincoln, Nebraska, USA) portable photosynthesis machine to measure net photosynthesis (</w:t>
      </w:r>
      <w:proofErr w:type="spellStart"/>
      <w:r w:rsidR="00D67D74" w:rsidRPr="00DB6582">
        <w:rPr>
          <w:i/>
          <w:iCs/>
          <w:color w:val="000000"/>
        </w:rPr>
        <w:t>A</w:t>
      </w:r>
      <w:r>
        <w:rPr>
          <w:color w:val="000000"/>
          <w:vertAlign w:val="subscript"/>
        </w:rPr>
        <w:t>net</w:t>
      </w:r>
      <w:proofErr w:type="spellEnd"/>
      <w:r w:rsidR="00D67D74" w:rsidRPr="00863849">
        <w:rPr>
          <w:color w:val="000000"/>
        </w:rPr>
        <w:t xml:space="preserve">; </w:t>
      </w:r>
      <w:r w:rsidR="00D67D74" w:rsidRPr="00863849">
        <w:rPr>
          <w:color w:val="000000"/>
          <w:lang w:val="el-GR"/>
        </w:rPr>
        <w:t>μ</w:t>
      </w:r>
      <w:r w:rsidR="00D67D74" w:rsidRPr="00863849">
        <w:rPr>
          <w:color w:val="000000"/>
        </w:rPr>
        <w:t>mol m</w:t>
      </w:r>
      <w:r w:rsidR="00D67D74" w:rsidRPr="00863849">
        <w:rPr>
          <w:color w:val="000000"/>
          <w:vertAlign w:val="superscript"/>
        </w:rPr>
        <w:t>-2</w:t>
      </w:r>
      <w:r w:rsidR="00D67D74" w:rsidRPr="00863849">
        <w:rPr>
          <w:color w:val="000000"/>
        </w:rPr>
        <w:t xml:space="preserve"> s</w:t>
      </w:r>
      <w:r w:rsidR="00D67D74" w:rsidRPr="00863849">
        <w:rPr>
          <w:color w:val="000000"/>
          <w:vertAlign w:val="superscript"/>
        </w:rPr>
        <w:t>-1</w:t>
      </w:r>
      <w:r w:rsidR="00D67D74" w:rsidRPr="00863849">
        <w:rPr>
          <w:color w:val="000000"/>
        </w:rPr>
        <w:t>)</w:t>
      </w:r>
      <w:r w:rsidR="00D67D74">
        <w:rPr>
          <w:color w:val="000000"/>
        </w:rPr>
        <w:t>, stomatal conductance (</w:t>
      </w:r>
      <w:proofErr w:type="spellStart"/>
      <w:r w:rsidR="00D67D74" w:rsidRPr="003E0112">
        <w:rPr>
          <w:i/>
          <w:iCs/>
          <w:color w:val="000000"/>
        </w:rPr>
        <w:t>g</w:t>
      </w:r>
      <w:r w:rsidR="00D67D74" w:rsidRPr="00C33C74">
        <w:rPr>
          <w:color w:val="000000"/>
          <w:vertAlign w:val="subscript"/>
        </w:rPr>
        <w:t>s</w:t>
      </w:r>
      <w:proofErr w:type="spellEnd"/>
      <w:r w:rsidR="00D67D74">
        <w:rPr>
          <w:color w:val="000000"/>
        </w:rPr>
        <w:t>; mmol mol</w:t>
      </w:r>
      <w:r w:rsidR="00D67D74">
        <w:rPr>
          <w:color w:val="000000"/>
          <w:vertAlign w:val="superscript"/>
        </w:rPr>
        <w:t>-1</w:t>
      </w:r>
      <w:r w:rsidR="00D67D74">
        <w:rPr>
          <w:color w:val="000000"/>
        </w:rPr>
        <w:t>),</w:t>
      </w:r>
      <w:r w:rsidR="00D67D74" w:rsidRPr="00863849">
        <w:rPr>
          <w:color w:val="000000"/>
        </w:rPr>
        <w:t xml:space="preserve"> and intercellular CO</w:t>
      </w:r>
      <w:r w:rsidR="00D67D74" w:rsidRPr="00863849">
        <w:rPr>
          <w:color w:val="000000"/>
          <w:vertAlign w:val="subscript"/>
        </w:rPr>
        <w:t>2</w:t>
      </w:r>
      <w:r w:rsidR="00D67D74" w:rsidRPr="00863849">
        <w:rPr>
          <w:color w:val="000000"/>
        </w:rPr>
        <w:t xml:space="preserve"> concentration (</w:t>
      </w:r>
      <w:r w:rsidR="00D67D74" w:rsidRPr="00F848A9">
        <w:rPr>
          <w:i/>
          <w:iCs/>
          <w:color w:val="000000"/>
        </w:rPr>
        <w:t>C</w:t>
      </w:r>
      <w:r w:rsidR="00D67D74" w:rsidRPr="00275258">
        <w:rPr>
          <w:color w:val="000000"/>
          <w:vertAlign w:val="subscript"/>
        </w:rPr>
        <w:t>i</w:t>
      </w:r>
      <w:r w:rsidR="00D67D74" w:rsidRPr="00863849">
        <w:rPr>
          <w:color w:val="000000"/>
        </w:rPr>
        <w:t>; µmol mol</w:t>
      </w:r>
      <w:r w:rsidR="00D67D74" w:rsidRPr="00863849">
        <w:rPr>
          <w:color w:val="000000"/>
          <w:vertAlign w:val="superscript"/>
        </w:rPr>
        <w:t>-1</w:t>
      </w:r>
      <w:r w:rsidR="00D67D74" w:rsidRPr="00863849">
        <w:rPr>
          <w:color w:val="000000"/>
        </w:rPr>
        <w:t>) at different atmospheric CO</w:t>
      </w:r>
      <w:r w:rsidR="00D67D74" w:rsidRPr="00863849">
        <w:rPr>
          <w:color w:val="000000"/>
          <w:vertAlign w:val="subscript"/>
        </w:rPr>
        <w:t>2</w:t>
      </w:r>
      <w:r w:rsidR="00D67D74" w:rsidRPr="00863849">
        <w:rPr>
          <w:color w:val="000000"/>
        </w:rPr>
        <w:t xml:space="preserve"> (</w:t>
      </w:r>
      <w:r w:rsidR="00D67D74" w:rsidRPr="00F848A9">
        <w:rPr>
          <w:i/>
          <w:iCs/>
          <w:color w:val="000000"/>
        </w:rPr>
        <w:t>C</w:t>
      </w:r>
      <w:r w:rsidR="00D67D74" w:rsidRPr="00275258">
        <w:rPr>
          <w:color w:val="000000"/>
          <w:vertAlign w:val="subscript"/>
        </w:rPr>
        <w:t>a</w:t>
      </w:r>
      <w:r w:rsidR="00D67D74" w:rsidRPr="00863849">
        <w:rPr>
          <w:color w:val="000000"/>
        </w:rPr>
        <w:t>; µmol mol</w:t>
      </w:r>
      <w:r w:rsidR="00D67D74" w:rsidRPr="00863849">
        <w:rPr>
          <w:color w:val="000000"/>
          <w:vertAlign w:val="superscript"/>
        </w:rPr>
        <w:t>-1</w:t>
      </w:r>
      <w:r w:rsidR="00D67D74" w:rsidRPr="00863849">
        <w:rPr>
          <w:color w:val="000000"/>
        </w:rPr>
        <w:t>) concentrations</w:t>
      </w:r>
      <w:r w:rsidR="00D67D74">
        <w:rPr>
          <w:color w:val="000000"/>
        </w:rPr>
        <w:t xml:space="preserve"> (i.e., an </w:t>
      </w:r>
      <w:proofErr w:type="spellStart"/>
      <w:r w:rsidR="00D67D74" w:rsidRPr="00DB6582">
        <w:rPr>
          <w:i/>
          <w:iCs/>
          <w:color w:val="000000"/>
        </w:rPr>
        <w:t>A</w:t>
      </w:r>
      <w:r>
        <w:rPr>
          <w:color w:val="000000"/>
          <w:vertAlign w:val="subscript"/>
        </w:rPr>
        <w:t>net</w:t>
      </w:r>
      <w:proofErr w:type="spellEnd"/>
      <w:r w:rsidR="00D67D74" w:rsidRPr="006337C2">
        <w:rPr>
          <w:color w:val="000000"/>
        </w:rPr>
        <w:t>/</w:t>
      </w:r>
      <w:r w:rsidR="00D67D74" w:rsidRPr="00DB6582">
        <w:rPr>
          <w:i/>
          <w:iCs/>
          <w:color w:val="000000"/>
        </w:rPr>
        <w:t>C</w:t>
      </w:r>
      <w:r w:rsidR="00D67D74" w:rsidRPr="00242E06">
        <w:rPr>
          <w:color w:val="000000"/>
          <w:vertAlign w:val="subscript"/>
        </w:rPr>
        <w:t>i</w:t>
      </w:r>
      <w:r w:rsidR="00D67D74">
        <w:rPr>
          <w:color w:val="000000"/>
        </w:rPr>
        <w:t xml:space="preserve"> curve)</w:t>
      </w:r>
      <w:r>
        <w:rPr>
          <w:color w:val="000000"/>
        </w:rPr>
        <w:t>.</w:t>
      </w:r>
      <w:r w:rsidRPr="00F83744">
        <w:rPr>
          <w:i/>
          <w:iCs/>
          <w:color w:val="000000"/>
        </w:rPr>
        <w:t xml:space="preserve"> </w:t>
      </w:r>
      <w:proofErr w:type="spellStart"/>
      <w:r w:rsidRPr="00DB6582">
        <w:rPr>
          <w:i/>
          <w:iCs/>
          <w:color w:val="000000"/>
        </w:rPr>
        <w:t>A</w:t>
      </w:r>
      <w:r>
        <w:rPr>
          <w:color w:val="000000"/>
          <w:vertAlign w:val="subscript"/>
        </w:rPr>
        <w:t>net</w:t>
      </w:r>
      <w:proofErr w:type="spellEnd"/>
      <w:r w:rsidRPr="006337C2">
        <w:rPr>
          <w:color w:val="000000"/>
        </w:rPr>
        <w:t>/</w:t>
      </w:r>
      <w:r w:rsidRPr="00DB6582">
        <w:rPr>
          <w:i/>
          <w:iCs/>
          <w:color w:val="000000"/>
        </w:rPr>
        <w:t>C</w:t>
      </w:r>
      <w:r w:rsidRPr="00242E06">
        <w:rPr>
          <w:color w:val="000000"/>
          <w:vertAlign w:val="subscript"/>
        </w:rPr>
        <w:t>i</w:t>
      </w:r>
      <w:r>
        <w:rPr>
          <w:color w:val="000000"/>
        </w:rPr>
        <w:t xml:space="preserve"> curves were conducted</w:t>
      </w:r>
      <w:r w:rsidR="00D67D74" w:rsidRPr="00863849">
        <w:rPr>
          <w:color w:val="000000"/>
        </w:rPr>
        <w:t xml:space="preserve"> under saturat</w:t>
      </w:r>
      <w:r>
        <w:rPr>
          <w:color w:val="000000"/>
        </w:rPr>
        <w:t>ing</w:t>
      </w:r>
      <w:r w:rsidR="00D67D74" w:rsidRPr="00863849">
        <w:rPr>
          <w:color w:val="000000"/>
        </w:rPr>
        <w:t xml:space="preserve"> light conditions (</w:t>
      </w:r>
      <w:r w:rsidR="00D67D74">
        <w:rPr>
          <w:color w:val="000000"/>
        </w:rPr>
        <w:t>1,500</w:t>
      </w:r>
      <w:r w:rsidR="00D67D74" w:rsidRPr="00863849">
        <w:rPr>
          <w:color w:val="000000"/>
        </w:rPr>
        <w:t xml:space="preserve"> </w:t>
      </w:r>
      <w:r w:rsidR="00D67D74" w:rsidRPr="00863849">
        <w:rPr>
          <w:color w:val="000000"/>
          <w:lang w:val="el-GR"/>
        </w:rPr>
        <w:t>μ</w:t>
      </w:r>
      <w:r w:rsidR="00D67D74" w:rsidRPr="00863849">
        <w:rPr>
          <w:color w:val="000000"/>
        </w:rPr>
        <w:t>mol m</w:t>
      </w:r>
      <w:r w:rsidR="00D67D74" w:rsidRPr="00863849">
        <w:rPr>
          <w:color w:val="000000"/>
          <w:vertAlign w:val="superscript"/>
        </w:rPr>
        <w:t>-2</w:t>
      </w:r>
      <w:r w:rsidR="00D67D74" w:rsidRPr="00863849">
        <w:rPr>
          <w:color w:val="000000"/>
        </w:rPr>
        <w:t xml:space="preserve"> s</w:t>
      </w:r>
      <w:r w:rsidR="00D67D74" w:rsidRPr="00863849">
        <w:rPr>
          <w:color w:val="000000"/>
          <w:vertAlign w:val="superscript"/>
        </w:rPr>
        <w:t>-1</w:t>
      </w:r>
      <w:r w:rsidR="00D67D74" w:rsidRPr="00863849">
        <w:rPr>
          <w:color w:val="000000"/>
        </w:rPr>
        <w:t>)</w:t>
      </w:r>
      <w:r w:rsidR="00006440">
        <w:rPr>
          <w:color w:val="000000"/>
        </w:rPr>
        <w:t>, 50% relative humidity, and</w:t>
      </w:r>
      <w:r w:rsidR="0038171F">
        <w:rPr>
          <w:color w:val="000000"/>
        </w:rPr>
        <w:t xml:space="preserve"> with the</w:t>
      </w:r>
      <w:r w:rsidR="00006440">
        <w:rPr>
          <w:color w:val="000000"/>
        </w:rPr>
        <w:t xml:space="preserve"> cuvette temperature set to 25</w:t>
      </w:r>
      <w:r w:rsidR="00006440">
        <w:rPr>
          <w:color w:val="000000"/>
        </w:rPr>
        <w:sym w:font="Symbol" w:char="F0B0"/>
      </w:r>
      <w:r w:rsidR="00006440">
        <w:rPr>
          <w:color w:val="000000"/>
        </w:rPr>
        <w:t>C</w:t>
      </w:r>
      <w:r w:rsidR="00D67D74">
        <w:rPr>
          <w:color w:val="000000"/>
        </w:rPr>
        <w:t xml:space="preserve">. We measured </w:t>
      </w:r>
      <w:proofErr w:type="spellStart"/>
      <w:r w:rsidR="00D67D74" w:rsidRPr="00DB6582">
        <w:rPr>
          <w:i/>
          <w:iCs/>
          <w:color w:val="000000"/>
        </w:rPr>
        <w:t>A</w:t>
      </w:r>
      <w:r w:rsidR="00150CFB">
        <w:rPr>
          <w:color w:val="000000"/>
          <w:vertAlign w:val="subscript"/>
        </w:rPr>
        <w:t>net</w:t>
      </w:r>
      <w:proofErr w:type="spellEnd"/>
      <w:r w:rsidR="00D67D74">
        <w:rPr>
          <w:color w:val="000000"/>
        </w:rPr>
        <w:t xml:space="preserve">, </w:t>
      </w:r>
      <w:proofErr w:type="spellStart"/>
      <w:r w:rsidR="00D67D74" w:rsidRPr="003E0112">
        <w:rPr>
          <w:i/>
          <w:iCs/>
          <w:color w:val="000000"/>
        </w:rPr>
        <w:t>g</w:t>
      </w:r>
      <w:r w:rsidR="00D67D74" w:rsidRPr="00C33C74">
        <w:rPr>
          <w:color w:val="000000"/>
          <w:vertAlign w:val="subscript"/>
        </w:rPr>
        <w:t>s</w:t>
      </w:r>
      <w:proofErr w:type="spellEnd"/>
      <w:r w:rsidR="00D67D74">
        <w:rPr>
          <w:color w:val="000000"/>
        </w:rPr>
        <w:t xml:space="preserve">, and </w:t>
      </w:r>
      <w:r w:rsidR="00D67D74" w:rsidRPr="00F848A9">
        <w:rPr>
          <w:i/>
          <w:iCs/>
          <w:color w:val="000000"/>
        </w:rPr>
        <w:t>C</w:t>
      </w:r>
      <w:r w:rsidR="00D67D74" w:rsidRPr="00275258">
        <w:rPr>
          <w:color w:val="000000"/>
          <w:vertAlign w:val="subscript"/>
        </w:rPr>
        <w:t>i</w:t>
      </w:r>
      <w:r w:rsidR="00D67D74">
        <w:rPr>
          <w:color w:val="000000"/>
        </w:rPr>
        <w:t xml:space="preserve"> at each of </w:t>
      </w:r>
      <w:r w:rsidR="00D67D74" w:rsidRPr="00863849">
        <w:rPr>
          <w:color w:val="000000"/>
        </w:rPr>
        <w:t>the following reference CO</w:t>
      </w:r>
      <w:r w:rsidR="00D67D74" w:rsidRPr="00863849">
        <w:rPr>
          <w:color w:val="000000"/>
          <w:vertAlign w:val="subscript"/>
        </w:rPr>
        <w:t>2</w:t>
      </w:r>
      <w:r w:rsidR="00D67D74" w:rsidRPr="00863849">
        <w:rPr>
          <w:color w:val="000000"/>
        </w:rPr>
        <w:t xml:space="preserve"> concentration</w:t>
      </w:r>
      <w:r w:rsidR="00D67D74">
        <w:rPr>
          <w:color w:val="000000"/>
        </w:rPr>
        <w:t>s</w:t>
      </w:r>
      <w:r w:rsidR="00D67D74" w:rsidRPr="00863849">
        <w:rPr>
          <w:color w:val="000000"/>
        </w:rPr>
        <w:t xml:space="preserve"> (</w:t>
      </w:r>
      <w:r w:rsidR="00D67D74" w:rsidRPr="00F848A9">
        <w:rPr>
          <w:i/>
          <w:iCs/>
          <w:color w:val="000000"/>
        </w:rPr>
        <w:t>C</w:t>
      </w:r>
      <w:r w:rsidR="00D67D74">
        <w:rPr>
          <w:color w:val="000000"/>
          <w:vertAlign w:val="subscript"/>
        </w:rPr>
        <w:t>a</w:t>
      </w:r>
      <w:r w:rsidR="00D67D74">
        <w:rPr>
          <w:color w:val="000000"/>
        </w:rPr>
        <w:t xml:space="preserve">; </w:t>
      </w:r>
      <w:r w:rsidR="00D67D74" w:rsidRPr="00863849">
        <w:rPr>
          <w:color w:val="000000"/>
          <w:lang w:val="el-GR"/>
        </w:rPr>
        <w:t>μ</w:t>
      </w:r>
      <w:r w:rsidR="00D67D74" w:rsidRPr="00863849">
        <w:rPr>
          <w:color w:val="000000"/>
        </w:rPr>
        <w:t>mol mol</w:t>
      </w:r>
      <w:r w:rsidR="00D67D74" w:rsidRPr="00863849">
        <w:rPr>
          <w:color w:val="000000"/>
          <w:vertAlign w:val="superscript"/>
        </w:rPr>
        <w:t>-1</w:t>
      </w:r>
      <w:r w:rsidR="00D67D74" w:rsidRPr="00863849">
        <w:rPr>
          <w:color w:val="000000"/>
        </w:rPr>
        <w:t>): 400,</w:t>
      </w:r>
      <w:r w:rsidR="00D67D74">
        <w:rPr>
          <w:color w:val="000000"/>
        </w:rPr>
        <w:t xml:space="preserve"> 300, 200, 100</w:t>
      </w:r>
      <w:r w:rsidR="00417C57">
        <w:rPr>
          <w:color w:val="000000"/>
        </w:rPr>
        <w:t>,</w:t>
      </w:r>
      <w:r w:rsidR="00D67D74" w:rsidRPr="00863849">
        <w:rPr>
          <w:color w:val="000000"/>
        </w:rPr>
        <w:t xml:space="preserve"> 50, 400, 400, 600, 800, 1000, 1200,</w:t>
      </w:r>
      <w:r w:rsidR="008F6058">
        <w:rPr>
          <w:color w:val="000000"/>
        </w:rPr>
        <w:t xml:space="preserve"> and</w:t>
      </w:r>
      <w:r w:rsidR="00D67D74" w:rsidRPr="00863849">
        <w:rPr>
          <w:color w:val="000000"/>
        </w:rPr>
        <w:t xml:space="preserve"> 1500</w:t>
      </w:r>
      <w:r w:rsidR="00006440">
        <w:rPr>
          <w:color w:val="000000"/>
        </w:rPr>
        <w:t xml:space="preserve">. </w:t>
      </w:r>
      <w:r w:rsidR="00C57242">
        <w:rPr>
          <w:color w:val="000000"/>
        </w:rPr>
        <w:t>Finally, we subjected individuals to at least a 30-minute period</w:t>
      </w:r>
      <w:r w:rsidR="00A30C53">
        <w:rPr>
          <w:color w:val="000000"/>
        </w:rPr>
        <w:t xml:space="preserve"> of </w:t>
      </w:r>
      <w:r w:rsidR="00C41A80">
        <w:rPr>
          <w:color w:val="000000"/>
        </w:rPr>
        <w:t>darkness</w:t>
      </w:r>
      <w:r w:rsidR="00A30C53">
        <w:rPr>
          <w:color w:val="000000"/>
        </w:rPr>
        <w:t xml:space="preserve"> </w:t>
      </w:r>
      <w:r w:rsidR="00C57242">
        <w:rPr>
          <w:color w:val="000000"/>
        </w:rPr>
        <w:t xml:space="preserve">and quantified dark </w:t>
      </w:r>
      <w:r w:rsidR="00D67D74">
        <w:rPr>
          <w:color w:val="000000"/>
        </w:rPr>
        <w:t>respiration (</w:t>
      </w:r>
      <w:r w:rsidR="00D67D74">
        <w:rPr>
          <w:i/>
          <w:iCs/>
          <w:color w:val="000000"/>
        </w:rPr>
        <w:t>R</w:t>
      </w:r>
      <w:r w:rsidR="00D67D74">
        <w:rPr>
          <w:color w:val="000000"/>
          <w:vertAlign w:val="subscript"/>
        </w:rPr>
        <w:t>d</w:t>
      </w:r>
      <w:r w:rsidR="00D67D74">
        <w:rPr>
          <w:color w:val="000000"/>
        </w:rPr>
        <w:t xml:space="preserve">; </w:t>
      </w:r>
      <w:r w:rsidR="00D67D74" w:rsidRPr="00863849">
        <w:rPr>
          <w:color w:val="000000"/>
          <w:lang w:val="el-GR"/>
        </w:rPr>
        <w:t>μ</w:t>
      </w:r>
      <w:r w:rsidR="00D67D74" w:rsidRPr="00863849">
        <w:rPr>
          <w:color w:val="000000"/>
        </w:rPr>
        <w:t>mol m</w:t>
      </w:r>
      <w:r w:rsidR="00D67D74" w:rsidRPr="00863849">
        <w:rPr>
          <w:color w:val="000000"/>
          <w:vertAlign w:val="superscript"/>
        </w:rPr>
        <w:t>-2</w:t>
      </w:r>
      <w:r w:rsidR="00D67D74" w:rsidRPr="00863849">
        <w:rPr>
          <w:color w:val="000000"/>
        </w:rPr>
        <w:t xml:space="preserve"> s</w:t>
      </w:r>
      <w:r w:rsidR="00D67D74" w:rsidRPr="00863849">
        <w:rPr>
          <w:color w:val="000000"/>
          <w:vertAlign w:val="superscript"/>
        </w:rPr>
        <w:t>-1</w:t>
      </w:r>
      <w:r w:rsidR="00D67D74">
        <w:rPr>
          <w:color w:val="000000"/>
        </w:rPr>
        <w:t>)</w:t>
      </w:r>
      <w:r w:rsidR="00C57242">
        <w:rPr>
          <w:color w:val="000000"/>
        </w:rPr>
        <w:t>, again using a</w:t>
      </w:r>
      <w:r w:rsidR="00D67D74">
        <w:rPr>
          <w:color w:val="000000"/>
        </w:rPr>
        <w:t xml:space="preserve"> </w:t>
      </w:r>
      <w:r w:rsidR="00C57242" w:rsidRPr="00863849">
        <w:rPr>
          <w:color w:val="000000"/>
        </w:rPr>
        <w:t>Li-COR LI-6800</w:t>
      </w:r>
      <w:r w:rsidR="00C57242">
        <w:rPr>
          <w:color w:val="000000"/>
        </w:rPr>
        <w:t xml:space="preserve"> </w:t>
      </w:r>
      <w:r w:rsidR="009F0F34">
        <w:rPr>
          <w:color w:val="000000"/>
        </w:rPr>
        <w:t xml:space="preserve">with </w:t>
      </w:r>
      <w:r w:rsidR="008F6058">
        <w:rPr>
          <w:color w:val="000000"/>
        </w:rPr>
        <w:t>relative humidity</w:t>
      </w:r>
      <w:r w:rsidR="009F0F34">
        <w:rPr>
          <w:color w:val="000000"/>
        </w:rPr>
        <w:t xml:space="preserve"> set to 50% and</w:t>
      </w:r>
      <w:r w:rsidR="008F6058">
        <w:rPr>
          <w:color w:val="000000"/>
        </w:rPr>
        <w:t xml:space="preserve"> </w:t>
      </w:r>
      <w:r w:rsidR="00150CFB">
        <w:rPr>
          <w:color w:val="000000"/>
        </w:rPr>
        <w:t>cuvette</w:t>
      </w:r>
      <w:r w:rsidR="008F6058">
        <w:rPr>
          <w:color w:val="000000"/>
        </w:rPr>
        <w:t xml:space="preserve"> temperature set to </w:t>
      </w:r>
      <w:r w:rsidR="009F0F34">
        <w:rPr>
          <w:color w:val="000000"/>
        </w:rPr>
        <w:t>25</w:t>
      </w:r>
      <w:r w:rsidR="009F0F34">
        <w:rPr>
          <w:color w:val="000000"/>
        </w:rPr>
        <w:sym w:font="Symbol" w:char="F0B0"/>
      </w:r>
      <w:r w:rsidR="009F0F34">
        <w:rPr>
          <w:color w:val="000000"/>
        </w:rPr>
        <w:t xml:space="preserve">C, with incoming </w:t>
      </w:r>
      <w:r>
        <w:rPr>
          <w:color w:val="000000"/>
        </w:rPr>
        <w:t xml:space="preserve">radiation </w:t>
      </w:r>
      <w:r w:rsidR="00C57242">
        <w:rPr>
          <w:color w:val="000000"/>
        </w:rPr>
        <w:t>set to 0</w:t>
      </w:r>
      <w:r w:rsidR="00C57242" w:rsidRPr="00863849">
        <w:rPr>
          <w:color w:val="000000"/>
        </w:rPr>
        <w:t xml:space="preserve"> </w:t>
      </w:r>
      <w:r w:rsidR="00C57242" w:rsidRPr="00863849">
        <w:rPr>
          <w:color w:val="000000"/>
          <w:lang w:val="el-GR"/>
        </w:rPr>
        <w:t>μ</w:t>
      </w:r>
      <w:r w:rsidR="00C57242" w:rsidRPr="00863849">
        <w:rPr>
          <w:color w:val="000000"/>
        </w:rPr>
        <w:t>mol m</w:t>
      </w:r>
      <w:r w:rsidR="00C57242" w:rsidRPr="00863849">
        <w:rPr>
          <w:color w:val="000000"/>
          <w:vertAlign w:val="superscript"/>
        </w:rPr>
        <w:t>-2</w:t>
      </w:r>
      <w:r w:rsidR="00C57242" w:rsidRPr="00863849">
        <w:rPr>
          <w:color w:val="000000"/>
        </w:rPr>
        <w:t xml:space="preserve"> s</w:t>
      </w:r>
      <w:r w:rsidR="00C57242" w:rsidRPr="00863849">
        <w:rPr>
          <w:color w:val="000000"/>
          <w:vertAlign w:val="superscript"/>
        </w:rPr>
        <w:t>-1</w:t>
      </w:r>
      <w:r w:rsidR="009F0F34">
        <w:rPr>
          <w:color w:val="000000"/>
          <w:vertAlign w:val="superscript"/>
        </w:rPr>
        <w:t xml:space="preserve"> </w:t>
      </w:r>
      <w:r w:rsidR="009F0F34" w:rsidRPr="009F0F34">
        <w:rPr>
          <w:color w:val="000000"/>
        </w:rPr>
        <w:t>and</w:t>
      </w:r>
      <w:r w:rsidR="009F0F34">
        <w:rPr>
          <w:color w:val="000000"/>
          <w:vertAlign w:val="superscript"/>
        </w:rPr>
        <w:t xml:space="preserve"> </w:t>
      </w:r>
      <w:r w:rsidR="009F0F34" w:rsidRPr="00F848A9">
        <w:rPr>
          <w:i/>
          <w:iCs/>
          <w:color w:val="000000"/>
        </w:rPr>
        <w:t>C</w:t>
      </w:r>
      <w:r w:rsidR="009F0F34">
        <w:rPr>
          <w:color w:val="000000"/>
          <w:vertAlign w:val="subscript"/>
        </w:rPr>
        <w:t>a</w:t>
      </w:r>
      <w:r w:rsidR="009F0F34">
        <w:rPr>
          <w:color w:val="000000"/>
        </w:rPr>
        <w:t xml:space="preserve"> set to 400 </w:t>
      </w:r>
      <w:r w:rsidR="009F0F34" w:rsidRPr="00863849">
        <w:rPr>
          <w:color w:val="000000"/>
          <w:lang w:val="el-GR"/>
        </w:rPr>
        <w:t>μ</w:t>
      </w:r>
      <w:r w:rsidR="009F0F34" w:rsidRPr="00863849">
        <w:rPr>
          <w:color w:val="000000"/>
        </w:rPr>
        <w:t>mol mol</w:t>
      </w:r>
      <w:r w:rsidR="009F0F34" w:rsidRPr="00863849">
        <w:rPr>
          <w:color w:val="000000"/>
          <w:vertAlign w:val="superscript"/>
        </w:rPr>
        <w:t>-1</w:t>
      </w:r>
      <w:r w:rsidR="00C57242">
        <w:rPr>
          <w:color w:val="000000"/>
        </w:rPr>
        <w:t>.</w:t>
      </w:r>
    </w:p>
    <w:p w14:paraId="264D1F52" w14:textId="51971995" w:rsidR="00D67D74" w:rsidRDefault="00D67D74" w:rsidP="00A754EC">
      <w:pPr>
        <w:autoSpaceDE w:val="0"/>
        <w:autoSpaceDN w:val="0"/>
        <w:adjustRightInd w:val="0"/>
        <w:spacing w:line="360" w:lineRule="auto"/>
        <w:ind w:firstLine="720"/>
        <w:rPr>
          <w:color w:val="000000"/>
        </w:rPr>
      </w:pPr>
      <w:r>
        <w:rPr>
          <w:color w:val="000000"/>
        </w:rPr>
        <w:t>L</w:t>
      </w:r>
      <w:r w:rsidRPr="00863849">
        <w:rPr>
          <w:color w:val="000000"/>
        </w:rPr>
        <w:t xml:space="preserve">eaf trait measurements were </w:t>
      </w:r>
      <w:r>
        <w:rPr>
          <w:color w:val="000000"/>
        </w:rPr>
        <w:t>collected on</w:t>
      </w:r>
      <w:r w:rsidRPr="00863849">
        <w:rPr>
          <w:color w:val="000000"/>
        </w:rPr>
        <w:t xml:space="preserve"> the same focal leaf used to generate </w:t>
      </w:r>
      <w:r>
        <w:rPr>
          <w:color w:val="000000"/>
        </w:rPr>
        <w:t>each</w:t>
      </w:r>
      <w:r w:rsidRPr="00863849">
        <w:rPr>
          <w:color w:val="000000"/>
        </w:rPr>
        <w:t xml:space="preserve"> CO</w:t>
      </w:r>
      <w:r w:rsidRPr="00863849">
        <w:rPr>
          <w:color w:val="000000"/>
          <w:vertAlign w:val="subscript"/>
        </w:rPr>
        <w:t>2</w:t>
      </w:r>
      <w:r w:rsidRPr="00863849">
        <w:rPr>
          <w:color w:val="000000"/>
        </w:rPr>
        <w:t xml:space="preserve"> response curve. Images of each leaf were curated using a flat-</w:t>
      </w:r>
      <w:r>
        <w:rPr>
          <w:color w:val="000000"/>
        </w:rPr>
        <w:t>bed s</w:t>
      </w:r>
      <w:r w:rsidRPr="00863849">
        <w:rPr>
          <w:color w:val="000000"/>
        </w:rPr>
        <w:t>canner to determine wet leaf area using the '</w:t>
      </w:r>
      <w:proofErr w:type="spellStart"/>
      <w:r w:rsidRPr="00863849">
        <w:rPr>
          <w:color w:val="000000"/>
        </w:rPr>
        <w:t>LeafArea</w:t>
      </w:r>
      <w:proofErr w:type="spellEnd"/>
      <w:r w:rsidRPr="00863849">
        <w:rPr>
          <w:color w:val="000000"/>
        </w:rPr>
        <w:t xml:space="preserve">' R package </w:t>
      </w:r>
      <w:r w:rsidRPr="00863849">
        <w:rPr>
          <w:color w:val="000000"/>
        </w:rPr>
        <w:fldChar w:fldCharType="begin" w:fldLock="1"/>
      </w:r>
      <w:r w:rsidRPr="00863849">
        <w:rPr>
          <w:color w:val="000000"/>
        </w:rPr>
        <w:instrText>ADDIN CSL_CITATION {"citationItems":[{"id":"ITEM-1","itemData":{"author":[{"dropping-particle":"","family":"Katabuchi","given":"Masatoshi","non-dropping-particle":"","parse-names":false,"suffix":""}],"container-title":"Ecological Research","id":"ITEM-1","issue":"6","issued":{"date-parts":[["2015"]]},"page":"1073-1077","title":"LeafArea: An R package for rapid digital analysis of leaf area","type":"article-journal","volume":"30"},"uris":["http://www.mendeley.com/documents/?uuid=d5bcbc72-e9c0-4ada-8acf-dfeff07e88d7"]}],"mendeley":{"formattedCitation":"(Katabuchi, 2015)","plainTextFormattedCitation":"(Katabuchi, 2015)","previouslyFormattedCitation":"(Katabuchi, 2015)"},"properties":{"noteIndex":0},"schema":"https://github.com/citation-style-language/schema/raw/master/csl-citation.json"}</w:instrText>
      </w:r>
      <w:r w:rsidRPr="00863849">
        <w:rPr>
          <w:color w:val="000000"/>
        </w:rPr>
        <w:fldChar w:fldCharType="separate"/>
      </w:r>
      <w:r w:rsidRPr="00863849">
        <w:rPr>
          <w:noProof/>
          <w:color w:val="000000"/>
        </w:rPr>
        <w:t>(Katabuchi, 2015)</w:t>
      </w:r>
      <w:r w:rsidRPr="00863849">
        <w:rPr>
          <w:color w:val="000000"/>
        </w:rPr>
        <w:fldChar w:fldCharType="end"/>
      </w:r>
      <w:r>
        <w:rPr>
          <w:color w:val="000000"/>
        </w:rPr>
        <w:t xml:space="preserve">, which automates leaf area calculations using ImageJ software </w:t>
      </w:r>
      <w:r>
        <w:rPr>
          <w:color w:val="000000"/>
        </w:rPr>
        <w:fldChar w:fldCharType="begin" w:fldLock="1"/>
      </w:r>
      <w:r w:rsidR="001B21C7">
        <w:rPr>
          <w:color w:val="000000"/>
        </w:rPr>
        <w:instrText>ADDIN CSL_CITATION {"citationItems":[{"id":"ITEM-1","itemData":{"DOI":"10.1038/nmeth.2089","ISSN":"1548-7105","PMID":"22930834","abstract":"For the past 25 years NIH Image and ImageJ software have been pioneers as open tools for the analysis of scientific images. We discuss the origins, challenges and solutions of these two programs, and how their history can serve to advise and inform other software projects.","author":[{"dropping-particle":"","family":"Schneider","given":"Caroline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methods","id":"ITEM-1","issue":"7","issued":{"date-parts":[["2012","7"]]},"page":"671-675","title":"NIH Image to ImageJ: 25 years of image analysis.","type":"article-journal","volume":"9"},"uris":["http://www.mendeley.com/documents/?uuid=6b914044-468b-40c6-8046-c87ca4f654ed"]}],"mendeley":{"formattedCitation":"(Schneider et al., 2012)","plainTextFormattedCitation":"(Schneider et al., 2012)","previouslyFormattedCitation":"(Schneider et al., 2012)"},"properties":{"noteIndex":0},"schema":"https://github.com/citation-style-language/schema/raw/master/csl-citation.json"}</w:instrText>
      </w:r>
      <w:r>
        <w:rPr>
          <w:color w:val="000000"/>
        </w:rPr>
        <w:fldChar w:fldCharType="separate"/>
      </w:r>
      <w:r w:rsidRPr="001B21C7">
        <w:rPr>
          <w:noProof/>
          <w:color w:val="000000"/>
        </w:rPr>
        <w:t>(Schneider et al., 2012)</w:t>
      </w:r>
      <w:r>
        <w:rPr>
          <w:color w:val="000000"/>
        </w:rPr>
        <w:fldChar w:fldCharType="end"/>
      </w:r>
      <w:r w:rsidRPr="00863849">
        <w:rPr>
          <w:color w:val="000000"/>
        </w:rPr>
        <w:t>. Each leaf was dried at 65</w:t>
      </w:r>
      <w:r w:rsidRPr="00863849">
        <w:rPr>
          <w:rFonts w:ascii="Symbol" w:eastAsia="Symbol" w:hAnsi="Symbol" w:cs="Symbol"/>
          <w:color w:val="000000"/>
        </w:rPr>
        <w:t></w:t>
      </w:r>
      <w:r w:rsidRPr="00863849">
        <w:rPr>
          <w:color w:val="000000"/>
        </w:rPr>
        <w:t>C for at least 48 hour</w:t>
      </w:r>
      <w:r w:rsidR="00895284">
        <w:rPr>
          <w:color w:val="000000"/>
        </w:rPr>
        <w:t>s</w:t>
      </w:r>
      <w:r w:rsidR="008F6058">
        <w:rPr>
          <w:color w:val="000000"/>
        </w:rPr>
        <w:t xml:space="preserve"> and subsequently</w:t>
      </w:r>
      <w:r w:rsidRPr="00863849">
        <w:rPr>
          <w:color w:val="000000"/>
        </w:rPr>
        <w:t xml:space="preserve"> weighed and ground until homogenized. Specific leaf area (</w:t>
      </w:r>
      <w:r w:rsidR="00746CCB">
        <w:rPr>
          <w:color w:val="000000"/>
        </w:rPr>
        <w:t>c</w:t>
      </w:r>
      <w:r w:rsidRPr="00863849">
        <w:rPr>
          <w:color w:val="000000"/>
        </w:rPr>
        <w:t>m</w:t>
      </w:r>
      <w:r w:rsidRPr="00863849">
        <w:rPr>
          <w:color w:val="000000"/>
          <w:vertAlign w:val="superscript"/>
        </w:rPr>
        <w:t>2</w:t>
      </w:r>
      <w:r w:rsidRPr="00863849">
        <w:rPr>
          <w:color w:val="000000"/>
        </w:rPr>
        <w:t xml:space="preserve"> g</w:t>
      </w:r>
      <w:r w:rsidRPr="00863849">
        <w:rPr>
          <w:color w:val="000000"/>
          <w:vertAlign w:val="superscript"/>
        </w:rPr>
        <w:t>-1</w:t>
      </w:r>
      <w:r w:rsidRPr="00863849">
        <w:rPr>
          <w:color w:val="000000"/>
        </w:rPr>
        <w:t>) was calculated as the ratio of wet leaf area</w:t>
      </w:r>
      <w:r w:rsidR="00270350">
        <w:rPr>
          <w:color w:val="000000"/>
        </w:rPr>
        <w:t xml:space="preserve"> </w:t>
      </w:r>
      <w:r w:rsidRPr="00863849">
        <w:rPr>
          <w:color w:val="000000"/>
        </w:rPr>
        <w:t>to dry leaf biomass</w:t>
      </w:r>
      <w:r w:rsidR="005E3C64">
        <w:rPr>
          <w:color w:val="000000"/>
        </w:rPr>
        <w:t xml:space="preserve">. </w:t>
      </w:r>
      <w:r>
        <w:rPr>
          <w:color w:val="000000"/>
        </w:rPr>
        <w:t>Using subsamples of ground and homogenized leaf biomass, we also determined leaf nitrogen content</w:t>
      </w:r>
      <w:r w:rsidRPr="00863849">
        <w:t xml:space="preserve"> (</w:t>
      </w:r>
      <w:proofErr w:type="spellStart"/>
      <w:r w:rsidRPr="00CE3B3D">
        <w:rPr>
          <w:i/>
          <w:iCs/>
        </w:rPr>
        <w:t>N</w:t>
      </w:r>
      <w:r>
        <w:rPr>
          <w:vertAlign w:val="subscript"/>
        </w:rPr>
        <w:t>mass</w:t>
      </w:r>
      <w:proofErr w:type="spellEnd"/>
      <w:r>
        <w:t xml:space="preserve">; </w:t>
      </w:r>
      <w:r w:rsidRPr="00863849">
        <w:t>g g</w:t>
      </w:r>
      <w:r w:rsidRPr="00863849">
        <w:rPr>
          <w:vertAlign w:val="superscript"/>
        </w:rPr>
        <w:t>-1</w:t>
      </w:r>
      <w:r w:rsidRPr="00863849">
        <w:t>)</w:t>
      </w:r>
      <w:r w:rsidRPr="00863849">
        <w:rPr>
          <w:color w:val="000000"/>
        </w:rPr>
        <w:t xml:space="preserve"> </w:t>
      </w:r>
      <w:r>
        <w:rPr>
          <w:color w:val="000000"/>
        </w:rPr>
        <w:t>through elemental combustion analysis (</w:t>
      </w:r>
      <w:r w:rsidR="00746CCB">
        <w:rPr>
          <w:color w:val="000000"/>
        </w:rPr>
        <w:t>Costech-4010</w:t>
      </w:r>
      <w:r w:rsidR="00270350">
        <w:rPr>
          <w:color w:val="000000"/>
        </w:rPr>
        <w:t xml:space="preserve">, </w:t>
      </w:r>
      <w:proofErr w:type="spellStart"/>
      <w:r w:rsidR="00270350">
        <w:rPr>
          <w:color w:val="000000"/>
        </w:rPr>
        <w:t>Costech</w:t>
      </w:r>
      <w:proofErr w:type="spellEnd"/>
      <w:r w:rsidR="00270350">
        <w:rPr>
          <w:color w:val="000000"/>
        </w:rPr>
        <w:t xml:space="preserve">, Inc., Valencia, CA, USA). </w:t>
      </w:r>
      <w:r w:rsidRPr="00863849">
        <w:rPr>
          <w:color w:val="000000"/>
        </w:rPr>
        <w:t xml:space="preserve">Leaf nitrogen </w:t>
      </w:r>
      <w:r>
        <w:rPr>
          <w:color w:val="000000"/>
        </w:rPr>
        <w:lastRenderedPageBreak/>
        <w:t>mass</w:t>
      </w:r>
      <w:r w:rsidRPr="00863849">
        <w:rPr>
          <w:color w:val="000000"/>
        </w:rPr>
        <w:t xml:space="preserve"> per unit leaf area (</w:t>
      </w:r>
      <w:proofErr w:type="spellStart"/>
      <w:r w:rsidRPr="00DB6582">
        <w:rPr>
          <w:i/>
          <w:color w:val="000000"/>
        </w:rPr>
        <w:t>N</w:t>
      </w:r>
      <w:r w:rsidRPr="00F1756A">
        <w:rPr>
          <w:iCs/>
          <w:color w:val="000000"/>
          <w:vertAlign w:val="subscript"/>
        </w:rPr>
        <w:t>area</w:t>
      </w:r>
      <w:proofErr w:type="spellEnd"/>
      <w:r w:rsidRPr="00863849">
        <w:rPr>
          <w:color w:val="000000"/>
        </w:rPr>
        <w:t>; g m</w:t>
      </w:r>
      <w:r w:rsidRPr="00863849">
        <w:rPr>
          <w:color w:val="000000"/>
          <w:vertAlign w:val="superscript"/>
        </w:rPr>
        <w:t>-2</w:t>
      </w:r>
      <w:r w:rsidRPr="00863849">
        <w:rPr>
          <w:color w:val="000000"/>
        </w:rPr>
        <w:t>) was</w:t>
      </w:r>
      <w:r>
        <w:rPr>
          <w:color w:val="000000"/>
        </w:rPr>
        <w:t xml:space="preserve"> </w:t>
      </w:r>
      <w:r w:rsidRPr="00863849">
        <w:rPr>
          <w:color w:val="000000"/>
        </w:rPr>
        <w:t>calculated by dividing</w:t>
      </w:r>
      <w:r w:rsidRPr="008C3563">
        <w:rPr>
          <w:i/>
          <w:iCs/>
        </w:rPr>
        <w:t xml:space="preserve"> </w:t>
      </w:r>
      <w:proofErr w:type="spellStart"/>
      <w:r w:rsidRPr="00CE3B3D">
        <w:rPr>
          <w:i/>
          <w:iCs/>
        </w:rPr>
        <w:t>N</w:t>
      </w:r>
      <w:r>
        <w:rPr>
          <w:vertAlign w:val="subscript"/>
        </w:rPr>
        <w:t>mass</w:t>
      </w:r>
      <w:proofErr w:type="spellEnd"/>
      <w:r w:rsidRPr="00863849">
        <w:rPr>
          <w:color w:val="000000"/>
        </w:rPr>
        <w:t xml:space="preserve"> by </w:t>
      </w:r>
      <w:r w:rsidR="00150CFB">
        <w:rPr>
          <w:iCs/>
          <w:color w:val="000000"/>
        </w:rPr>
        <w:t>specific leaf area</w:t>
      </w:r>
      <w:r w:rsidR="00F83744">
        <w:rPr>
          <w:iCs/>
          <w:color w:val="000000"/>
        </w:rPr>
        <w:t>, then multiplying by 10,000 to convert cm</w:t>
      </w:r>
      <w:r w:rsidR="00F83744">
        <w:rPr>
          <w:iCs/>
          <w:color w:val="000000"/>
          <w:vertAlign w:val="superscript"/>
        </w:rPr>
        <w:t>-2</w:t>
      </w:r>
      <w:r w:rsidR="00F83744">
        <w:rPr>
          <w:iCs/>
          <w:color w:val="000000"/>
        </w:rPr>
        <w:t xml:space="preserve"> to m</w:t>
      </w:r>
      <w:r w:rsidR="00F83744">
        <w:rPr>
          <w:iCs/>
          <w:color w:val="000000"/>
          <w:vertAlign w:val="superscript"/>
        </w:rPr>
        <w:t>-2</w:t>
      </w:r>
      <w:r w:rsidRPr="00863849">
        <w:rPr>
          <w:color w:val="000000"/>
        </w:rPr>
        <w:t>.</w:t>
      </w:r>
    </w:p>
    <w:p w14:paraId="661FA838" w14:textId="678547F1" w:rsidR="00DD0878" w:rsidRDefault="00DD0878" w:rsidP="00A754EC">
      <w:pPr>
        <w:autoSpaceDE w:val="0"/>
        <w:autoSpaceDN w:val="0"/>
        <w:adjustRightInd w:val="0"/>
        <w:spacing w:line="360" w:lineRule="auto"/>
        <w:rPr>
          <w:color w:val="000000"/>
        </w:rPr>
      </w:pPr>
    </w:p>
    <w:p w14:paraId="69D28324" w14:textId="77777777" w:rsidR="00DD0878" w:rsidRDefault="00DD0878" w:rsidP="00A754EC">
      <w:pPr>
        <w:spacing w:line="360" w:lineRule="auto"/>
        <w:rPr>
          <w:i/>
          <w:iCs/>
        </w:rPr>
      </w:pPr>
      <w:r>
        <w:rPr>
          <w:i/>
          <w:iCs/>
        </w:rPr>
        <w:t>Curve fitting and parameter estimation</w:t>
      </w:r>
    </w:p>
    <w:p w14:paraId="11AAD9FA" w14:textId="47B00EBE" w:rsidR="006D3E93" w:rsidRDefault="00DD0878" w:rsidP="00A754EC">
      <w:pPr>
        <w:spacing w:line="360" w:lineRule="auto"/>
        <w:ind w:firstLine="720"/>
      </w:pPr>
      <w:r>
        <w:rPr>
          <w:color w:val="000000"/>
        </w:rPr>
        <w:t>We fit</w:t>
      </w:r>
      <w:r w:rsidRPr="00863849">
        <w:rPr>
          <w:color w:val="000000"/>
        </w:rPr>
        <w:t xml:space="preserve"> </w:t>
      </w:r>
      <w:proofErr w:type="spellStart"/>
      <w:r w:rsidRPr="00DB6582">
        <w:rPr>
          <w:i/>
          <w:iCs/>
          <w:color w:val="000000"/>
        </w:rPr>
        <w:t>A</w:t>
      </w:r>
      <w:r>
        <w:rPr>
          <w:color w:val="000000"/>
          <w:vertAlign w:val="subscript"/>
        </w:rPr>
        <w:t>net</w:t>
      </w:r>
      <w:proofErr w:type="spellEnd"/>
      <w:r w:rsidRPr="006337C2">
        <w:rPr>
          <w:color w:val="000000"/>
        </w:rPr>
        <w:t>/</w:t>
      </w:r>
      <w:r w:rsidRPr="00DB6582">
        <w:rPr>
          <w:i/>
          <w:iCs/>
          <w:color w:val="000000"/>
        </w:rPr>
        <w:t>C</w:t>
      </w:r>
      <w:r w:rsidRPr="00242E06">
        <w:rPr>
          <w:color w:val="000000"/>
          <w:vertAlign w:val="subscript"/>
        </w:rPr>
        <w:t>i</w:t>
      </w:r>
      <w:r w:rsidRPr="00863849">
        <w:rPr>
          <w:color w:val="000000"/>
        </w:rPr>
        <w:t xml:space="preserve"> curves of each individual using the '</w:t>
      </w:r>
      <w:proofErr w:type="spellStart"/>
      <w:r w:rsidRPr="00863849">
        <w:rPr>
          <w:color w:val="000000"/>
        </w:rPr>
        <w:t>fitaci</w:t>
      </w:r>
      <w:proofErr w:type="spellEnd"/>
      <w:r w:rsidRPr="00863849">
        <w:rPr>
          <w:color w:val="000000"/>
        </w:rPr>
        <w:t>' function in the '</w:t>
      </w:r>
      <w:proofErr w:type="spellStart"/>
      <w:r w:rsidRPr="00863849">
        <w:rPr>
          <w:color w:val="000000"/>
        </w:rPr>
        <w:t>plantecophys</w:t>
      </w:r>
      <w:proofErr w:type="spellEnd"/>
      <w:r w:rsidRPr="00863849">
        <w:rPr>
          <w:color w:val="000000"/>
        </w:rPr>
        <w:t xml:space="preserve">' R package </w:t>
      </w:r>
      <w:r w:rsidRPr="00863849">
        <w:rPr>
          <w:color w:val="000000"/>
        </w:rPr>
        <w:fldChar w:fldCharType="begin" w:fldLock="1"/>
      </w:r>
      <w:r w:rsidRPr="00863849">
        <w:rPr>
          <w:color w:val="000000"/>
        </w:rPr>
        <w:instrText>ADDIN CSL_CITATION {"citationItems":[{"id":"ITEM-1","itemData":{"DOI":"10.1371/journal.pone.0143346&gt;","abstract":"Modelling &amp; Analysis of Leaf Gas Exchange Data","author":[{"dropping-particle":"","family":"Duursma","given":"Remko","non-dropping-particle":"","parse-names":false,"suffix":""}],"container-title":"PLos ONE","id":"ITEM-1","issue":"11","issued":{"date-parts":[["2015"]]},"page":"e0143346","title":"Plantecophys - An R package for analyzing and modelling leaf gas exchange data","type":"article-journal","volume":"10"},"uris":["http://www.mendeley.com/documents/?uuid=5e0def6e-f6ab-4728-ace7-bf1db97e423e"]}],"mendeley":{"formattedCitation":"(Duursma, 2015)","plainTextFormattedCitation":"(Duursma, 2015)","previouslyFormattedCitation":"(Duursma, 2015)"},"properties":{"noteIndex":0},"schema":"https://github.com/citation-style-language/schema/raw/master/csl-citation.json"}</w:instrText>
      </w:r>
      <w:r w:rsidRPr="00863849">
        <w:rPr>
          <w:color w:val="000000"/>
        </w:rPr>
        <w:fldChar w:fldCharType="separate"/>
      </w:r>
      <w:r w:rsidRPr="00863849">
        <w:rPr>
          <w:noProof/>
          <w:color w:val="000000"/>
        </w:rPr>
        <w:t>(Duursma, 2015)</w:t>
      </w:r>
      <w:r w:rsidRPr="00863849">
        <w:rPr>
          <w:color w:val="000000"/>
        </w:rPr>
        <w:fldChar w:fldCharType="end"/>
      </w:r>
      <w:r w:rsidRPr="00863849">
        <w:rPr>
          <w:color w:val="000000"/>
        </w:rPr>
        <w:t>. This function estimates the maximum rate of Rubisco carboxylation (</w:t>
      </w:r>
      <w:proofErr w:type="spellStart"/>
      <w:r w:rsidRPr="00DB6582">
        <w:rPr>
          <w:i/>
          <w:iCs/>
          <w:color w:val="000000"/>
        </w:rPr>
        <w:t>V</w:t>
      </w:r>
      <w:r w:rsidRPr="00275258">
        <w:rPr>
          <w:color w:val="000000"/>
          <w:vertAlign w:val="subscript"/>
        </w:rPr>
        <w:t>cmax</w:t>
      </w:r>
      <w:proofErr w:type="spellEnd"/>
      <w:r w:rsidRPr="00863849">
        <w:rPr>
          <w:color w:val="000000"/>
        </w:rPr>
        <w:t>; µmol</w:t>
      </w:r>
      <w:r>
        <w:rPr>
          <w:color w:val="000000"/>
        </w:rPr>
        <w:t xml:space="preserve"> </w:t>
      </w:r>
      <w:r w:rsidRPr="00863849">
        <w:rPr>
          <w:color w:val="000000"/>
        </w:rPr>
        <w:t>m</w:t>
      </w:r>
      <w:r w:rsidRPr="00863849">
        <w:rPr>
          <w:color w:val="000000"/>
          <w:vertAlign w:val="superscript"/>
        </w:rPr>
        <w:t>-2</w:t>
      </w:r>
      <w:r w:rsidRPr="00863849">
        <w:rPr>
          <w:color w:val="000000"/>
        </w:rPr>
        <w:t xml:space="preserve"> s</w:t>
      </w:r>
      <w:r w:rsidRPr="00863849">
        <w:rPr>
          <w:color w:val="000000"/>
          <w:vertAlign w:val="superscript"/>
        </w:rPr>
        <w:t>-1</w:t>
      </w:r>
      <w:r w:rsidRPr="00863849">
        <w:rPr>
          <w:color w:val="000000"/>
        </w:rPr>
        <w:t>) and maximum rate of electron transport for RuBP regeneration (</w:t>
      </w:r>
      <w:proofErr w:type="spellStart"/>
      <w:r w:rsidRPr="00DB6582">
        <w:rPr>
          <w:i/>
          <w:iCs/>
        </w:rPr>
        <w:t>J</w:t>
      </w:r>
      <w:r w:rsidRPr="00275258">
        <w:rPr>
          <w:vertAlign w:val="subscript"/>
        </w:rPr>
        <w:t>max</w:t>
      </w:r>
      <w:proofErr w:type="spellEnd"/>
      <w:r w:rsidRPr="00863849">
        <w:rPr>
          <w:color w:val="000000"/>
        </w:rPr>
        <w:t>; µmol</w:t>
      </w:r>
      <w:r>
        <w:rPr>
          <w:color w:val="000000"/>
        </w:rPr>
        <w:t xml:space="preserve"> </w:t>
      </w:r>
      <w:r w:rsidRPr="00863849">
        <w:rPr>
          <w:color w:val="000000"/>
        </w:rPr>
        <w:t>m</w:t>
      </w:r>
      <w:r w:rsidRPr="00863849">
        <w:rPr>
          <w:color w:val="000000"/>
          <w:vertAlign w:val="superscript"/>
        </w:rPr>
        <w:t>-2</w:t>
      </w:r>
      <w:r w:rsidRPr="00863849">
        <w:rPr>
          <w:color w:val="000000"/>
        </w:rPr>
        <w:t xml:space="preserve"> s</w:t>
      </w:r>
      <w:r w:rsidRPr="00863849">
        <w:rPr>
          <w:color w:val="000000"/>
          <w:vertAlign w:val="superscript"/>
        </w:rPr>
        <w:t>-1</w:t>
      </w:r>
      <w:r w:rsidRPr="00863849">
        <w:rPr>
          <w:color w:val="000000"/>
        </w:rPr>
        <w:t>) based on the Farquhar, von Caemmerer, and Berry biochemical model of C</w:t>
      </w:r>
      <w:r w:rsidRPr="00863849">
        <w:rPr>
          <w:color w:val="000000"/>
          <w:vertAlign w:val="subscript"/>
        </w:rPr>
        <w:t>3</w:t>
      </w:r>
      <w:r w:rsidRPr="00863849">
        <w:rPr>
          <w:color w:val="000000"/>
        </w:rPr>
        <w:t xml:space="preserve"> photosynthesis </w:t>
      </w:r>
      <w:r>
        <w:rPr>
          <w:color w:val="000000"/>
        </w:rPr>
        <w:fldChar w:fldCharType="begin" w:fldLock="1"/>
      </w:r>
      <w:r w:rsidR="001B21C7">
        <w:rPr>
          <w:color w:val="000000"/>
        </w:rPr>
        <w:instrText>ADDIN CSL_CITATION {"citationItems":[{"id":"ITEM-1","itemData":{"DOI":"10.1007/BF00386231","ISSN":"0032-0935","author":[{"dropping-particle":"","family":"Farquhar","given":"Graham D","non-dropping-particle":"","parse-names":false,"suffix":""},{"dropping-particle":"","family":"Caemmerer","given":"Susanne","non-dropping-particle":"von","parse-names":false,"suffix":""},{"dropping-particle":"","family":"Berry","given":"Joe A","non-dropping-particle":"","parse-names":false,"suffix":""}],"container-title":"Planta","id":"ITEM-1","issue":"1","issued":{"date-parts":[["1980","6"]]},"page":"78-90","title":"A biochemical model of photosynthetic CO&lt;i&gt;2&lt;/i&gt; assimilation in leaves of C3 species","type":"article-journal","volume":"149"},"uris":["http://www.mendeley.com/documents/?uuid=2717909d-c70a-4937-a66c-ae5cfba2cde5"]}],"mendeley":{"formattedCitation":"(Farquhar et al., 1980)","plainTextFormattedCitation":"(Farquhar et al., 1980)","previouslyFormattedCitation":"(Farquhar et al., 1980)"},"properties":{"noteIndex":0},"schema":"https://github.com/citation-style-language/schema/raw/master/csl-citation.json"}</w:instrText>
      </w:r>
      <w:r>
        <w:rPr>
          <w:color w:val="000000"/>
        </w:rPr>
        <w:fldChar w:fldCharType="separate"/>
      </w:r>
      <w:r w:rsidRPr="001B21C7">
        <w:rPr>
          <w:noProof/>
          <w:color w:val="000000"/>
        </w:rPr>
        <w:t>(Farquhar et al., 1980)</w:t>
      </w:r>
      <w:r>
        <w:rPr>
          <w:color w:val="000000"/>
        </w:rPr>
        <w:fldChar w:fldCharType="end"/>
      </w:r>
      <w:r w:rsidRPr="00863849">
        <w:rPr>
          <w:color w:val="000000"/>
        </w:rPr>
        <w:t>.</w:t>
      </w:r>
      <w:r w:rsidR="009F0F34">
        <w:rPr>
          <w:color w:val="000000"/>
        </w:rPr>
        <w:t xml:space="preserve"> We removed all data points that </w:t>
      </w:r>
      <w:r w:rsidR="00FF6F53">
        <w:rPr>
          <w:color w:val="000000"/>
        </w:rPr>
        <w:t xml:space="preserve">were likely to </w:t>
      </w:r>
      <w:r w:rsidR="009F0F34">
        <w:rPr>
          <w:color w:val="000000"/>
        </w:rPr>
        <w:t>confer TPU limitation</w:t>
      </w:r>
      <w:r w:rsidR="00D9075F">
        <w:rPr>
          <w:color w:val="000000"/>
        </w:rPr>
        <w:t xml:space="preserve"> </w:t>
      </w:r>
      <w:r w:rsidR="009F0F34">
        <w:rPr>
          <w:color w:val="000000"/>
        </w:rPr>
        <w:t xml:space="preserve">and fit each curve without imposing TPU limitation as </w:t>
      </w:r>
      <w:r w:rsidR="00FF6F53">
        <w:rPr>
          <w:color w:val="000000"/>
        </w:rPr>
        <w:t>a</w:t>
      </w:r>
      <w:r w:rsidR="009F0F34">
        <w:rPr>
          <w:color w:val="000000"/>
        </w:rPr>
        <w:t xml:space="preserve"> rate-limiting step</w:t>
      </w:r>
      <w:r w:rsidR="00D9075F">
        <w:rPr>
          <w:color w:val="000000"/>
        </w:rPr>
        <w:t>.</w:t>
      </w:r>
      <w:r w:rsidR="009F0F34">
        <w:rPr>
          <w:color w:val="000000"/>
        </w:rPr>
        <w:t xml:space="preserve"> </w:t>
      </w:r>
      <w:r>
        <w:t>We also determined kinetic parameters and CO</w:t>
      </w:r>
      <w:r>
        <w:rPr>
          <w:vertAlign w:val="subscript"/>
        </w:rPr>
        <w:t>2</w:t>
      </w:r>
      <w:r>
        <w:t xml:space="preserve"> compensation points using leaf temperature and equations derived in</w:t>
      </w:r>
      <w:r w:rsidR="007F426D">
        <w:t xml:space="preserve"> </w:t>
      </w:r>
      <w:r w:rsidR="007F426D">
        <w:fldChar w:fldCharType="begin" w:fldLock="1"/>
      </w:r>
      <w:r w:rsidR="00ED2735">
        <w:instrText>ADDIN CSL_CITATION {"citationItems":[{"id":"ITEM-1","itemData":{"DOI":"10.1046/j.1365-3040.2001.00668.x","ISSN":"01407791","abstract":"Predicting the environmental responses of leaf photosynthesis is central to many models of changes in the future global carbon cycle and terrestrial biosphere. The steady-state biochemical model of C-3 photosynthesis of Farquhar et al. (Planta 149, 78-90, 1980) provides a basis for these larger scale predictions; but a weakness in the application of the model as currently parameterized is the inability to accurately predict carbon assimilation at the range of temperatures over which significant photosynthesis occurs in the natural environment. The temperature functions used in this model have been based on in vitro measurements made over a limited temperature range and require several assumptions of in vivo conditions. Since photosynthetic rates are often Rubisco-limited (ribulose, 1-5 bisphosphate carboxylase/oxygenase) under natural steady-state conditions, inaccuracies in the functions predicting Rubisco kinetic properties at different temperatures may cause significant error. In this study, transgenic tobacco containing only 10% normal levels of Rubisco were used to measure Rubisco-limited photosynthesis over a large range of CO2 concentrations. From the responses of the rate of CO2 assimilation at a wide range of temperatures, and CO2 and O-2 concentrations, the temperature functions of Rubisco kinetic properties were estimated in vivo. These differed substantially from previously published functions. These new functions were then used to predict photosynthesis in lemon and found to faithfully mimic the observed pattern of temperature response. There was also a close correspondence with published C-3 photosynthesis temperature responses. The results represent an improved ability to model leaf photosynthesis over a wide range of temperatures (10-40 degreesC) necessary for predicting carbon uptake by terrestrial C-3 systems.","author":[{"dropping-particle":"","family":"Bernacchi","given":"Carl J","non-dropping-particle":"","parse-names":false,"suffix":""},{"dropping-particle":"","family":"Singsaas","given":"Eric L","non-dropping-particle":"","parse-names":false,"suffix":""},{"dropping-particle":"","family":"Pimentel","given":"Carlos","non-dropping-particle":"","parse-names":false,"suffix":""},{"dropping-particle":"","family":"Portis","given":"Archie R","non-dropping-particle":"","parse-names":false,"suffix":""},{"dropping-particle":"","family":"Long","given":"Stephen P","non-dropping-particle":"","parse-names":false,"suffix":""}],"container-title":"Plant, Cell and Environment","id":"ITEM-1","issue":"2","issued":{"date-parts":[["2001"]]},"page":"253-259","title":"Improved temperature response functions for models of Rubisco-limited photosynthesis","type":"article-journal","volume":"24"},"uris":["http://www.mendeley.com/documents/?uuid=ccd6a28a-9e53-4361-b47f-71144c38a242"]}],"mendeley":{"formattedCitation":"(Bernacchi et al., 2001)","manualFormatting":"Bernacchi et al. (2001)","plainTextFormattedCitation":"(Bernacchi et al., 2001)","previouslyFormattedCitation":"(Bernacchi et al., 2001)"},"properties":{"noteIndex":0},"schema":"https://github.com/citation-style-language/schema/raw/master/csl-citation.json"}</w:instrText>
      </w:r>
      <w:r w:rsidR="007F426D">
        <w:fldChar w:fldCharType="separate"/>
      </w:r>
      <w:r w:rsidR="007F426D" w:rsidRPr="007F426D">
        <w:rPr>
          <w:noProof/>
        </w:rPr>
        <w:t>Bernacchi et al.</w:t>
      </w:r>
      <w:r w:rsidR="007F426D">
        <w:rPr>
          <w:noProof/>
        </w:rPr>
        <w:t xml:space="preserve"> (</w:t>
      </w:r>
      <w:r w:rsidR="007F426D" w:rsidRPr="007F426D">
        <w:rPr>
          <w:noProof/>
        </w:rPr>
        <w:t>2001)</w:t>
      </w:r>
      <w:r w:rsidR="007F426D">
        <w:fldChar w:fldCharType="end"/>
      </w:r>
      <w:r w:rsidR="007F426D">
        <w:t xml:space="preserve"> and</w:t>
      </w:r>
      <w:r w:rsidR="00AA6BAB">
        <w:t xml:space="preserve"> described in</w:t>
      </w:r>
      <w:r>
        <w:t xml:space="preserve"> </w:t>
      </w:r>
      <w:r>
        <w:fldChar w:fldCharType="begin" w:fldLock="1"/>
      </w:r>
      <w:r w:rsidR="001B21C7">
        <w:instrText>ADDIN CSL_CITATION {"citationItems":[{"id":"ITEM-1","itemData":{"DOI":"10.1046/j.1365-3040.2002.00891.x","ISSN":"01407791","author":[{"dropping-particle":"","family":"Medlyn","given":"Belinda E","non-dropping-particle":"","parse-names":false,"suffix":""},{"dropping-particle":"","family":"Dreyer","given":"Erwin","non-dropping-particle":"","parse-names":false,"suffix":""},{"dropping-particle":"","family":"Ellsworth","given":"David S","non-dropping-particle":"","parse-names":false,"suffix":""},{"dropping-particle":"","family":"Forstreuter","given":"Manfred","non-dropping-particle":"","parse-names":false,"suffix":""},{"dropping-particle":"","family":"Harley","given":"Peter C","non-dropping-particle":"","parse-names":false,"suffix":""},{"dropping-particle":"","family":"Kirschbaum","given":"Miko U F","non-dropping-particle":"","parse-names":false,"suffix":""},{"dropping-particle":"","family":"Roux","given":"Xavier","non-dropping-particle":"Le","parse-names":false,"suffix":""},{"dropping-particle":"","family":"Montpied","given":"Pierre","non-dropping-particle":"","parse-names":false,"suffix":""},{"dropping-particle":"","family":"Strassemeyer","given":"Jörn","non-dropping-particle":"","parse-names":false,"suffix":""},{"dropping-particle":"","family":"Walcroft","given":"A.","non-dropping-particle":"","parse-names":false,"suffix":""},{"dropping-particle":"","family":"Wang","given":"K","non-dropping-particle":"","parse-names":false,"suffix":""},{"dropping-particle":"","family":"Loustau","given":"Denis","non-dropping-particle":"","parse-names":false,"suffix":""}],"container-title":"Plant, Cell &amp; Environment","id":"ITEM-1","issue":"9","issued":{"date-parts":[["2002","9"]]},"page":"1167-1179","title":"Temperature response of parameters of a biochemically based model of photosynthesis. II. A review of experimental data","type":"article-journal","volume":"25"},"uris":["http://www.mendeley.com/documents/?uuid=f142b2ba-b924-4247-ad80-0bb3c892ffdc"]}],"mendeley":{"formattedCitation":"(Medlyn et al., 2002)","manualFormatting":"Medlyn et al. (2002)","plainTextFormattedCitation":"(Medlyn et al., 2002)","previouslyFormattedCitation":"(Medlyn et al., 2002)"},"properties":{"noteIndex":0},"schema":"https://github.com/citation-style-language/schema/raw/master/csl-citation.json"}</w:instrText>
      </w:r>
      <w:r>
        <w:fldChar w:fldCharType="separate"/>
      </w:r>
      <w:r w:rsidRPr="001672BA">
        <w:rPr>
          <w:noProof/>
        </w:rPr>
        <w:t xml:space="preserve">Medlyn </w:t>
      </w:r>
      <w:r w:rsidRPr="007F426D">
        <w:rPr>
          <w:iCs/>
          <w:noProof/>
        </w:rPr>
        <w:t>et al.</w:t>
      </w:r>
      <w:r w:rsidRPr="001672BA">
        <w:rPr>
          <w:noProof/>
        </w:rPr>
        <w:t xml:space="preserve"> </w:t>
      </w:r>
      <w:r>
        <w:rPr>
          <w:noProof/>
        </w:rPr>
        <w:t>(</w:t>
      </w:r>
      <w:r w:rsidRPr="001672BA">
        <w:rPr>
          <w:noProof/>
        </w:rPr>
        <w:t>2002)</w:t>
      </w:r>
      <w:r>
        <w:fldChar w:fldCharType="end"/>
      </w:r>
      <w:r w:rsidR="00125358">
        <w:t>.</w:t>
      </w:r>
    </w:p>
    <w:p w14:paraId="7DDFC1AC" w14:textId="6BC8DC73" w:rsidR="00DD0878" w:rsidRPr="001725BB" w:rsidRDefault="00DD0878" w:rsidP="00A754EC">
      <w:pPr>
        <w:spacing w:line="360" w:lineRule="auto"/>
        <w:ind w:firstLine="720"/>
      </w:pPr>
      <w:r>
        <w:t>For all</w:t>
      </w:r>
      <w:r w:rsidRPr="00926F7B">
        <w:rPr>
          <w:i/>
          <w:iCs/>
          <w:color w:val="000000"/>
        </w:rPr>
        <w:t xml:space="preserve"> </w:t>
      </w:r>
      <w:proofErr w:type="spellStart"/>
      <w:r w:rsidRPr="00DB6582">
        <w:rPr>
          <w:i/>
          <w:iCs/>
          <w:color w:val="000000"/>
        </w:rPr>
        <w:t>A</w:t>
      </w:r>
      <w:r>
        <w:rPr>
          <w:color w:val="000000"/>
          <w:vertAlign w:val="subscript"/>
        </w:rPr>
        <w:t>net</w:t>
      </w:r>
      <w:proofErr w:type="spellEnd"/>
      <w:r w:rsidRPr="006337C2">
        <w:rPr>
          <w:color w:val="000000"/>
        </w:rPr>
        <w:t>/</w:t>
      </w:r>
      <w:r w:rsidRPr="00DB6582">
        <w:rPr>
          <w:i/>
          <w:iCs/>
          <w:color w:val="000000"/>
        </w:rPr>
        <w:t>C</w:t>
      </w:r>
      <w:r w:rsidRPr="00242E06">
        <w:rPr>
          <w:color w:val="000000"/>
          <w:vertAlign w:val="subscript"/>
        </w:rPr>
        <w:t>i</w:t>
      </w:r>
      <w:r>
        <w:t xml:space="preserve"> curve fits, we </w:t>
      </w:r>
      <w:r>
        <w:rPr>
          <w:color w:val="000000"/>
        </w:rPr>
        <w:t xml:space="preserve">manually </w:t>
      </w:r>
      <w:r w:rsidRPr="00863849">
        <w:rPr>
          <w:color w:val="000000"/>
        </w:rPr>
        <w:t xml:space="preserve">standardized </w:t>
      </w:r>
      <w:proofErr w:type="spellStart"/>
      <w:r w:rsidRPr="00DB6582">
        <w:rPr>
          <w:i/>
          <w:iCs/>
          <w:color w:val="000000"/>
        </w:rPr>
        <w:t>V</w:t>
      </w:r>
      <w:r w:rsidRPr="00275258">
        <w:rPr>
          <w:color w:val="000000"/>
          <w:vertAlign w:val="subscript"/>
        </w:rPr>
        <w:t>cmax</w:t>
      </w:r>
      <w:proofErr w:type="spellEnd"/>
      <w:r>
        <w:rPr>
          <w:color w:val="000000"/>
        </w:rPr>
        <w:t xml:space="preserve"> and </w:t>
      </w:r>
      <w:proofErr w:type="spellStart"/>
      <w:r w:rsidRPr="00DB6582">
        <w:rPr>
          <w:i/>
          <w:iCs/>
        </w:rPr>
        <w:t>J</w:t>
      </w:r>
      <w:r w:rsidRPr="00275258">
        <w:rPr>
          <w:vertAlign w:val="subscript"/>
        </w:rPr>
        <w:t>max</w:t>
      </w:r>
      <w:proofErr w:type="spellEnd"/>
      <w:r w:rsidRPr="00863849">
        <w:rPr>
          <w:color w:val="000000"/>
        </w:rPr>
        <w:t xml:space="preserve"> </w:t>
      </w:r>
      <w:r w:rsidR="00125358">
        <w:rPr>
          <w:color w:val="000000"/>
        </w:rPr>
        <w:t xml:space="preserve">estimates </w:t>
      </w:r>
      <w:r w:rsidRPr="00863849">
        <w:rPr>
          <w:color w:val="000000"/>
        </w:rPr>
        <w:t>to</w:t>
      </w:r>
      <w:r w:rsidRPr="00863849">
        <w:rPr>
          <w:color w:val="000000"/>
          <w:vertAlign w:val="subscript"/>
        </w:rPr>
        <w:t xml:space="preserve"> </w:t>
      </w:r>
      <w:r w:rsidRPr="00863849">
        <w:rPr>
          <w:color w:val="000000"/>
        </w:rPr>
        <w:t>25</w:t>
      </w:r>
      <w:r w:rsidRPr="00863849">
        <w:rPr>
          <w:rFonts w:ascii="Symbol" w:eastAsia="Symbol" w:hAnsi="Symbol" w:cs="Symbol"/>
          <w:color w:val="000000"/>
        </w:rPr>
        <w:t></w:t>
      </w:r>
      <w:r w:rsidRPr="00863849">
        <w:rPr>
          <w:color w:val="000000"/>
        </w:rPr>
        <w:t xml:space="preserve">C </w:t>
      </w:r>
      <w:r>
        <w:rPr>
          <w:color w:val="000000"/>
        </w:rPr>
        <w:t>u</w:t>
      </w:r>
      <w:r w:rsidRPr="00863849">
        <w:rPr>
          <w:color w:val="000000"/>
        </w:rPr>
        <w:t xml:space="preserve">sing a modified Arrhenius equation </w:t>
      </w:r>
      <w:r>
        <w:rPr>
          <w:color w:val="000000"/>
        </w:rPr>
        <w:t xml:space="preserve">(as in </w:t>
      </w:r>
      <w:r w:rsidRPr="00863849">
        <w:rPr>
          <w:color w:val="000000"/>
        </w:rPr>
        <w:fldChar w:fldCharType="begin" w:fldLock="1"/>
      </w:r>
      <w:r>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sidRPr="00863849">
        <w:rPr>
          <w:color w:val="000000"/>
        </w:rPr>
        <w:fldChar w:fldCharType="separate"/>
      </w:r>
      <w:r w:rsidRPr="00863849">
        <w:rPr>
          <w:noProof/>
          <w:color w:val="000000"/>
        </w:rPr>
        <w:t>Kattge &amp; Knorr, 2007)</w:t>
      </w:r>
      <w:r w:rsidRPr="00863849">
        <w:rPr>
          <w:color w:val="000000"/>
        </w:rPr>
        <w:fldChar w:fldCharType="end"/>
      </w:r>
      <w:r w:rsidRPr="00863849">
        <w:rPr>
          <w:color w:val="000000"/>
        </w:rPr>
        <w:t>:</w:t>
      </w:r>
    </w:p>
    <w:p w14:paraId="0C15D9CD" w14:textId="77777777" w:rsidR="00DD0878" w:rsidRDefault="00DD0878" w:rsidP="00A754EC">
      <w:pPr>
        <w:tabs>
          <w:tab w:val="left" w:pos="593"/>
        </w:tabs>
        <w:autoSpaceDE w:val="0"/>
        <w:autoSpaceDN w:val="0"/>
        <w:adjustRightInd w:val="0"/>
        <w:spacing w:line="360" w:lineRule="auto"/>
        <w:rPr>
          <w:color w:val="000000"/>
        </w:rPr>
      </w:pPr>
    </w:p>
    <w:p w14:paraId="3D5139C1" w14:textId="211E150B" w:rsidR="00DD0878" w:rsidRDefault="00F008CB" w:rsidP="00A754EC">
      <w:pPr>
        <w:tabs>
          <w:tab w:val="left" w:pos="593"/>
        </w:tabs>
        <w:autoSpaceDE w:val="0"/>
        <w:autoSpaceDN w:val="0"/>
        <w:adjustRightInd w:val="0"/>
        <w:spacing w:line="360" w:lineRule="auto"/>
        <w:rPr>
          <w:color w:val="000000"/>
        </w:rPr>
      </w:pP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25</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obs</m:t>
                </m:r>
              </m:sub>
            </m:sSub>
          </m:num>
          <m:den>
            <m:sSup>
              <m:sSupPr>
                <m:ctrlPr>
                  <w:rPr>
                    <w:rFonts w:ascii="Cambria Math" w:hAnsi="Cambria Math"/>
                    <w:i/>
                    <w:color w:val="000000"/>
                  </w:rPr>
                </m:ctrlPr>
              </m:sSupPr>
              <m:e>
                <m:r>
                  <w:rPr>
                    <w:rFonts w:ascii="Cambria Math" w:hAnsi="Cambria Math"/>
                    <w:color w:val="000000"/>
                  </w:rPr>
                  <m:t>e</m:t>
                </m:r>
              </m:e>
              <m:sup>
                <m:d>
                  <m:dPr>
                    <m:begChr m:val="["/>
                    <m:endChr m:val="]"/>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a</m:t>
                            </m:r>
                          </m:sub>
                        </m:sSub>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d>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r>
                          <w:rPr>
                            <w:rFonts w:ascii="Cambria Math" w:hAnsi="Cambria Math"/>
                            <w:color w:val="000000"/>
                          </w:rPr>
                          <m:t>R</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den>
                    </m:f>
                  </m:e>
                </m:d>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r>
                          <m:rPr>
                            <m:sty m:val="p"/>
                          </m:rPr>
                          <w:rPr>
                            <w:rFonts w:ascii="Cambria Math" w:hAnsi="Cambria Math"/>
                            <w:color w:val="000000"/>
                          </w:rPr>
                          <m:t>Δ</m:t>
                        </m:r>
                        <m:r>
                          <w:rPr>
                            <w:rFonts w:ascii="Cambria Math" w:hAnsi="Cambria Math"/>
                            <w:color w:val="000000"/>
                          </w:rPr>
                          <m:t>S-</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d</m:t>
                            </m:r>
                          </m:sub>
                        </m:sSub>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den>
                    </m:f>
                    <m:r>
                      <w:rPr>
                        <w:rFonts w:ascii="Cambria Math" w:hAnsi="Cambria Math"/>
                        <w:color w:val="000000"/>
                      </w:rPr>
                      <m:t>)</m:t>
                    </m:r>
                  </m:sup>
                </m:sSup>
              </m:num>
              <m:den>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r>
                          <m:rPr>
                            <m:sty m:val="p"/>
                          </m:rPr>
                          <w:rPr>
                            <w:rFonts w:ascii="Cambria Math" w:hAnsi="Cambria Math"/>
                            <w:color w:val="000000"/>
                          </w:rPr>
                          <m:t>Δ</m:t>
                        </m:r>
                        <m:r>
                          <w:rPr>
                            <w:rFonts w:ascii="Cambria Math" w:hAnsi="Cambria Math"/>
                            <w:color w:val="000000"/>
                          </w:rPr>
                          <m:t>S-</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d</m:t>
                            </m:r>
                          </m:sub>
                        </m:sSub>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den>
                    </m:f>
                    <m:r>
                      <w:rPr>
                        <w:rFonts w:ascii="Cambria Math" w:hAnsi="Cambria Math"/>
                        <w:color w:val="000000"/>
                      </w:rPr>
                      <m:t>)</m:t>
                    </m:r>
                  </m:sup>
                </m:sSup>
              </m:den>
            </m:f>
          </m:den>
        </m:f>
      </m:oMath>
      <w:r w:rsidR="00DD0878">
        <w:rPr>
          <w:color w:val="000000"/>
        </w:rPr>
        <w:tab/>
      </w:r>
      <w:r w:rsidR="00DD0878">
        <w:rPr>
          <w:color w:val="000000"/>
        </w:rPr>
        <w:tab/>
      </w:r>
      <w:r w:rsidR="00DD0878">
        <w:rPr>
          <w:color w:val="000000"/>
        </w:rPr>
        <w:tab/>
      </w:r>
      <w:r w:rsidR="00DD0878">
        <w:rPr>
          <w:color w:val="000000"/>
        </w:rPr>
        <w:tab/>
      </w:r>
      <w:r w:rsidR="00DD0878">
        <w:rPr>
          <w:color w:val="000000"/>
        </w:rPr>
        <w:tab/>
      </w:r>
      <w:r w:rsidR="00DD0878">
        <w:rPr>
          <w:color w:val="000000"/>
        </w:rPr>
        <w:tab/>
      </w:r>
      <w:r w:rsidR="00DD0878">
        <w:rPr>
          <w:color w:val="000000"/>
        </w:rPr>
        <w:tab/>
        <w:t xml:space="preserve">(Eqn. </w:t>
      </w:r>
      <w:r w:rsidR="0022275C">
        <w:rPr>
          <w:color w:val="000000"/>
        </w:rPr>
        <w:t>1</w:t>
      </w:r>
      <w:r w:rsidR="00DD0878">
        <w:rPr>
          <w:color w:val="000000"/>
        </w:rPr>
        <w:t>)</w:t>
      </w:r>
    </w:p>
    <w:p w14:paraId="7021885D" w14:textId="77777777" w:rsidR="00DD0878" w:rsidRDefault="00DD0878" w:rsidP="00A754EC">
      <w:pPr>
        <w:tabs>
          <w:tab w:val="left" w:pos="593"/>
        </w:tabs>
        <w:autoSpaceDE w:val="0"/>
        <w:autoSpaceDN w:val="0"/>
        <w:adjustRightInd w:val="0"/>
        <w:spacing w:line="360" w:lineRule="auto"/>
        <w:rPr>
          <w:color w:val="000000"/>
        </w:rPr>
      </w:pPr>
    </w:p>
    <w:p w14:paraId="51793D2A" w14:textId="1CDA29F0" w:rsidR="00DD0878" w:rsidRDefault="00DD0878" w:rsidP="00A754EC">
      <w:pPr>
        <w:tabs>
          <w:tab w:val="left" w:pos="593"/>
        </w:tabs>
        <w:autoSpaceDE w:val="0"/>
        <w:autoSpaceDN w:val="0"/>
        <w:adjustRightInd w:val="0"/>
        <w:spacing w:line="360" w:lineRule="auto"/>
        <w:rPr>
          <w:color w:val="000000"/>
        </w:rPr>
      </w:pPr>
      <w:r>
        <w:rPr>
          <w:iCs/>
          <w:color w:val="000000"/>
        </w:rPr>
        <w:t>where</w:t>
      </w:r>
      <w:r w:rsidRPr="00513E96">
        <w:rPr>
          <w:i/>
          <w:iCs/>
          <w:color w:val="000000"/>
        </w:rPr>
        <w:t xml:space="preserve"> </w:t>
      </w:r>
      <w:r w:rsidRPr="00C33C74">
        <w:rPr>
          <w:i/>
          <w:iCs/>
          <w:color w:val="000000"/>
        </w:rPr>
        <w:t>k</w:t>
      </w:r>
      <w:r w:rsidRPr="00863849">
        <w:rPr>
          <w:color w:val="000000"/>
          <w:vertAlign w:val="subscript"/>
        </w:rPr>
        <w:t>25</w:t>
      </w:r>
      <w:r w:rsidRPr="00863849">
        <w:rPr>
          <w:color w:val="000000"/>
        </w:rPr>
        <w:t xml:space="preserve"> </w:t>
      </w:r>
      <w:r>
        <w:rPr>
          <w:color w:val="000000"/>
        </w:rPr>
        <w:t>represents</w:t>
      </w:r>
      <w:r w:rsidRPr="00863849">
        <w:rPr>
          <w:color w:val="000000"/>
        </w:rPr>
        <w:t xml:space="preserve"> the standardized</w:t>
      </w:r>
      <w:r>
        <w:rPr>
          <w:color w:val="000000"/>
        </w:rPr>
        <w:t xml:space="preserve"> </w:t>
      </w:r>
      <w:proofErr w:type="spellStart"/>
      <w:r>
        <w:rPr>
          <w:i/>
          <w:iCs/>
          <w:color w:val="000000"/>
        </w:rPr>
        <w:t>V</w:t>
      </w:r>
      <w:r>
        <w:rPr>
          <w:color w:val="000000"/>
          <w:vertAlign w:val="subscript"/>
        </w:rPr>
        <w:t>cmax</w:t>
      </w:r>
      <w:proofErr w:type="spellEnd"/>
      <w:r>
        <w:rPr>
          <w:color w:val="000000"/>
          <w:vertAlign w:val="subscript"/>
        </w:rPr>
        <w:t xml:space="preserve"> </w:t>
      </w:r>
      <w:r>
        <w:rPr>
          <w:color w:val="000000"/>
        </w:rPr>
        <w:t xml:space="preserve">or </w:t>
      </w:r>
      <w:proofErr w:type="spellStart"/>
      <w:r>
        <w:rPr>
          <w:i/>
          <w:iCs/>
          <w:color w:val="000000"/>
        </w:rPr>
        <w:t>J</w:t>
      </w:r>
      <w:r>
        <w:rPr>
          <w:color w:val="000000"/>
          <w:vertAlign w:val="subscript"/>
        </w:rPr>
        <w:t>max</w:t>
      </w:r>
      <w:proofErr w:type="spellEnd"/>
      <w:r w:rsidRPr="00863849">
        <w:rPr>
          <w:color w:val="000000"/>
        </w:rPr>
        <w:t xml:space="preserve"> rate at 25</w:t>
      </w:r>
      <w:r w:rsidRPr="00863849">
        <w:rPr>
          <w:rFonts w:ascii="Symbol" w:eastAsia="Symbol" w:hAnsi="Symbol" w:cs="Symbol"/>
          <w:color w:val="000000"/>
        </w:rPr>
        <w:t></w:t>
      </w:r>
      <w:r w:rsidRPr="00863849">
        <w:rPr>
          <w:color w:val="000000"/>
        </w:rPr>
        <w:t>C</w:t>
      </w:r>
      <w:r>
        <w:rPr>
          <w:color w:val="000000"/>
        </w:rPr>
        <w:t>,</w:t>
      </w:r>
      <w:r>
        <w:rPr>
          <w:iCs/>
          <w:color w:val="000000"/>
        </w:rPr>
        <w:t xml:space="preserve"> </w:t>
      </w:r>
      <w:proofErr w:type="spellStart"/>
      <w:r w:rsidRPr="00F45847">
        <w:rPr>
          <w:i/>
          <w:iCs/>
          <w:color w:val="000000"/>
        </w:rPr>
        <w:t>k</w:t>
      </w:r>
      <w:r w:rsidRPr="00863849">
        <w:rPr>
          <w:color w:val="000000"/>
          <w:vertAlign w:val="subscript"/>
        </w:rPr>
        <w:t>obs</w:t>
      </w:r>
      <w:proofErr w:type="spellEnd"/>
      <w:r w:rsidRPr="00863849">
        <w:rPr>
          <w:color w:val="000000"/>
        </w:rPr>
        <w:t xml:space="preserve"> </w:t>
      </w:r>
      <w:r>
        <w:rPr>
          <w:color w:val="000000"/>
        </w:rPr>
        <w:t>represents</w:t>
      </w:r>
      <w:r w:rsidRPr="00863849">
        <w:rPr>
          <w:color w:val="000000"/>
        </w:rPr>
        <w:t xml:space="preserve"> the </w:t>
      </w:r>
      <w:proofErr w:type="spellStart"/>
      <w:r w:rsidRPr="00DB6582">
        <w:rPr>
          <w:i/>
          <w:iCs/>
          <w:color w:val="000000"/>
        </w:rPr>
        <w:t>V</w:t>
      </w:r>
      <w:r w:rsidRPr="00275258">
        <w:rPr>
          <w:color w:val="000000"/>
          <w:vertAlign w:val="subscript"/>
        </w:rPr>
        <w:t>cmax</w:t>
      </w:r>
      <w:proofErr w:type="spellEnd"/>
      <w:r w:rsidRPr="00863849">
        <w:rPr>
          <w:color w:val="000000"/>
        </w:rPr>
        <w:t xml:space="preserve"> or </w:t>
      </w:r>
      <w:proofErr w:type="spellStart"/>
      <w:r w:rsidRPr="00DB6582">
        <w:rPr>
          <w:i/>
          <w:iCs/>
        </w:rPr>
        <w:t>J</w:t>
      </w:r>
      <w:r w:rsidRPr="00275258">
        <w:rPr>
          <w:vertAlign w:val="subscript"/>
        </w:rPr>
        <w:t>max</w:t>
      </w:r>
      <w:proofErr w:type="spellEnd"/>
      <w:r w:rsidRPr="00863849">
        <w:rPr>
          <w:color w:val="000000"/>
        </w:rPr>
        <w:t xml:space="preserve"> estimate at the average leaf temperature measured inside the cuvette during the</w:t>
      </w:r>
      <w:r>
        <w:rPr>
          <w:color w:val="000000"/>
        </w:rPr>
        <w:t xml:space="preserve"> CO</w:t>
      </w:r>
      <w:r>
        <w:rPr>
          <w:color w:val="000000"/>
          <w:vertAlign w:val="subscript"/>
        </w:rPr>
        <w:t>2</w:t>
      </w:r>
      <w:r w:rsidRPr="00863849">
        <w:rPr>
          <w:color w:val="000000"/>
        </w:rPr>
        <w:t xml:space="preserve"> response curve. </w:t>
      </w:r>
      <w:r w:rsidRPr="00F45847">
        <w:rPr>
          <w:i/>
          <w:iCs/>
          <w:color w:val="000000"/>
        </w:rPr>
        <w:t>H</w:t>
      </w:r>
      <w:r w:rsidRPr="00863849">
        <w:rPr>
          <w:color w:val="000000"/>
          <w:vertAlign w:val="subscript"/>
        </w:rPr>
        <w:t>a</w:t>
      </w:r>
      <w:r w:rsidRPr="00863849">
        <w:rPr>
          <w:color w:val="000000"/>
        </w:rPr>
        <w:t xml:space="preserve"> is the activation energy of </w:t>
      </w:r>
      <w:proofErr w:type="spellStart"/>
      <w:r w:rsidRPr="006337C2">
        <w:rPr>
          <w:i/>
          <w:iCs/>
          <w:color w:val="000000"/>
        </w:rPr>
        <w:t>V</w:t>
      </w:r>
      <w:r w:rsidRPr="00275258">
        <w:rPr>
          <w:color w:val="000000"/>
          <w:vertAlign w:val="subscript"/>
        </w:rPr>
        <w:t>cmax</w:t>
      </w:r>
      <w:proofErr w:type="spellEnd"/>
      <w:r w:rsidRPr="00863849">
        <w:rPr>
          <w:color w:val="000000"/>
        </w:rPr>
        <w:t xml:space="preserve"> (71,513 J mol</w:t>
      </w:r>
      <w:r w:rsidRPr="00863849">
        <w:rPr>
          <w:color w:val="000000"/>
          <w:vertAlign w:val="superscript"/>
        </w:rPr>
        <w:t>-1</w:t>
      </w:r>
      <w:r w:rsidRPr="00863849">
        <w:rPr>
          <w:color w:val="000000"/>
        </w:rPr>
        <w:t xml:space="preserve">; </w:t>
      </w:r>
      <w:r>
        <w:rPr>
          <w:color w:val="000000"/>
        </w:rPr>
        <w:fldChar w:fldCharType="begin" w:fldLock="1"/>
      </w:r>
      <w:r>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Pr>
          <w:color w:val="000000"/>
        </w:rPr>
        <w:fldChar w:fldCharType="separate"/>
      </w:r>
      <w:r w:rsidRPr="00007008">
        <w:rPr>
          <w:noProof/>
          <w:color w:val="000000"/>
        </w:rPr>
        <w:t>Kattge &amp; Knorr, 2007)</w:t>
      </w:r>
      <w:r>
        <w:rPr>
          <w:color w:val="000000"/>
        </w:rPr>
        <w:fldChar w:fldCharType="end"/>
      </w:r>
      <w:r>
        <w:rPr>
          <w:color w:val="000000"/>
        </w:rPr>
        <w:t xml:space="preserve"> </w:t>
      </w:r>
      <w:r w:rsidRPr="00863849">
        <w:rPr>
          <w:color w:val="000000"/>
        </w:rPr>
        <w:t xml:space="preserve">or </w:t>
      </w:r>
      <w:proofErr w:type="spellStart"/>
      <w:r w:rsidRPr="00DB6582">
        <w:rPr>
          <w:i/>
          <w:iCs/>
        </w:rPr>
        <w:t>J</w:t>
      </w:r>
      <w:r w:rsidRPr="00275258">
        <w:rPr>
          <w:vertAlign w:val="subscript"/>
        </w:rPr>
        <w:t>max</w:t>
      </w:r>
      <w:proofErr w:type="spellEnd"/>
      <w:r>
        <w:rPr>
          <w:color w:val="000000"/>
        </w:rPr>
        <w:t xml:space="preserve"> </w:t>
      </w:r>
      <w:r w:rsidRPr="00863849">
        <w:rPr>
          <w:color w:val="000000"/>
        </w:rPr>
        <w:t>(49,884 J mol</w:t>
      </w:r>
      <w:r w:rsidRPr="00863849">
        <w:rPr>
          <w:color w:val="000000"/>
          <w:vertAlign w:val="superscript"/>
        </w:rPr>
        <w:t>-1</w:t>
      </w:r>
      <w:r w:rsidRPr="00863849">
        <w:rPr>
          <w:color w:val="000000"/>
        </w:rPr>
        <w:t xml:space="preserve">; </w:t>
      </w:r>
      <w:r>
        <w:rPr>
          <w:color w:val="000000"/>
        </w:rPr>
        <w:fldChar w:fldCharType="begin" w:fldLock="1"/>
      </w:r>
      <w:r>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Pr>
          <w:color w:val="000000"/>
        </w:rPr>
        <w:fldChar w:fldCharType="separate"/>
      </w:r>
      <w:r w:rsidRPr="00007008">
        <w:rPr>
          <w:noProof/>
          <w:color w:val="000000"/>
        </w:rPr>
        <w:t>Kattge &amp; Knorr, 2007)</w:t>
      </w:r>
      <w:r>
        <w:rPr>
          <w:color w:val="000000"/>
        </w:rPr>
        <w:fldChar w:fldCharType="end"/>
      </w:r>
      <w:r>
        <w:rPr>
          <w:color w:val="000000"/>
        </w:rPr>
        <w:t xml:space="preserve">. </w:t>
      </w:r>
      <w:proofErr w:type="spellStart"/>
      <w:r w:rsidRPr="00F45847">
        <w:rPr>
          <w:i/>
          <w:iCs/>
          <w:color w:val="000000"/>
        </w:rPr>
        <w:t>H</w:t>
      </w:r>
      <w:r w:rsidRPr="00863849">
        <w:rPr>
          <w:color w:val="000000"/>
          <w:vertAlign w:val="subscript"/>
        </w:rPr>
        <w:t>d</w:t>
      </w:r>
      <w:proofErr w:type="spellEnd"/>
      <w:r w:rsidRPr="00863849">
        <w:rPr>
          <w:color w:val="000000"/>
        </w:rPr>
        <w:t xml:space="preserve"> represents the deactivation energy of both </w:t>
      </w:r>
      <w:proofErr w:type="spellStart"/>
      <w:r w:rsidRPr="008D17BE">
        <w:rPr>
          <w:i/>
          <w:iCs/>
          <w:color w:val="000000"/>
        </w:rPr>
        <w:t>V</w:t>
      </w:r>
      <w:r w:rsidRPr="00275258">
        <w:rPr>
          <w:color w:val="000000"/>
          <w:vertAlign w:val="subscript"/>
        </w:rPr>
        <w:t>cmax</w:t>
      </w:r>
      <w:proofErr w:type="spellEnd"/>
      <w:r w:rsidRPr="00863849">
        <w:rPr>
          <w:color w:val="000000"/>
        </w:rPr>
        <w:t xml:space="preserve"> and </w:t>
      </w:r>
      <w:proofErr w:type="spellStart"/>
      <w:r w:rsidRPr="00DB6582">
        <w:rPr>
          <w:i/>
          <w:iCs/>
        </w:rPr>
        <w:t>J</w:t>
      </w:r>
      <w:r w:rsidRPr="00275258">
        <w:rPr>
          <w:vertAlign w:val="subscript"/>
        </w:rPr>
        <w:t>max</w:t>
      </w:r>
      <w:proofErr w:type="spellEnd"/>
      <w:r w:rsidRPr="00863849">
        <w:rPr>
          <w:color w:val="000000"/>
        </w:rPr>
        <w:t xml:space="preserve"> </w:t>
      </w:r>
      <w:r>
        <w:rPr>
          <w:color w:val="000000"/>
        </w:rPr>
        <w:t>(200,000 J mol</w:t>
      </w:r>
      <w:r>
        <w:rPr>
          <w:color w:val="000000"/>
          <w:vertAlign w:val="superscript"/>
        </w:rPr>
        <w:t>-1</w:t>
      </w:r>
      <w:r>
        <w:rPr>
          <w:color w:val="000000"/>
        </w:rPr>
        <w:t xml:space="preserve">; </w:t>
      </w:r>
      <w:r>
        <w:rPr>
          <w:color w:val="000000"/>
        </w:rPr>
        <w:fldChar w:fldCharType="begin" w:fldLock="1"/>
      </w:r>
      <w:r w:rsidR="001B21C7">
        <w:rPr>
          <w:color w:val="000000"/>
        </w:rPr>
        <w:instrText>ADDIN CSL_CITATION {"citationItems":[{"id":"ITEM-1","itemData":{"DOI":"10.1046/j.1365-3040.2002.00891.x","ISSN":"01407791","author":[{"dropping-particle":"","family":"Medlyn","given":"Belinda E","non-dropping-particle":"","parse-names":false,"suffix":""},{"dropping-particle":"","family":"Dreyer","given":"Erwin","non-dropping-particle":"","parse-names":false,"suffix":""},{"dropping-particle":"","family":"Ellsworth","given":"David S","non-dropping-particle":"","parse-names":false,"suffix":""},{"dropping-particle":"","family":"Forstreuter","given":"Manfred","non-dropping-particle":"","parse-names":false,"suffix":""},{"dropping-particle":"","family":"Harley","given":"Peter C","non-dropping-particle":"","parse-names":false,"suffix":""},{"dropping-particle":"","family":"Kirschbaum","given":"Miko U F","non-dropping-particle":"","parse-names":false,"suffix":""},{"dropping-particle":"","family":"Roux","given":"Xavier","non-dropping-particle":"Le","parse-names":false,"suffix":""},{"dropping-particle":"","family":"Montpied","given":"Pierre","non-dropping-particle":"","parse-names":false,"suffix":""},{"dropping-particle":"","family":"Strassemeyer","given":"Jörn","non-dropping-particle":"","parse-names":false,"suffix":""},{"dropping-particle":"","family":"Walcroft","given":"A.","non-dropping-particle":"","parse-names":false,"suffix":""},{"dropping-particle":"","family":"Wang","given":"K","non-dropping-particle":"","parse-names":false,"suffix":""},{"dropping-particle":"","family":"Loustau","given":"Denis","non-dropping-particle":"","parse-names":false,"suffix":""}],"container-title":"Plant, Cell &amp; Environment","id":"ITEM-1","issue":"9","issued":{"date-parts":[["2002","9"]]},"page":"1167-1179","title":"Temperature response of parameters of a biochemically based model of photosynthesis. II. A review of experimental data","type":"article-journal","volume":"25"},"uris":["http://www.mendeley.com/documents/?uuid=f142b2ba-b924-4247-ad80-0bb3c892ffdc"]}],"mendeley":{"formattedCitation":"(Medlyn et al., 2002)","manualFormatting":"Medlyn et al., 2002)","plainTextFormattedCitation":"(Medlyn et al., 2002)","previouslyFormattedCitation":"(Medlyn et al., 2002)"},"properties":{"noteIndex":0},"schema":"https://github.com/citation-style-language/schema/raw/master/csl-citation.json"}</w:instrText>
      </w:r>
      <w:r>
        <w:rPr>
          <w:color w:val="000000"/>
        </w:rPr>
        <w:fldChar w:fldCharType="separate"/>
      </w:r>
      <w:r w:rsidRPr="00007008">
        <w:rPr>
          <w:noProof/>
          <w:color w:val="000000"/>
        </w:rPr>
        <w:t xml:space="preserve">Medlyn </w:t>
      </w:r>
      <w:r w:rsidRPr="00007008">
        <w:rPr>
          <w:i/>
          <w:noProof/>
          <w:color w:val="000000"/>
        </w:rPr>
        <w:t>et al.</w:t>
      </w:r>
      <w:r w:rsidRPr="00007008">
        <w:rPr>
          <w:noProof/>
          <w:color w:val="000000"/>
        </w:rPr>
        <w:t>, 2002)</w:t>
      </w:r>
      <w:r>
        <w:rPr>
          <w:color w:val="000000"/>
        </w:rPr>
        <w:fldChar w:fldCharType="end"/>
      </w:r>
      <w:r w:rsidRPr="00863849">
        <w:rPr>
          <w:color w:val="000000"/>
        </w:rPr>
        <w:t xml:space="preserve">, and R </w:t>
      </w:r>
      <w:r>
        <w:rPr>
          <w:color w:val="000000"/>
        </w:rPr>
        <w:t>represents</w:t>
      </w:r>
      <w:r w:rsidRPr="00863849">
        <w:rPr>
          <w:color w:val="000000"/>
        </w:rPr>
        <w:t xml:space="preserve"> the universal gas constant (8.314 J mol</w:t>
      </w:r>
      <w:r w:rsidRPr="00863849">
        <w:rPr>
          <w:color w:val="000000"/>
          <w:vertAlign w:val="superscript"/>
        </w:rPr>
        <w:t>-1</w:t>
      </w:r>
      <w:r w:rsidRPr="00863849">
        <w:rPr>
          <w:color w:val="000000"/>
        </w:rPr>
        <w:t xml:space="preserve"> K</w:t>
      </w:r>
      <w:r w:rsidRPr="00863849">
        <w:rPr>
          <w:color w:val="000000"/>
          <w:vertAlign w:val="superscript"/>
        </w:rPr>
        <w:t>-1</w:t>
      </w:r>
      <w:r w:rsidRPr="00863849">
        <w:rPr>
          <w:color w:val="000000"/>
        </w:rPr>
        <w:t xml:space="preserve">). </w:t>
      </w:r>
      <w:proofErr w:type="spellStart"/>
      <w:r w:rsidRPr="00C33C74">
        <w:rPr>
          <w:i/>
          <w:iCs/>
          <w:color w:val="000000"/>
        </w:rPr>
        <w:t>T</w:t>
      </w:r>
      <w:r w:rsidRPr="00863849">
        <w:rPr>
          <w:color w:val="000000"/>
          <w:vertAlign w:val="subscript"/>
        </w:rPr>
        <w:t>ref</w:t>
      </w:r>
      <w:proofErr w:type="spellEnd"/>
      <w:r w:rsidRPr="00863849">
        <w:rPr>
          <w:color w:val="000000"/>
        </w:rPr>
        <w:t xml:space="preserve"> represents the standardized temperature of 298.15 K and </w:t>
      </w:r>
      <w:r w:rsidRPr="00C33C74">
        <w:rPr>
          <w:i/>
          <w:iCs/>
          <w:color w:val="000000"/>
        </w:rPr>
        <w:t>T</w:t>
      </w:r>
      <w:r w:rsidRPr="00863849">
        <w:rPr>
          <w:color w:val="000000"/>
          <w:vertAlign w:val="subscript"/>
        </w:rPr>
        <w:t>obs</w:t>
      </w:r>
      <w:r w:rsidRPr="00863849">
        <w:rPr>
          <w:color w:val="000000"/>
        </w:rPr>
        <w:t xml:space="preserve"> represents the mean leaf temperature (K) during each CO</w:t>
      </w:r>
      <w:r w:rsidRPr="00863849">
        <w:rPr>
          <w:color w:val="000000"/>
          <w:vertAlign w:val="subscript"/>
        </w:rPr>
        <w:t>2</w:t>
      </w:r>
      <w:r w:rsidRPr="00863849">
        <w:rPr>
          <w:color w:val="000000"/>
        </w:rPr>
        <w:t xml:space="preserve"> response curve.</w:t>
      </w:r>
      <w:r>
        <w:rPr>
          <w:color w:val="000000"/>
        </w:rPr>
        <w:t xml:space="preserve"> </w:t>
      </w:r>
      <w:r w:rsidRPr="00863849">
        <w:rPr>
          <w:color w:val="000000"/>
          <w:lang w:val="el-GR"/>
        </w:rPr>
        <w:t>Δ</w:t>
      </w:r>
      <w:r w:rsidRPr="00863849">
        <w:rPr>
          <w:color w:val="000000"/>
        </w:rPr>
        <w:t xml:space="preserve">S is an entropy term that </w:t>
      </w:r>
      <w:proofErr w:type="spellStart"/>
      <w:r w:rsidRPr="00863849">
        <w:rPr>
          <w:color w:val="000000"/>
        </w:rPr>
        <w:t>Kattge</w:t>
      </w:r>
      <w:proofErr w:type="spellEnd"/>
      <w:r w:rsidRPr="00863849">
        <w:rPr>
          <w:color w:val="000000"/>
        </w:rPr>
        <w:t xml:space="preserve"> &amp; Knorr (2007) derived as a linear relationship with average growing season temperature (</w:t>
      </w:r>
      <w:proofErr w:type="spellStart"/>
      <w:r w:rsidRPr="00C33C74">
        <w:rPr>
          <w:i/>
          <w:iCs/>
          <w:color w:val="000000"/>
        </w:rPr>
        <w:t>T</w:t>
      </w:r>
      <w:r w:rsidRPr="00863849">
        <w:rPr>
          <w:color w:val="000000"/>
          <w:vertAlign w:val="subscript"/>
        </w:rPr>
        <w:t>g</w:t>
      </w:r>
      <w:proofErr w:type="spellEnd"/>
      <w:r w:rsidRPr="00863849">
        <w:rPr>
          <w:color w:val="000000"/>
        </w:rPr>
        <w:t xml:space="preserve">; °C), where: </w:t>
      </w:r>
    </w:p>
    <w:p w14:paraId="332C44F5" w14:textId="77777777" w:rsidR="00DD0878" w:rsidRPr="00863849" w:rsidRDefault="00DD0878" w:rsidP="00A754EC">
      <w:pPr>
        <w:tabs>
          <w:tab w:val="left" w:pos="593"/>
        </w:tabs>
        <w:autoSpaceDE w:val="0"/>
        <w:autoSpaceDN w:val="0"/>
        <w:adjustRightInd w:val="0"/>
        <w:spacing w:line="360" w:lineRule="auto"/>
        <w:rPr>
          <w:color w:val="000000"/>
        </w:rPr>
      </w:pPr>
    </w:p>
    <w:p w14:paraId="445E3688" w14:textId="3E014A2C" w:rsidR="00DD0878" w:rsidRDefault="00F008CB" w:rsidP="00A754EC">
      <w:pPr>
        <w:tabs>
          <w:tab w:val="left" w:pos="593"/>
        </w:tabs>
        <w:autoSpaceDE w:val="0"/>
        <w:autoSpaceDN w:val="0"/>
        <w:adjustRightInd w:val="0"/>
        <w:spacing w:line="360" w:lineRule="auto"/>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vcmax</m:t>
            </m:r>
          </m:sub>
        </m:sSub>
        <m:r>
          <w:rPr>
            <w:rFonts w:ascii="Cambria Math" w:hAnsi="Cambria Math"/>
            <w:color w:val="000000"/>
          </w:rPr>
          <m:t>=-1.07</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g</m:t>
            </m:r>
          </m:sub>
        </m:sSub>
        <m:r>
          <w:rPr>
            <w:rFonts w:ascii="Cambria Math" w:hAnsi="Cambria Math"/>
            <w:color w:val="000000"/>
          </w:rPr>
          <m:t>+668.39</m:t>
        </m:r>
      </m:oMath>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t xml:space="preserve">(Eqn. </w:t>
      </w:r>
      <w:r w:rsidR="0022275C">
        <w:rPr>
          <w:color w:val="000000"/>
        </w:rPr>
        <w:t>2</w:t>
      </w:r>
      <w:r w:rsidR="00DD0878">
        <w:rPr>
          <w:color w:val="000000"/>
        </w:rPr>
        <w:t>a</w:t>
      </w:r>
      <w:r w:rsidR="00DD0878" w:rsidRPr="00863849">
        <w:rPr>
          <w:color w:val="000000"/>
        </w:rPr>
        <w:t>)</w:t>
      </w:r>
    </w:p>
    <w:p w14:paraId="6D5EDCD7" w14:textId="77777777" w:rsidR="00DD0878" w:rsidRPr="00705A56" w:rsidRDefault="00DD0878" w:rsidP="00A754EC">
      <w:pPr>
        <w:tabs>
          <w:tab w:val="left" w:pos="593"/>
        </w:tabs>
        <w:autoSpaceDE w:val="0"/>
        <w:autoSpaceDN w:val="0"/>
        <w:adjustRightInd w:val="0"/>
        <w:spacing w:line="360" w:lineRule="auto"/>
        <w:rPr>
          <w:color w:val="000000"/>
        </w:rPr>
      </w:pPr>
      <w:r w:rsidRPr="00863849">
        <w:rPr>
          <w:color w:val="000000"/>
        </w:rPr>
        <w:t>and:</w:t>
      </w:r>
    </w:p>
    <w:p w14:paraId="6B4B1159" w14:textId="3A8F26CD" w:rsidR="00DD0878" w:rsidRDefault="00F008CB" w:rsidP="00A754EC">
      <w:pPr>
        <w:tabs>
          <w:tab w:val="left" w:pos="593"/>
        </w:tabs>
        <w:autoSpaceDE w:val="0"/>
        <w:autoSpaceDN w:val="0"/>
        <w:adjustRightInd w:val="0"/>
        <w:spacing w:line="360" w:lineRule="auto"/>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jmax</m:t>
            </m:r>
          </m:sub>
        </m:sSub>
        <m:r>
          <w:rPr>
            <w:rFonts w:ascii="Cambria Math" w:hAnsi="Cambria Math"/>
            <w:color w:val="000000"/>
          </w:rPr>
          <m:t>=-0.75</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g</m:t>
            </m:r>
          </m:sub>
        </m:sSub>
        <m:r>
          <w:rPr>
            <w:rFonts w:ascii="Cambria Math" w:hAnsi="Cambria Math"/>
            <w:color w:val="000000"/>
          </w:rPr>
          <m:t>+659.70</m:t>
        </m:r>
      </m:oMath>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t xml:space="preserve">(Eqn. </w:t>
      </w:r>
      <w:r w:rsidR="0022275C">
        <w:rPr>
          <w:color w:val="000000"/>
        </w:rPr>
        <w:t>2</w:t>
      </w:r>
      <w:r w:rsidR="00DD0878">
        <w:rPr>
          <w:color w:val="000000"/>
        </w:rPr>
        <w:t>b</w:t>
      </w:r>
      <w:r w:rsidR="00DD0878" w:rsidRPr="00863849">
        <w:rPr>
          <w:color w:val="000000"/>
        </w:rPr>
        <w:t>)</w:t>
      </w:r>
    </w:p>
    <w:p w14:paraId="39E57D3E" w14:textId="77777777" w:rsidR="00DD0878" w:rsidRDefault="00DD0878" w:rsidP="00A754EC">
      <w:pPr>
        <w:tabs>
          <w:tab w:val="left" w:pos="593"/>
        </w:tabs>
        <w:autoSpaceDE w:val="0"/>
        <w:autoSpaceDN w:val="0"/>
        <w:adjustRightInd w:val="0"/>
        <w:spacing w:line="360" w:lineRule="auto"/>
        <w:rPr>
          <w:color w:val="000000"/>
        </w:rPr>
      </w:pPr>
    </w:p>
    <w:p w14:paraId="58037689" w14:textId="197750BD" w:rsidR="0022275C" w:rsidRDefault="00DD0878" w:rsidP="0022275C">
      <w:pPr>
        <w:spacing w:line="360" w:lineRule="auto"/>
        <w:rPr>
          <w:color w:val="000000"/>
        </w:rPr>
      </w:pPr>
      <w:r w:rsidRPr="00863849">
        <w:rPr>
          <w:color w:val="000000"/>
        </w:rPr>
        <w:t xml:space="preserve">We estimated </w:t>
      </w:r>
      <w:proofErr w:type="spellStart"/>
      <w:r w:rsidRPr="00C33C74">
        <w:rPr>
          <w:i/>
          <w:iCs/>
          <w:color w:val="000000"/>
        </w:rPr>
        <w:t>T</w:t>
      </w:r>
      <w:r w:rsidRPr="00863849">
        <w:rPr>
          <w:color w:val="000000"/>
          <w:vertAlign w:val="subscript"/>
        </w:rPr>
        <w:t>g</w:t>
      </w:r>
      <w:proofErr w:type="spellEnd"/>
      <w:r w:rsidRPr="00863849">
        <w:rPr>
          <w:color w:val="000000"/>
        </w:rPr>
        <w:t xml:space="preserve"> in equations </w:t>
      </w:r>
      <w:r>
        <w:rPr>
          <w:color w:val="000000"/>
        </w:rPr>
        <w:t>5 and 6</w:t>
      </w:r>
      <w:r w:rsidRPr="00863849">
        <w:rPr>
          <w:color w:val="000000"/>
        </w:rPr>
        <w:t xml:space="preserve"> based on </w:t>
      </w:r>
      <w:r>
        <w:rPr>
          <w:color w:val="000000"/>
        </w:rPr>
        <w:t>mean air temperature for each block throughout the duration of the experiment. Temperature data were collected using HOBO MX2301 data loggers (</w:t>
      </w:r>
      <w:r w:rsidRPr="0011017D">
        <w:rPr>
          <w:rFonts w:eastAsia="Times New Roman" w:cs="Times New Roman"/>
        </w:rPr>
        <w:t>Onset Computer Corp</w:t>
      </w:r>
      <w:r w:rsidR="00125358">
        <w:rPr>
          <w:rFonts w:eastAsia="Times New Roman" w:cs="Times New Roman"/>
        </w:rPr>
        <w:t>oration</w:t>
      </w:r>
      <w:r>
        <w:rPr>
          <w:rFonts w:eastAsia="Times New Roman" w:cs="Times New Roman"/>
        </w:rPr>
        <w:t xml:space="preserve">, </w:t>
      </w:r>
      <w:proofErr w:type="spellStart"/>
      <w:r>
        <w:rPr>
          <w:rFonts w:eastAsia="Times New Roman" w:cs="Times New Roman"/>
        </w:rPr>
        <w:t>Bourne</w:t>
      </w:r>
      <w:proofErr w:type="spellEnd"/>
      <w:r>
        <w:rPr>
          <w:rFonts w:eastAsia="Times New Roman" w:cs="Times New Roman"/>
        </w:rPr>
        <w:t>, MA, USA), which</w:t>
      </w:r>
      <w:r>
        <w:rPr>
          <w:color w:val="000000"/>
        </w:rPr>
        <w:t xml:space="preserve"> recorded temperature and humidity of each block in the greenhouse on a fifteen-minute timestep. </w:t>
      </w:r>
      <w:r w:rsidR="0022275C">
        <w:rPr>
          <w:color w:val="000000"/>
        </w:rPr>
        <w:t>W</w:t>
      </w:r>
      <w:r>
        <w:rPr>
          <w:color w:val="000000"/>
        </w:rPr>
        <w:t>e</w:t>
      </w:r>
      <w:r w:rsidR="0022275C">
        <w:rPr>
          <w:color w:val="000000"/>
        </w:rPr>
        <w:t xml:space="preserve"> then</w:t>
      </w:r>
      <w:r>
        <w:rPr>
          <w:color w:val="000000"/>
        </w:rPr>
        <w:t xml:space="preserve"> used </w:t>
      </w:r>
      <w:r w:rsidRPr="00DB6582">
        <w:rPr>
          <w:i/>
          <w:iCs/>
          <w:color w:val="000000"/>
        </w:rPr>
        <w:t>V</w:t>
      </w:r>
      <w:r w:rsidRPr="00275258">
        <w:rPr>
          <w:color w:val="000000"/>
          <w:vertAlign w:val="subscript"/>
        </w:rPr>
        <w:t>cmax25</w:t>
      </w:r>
      <w:r>
        <w:rPr>
          <w:color w:val="000000"/>
        </w:rPr>
        <w:t xml:space="preserve"> and </w:t>
      </w:r>
      <w:r w:rsidRPr="00DB6582">
        <w:rPr>
          <w:i/>
          <w:iCs/>
        </w:rPr>
        <w:t>J</w:t>
      </w:r>
      <w:r w:rsidRPr="00275258">
        <w:rPr>
          <w:vertAlign w:val="subscript"/>
        </w:rPr>
        <w:t>max25</w:t>
      </w:r>
      <w:r>
        <w:rPr>
          <w:vertAlign w:val="subscript"/>
        </w:rPr>
        <w:t xml:space="preserve"> </w:t>
      </w:r>
      <w:r>
        <w:t xml:space="preserve">estimates to calculate the ratio </w:t>
      </w:r>
      <w:r>
        <w:rPr>
          <w:color w:val="000000"/>
        </w:rPr>
        <w:t xml:space="preserve">of </w:t>
      </w:r>
      <w:r w:rsidRPr="00DB6582">
        <w:rPr>
          <w:i/>
          <w:iCs/>
        </w:rPr>
        <w:t>J</w:t>
      </w:r>
      <w:r w:rsidRPr="00275258">
        <w:rPr>
          <w:vertAlign w:val="subscript"/>
        </w:rPr>
        <w:t>max25</w:t>
      </w:r>
      <w:r>
        <w:t xml:space="preserve"> to </w:t>
      </w:r>
      <w:r w:rsidRPr="00DB6582">
        <w:rPr>
          <w:i/>
          <w:iCs/>
          <w:color w:val="000000"/>
        </w:rPr>
        <w:t>V</w:t>
      </w:r>
      <w:r w:rsidRPr="00275258">
        <w:rPr>
          <w:color w:val="000000"/>
          <w:vertAlign w:val="subscript"/>
        </w:rPr>
        <w:t>cmax25</w:t>
      </w:r>
      <w:r>
        <w:rPr>
          <w:color w:val="000000"/>
        </w:rPr>
        <w:t xml:space="preserve"> (</w:t>
      </w:r>
      <w:r w:rsidRPr="00DB6582">
        <w:rPr>
          <w:i/>
          <w:iCs/>
        </w:rPr>
        <w:t>J</w:t>
      </w:r>
      <w:r w:rsidRPr="00275258">
        <w:rPr>
          <w:vertAlign w:val="subscript"/>
        </w:rPr>
        <w:t>max25</w:t>
      </w:r>
      <w:r>
        <w:t>:</w:t>
      </w:r>
      <w:r w:rsidRPr="00DB6582">
        <w:rPr>
          <w:i/>
          <w:iCs/>
          <w:color w:val="000000"/>
        </w:rPr>
        <w:t>V</w:t>
      </w:r>
      <w:r w:rsidRPr="00275258">
        <w:rPr>
          <w:color w:val="000000"/>
          <w:vertAlign w:val="subscript"/>
        </w:rPr>
        <w:t>cmax25</w:t>
      </w:r>
      <w:r w:rsidR="004C3C71">
        <w:rPr>
          <w:color w:val="000000"/>
        </w:rPr>
        <w:t>; unitless</w:t>
      </w:r>
      <w:r>
        <w:rPr>
          <w:color w:val="000000"/>
        </w:rPr>
        <w:t>)</w:t>
      </w:r>
      <w:r w:rsidR="00AB654B">
        <w:rPr>
          <w:color w:val="000000"/>
        </w:rPr>
        <w:t>.</w:t>
      </w:r>
    </w:p>
    <w:p w14:paraId="553CCDFA" w14:textId="3A4C993C" w:rsidR="0022275C" w:rsidRDefault="0022275C" w:rsidP="0022275C">
      <w:pPr>
        <w:spacing w:line="360" w:lineRule="auto"/>
        <w:ind w:firstLine="720"/>
        <w:rPr>
          <w:color w:val="000000"/>
        </w:rPr>
      </w:pPr>
      <w:r>
        <w:rPr>
          <w:color w:val="000000"/>
        </w:rPr>
        <w:t xml:space="preserve">Finally, we standardized dark respiration measurements </w:t>
      </w:r>
      <w:r>
        <w:rPr>
          <w:color w:val="000000"/>
        </w:rPr>
        <w:t>to 25</w:t>
      </w:r>
      <w:r w:rsidRPr="00863849">
        <w:rPr>
          <w:rFonts w:ascii="Symbol" w:eastAsia="Symbol" w:hAnsi="Symbol" w:cs="Symbol"/>
          <w:color w:val="000000"/>
        </w:rPr>
        <w:t></w:t>
      </w:r>
      <w:r w:rsidRPr="00863849">
        <w:rPr>
          <w:color w:val="000000"/>
        </w:rPr>
        <w:t>C</w:t>
      </w:r>
      <w:r>
        <w:rPr>
          <w:color w:val="000000"/>
        </w:rPr>
        <w:t xml:space="preserve"> (</w:t>
      </w:r>
      <w:r>
        <w:rPr>
          <w:i/>
          <w:iCs/>
          <w:color w:val="000000"/>
        </w:rPr>
        <w:t>R</w:t>
      </w:r>
      <w:r>
        <w:rPr>
          <w:color w:val="000000"/>
          <w:vertAlign w:val="subscript"/>
        </w:rPr>
        <w:t>d25</w:t>
      </w:r>
      <w:r>
        <w:rPr>
          <w:color w:val="000000"/>
        </w:rPr>
        <w:t xml:space="preserve">; </w:t>
      </w:r>
      <w:r>
        <w:rPr>
          <w:color w:val="000000"/>
          <w:lang w:val="el-GR"/>
        </w:rPr>
        <w:t>μ</w:t>
      </w:r>
      <w:r>
        <w:rPr>
          <w:color w:val="000000"/>
        </w:rPr>
        <w:t>mol m</w:t>
      </w:r>
      <w:r>
        <w:rPr>
          <w:color w:val="000000"/>
          <w:vertAlign w:val="superscript"/>
        </w:rPr>
        <w:t>-2</w:t>
      </w:r>
      <w:r w:rsidRPr="00E83939">
        <w:rPr>
          <w:color w:val="000000"/>
        </w:rPr>
        <w:t xml:space="preserve"> </w:t>
      </w:r>
      <w:r>
        <w:rPr>
          <w:color w:val="000000"/>
        </w:rPr>
        <w:t>s</w:t>
      </w:r>
      <w:r>
        <w:rPr>
          <w:color w:val="000000"/>
          <w:vertAlign w:val="superscript"/>
        </w:rPr>
        <w:t>-1</w:t>
      </w:r>
      <w:r>
        <w:rPr>
          <w:color w:val="000000"/>
        </w:rPr>
        <w:t xml:space="preserve">) </w:t>
      </w:r>
      <w:r>
        <w:rPr>
          <w:color w:val="000000"/>
        </w:rPr>
        <w:t xml:space="preserve">using the log-polynomial approach explained in </w:t>
      </w:r>
      <w:r>
        <w:rPr>
          <w:color w:val="000000"/>
        </w:rPr>
        <w:fldChar w:fldCharType="begin" w:fldLock="1"/>
      </w:r>
      <w:r>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et al., 2016)","manualFormatting":"Heskel et al. (2016)","plainTextFormattedCitation":"(Heskel et al., 2016)","previouslyFormattedCitation":"(Heskel et al., 2016)"},"properties":{"noteIndex":0},"schema":"https://github.com/citation-style-language/schema/raw/master/csl-citation.json"}</w:instrText>
      </w:r>
      <w:r>
        <w:rPr>
          <w:color w:val="000000"/>
        </w:rPr>
        <w:fldChar w:fldCharType="separate"/>
      </w:r>
      <w:r w:rsidRPr="00166B47">
        <w:rPr>
          <w:noProof/>
          <w:color w:val="000000"/>
        </w:rPr>
        <w:t xml:space="preserve">Heskel </w:t>
      </w:r>
      <w:r w:rsidRPr="00166B47">
        <w:rPr>
          <w:i/>
          <w:noProof/>
          <w:color w:val="000000"/>
        </w:rPr>
        <w:t>et al.</w:t>
      </w:r>
      <w:r>
        <w:rPr>
          <w:noProof/>
          <w:color w:val="000000"/>
        </w:rPr>
        <w:t xml:space="preserve"> (</w:t>
      </w:r>
      <w:r w:rsidRPr="00166B47">
        <w:rPr>
          <w:noProof/>
          <w:color w:val="000000"/>
        </w:rPr>
        <w:t>2016)</w:t>
      </w:r>
      <w:r>
        <w:rPr>
          <w:color w:val="000000"/>
        </w:rPr>
        <w:fldChar w:fldCharType="end"/>
      </w:r>
      <w:r>
        <w:rPr>
          <w:color w:val="000000"/>
        </w:rPr>
        <w:t>, where:</w:t>
      </w:r>
    </w:p>
    <w:p w14:paraId="18B6DBDF" w14:textId="77777777" w:rsidR="0022275C" w:rsidRDefault="0022275C" w:rsidP="0022275C">
      <w:pPr>
        <w:spacing w:line="360" w:lineRule="auto"/>
        <w:ind w:firstLine="720"/>
        <w:rPr>
          <w:color w:val="000000"/>
        </w:rPr>
      </w:pPr>
    </w:p>
    <w:p w14:paraId="3A1DAAA4" w14:textId="4B129FED" w:rsidR="0022275C" w:rsidRPr="00A46FE6" w:rsidRDefault="0022275C" w:rsidP="0022275C">
      <w:pPr>
        <w:spacing w:line="360" w:lineRule="auto"/>
        <w:rPr>
          <w:rFonts w:eastAsiaTheme="minorEastAsia"/>
          <w:color w:val="000000"/>
        </w:rPr>
      </w:pP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Tref</m:t>
            </m:r>
          </m:sub>
        </m:sSub>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d>
            <m:r>
              <w:rPr>
                <w:rFonts w:ascii="Cambria Math" w:hAnsi="Cambria Math"/>
                <w:color w:val="000000"/>
              </w:rPr>
              <m:t>-c(</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sup>
                <m:r>
                  <w:rPr>
                    <w:rFonts w:ascii="Cambria Math" w:hAnsi="Cambria Math"/>
                    <w:color w:val="000000"/>
                  </w:rPr>
                  <m:t>2</m:t>
                </m:r>
              </m:sup>
            </m:sSup>
            <m:r>
              <w:rPr>
                <w:rFonts w:ascii="Cambria Math" w:hAnsi="Cambria Math"/>
                <w:color w:val="000000"/>
              </w:rPr>
              <m:t>)]</m:t>
            </m:r>
          </m:sup>
        </m:sSup>
      </m:oMath>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t xml:space="preserve">(Eqn. </w:t>
      </w:r>
      <w:r>
        <w:rPr>
          <w:rFonts w:eastAsiaTheme="minorEastAsia"/>
          <w:color w:val="000000"/>
        </w:rPr>
        <w:t>3</w:t>
      </w:r>
      <w:r>
        <w:rPr>
          <w:rFonts w:eastAsiaTheme="minorEastAsia"/>
          <w:color w:val="000000"/>
        </w:rPr>
        <w:t>)</w:t>
      </w:r>
    </w:p>
    <w:p w14:paraId="1F282B00" w14:textId="77777777" w:rsidR="0022275C" w:rsidRPr="00A46FE6" w:rsidRDefault="0022275C" w:rsidP="0022275C">
      <w:pPr>
        <w:spacing w:line="360" w:lineRule="auto"/>
        <w:rPr>
          <w:color w:val="000000"/>
        </w:rPr>
      </w:pPr>
    </w:p>
    <w:p w14:paraId="2CE0ABD1" w14:textId="6BA7D4BF" w:rsidR="00895284" w:rsidRDefault="0022275C" w:rsidP="0022275C">
      <w:pPr>
        <w:spacing w:line="360" w:lineRule="auto"/>
        <w:rPr>
          <w:color w:val="000000"/>
        </w:rPr>
      </w:pPr>
      <w:r>
        <w:rPr>
          <w:i/>
          <w:iCs/>
          <w:color w:val="000000"/>
        </w:rPr>
        <w:t>R</w:t>
      </w:r>
      <w:r>
        <w:rPr>
          <w:color w:val="000000"/>
          <w:vertAlign w:val="subscript"/>
        </w:rPr>
        <w:t>T</w:t>
      </w:r>
      <w:r>
        <w:rPr>
          <w:color w:val="000000"/>
        </w:rPr>
        <w:t xml:space="preserve"> is the temperature standardized respiration rate, </w:t>
      </w:r>
      <w:r>
        <w:rPr>
          <w:i/>
          <w:iCs/>
          <w:color w:val="000000"/>
        </w:rPr>
        <w:t>T</w:t>
      </w:r>
      <w:r>
        <w:rPr>
          <w:color w:val="000000"/>
        </w:rPr>
        <w:t xml:space="preserve"> is the temperature in which a given respiration rate is being standardized</w:t>
      </w:r>
      <w:r w:rsidR="00C7318F">
        <w:rPr>
          <w:color w:val="000000"/>
        </w:rPr>
        <w:t>, set to 25</w:t>
      </w:r>
      <w:r w:rsidR="00C7318F" w:rsidRPr="00863849">
        <w:rPr>
          <w:rFonts w:ascii="Symbol" w:eastAsia="Symbol" w:hAnsi="Symbol" w:cs="Symbol"/>
          <w:color w:val="000000"/>
        </w:rPr>
        <w:t></w:t>
      </w:r>
      <w:r w:rsidR="00C7318F" w:rsidRPr="00863849">
        <w:rPr>
          <w:color w:val="000000"/>
        </w:rPr>
        <w:t>C</w:t>
      </w:r>
      <w:r>
        <w:rPr>
          <w:color w:val="000000"/>
        </w:rPr>
        <w:t xml:space="preserve">, and </w:t>
      </w:r>
      <w:proofErr w:type="spellStart"/>
      <w:r>
        <w:rPr>
          <w:i/>
          <w:iCs/>
          <w:color w:val="000000"/>
        </w:rPr>
        <w:t>T</w:t>
      </w:r>
      <w:r>
        <w:rPr>
          <w:color w:val="000000"/>
          <w:vertAlign w:val="subscript"/>
        </w:rPr>
        <w:t>ref</w:t>
      </w:r>
      <w:proofErr w:type="spellEnd"/>
      <w:r>
        <w:rPr>
          <w:color w:val="000000"/>
        </w:rPr>
        <w:t xml:space="preserve"> is the temperature of the respiration measurement </w:t>
      </w:r>
      <w:proofErr w:type="spellStart"/>
      <w:r>
        <w:rPr>
          <w:i/>
          <w:iCs/>
          <w:color w:val="000000"/>
        </w:rPr>
        <w:t>R</w:t>
      </w:r>
      <w:r>
        <w:rPr>
          <w:color w:val="000000"/>
          <w:vertAlign w:val="subscript"/>
        </w:rPr>
        <w:t>Tref</w:t>
      </w:r>
      <w:proofErr w:type="spellEnd"/>
      <w:r>
        <w:rPr>
          <w:color w:val="000000"/>
        </w:rPr>
        <w:t xml:space="preserve">. </w:t>
      </w:r>
      <w:r>
        <w:rPr>
          <w:i/>
          <w:iCs/>
          <w:color w:val="000000"/>
        </w:rPr>
        <w:t>b</w:t>
      </w:r>
      <w:r>
        <w:rPr>
          <w:color w:val="000000"/>
        </w:rPr>
        <w:t xml:space="preserve"> and </w:t>
      </w:r>
      <w:r>
        <w:rPr>
          <w:i/>
          <w:iCs/>
          <w:color w:val="000000"/>
        </w:rPr>
        <w:t>c</w:t>
      </w:r>
      <w:r>
        <w:rPr>
          <w:color w:val="000000"/>
        </w:rPr>
        <w:t xml:space="preserve"> are coefficients that </w:t>
      </w:r>
      <w:r>
        <w:rPr>
          <w:color w:val="000000"/>
        </w:rPr>
        <w:fldChar w:fldCharType="begin" w:fldLock="1"/>
      </w:r>
      <w:r>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et al., 2016)","manualFormatting":"Heskel et al. (2016)","plainTextFormattedCitation":"(Heskel et al., 2016)","previouslyFormattedCitation":"(Heskel et al., 2016)"},"properties":{"noteIndex":0},"schema":"https://github.com/citation-style-language/schema/raw/master/csl-citation.json"}</w:instrText>
      </w:r>
      <w:r>
        <w:rPr>
          <w:color w:val="000000"/>
        </w:rPr>
        <w:fldChar w:fldCharType="separate"/>
      </w:r>
      <w:r w:rsidRPr="00166B47">
        <w:rPr>
          <w:noProof/>
          <w:color w:val="000000"/>
        </w:rPr>
        <w:t xml:space="preserve">Heskel </w:t>
      </w:r>
      <w:r w:rsidRPr="00166B47">
        <w:rPr>
          <w:i/>
          <w:noProof/>
          <w:color w:val="000000"/>
        </w:rPr>
        <w:t>et al.</w:t>
      </w:r>
      <w:r>
        <w:rPr>
          <w:noProof/>
          <w:color w:val="000000"/>
        </w:rPr>
        <w:t xml:space="preserve"> (</w:t>
      </w:r>
      <w:r w:rsidRPr="00166B47">
        <w:rPr>
          <w:noProof/>
          <w:color w:val="000000"/>
        </w:rPr>
        <w:t>2016)</w:t>
      </w:r>
      <w:r>
        <w:rPr>
          <w:color w:val="000000"/>
        </w:rPr>
        <w:fldChar w:fldCharType="end"/>
      </w:r>
      <w:r>
        <w:rPr>
          <w:color w:val="000000"/>
        </w:rPr>
        <w:t xml:space="preserve"> derived from a log-polynomial approach described in </w:t>
      </w:r>
      <w:r>
        <w:rPr>
          <w:color w:val="000000"/>
        </w:rPr>
        <w:fldChar w:fldCharType="begin" w:fldLock="1"/>
      </w:r>
      <w:r>
        <w:rPr>
          <w:color w:val="000000"/>
        </w:rPr>
        <w:instrText>ADDIN CSL_CITATION {"citationItems":[{"id":"ITEM-1","itemData":{"DOI":"10.1111/pce.12057","ISSN":"01407791","author":[{"dropping-particle":"","family":"O'Sullivan","given":"Odhran S","non-dropping-particle":"","parse-names":false,"suffix":""},{"dropping-particle":"","family":"Weerasinghe","given":"K W Lasantha K","non-dropping-particle":"","parse-names":false,"suffix":""},{"dropping-particle":"","family":"Evans","given":"John R","non-dropping-particle":"","parse-names":false,"suffix":""},{"dropping-particle":"","family":"Egerton","given":"John J G","non-dropping-particle":"","parse-names":false,"suffix":""},{"dropping-particle":"","family":"Tjoelker","given":"Mark G","non-dropping-particle":"","parse-names":false,"suffix":""},{"dropping-particle":"","family":"Atkin","given":"Owen K","non-dropping-particle":"","parse-names":false,"suffix":""}],"container-title":"Plant, Cell &amp; Environment","id":"ITEM-1","issue":"7","issued":{"date-parts":[["2013","7"]]},"page":"1268-1284","title":"High-resolution temperature responses of leaf respiration in snow gum (&lt;i&gt;Eucalyptus pauciflora&lt;/i&gt;) reveal high-temperature limits to respiratory function","type":"article-journal","volume":"36"},"uris":["http://www.mendeley.com/documents/?uuid=3ae232c8-422b-4bc3-a4a9-8d138a179b21"]}],"mendeley":{"formattedCitation":"(O’Sullivan et al., 2013)","manualFormatting":"O’Sullivan et al. (2013)","plainTextFormattedCitation":"(O’Sullivan et al., 2013)","previouslyFormattedCitation":"(O’Sullivan et al., 2013)"},"properties":{"noteIndex":0},"schema":"https://github.com/citation-style-language/schema/raw/master/csl-citation.json"}</w:instrText>
      </w:r>
      <w:r>
        <w:rPr>
          <w:color w:val="000000"/>
        </w:rPr>
        <w:fldChar w:fldCharType="separate"/>
      </w:r>
      <w:r w:rsidRPr="0011017D">
        <w:rPr>
          <w:noProof/>
          <w:color w:val="000000"/>
        </w:rPr>
        <w:t xml:space="preserve">O’Sullivan </w:t>
      </w:r>
      <w:r w:rsidRPr="0011017D">
        <w:rPr>
          <w:i/>
          <w:noProof/>
          <w:color w:val="000000"/>
        </w:rPr>
        <w:t>et al.</w:t>
      </w:r>
      <w:r w:rsidRPr="0011017D">
        <w:rPr>
          <w:noProof/>
          <w:color w:val="000000"/>
        </w:rPr>
        <w:t xml:space="preserve"> </w:t>
      </w:r>
      <w:r>
        <w:rPr>
          <w:noProof/>
          <w:color w:val="000000"/>
        </w:rPr>
        <w:t>(</w:t>
      </w:r>
      <w:r w:rsidRPr="0011017D">
        <w:rPr>
          <w:noProof/>
          <w:color w:val="000000"/>
        </w:rPr>
        <w:t>2013)</w:t>
      </w:r>
      <w:r>
        <w:rPr>
          <w:color w:val="000000"/>
        </w:rPr>
        <w:fldChar w:fldCharType="end"/>
      </w:r>
      <w:r>
        <w:rPr>
          <w:color w:val="000000"/>
        </w:rPr>
        <w:t xml:space="preserve"> for plant functional types and biomes. </w:t>
      </w:r>
      <w:r>
        <w:rPr>
          <w:rFonts w:eastAsiaTheme="minorEastAsia"/>
          <w:color w:val="000000"/>
        </w:rPr>
        <w:t xml:space="preserve">We used coefficients set </w:t>
      </w:r>
      <w:r>
        <w:rPr>
          <w:color w:val="000000"/>
        </w:rPr>
        <w:t>for C</w:t>
      </w:r>
      <w:r>
        <w:rPr>
          <w:color w:val="000000"/>
          <w:vertAlign w:val="subscript"/>
        </w:rPr>
        <w:t>3</w:t>
      </w:r>
      <w:r>
        <w:rPr>
          <w:color w:val="000000"/>
        </w:rPr>
        <w:t xml:space="preserve"> herbaceous species, where </w:t>
      </w:r>
      <w:r>
        <w:rPr>
          <w:i/>
          <w:iCs/>
          <w:color w:val="000000"/>
        </w:rPr>
        <w:t>b</w:t>
      </w:r>
      <w:r>
        <w:rPr>
          <w:color w:val="000000"/>
        </w:rPr>
        <w:t xml:space="preserve"> was set to </w:t>
      </w:r>
      <w:r w:rsidRPr="00CF0D09">
        <w:rPr>
          <w:color w:val="000000"/>
        </w:rPr>
        <w:t>0.1271</w:t>
      </w:r>
      <w:r>
        <w:rPr>
          <w:color w:val="000000"/>
        </w:rPr>
        <w:t xml:space="preserve"> and </w:t>
      </w:r>
      <w:r>
        <w:rPr>
          <w:i/>
          <w:iCs/>
          <w:color w:val="000000"/>
        </w:rPr>
        <w:t>c</w:t>
      </w:r>
      <w:r>
        <w:rPr>
          <w:color w:val="000000"/>
        </w:rPr>
        <w:t xml:space="preserve"> was set to </w:t>
      </w:r>
      <w:r w:rsidR="00C7318F">
        <w:rPr>
          <w:color w:val="000000"/>
        </w:rPr>
        <w:t xml:space="preserve">   -</w:t>
      </w:r>
      <w:r w:rsidRPr="00CF0D09">
        <w:rPr>
          <w:color w:val="000000"/>
        </w:rPr>
        <w:t>0.00110</w:t>
      </w:r>
      <w:r w:rsidR="00C7318F">
        <w:rPr>
          <w:color w:val="000000"/>
        </w:rPr>
        <w:t xml:space="preserve"> </w:t>
      </w:r>
      <w:r w:rsidR="00C7318F">
        <w:rPr>
          <w:color w:val="000000"/>
        </w:rPr>
        <w:fldChar w:fldCharType="begin" w:fldLock="1"/>
      </w:r>
      <w:r w:rsidR="003032DB">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et al., 2016)","plainTextFormattedCitation":"(Heskel et al., 2016)","previouslyFormattedCitation":"(Heskel et al., 2016)"},"properties":{"noteIndex":0},"schema":"https://github.com/citation-style-language/schema/raw/master/csl-citation.json"}</w:instrText>
      </w:r>
      <w:r w:rsidR="00C7318F">
        <w:rPr>
          <w:color w:val="000000"/>
        </w:rPr>
        <w:fldChar w:fldCharType="separate"/>
      </w:r>
      <w:r w:rsidR="00C7318F" w:rsidRPr="00C7318F">
        <w:rPr>
          <w:noProof/>
          <w:color w:val="000000"/>
        </w:rPr>
        <w:t>(Heskel et al., 2016)</w:t>
      </w:r>
      <w:r w:rsidR="00C7318F">
        <w:rPr>
          <w:color w:val="000000"/>
        </w:rPr>
        <w:fldChar w:fldCharType="end"/>
      </w:r>
      <w:r>
        <w:rPr>
          <w:color w:val="000000"/>
        </w:rPr>
        <w:t xml:space="preserve">. </w:t>
      </w:r>
      <w:r>
        <w:rPr>
          <w:color w:val="000000"/>
        </w:rPr>
        <w:t xml:space="preserve">Finally, we calculated the ratio of </w:t>
      </w:r>
      <w:r w:rsidR="00AB654B">
        <w:rPr>
          <w:i/>
          <w:iCs/>
          <w:color w:val="000000"/>
        </w:rPr>
        <w:t>R</w:t>
      </w:r>
      <w:r w:rsidR="00AB654B" w:rsidRPr="0011017D">
        <w:rPr>
          <w:color w:val="000000"/>
          <w:vertAlign w:val="subscript"/>
        </w:rPr>
        <w:t>d25</w:t>
      </w:r>
      <w:r w:rsidR="00AB654B">
        <w:rPr>
          <w:color w:val="000000"/>
        </w:rPr>
        <w:t xml:space="preserve"> to </w:t>
      </w:r>
      <w:r w:rsidR="00AB654B" w:rsidRPr="00DB6582">
        <w:rPr>
          <w:i/>
          <w:iCs/>
          <w:color w:val="000000"/>
        </w:rPr>
        <w:t>V</w:t>
      </w:r>
      <w:r w:rsidR="00AB654B" w:rsidRPr="00275258">
        <w:rPr>
          <w:color w:val="000000"/>
          <w:vertAlign w:val="subscript"/>
        </w:rPr>
        <w:t>cmax25</w:t>
      </w:r>
      <w:r w:rsidR="00AB654B">
        <w:rPr>
          <w:color w:val="000000"/>
        </w:rPr>
        <w:t xml:space="preserve"> (</w:t>
      </w:r>
      <w:r w:rsidR="00AB654B">
        <w:rPr>
          <w:i/>
          <w:iCs/>
          <w:color w:val="000000"/>
        </w:rPr>
        <w:t>R</w:t>
      </w:r>
      <w:r w:rsidR="00AB654B" w:rsidRPr="0011017D">
        <w:rPr>
          <w:color w:val="000000"/>
          <w:vertAlign w:val="subscript"/>
        </w:rPr>
        <w:t>d25</w:t>
      </w:r>
      <w:r w:rsidR="00AB654B">
        <w:rPr>
          <w:color w:val="000000"/>
        </w:rPr>
        <w:t xml:space="preserve">: </w:t>
      </w:r>
      <w:r w:rsidR="00AB654B" w:rsidRPr="00DB6582">
        <w:rPr>
          <w:i/>
          <w:iCs/>
          <w:color w:val="000000"/>
        </w:rPr>
        <w:t>V</w:t>
      </w:r>
      <w:r w:rsidR="00AB654B" w:rsidRPr="00275258">
        <w:rPr>
          <w:color w:val="000000"/>
          <w:vertAlign w:val="subscript"/>
        </w:rPr>
        <w:t>cmax25</w:t>
      </w:r>
      <w:r w:rsidR="00AB654B">
        <w:rPr>
          <w:color w:val="000000"/>
        </w:rPr>
        <w:t>; unitless).</w:t>
      </w:r>
    </w:p>
    <w:p w14:paraId="7F25D7BE" w14:textId="77777777" w:rsidR="00DD0878" w:rsidRDefault="00DD0878" w:rsidP="00A754EC">
      <w:pPr>
        <w:autoSpaceDE w:val="0"/>
        <w:autoSpaceDN w:val="0"/>
        <w:adjustRightInd w:val="0"/>
        <w:spacing w:line="360" w:lineRule="auto"/>
        <w:rPr>
          <w:color w:val="000000"/>
        </w:rPr>
      </w:pPr>
    </w:p>
    <w:p w14:paraId="35E0668F" w14:textId="77777777" w:rsidR="00DD0878" w:rsidRDefault="00DD0878" w:rsidP="00A754EC">
      <w:pPr>
        <w:spacing w:line="360" w:lineRule="auto"/>
        <w:rPr>
          <w:color w:val="000000"/>
        </w:rPr>
      </w:pPr>
      <w:r>
        <w:rPr>
          <w:i/>
          <w:iCs/>
          <w:color w:val="000000"/>
        </w:rPr>
        <w:t>Tradeoffs between nitrogen and water usage</w:t>
      </w:r>
    </w:p>
    <w:p w14:paraId="7CCB4168" w14:textId="4E1CA2FA" w:rsidR="00DD0878" w:rsidRDefault="00DD0878" w:rsidP="00A754EC">
      <w:pPr>
        <w:autoSpaceDE w:val="0"/>
        <w:autoSpaceDN w:val="0"/>
        <w:adjustRightInd w:val="0"/>
        <w:spacing w:line="360" w:lineRule="auto"/>
        <w:ind w:firstLine="720"/>
        <w:rPr>
          <w:color w:val="000000" w:themeColor="text1"/>
        </w:rPr>
      </w:pPr>
      <w:r>
        <w:rPr>
          <w:color w:val="000000"/>
        </w:rPr>
        <w:t xml:space="preserve">Photosynthetic nitrogen-use efficiency </w:t>
      </w:r>
      <w:r>
        <w:rPr>
          <w:color w:val="000000" w:themeColor="text1"/>
        </w:rPr>
        <w:t>(</w:t>
      </w:r>
      <w:r w:rsidRPr="00F45847">
        <w:rPr>
          <w:i/>
          <w:iCs/>
          <w:color w:val="000000" w:themeColor="text1"/>
        </w:rPr>
        <w:t>PNUE</w:t>
      </w:r>
      <w:r>
        <w:rPr>
          <w:color w:val="000000" w:themeColor="text1"/>
        </w:rPr>
        <w:t xml:space="preserve">; </w:t>
      </w:r>
      <w:r w:rsidRPr="14AB8DC9">
        <w:rPr>
          <w:color w:val="000000" w:themeColor="text1"/>
        </w:rPr>
        <w:t>µmol</w:t>
      </w:r>
      <w:r>
        <w:rPr>
          <w:color w:val="000000" w:themeColor="text1"/>
        </w:rPr>
        <w:t xml:space="preserve"> CO</w:t>
      </w:r>
      <w:r>
        <w:rPr>
          <w:color w:val="000000" w:themeColor="text1"/>
          <w:vertAlign w:val="subscript"/>
        </w:rPr>
        <w:t>2</w:t>
      </w:r>
      <w:r w:rsidRPr="14AB8DC9">
        <w:rPr>
          <w:color w:val="000000" w:themeColor="text1"/>
        </w:rPr>
        <w:t xml:space="preserve"> g</w:t>
      </w:r>
      <w:r w:rsidR="008F6058" w:rsidRPr="008F6058">
        <w:rPr>
          <w:color w:val="000000" w:themeColor="text1"/>
          <w:vertAlign w:val="superscript"/>
        </w:rPr>
        <w:t>-1</w:t>
      </w:r>
      <w:r w:rsidR="008F6058">
        <w:rPr>
          <w:color w:val="000000" w:themeColor="text1"/>
        </w:rPr>
        <w:t xml:space="preserve"> </w:t>
      </w:r>
      <w:r w:rsidRPr="008F6058">
        <w:rPr>
          <w:color w:val="000000" w:themeColor="text1"/>
        </w:rPr>
        <w:t>N</w:t>
      </w:r>
      <w:r w:rsidRPr="14AB8DC9">
        <w:rPr>
          <w:color w:val="000000" w:themeColor="text1"/>
          <w:vertAlign w:val="superscript"/>
        </w:rPr>
        <w:t xml:space="preserve"> </w:t>
      </w:r>
      <w:r w:rsidRPr="14AB8DC9">
        <w:rPr>
          <w:color w:val="000000" w:themeColor="text1"/>
        </w:rPr>
        <w:t>s</w:t>
      </w:r>
      <w:r w:rsidRPr="14AB8DC9">
        <w:rPr>
          <w:color w:val="000000" w:themeColor="text1"/>
          <w:vertAlign w:val="superscript"/>
        </w:rPr>
        <w:t>-1</w:t>
      </w:r>
      <w:r>
        <w:rPr>
          <w:color w:val="000000" w:themeColor="text1"/>
        </w:rPr>
        <w:t xml:space="preserve">) was calculated by dividing </w:t>
      </w:r>
      <w:proofErr w:type="spellStart"/>
      <w:r w:rsidRPr="008C415D">
        <w:rPr>
          <w:i/>
          <w:iCs/>
          <w:color w:val="000000" w:themeColor="text1"/>
        </w:rPr>
        <w:t>A</w:t>
      </w:r>
      <w:r>
        <w:rPr>
          <w:color w:val="000000"/>
          <w:vertAlign w:val="subscript"/>
        </w:rPr>
        <w:t>net</w:t>
      </w:r>
      <w:proofErr w:type="spellEnd"/>
      <w:r>
        <w:rPr>
          <w:color w:val="000000" w:themeColor="text1"/>
        </w:rPr>
        <w:t xml:space="preserve"> 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2</w:t>
      </w:r>
      <w:r>
        <w:rPr>
          <w:color w:val="000000" w:themeColor="text1"/>
        </w:rPr>
        <w:t xml:space="preserve"> by </w:t>
      </w:r>
      <w:proofErr w:type="spellStart"/>
      <w:r>
        <w:rPr>
          <w:i/>
          <w:iCs/>
          <w:color w:val="000000" w:themeColor="text1"/>
        </w:rPr>
        <w:t>N</w:t>
      </w:r>
      <w:r>
        <w:rPr>
          <w:color w:val="000000" w:themeColor="text1"/>
          <w:vertAlign w:val="subscript"/>
        </w:rPr>
        <w:t>area</w:t>
      </w:r>
      <w:proofErr w:type="spellEnd"/>
      <w:r>
        <w:rPr>
          <w:color w:val="000000" w:themeColor="text1"/>
        </w:rPr>
        <w:t>. We also estimated intrinsic water-use efficiency (</w:t>
      </w:r>
      <w:proofErr w:type="spellStart"/>
      <w:r w:rsidRPr="00D9075F">
        <w:rPr>
          <w:i/>
          <w:iCs/>
          <w:color w:val="000000" w:themeColor="text1"/>
        </w:rPr>
        <w:t>iWUE</w:t>
      </w:r>
      <w:proofErr w:type="spellEnd"/>
      <w:r>
        <w:rPr>
          <w:color w:val="000000" w:themeColor="text1"/>
        </w:rPr>
        <w:t xml:space="preserve">; </w:t>
      </w:r>
      <w:r>
        <w:rPr>
          <w:color w:val="000000" w:themeColor="text1"/>
          <w:lang w:val="el-GR"/>
        </w:rPr>
        <w:t>μ</w:t>
      </w:r>
      <w:r>
        <w:rPr>
          <w:color w:val="000000" w:themeColor="text1"/>
        </w:rPr>
        <w:t>mol</w:t>
      </w:r>
      <w:r w:rsidRPr="00DD0878">
        <w:rPr>
          <w:color w:val="000000" w:themeColor="text1"/>
        </w:rPr>
        <w:t xml:space="preserve"> </w:t>
      </w:r>
      <w:r>
        <w:rPr>
          <w:color w:val="000000" w:themeColor="text1"/>
        </w:rPr>
        <w:t>CO</w:t>
      </w:r>
      <w:r>
        <w:rPr>
          <w:color w:val="000000" w:themeColor="text1"/>
          <w:vertAlign w:val="subscript"/>
        </w:rPr>
        <w:t>2</w:t>
      </w:r>
      <w:r>
        <w:rPr>
          <w:color w:val="000000" w:themeColor="text1"/>
        </w:rPr>
        <w:t xml:space="preserve"> mol</w:t>
      </w:r>
      <w:r>
        <w:rPr>
          <w:color w:val="000000" w:themeColor="text1"/>
          <w:vertAlign w:val="superscript"/>
        </w:rPr>
        <w:t>-1</w:t>
      </w:r>
      <w:r>
        <w:rPr>
          <w:color w:val="000000" w:themeColor="text1"/>
        </w:rPr>
        <w:t xml:space="preserve"> H</w:t>
      </w:r>
      <w:r>
        <w:rPr>
          <w:color w:val="000000" w:themeColor="text1"/>
          <w:vertAlign w:val="subscript"/>
        </w:rPr>
        <w:t>2</w:t>
      </w:r>
      <w:r>
        <w:rPr>
          <w:color w:val="000000" w:themeColor="text1"/>
        </w:rPr>
        <w:t xml:space="preserve">O) by dividing </w:t>
      </w:r>
      <w:proofErr w:type="spellStart"/>
      <w:r w:rsidRPr="008C415D">
        <w:rPr>
          <w:i/>
          <w:iCs/>
          <w:color w:val="000000" w:themeColor="text1"/>
        </w:rPr>
        <w:t>A</w:t>
      </w:r>
      <w:r>
        <w:rPr>
          <w:color w:val="000000"/>
          <w:vertAlign w:val="subscript"/>
        </w:rPr>
        <w:t>net</w:t>
      </w:r>
      <w:proofErr w:type="spellEnd"/>
      <w:r>
        <w:rPr>
          <w:color w:val="000000" w:themeColor="text1"/>
        </w:rPr>
        <w:t xml:space="preserve"> 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2</w:t>
      </w:r>
      <w:r>
        <w:rPr>
          <w:color w:val="000000" w:themeColor="text1"/>
        </w:rPr>
        <w:t xml:space="preserve"> by </w:t>
      </w:r>
      <w:proofErr w:type="spellStart"/>
      <w:r>
        <w:rPr>
          <w:i/>
          <w:iCs/>
          <w:color w:val="000000" w:themeColor="text1"/>
        </w:rPr>
        <w:t>g</w:t>
      </w:r>
      <w:r>
        <w:rPr>
          <w:color w:val="000000" w:themeColor="text1"/>
          <w:vertAlign w:val="subscript"/>
        </w:rPr>
        <w:t>s</w:t>
      </w:r>
      <w:proofErr w:type="spellEnd"/>
      <w:r>
        <w:rPr>
          <w:color w:val="000000" w:themeColor="text1"/>
        </w:rPr>
        <w:t xml:space="preserve"> 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2</w:t>
      </w:r>
      <w:r>
        <w:rPr>
          <w:color w:val="000000" w:themeColor="text1"/>
        </w:rPr>
        <w:t xml:space="preserve">. Tradeoffs between nitrogen and water use were determined by calculating the ratio of </w:t>
      </w:r>
      <w:proofErr w:type="spellStart"/>
      <w:r>
        <w:rPr>
          <w:i/>
          <w:iCs/>
          <w:color w:val="000000" w:themeColor="text1"/>
        </w:rPr>
        <w:t>N</w:t>
      </w:r>
      <w:r w:rsidRPr="00364127">
        <w:rPr>
          <w:color w:val="000000" w:themeColor="text1"/>
          <w:vertAlign w:val="subscript"/>
        </w:rPr>
        <w:t>area</w:t>
      </w:r>
      <w:proofErr w:type="spellEnd"/>
      <w:r>
        <w:rPr>
          <w:color w:val="000000" w:themeColor="text1"/>
        </w:rPr>
        <w:t xml:space="preserve"> to</w:t>
      </w:r>
      <w:r w:rsidRPr="008C415D">
        <w:rPr>
          <w:i/>
          <w:iCs/>
          <w:color w:val="000000" w:themeColor="text1"/>
        </w:rPr>
        <w:t xml:space="preserve"> </w:t>
      </w:r>
      <w:proofErr w:type="spellStart"/>
      <w:r>
        <w:rPr>
          <w:i/>
          <w:iCs/>
          <w:color w:val="000000" w:themeColor="text1"/>
        </w:rPr>
        <w:t>g</w:t>
      </w:r>
      <w:r>
        <w:rPr>
          <w:color w:val="000000" w:themeColor="text1"/>
          <w:vertAlign w:val="subscript"/>
        </w:rPr>
        <w:t>s</w:t>
      </w:r>
      <w:proofErr w:type="spellEnd"/>
      <w:r>
        <w:rPr>
          <w:color w:val="000000" w:themeColor="text1"/>
        </w:rPr>
        <w:t xml:space="preserve"> 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 xml:space="preserve">2 </w:t>
      </w:r>
      <w:r>
        <w:rPr>
          <w:color w:val="000000" w:themeColor="text1"/>
        </w:rPr>
        <w:t>(</w:t>
      </w:r>
      <w:proofErr w:type="spellStart"/>
      <w:r>
        <w:rPr>
          <w:i/>
          <w:iCs/>
          <w:color w:val="000000" w:themeColor="text1"/>
        </w:rPr>
        <w:t>N</w:t>
      </w:r>
      <w:r w:rsidRPr="00364127">
        <w:rPr>
          <w:color w:val="000000" w:themeColor="text1"/>
          <w:vertAlign w:val="subscript"/>
        </w:rPr>
        <w:t>area</w:t>
      </w:r>
      <w:r>
        <w:rPr>
          <w:color w:val="000000" w:themeColor="text1"/>
        </w:rPr>
        <w:t>:</w:t>
      </w:r>
      <w:r w:rsidRPr="000048CE">
        <w:rPr>
          <w:i/>
          <w:iCs/>
          <w:color w:val="000000" w:themeColor="text1"/>
        </w:rPr>
        <w:t>g</w:t>
      </w:r>
      <w:r w:rsidRPr="00F15977">
        <w:rPr>
          <w:color w:val="000000" w:themeColor="text1"/>
          <w:vertAlign w:val="subscript"/>
        </w:rPr>
        <w:t>s</w:t>
      </w:r>
      <w:proofErr w:type="spellEnd"/>
      <w:r>
        <w:rPr>
          <w:color w:val="000000" w:themeColor="text1"/>
        </w:rPr>
        <w:t>; g</w:t>
      </w:r>
      <w:r w:rsidR="008F6058">
        <w:rPr>
          <w:color w:val="000000" w:themeColor="text1"/>
        </w:rPr>
        <w:t xml:space="preserve"> </w:t>
      </w:r>
      <w:r>
        <w:rPr>
          <w:color w:val="000000" w:themeColor="text1"/>
        </w:rPr>
        <w:t>N s mol</w:t>
      </w:r>
      <w:r>
        <w:rPr>
          <w:color w:val="000000" w:themeColor="text1"/>
          <w:vertAlign w:val="superscript"/>
        </w:rPr>
        <w:t>-1</w:t>
      </w:r>
      <w:r>
        <w:rPr>
          <w:color w:val="000000" w:themeColor="text1"/>
        </w:rPr>
        <w:t xml:space="preserve"> H</w:t>
      </w:r>
      <w:r>
        <w:rPr>
          <w:color w:val="000000" w:themeColor="text1"/>
          <w:vertAlign w:val="subscript"/>
        </w:rPr>
        <w:t>2</w:t>
      </w:r>
      <w:r>
        <w:rPr>
          <w:color w:val="000000" w:themeColor="text1"/>
        </w:rPr>
        <w:t xml:space="preserve">O) and </w:t>
      </w:r>
      <w:proofErr w:type="spellStart"/>
      <w:r w:rsidRPr="000048CE">
        <w:rPr>
          <w:i/>
          <w:iCs/>
          <w:color w:val="000000" w:themeColor="text1"/>
        </w:rPr>
        <w:t>V</w:t>
      </w:r>
      <w:r w:rsidRPr="00F15977">
        <w:rPr>
          <w:color w:val="000000" w:themeColor="text1"/>
          <w:vertAlign w:val="subscript"/>
        </w:rPr>
        <w:t>cmax</w:t>
      </w:r>
      <w:proofErr w:type="spellEnd"/>
      <w:r w:rsidRPr="14AB8DC9">
        <w:rPr>
          <w:color w:val="000000" w:themeColor="text1"/>
        </w:rPr>
        <w:t xml:space="preserve"> </w:t>
      </w:r>
      <w:r>
        <w:rPr>
          <w:color w:val="000000" w:themeColor="text1"/>
        </w:rPr>
        <w:t xml:space="preserve">to </w:t>
      </w:r>
      <w:proofErr w:type="spellStart"/>
      <w:r w:rsidRPr="000048CE">
        <w:rPr>
          <w:i/>
          <w:iCs/>
          <w:color w:val="000000" w:themeColor="text1"/>
        </w:rPr>
        <w:t>g</w:t>
      </w:r>
      <w:r w:rsidRPr="00F15977">
        <w:rPr>
          <w:color w:val="000000" w:themeColor="text1"/>
          <w:vertAlign w:val="subscript"/>
        </w:rPr>
        <w:t>s</w:t>
      </w:r>
      <w:proofErr w:type="spellEnd"/>
      <w:r>
        <w:rPr>
          <w:color w:val="000000" w:themeColor="text1"/>
          <w:vertAlign w:val="subscript"/>
        </w:rPr>
        <w:t xml:space="preserve"> </w:t>
      </w:r>
      <w:r>
        <w:rPr>
          <w:color w:val="000000" w:themeColor="text1"/>
        </w:rPr>
        <w:t xml:space="preserve">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 xml:space="preserve">2 </w:t>
      </w:r>
      <w:r w:rsidRPr="14AB8DC9">
        <w:rPr>
          <w:color w:val="000000" w:themeColor="text1"/>
        </w:rPr>
        <w:t>(</w:t>
      </w:r>
      <w:proofErr w:type="spellStart"/>
      <w:r w:rsidRPr="000048CE">
        <w:rPr>
          <w:i/>
          <w:iCs/>
          <w:color w:val="000000" w:themeColor="text1"/>
        </w:rPr>
        <w:t>V</w:t>
      </w:r>
      <w:r w:rsidRPr="00F15977">
        <w:rPr>
          <w:color w:val="000000" w:themeColor="text1"/>
          <w:vertAlign w:val="subscript"/>
        </w:rPr>
        <w:t>cmax</w:t>
      </w:r>
      <w:r w:rsidRPr="00F15977">
        <w:rPr>
          <w:color w:val="000000" w:themeColor="text1"/>
        </w:rPr>
        <w:t>:</w:t>
      </w:r>
      <w:r w:rsidRPr="000048CE">
        <w:rPr>
          <w:i/>
          <w:iCs/>
          <w:color w:val="000000" w:themeColor="text1"/>
        </w:rPr>
        <w:t>g</w:t>
      </w:r>
      <w:r w:rsidRPr="00F15977">
        <w:rPr>
          <w:color w:val="000000" w:themeColor="text1"/>
          <w:vertAlign w:val="subscript"/>
        </w:rPr>
        <w:t>s</w:t>
      </w:r>
      <w:proofErr w:type="spellEnd"/>
      <w:r w:rsidRPr="14AB8DC9">
        <w:rPr>
          <w:color w:val="000000" w:themeColor="text1"/>
        </w:rPr>
        <w:t xml:space="preserve">; </w:t>
      </w:r>
      <w:r>
        <w:rPr>
          <w:color w:val="000000" w:themeColor="text1"/>
          <w:lang w:val="el-GR"/>
        </w:rPr>
        <w:t>μ</w:t>
      </w:r>
      <w:r w:rsidRPr="007037E1">
        <w:rPr>
          <w:color w:val="000000" w:themeColor="text1"/>
        </w:rPr>
        <w:t>mol</w:t>
      </w:r>
      <w:r>
        <w:rPr>
          <w:color w:val="000000" w:themeColor="text1"/>
        </w:rPr>
        <w:t xml:space="preserve"> CO</w:t>
      </w:r>
      <w:r>
        <w:rPr>
          <w:color w:val="000000" w:themeColor="text1"/>
          <w:vertAlign w:val="subscript"/>
        </w:rPr>
        <w:t>2</w:t>
      </w:r>
      <w:r w:rsidRPr="007037E1">
        <w:rPr>
          <w:color w:val="000000" w:themeColor="text1"/>
        </w:rPr>
        <w:t xml:space="preserve"> mol</w:t>
      </w:r>
      <w:r w:rsidRPr="007037E1">
        <w:rPr>
          <w:color w:val="000000" w:themeColor="text1"/>
          <w:vertAlign w:val="superscript"/>
        </w:rPr>
        <w:t>-1</w:t>
      </w:r>
      <w:r>
        <w:rPr>
          <w:color w:val="000000" w:themeColor="text1"/>
        </w:rPr>
        <w:t xml:space="preserve"> H</w:t>
      </w:r>
      <w:r>
        <w:rPr>
          <w:color w:val="000000" w:themeColor="text1"/>
          <w:vertAlign w:val="subscript"/>
        </w:rPr>
        <w:t>2</w:t>
      </w:r>
      <w:r>
        <w:rPr>
          <w:color w:val="000000" w:themeColor="text1"/>
        </w:rPr>
        <w:t>O</w:t>
      </w:r>
      <w:r w:rsidR="00310558">
        <w:rPr>
          <w:color w:val="000000" w:themeColor="text1"/>
        </w:rPr>
        <w:t>).</w:t>
      </w:r>
      <w:r>
        <w:rPr>
          <w:color w:val="000000" w:themeColor="text1"/>
        </w:rPr>
        <w:t xml:space="preserve"> We used the temperature unstandardized </w:t>
      </w:r>
      <w:proofErr w:type="spellStart"/>
      <w:r>
        <w:rPr>
          <w:i/>
          <w:iCs/>
          <w:color w:val="000000" w:themeColor="text1"/>
        </w:rPr>
        <w:t>V</w:t>
      </w:r>
      <w:r>
        <w:rPr>
          <w:color w:val="000000" w:themeColor="text1"/>
          <w:vertAlign w:val="subscript"/>
        </w:rPr>
        <w:t>cmax</w:t>
      </w:r>
      <w:proofErr w:type="spellEnd"/>
      <w:r>
        <w:rPr>
          <w:color w:val="000000" w:themeColor="text1"/>
        </w:rPr>
        <w:t xml:space="preserve"> value instead of </w:t>
      </w:r>
      <w:r>
        <w:rPr>
          <w:i/>
          <w:iCs/>
          <w:color w:val="000000" w:themeColor="text1"/>
        </w:rPr>
        <w:t>V</w:t>
      </w:r>
      <w:r>
        <w:rPr>
          <w:color w:val="000000" w:themeColor="text1"/>
          <w:vertAlign w:val="subscript"/>
        </w:rPr>
        <w:t>cmax25</w:t>
      </w:r>
      <w:r>
        <w:rPr>
          <w:color w:val="000000" w:themeColor="text1"/>
        </w:rPr>
        <w:t xml:space="preserve"> for </w:t>
      </w:r>
      <w:proofErr w:type="spellStart"/>
      <w:r w:rsidRPr="000048CE">
        <w:rPr>
          <w:i/>
          <w:iCs/>
          <w:color w:val="000000" w:themeColor="text1"/>
        </w:rPr>
        <w:t>V</w:t>
      </w:r>
      <w:r w:rsidRPr="00F15977">
        <w:rPr>
          <w:color w:val="000000" w:themeColor="text1"/>
          <w:vertAlign w:val="subscript"/>
        </w:rPr>
        <w:t>cmax</w:t>
      </w:r>
      <w:r w:rsidRPr="00F15977">
        <w:rPr>
          <w:color w:val="000000" w:themeColor="text1"/>
        </w:rPr>
        <w:t>:</w:t>
      </w:r>
      <w:r w:rsidRPr="000048CE">
        <w:rPr>
          <w:i/>
          <w:iCs/>
          <w:color w:val="000000" w:themeColor="text1"/>
        </w:rPr>
        <w:t>g</w:t>
      </w:r>
      <w:r w:rsidRPr="00F15977">
        <w:rPr>
          <w:color w:val="000000" w:themeColor="text1"/>
          <w:vertAlign w:val="subscript"/>
        </w:rPr>
        <w:t>s</w:t>
      </w:r>
      <w:proofErr w:type="spellEnd"/>
      <w:r>
        <w:rPr>
          <w:color w:val="000000" w:themeColor="text1"/>
        </w:rPr>
        <w:t xml:space="preserve"> because </w:t>
      </w:r>
      <w:r>
        <w:rPr>
          <w:iCs/>
          <w:color w:val="000000"/>
        </w:rPr>
        <w:t>stomatal conductance</w:t>
      </w:r>
      <w:r w:rsidRPr="00D562BF">
        <w:rPr>
          <w:iCs/>
          <w:color w:val="000000"/>
        </w:rPr>
        <w:t xml:space="preserve"> values</w:t>
      </w:r>
      <w:r>
        <w:rPr>
          <w:iCs/>
          <w:color w:val="000000"/>
        </w:rPr>
        <w:t xml:space="preserve"> were</w:t>
      </w:r>
      <w:r w:rsidRPr="00D562BF">
        <w:rPr>
          <w:iCs/>
          <w:color w:val="000000"/>
        </w:rPr>
        <w:t xml:space="preserve"> not standardized to 25</w:t>
      </w:r>
      <w:r w:rsidRPr="00D562BF">
        <w:rPr>
          <w:color w:val="000000"/>
        </w:rPr>
        <w:t>°C.</w:t>
      </w:r>
    </w:p>
    <w:p w14:paraId="7592EE22" w14:textId="77777777" w:rsidR="00DD0878" w:rsidRDefault="00DD0878" w:rsidP="00A754EC">
      <w:pPr>
        <w:spacing w:line="360" w:lineRule="auto"/>
      </w:pPr>
    </w:p>
    <w:p w14:paraId="64D2AC58" w14:textId="79D6C961" w:rsidR="00360D30" w:rsidRDefault="00360D30" w:rsidP="00A754EC">
      <w:pPr>
        <w:spacing w:line="360" w:lineRule="auto"/>
      </w:pPr>
      <w:r>
        <w:rPr>
          <w:i/>
          <w:iCs/>
        </w:rPr>
        <w:t>Whole plant traits</w:t>
      </w:r>
    </w:p>
    <w:p w14:paraId="14099B94" w14:textId="2A732199" w:rsidR="007755C4" w:rsidRDefault="00F83744" w:rsidP="00A754EC">
      <w:pPr>
        <w:autoSpaceDE w:val="0"/>
        <w:autoSpaceDN w:val="0"/>
        <w:adjustRightInd w:val="0"/>
        <w:spacing w:line="360" w:lineRule="auto"/>
        <w:ind w:firstLine="720"/>
        <w:rPr>
          <w:rFonts w:cs="Times New Roman"/>
        </w:rPr>
      </w:pPr>
      <w:r>
        <w:lastRenderedPageBreak/>
        <w:t>W</w:t>
      </w:r>
      <w:r w:rsidR="00360D30">
        <w:t xml:space="preserve">e harvested all experimental individuals and separated biomass of </w:t>
      </w:r>
      <w:r w:rsidR="00360D30" w:rsidRPr="00360D30">
        <w:t>each experimental individual into major organ types (leaves, stems, roots</w:t>
      </w:r>
      <w:r w:rsidR="00310558">
        <w:t>, and root nodules when present</w:t>
      </w:r>
      <w:r w:rsidR="00360D30" w:rsidRPr="00360D30">
        <w:t>)</w:t>
      </w:r>
      <w:r>
        <w:t xml:space="preserve"> approximately seven weeks after experiment initiation</w:t>
      </w:r>
      <w:r w:rsidR="00360D30" w:rsidRPr="00360D30">
        <w:t>. Leaf areas of all harvested leaves were measured using a</w:t>
      </w:r>
      <w:r w:rsidR="00430044">
        <w:t>n</w:t>
      </w:r>
      <w:r w:rsidR="00360D30" w:rsidRPr="00360D30">
        <w:t xml:space="preserve"> </w:t>
      </w:r>
      <w:r w:rsidR="007755C4">
        <w:t>LI-3100</w:t>
      </w:r>
      <w:r w:rsidR="00412BAB">
        <w:t>C</w:t>
      </w:r>
      <w:r w:rsidR="007755C4">
        <w:t xml:space="preserve"> (</w:t>
      </w:r>
      <w:r w:rsidR="00412BAB" w:rsidRPr="00863849">
        <w:rPr>
          <w:color w:val="000000"/>
        </w:rPr>
        <w:t>Li-COR Bioscience</w:t>
      </w:r>
      <w:r w:rsidR="00412BAB">
        <w:rPr>
          <w:color w:val="000000"/>
        </w:rPr>
        <w:t>s</w:t>
      </w:r>
      <w:r w:rsidR="00412BAB" w:rsidRPr="00863849">
        <w:rPr>
          <w:color w:val="000000"/>
        </w:rPr>
        <w:t>, Lincoln, Nebraska, USA</w:t>
      </w:r>
      <w:r w:rsidR="00412BAB">
        <w:rPr>
          <w:color w:val="000000"/>
        </w:rPr>
        <w:t>)</w:t>
      </w:r>
      <w:r w:rsidR="00926F7B">
        <w:t>. T</w:t>
      </w:r>
      <w:r w:rsidR="00360D30" w:rsidRPr="00360D30">
        <w:t>otal leaf area</w:t>
      </w:r>
      <w:r w:rsidR="00926F7B">
        <w:t xml:space="preserve"> (cm</w:t>
      </w:r>
      <w:r w:rsidR="00926F7B">
        <w:rPr>
          <w:vertAlign w:val="superscript"/>
        </w:rPr>
        <w:t>2</w:t>
      </w:r>
      <w:r w:rsidR="00926F7B">
        <w:t>)</w:t>
      </w:r>
      <w:r w:rsidR="00360D30" w:rsidRPr="00360D30">
        <w:t xml:space="preserve"> was calculated as the sum of all leaf areas, including </w:t>
      </w:r>
      <w:r w:rsidR="00166B47">
        <w:t>the focal leaf measured during the CO</w:t>
      </w:r>
      <w:r w:rsidR="00166B47">
        <w:rPr>
          <w:vertAlign w:val="subscript"/>
        </w:rPr>
        <w:t>2</w:t>
      </w:r>
      <w:r w:rsidR="00166B47">
        <w:t xml:space="preserve"> response curve</w:t>
      </w:r>
      <w:r w:rsidR="00360D30" w:rsidRPr="00360D30">
        <w:t xml:space="preserve">. </w:t>
      </w:r>
      <w:r w:rsidR="00360D30" w:rsidRPr="00360D30">
        <w:rPr>
          <w:rFonts w:cs="Times New Roman"/>
        </w:rPr>
        <w:t>All harvested material was dried</w:t>
      </w:r>
      <w:r w:rsidR="00360D30">
        <w:rPr>
          <w:rFonts w:cs="Times New Roman"/>
        </w:rPr>
        <w:t xml:space="preserve"> </w:t>
      </w:r>
      <w:r w:rsidR="00166B47">
        <w:rPr>
          <w:rFonts w:cs="Times New Roman"/>
        </w:rPr>
        <w:t>in an oven set to 65</w:t>
      </w:r>
      <w:r w:rsidR="00166B47">
        <w:rPr>
          <w:rFonts w:cs="Times New Roman"/>
        </w:rPr>
        <w:sym w:font="Symbol" w:char="F0B0"/>
      </w:r>
      <w:r w:rsidR="00166B47">
        <w:rPr>
          <w:rFonts w:cs="Times New Roman"/>
        </w:rPr>
        <w:t>C for at least 48 hours</w:t>
      </w:r>
      <w:r w:rsidR="00430044">
        <w:rPr>
          <w:rFonts w:cs="Times New Roman"/>
        </w:rPr>
        <w:t xml:space="preserve">, </w:t>
      </w:r>
      <w:r w:rsidR="00166B47">
        <w:rPr>
          <w:rFonts w:cs="Times New Roman"/>
        </w:rPr>
        <w:t>weighed</w:t>
      </w:r>
      <w:r w:rsidR="00430044">
        <w:rPr>
          <w:rFonts w:cs="Times New Roman"/>
        </w:rPr>
        <w:t>, and ground to homogeneity</w:t>
      </w:r>
      <w:r w:rsidR="00166B47">
        <w:rPr>
          <w:rFonts w:cs="Times New Roman"/>
        </w:rPr>
        <w:t xml:space="preserve">. </w:t>
      </w:r>
      <w:r w:rsidR="00360D30">
        <w:rPr>
          <w:rFonts w:cs="Times New Roman"/>
        </w:rPr>
        <w:t>Total dry biomass</w:t>
      </w:r>
      <w:r w:rsidR="005E3C64">
        <w:rPr>
          <w:rFonts w:cs="Times New Roman"/>
        </w:rPr>
        <w:t xml:space="preserve"> (g)</w:t>
      </w:r>
      <w:r w:rsidR="00360D30">
        <w:rPr>
          <w:rFonts w:cs="Times New Roman"/>
        </w:rPr>
        <w:t xml:space="preserve"> was</w:t>
      </w:r>
      <w:r w:rsidR="005E3C64">
        <w:rPr>
          <w:rFonts w:cs="Times New Roman"/>
        </w:rPr>
        <w:t xml:space="preserve"> </w:t>
      </w:r>
      <w:r w:rsidR="00360D30">
        <w:rPr>
          <w:rFonts w:cs="Times New Roman"/>
        </w:rPr>
        <w:t>calculated as the sum of dry leaf, stem, root</w:t>
      </w:r>
      <w:r w:rsidR="00B84938">
        <w:rPr>
          <w:rFonts w:cs="Times New Roman"/>
        </w:rPr>
        <w:t>, and root nodule</w:t>
      </w:r>
      <w:r w:rsidR="00360D30">
        <w:rPr>
          <w:rFonts w:cs="Times New Roman"/>
        </w:rPr>
        <w:t xml:space="preserve"> biomass.</w:t>
      </w:r>
      <w:r w:rsidR="00430044">
        <w:rPr>
          <w:rFonts w:cs="Times New Roman"/>
        </w:rPr>
        <w:t xml:space="preserve"> We also quantified carbon and nitrogen content</w:t>
      </w:r>
      <w:r w:rsidR="00B84938">
        <w:rPr>
          <w:rFonts w:cs="Times New Roman"/>
        </w:rPr>
        <w:t xml:space="preserve"> </w:t>
      </w:r>
      <w:r w:rsidR="00430044">
        <w:rPr>
          <w:rFonts w:cs="Times New Roman"/>
        </w:rPr>
        <w:t xml:space="preserve">of each respective organ type </w:t>
      </w:r>
      <w:r w:rsidR="00AB654B">
        <w:rPr>
          <w:rFonts w:cs="Times New Roman"/>
        </w:rPr>
        <w:t>through elemental combustion (</w:t>
      </w:r>
      <w:r w:rsidR="00AB654B">
        <w:rPr>
          <w:color w:val="000000"/>
        </w:rPr>
        <w:t xml:space="preserve">Costech-4010, </w:t>
      </w:r>
      <w:proofErr w:type="spellStart"/>
      <w:r w:rsidR="00AB654B">
        <w:rPr>
          <w:color w:val="000000"/>
        </w:rPr>
        <w:t>Costech</w:t>
      </w:r>
      <w:proofErr w:type="spellEnd"/>
      <w:r w:rsidR="00AB654B">
        <w:rPr>
          <w:color w:val="000000"/>
        </w:rPr>
        <w:t>, Inc., Valencia, CA, USA)</w:t>
      </w:r>
      <w:r w:rsidR="00AB654B">
        <w:rPr>
          <w:rFonts w:cs="Times New Roman"/>
        </w:rPr>
        <w:t xml:space="preserve"> </w:t>
      </w:r>
      <w:r w:rsidR="00430044">
        <w:rPr>
          <w:rFonts w:cs="Times New Roman"/>
        </w:rPr>
        <w:t>using subsamples of ground and homogenized organ tissue.</w:t>
      </w:r>
      <w:r w:rsidR="007755C4">
        <w:rPr>
          <w:rFonts w:cs="Times New Roman"/>
        </w:rPr>
        <w:t xml:space="preserve"> </w:t>
      </w:r>
    </w:p>
    <w:p w14:paraId="2C0094A3" w14:textId="6E41E98A" w:rsidR="00EC6B47" w:rsidRDefault="00351A75" w:rsidP="00A754EC">
      <w:pPr>
        <w:autoSpaceDE w:val="0"/>
        <w:autoSpaceDN w:val="0"/>
        <w:adjustRightInd w:val="0"/>
        <w:spacing w:line="360" w:lineRule="auto"/>
        <w:ind w:firstLine="720"/>
        <w:rPr>
          <w:rFonts w:cs="Times New Roman"/>
        </w:rPr>
      </w:pPr>
      <w:r>
        <w:rPr>
          <w:rFonts w:cs="Times New Roman"/>
        </w:rPr>
        <w:t>Following the</w:t>
      </w:r>
      <w:r w:rsidR="000F1E36">
        <w:rPr>
          <w:rFonts w:cs="Times New Roman"/>
        </w:rPr>
        <w:t xml:space="preserve"> </w:t>
      </w:r>
      <w:r>
        <w:rPr>
          <w:rFonts w:cs="Times New Roman"/>
        </w:rPr>
        <w:t xml:space="preserve">approach explained in </w:t>
      </w:r>
      <w:r>
        <w:rPr>
          <w:rFonts w:cs="Times New Roman"/>
        </w:rPr>
        <w:fldChar w:fldCharType="begin" w:fldLock="1"/>
      </w:r>
      <w:r>
        <w:rPr>
          <w:rFonts w:cs="Times New Roman"/>
        </w:rPr>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et al., 2021)","manualFormatting":"Perkowski et al. (2021)","plainTextFormattedCitation":"(Perkowski et al., 2021)","previouslyFormattedCitation":"(Perkowski et al., 2021)"},"properties":{"noteIndex":0},"schema":"https://github.com/citation-style-language/schema/raw/master/csl-citation.json"}</w:instrText>
      </w:r>
      <w:r>
        <w:rPr>
          <w:rFonts w:cs="Times New Roman"/>
        </w:rPr>
        <w:fldChar w:fldCharType="separate"/>
      </w:r>
      <w:r w:rsidRPr="00430044">
        <w:rPr>
          <w:rFonts w:cs="Times New Roman"/>
          <w:noProof/>
        </w:rPr>
        <w:t xml:space="preserve">Perkowski </w:t>
      </w:r>
      <w:r w:rsidRPr="00412BAB">
        <w:rPr>
          <w:rFonts w:cs="Times New Roman"/>
          <w:iCs/>
          <w:noProof/>
        </w:rPr>
        <w:t>et al. (</w:t>
      </w:r>
      <w:r w:rsidRPr="00430044">
        <w:rPr>
          <w:rFonts w:cs="Times New Roman"/>
          <w:noProof/>
        </w:rPr>
        <w:t>2021)</w:t>
      </w:r>
      <w:r>
        <w:rPr>
          <w:rFonts w:cs="Times New Roman"/>
        </w:rPr>
        <w:fldChar w:fldCharType="end"/>
      </w:r>
      <w:r>
        <w:rPr>
          <w:rFonts w:cs="Times New Roman"/>
        </w:rPr>
        <w:t>, we calculated structural carbon costs to acquire nitrogen as the ratio of total belowground carbon biomass to whole plant nitrogen biomass</w:t>
      </w:r>
      <w:r w:rsidR="00E20C33">
        <w:rPr>
          <w:rFonts w:cs="Times New Roman"/>
        </w:rPr>
        <w:t xml:space="preserve"> (g</w:t>
      </w:r>
      <w:r w:rsidR="00310558">
        <w:rPr>
          <w:rFonts w:cs="Times New Roman"/>
        </w:rPr>
        <w:t xml:space="preserve"> </w:t>
      </w:r>
      <w:r w:rsidR="00E20C33">
        <w:rPr>
          <w:rFonts w:cs="Times New Roman"/>
        </w:rPr>
        <w:t>C g</w:t>
      </w:r>
      <w:r w:rsidR="00E20C33">
        <w:rPr>
          <w:rFonts w:cs="Times New Roman"/>
          <w:vertAlign w:val="superscript"/>
        </w:rPr>
        <w:t>-1</w:t>
      </w:r>
      <w:r w:rsidR="00E20C33">
        <w:rPr>
          <w:rFonts w:cs="Times New Roman"/>
        </w:rPr>
        <w:t xml:space="preserve"> N)</w:t>
      </w:r>
      <w:r>
        <w:rPr>
          <w:rFonts w:cs="Times New Roman"/>
        </w:rPr>
        <w:t xml:space="preserve">. </w:t>
      </w:r>
      <w:r w:rsidR="00430044">
        <w:rPr>
          <w:rFonts w:cs="Times New Roman"/>
        </w:rPr>
        <w:t>Belowground carbon biomass</w:t>
      </w:r>
      <w:r w:rsidR="00E20C33">
        <w:rPr>
          <w:rFonts w:cs="Times New Roman"/>
        </w:rPr>
        <w:t xml:space="preserve"> (g C)</w:t>
      </w:r>
      <w:r w:rsidR="00430044">
        <w:rPr>
          <w:rFonts w:cs="Times New Roman"/>
        </w:rPr>
        <w:t xml:space="preserve"> was </w:t>
      </w:r>
      <w:r w:rsidR="00B84938">
        <w:rPr>
          <w:rFonts w:cs="Times New Roman"/>
        </w:rPr>
        <w:t xml:space="preserve">calculated by multiplying the carbon content of roots and root nodules by total biomass of each respective organ type, then adding root carbon biomass and root nodule carbon biomass. </w:t>
      </w:r>
      <w:r w:rsidR="00310558">
        <w:rPr>
          <w:rFonts w:cs="Times New Roman"/>
        </w:rPr>
        <w:t>W</w:t>
      </w:r>
      <w:r w:rsidR="00B84938">
        <w:rPr>
          <w:rFonts w:cs="Times New Roman"/>
        </w:rPr>
        <w:t>hole plant nitrogen biomass</w:t>
      </w:r>
      <w:r w:rsidR="00E20C33">
        <w:rPr>
          <w:rFonts w:cs="Times New Roman"/>
        </w:rPr>
        <w:t xml:space="preserve"> (g N)</w:t>
      </w:r>
      <w:r w:rsidR="00B84938">
        <w:rPr>
          <w:rFonts w:cs="Times New Roman"/>
        </w:rPr>
        <w:t xml:space="preserve"> was calculated by multiplying the nitrogen content of leaves, stems, roots, and root nodules by biomass of each respective organ type, then </w:t>
      </w:r>
      <w:r w:rsidR="00310558">
        <w:rPr>
          <w:rFonts w:cs="Times New Roman"/>
        </w:rPr>
        <w:t>calculating</w:t>
      </w:r>
      <w:r w:rsidR="00B84938">
        <w:rPr>
          <w:rFonts w:cs="Times New Roman"/>
        </w:rPr>
        <w:t xml:space="preserve"> the sum of nitrogen biomass of each organ type.</w:t>
      </w:r>
      <w:r>
        <w:rPr>
          <w:rFonts w:cs="Times New Roman"/>
        </w:rPr>
        <w:t xml:space="preserve"> This calculation only quantifies plant structural carbon costs to acquire </w:t>
      </w:r>
      <w:r w:rsidR="00310558">
        <w:rPr>
          <w:rFonts w:cs="Times New Roman"/>
        </w:rPr>
        <w:t>nitrogen and</w:t>
      </w:r>
      <w:r>
        <w:rPr>
          <w:rFonts w:cs="Times New Roman"/>
        </w:rPr>
        <w:t xml:space="preserve"> does not include any additional carbon costs of nitrogen acquisition associated with root respiration, root exudation, or root turnover. An explicit explanation of the limitations for interpreting this calculation can be found in </w:t>
      </w:r>
      <w:r w:rsidR="00B84938">
        <w:rPr>
          <w:rFonts w:cs="Times New Roman"/>
        </w:rPr>
        <w:fldChar w:fldCharType="begin" w:fldLock="1"/>
      </w:r>
      <w:r w:rsidR="001B21C7">
        <w:rPr>
          <w:rFonts w:cs="Times New Roman"/>
        </w:rPr>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et al., 2021)","manualFormatting":"Perkowski et al. (2021)","plainTextFormattedCitation":"(Perkowski et al., 2021)","previouslyFormattedCitation":"(Perkowski et al., 2021)"},"properties":{"noteIndex":0},"schema":"https://github.com/citation-style-language/schema/raw/master/csl-citation.json"}</w:instrText>
      </w:r>
      <w:r w:rsidR="00B84938">
        <w:rPr>
          <w:rFonts w:cs="Times New Roman"/>
        </w:rPr>
        <w:fldChar w:fldCharType="separate"/>
      </w:r>
      <w:r w:rsidR="00B84938" w:rsidRPr="00B84938">
        <w:rPr>
          <w:rFonts w:cs="Times New Roman"/>
          <w:noProof/>
        </w:rPr>
        <w:t>Perkowski</w:t>
      </w:r>
      <w:r w:rsidR="00B84938" w:rsidRPr="00F9445D">
        <w:rPr>
          <w:rFonts w:cs="Times New Roman"/>
          <w:iCs/>
          <w:noProof/>
        </w:rPr>
        <w:t xml:space="preserve"> et al. </w:t>
      </w:r>
      <w:r w:rsidR="00B84938">
        <w:rPr>
          <w:rFonts w:cs="Times New Roman"/>
          <w:noProof/>
        </w:rPr>
        <w:t>(</w:t>
      </w:r>
      <w:r w:rsidR="00B84938" w:rsidRPr="00B84938">
        <w:rPr>
          <w:rFonts w:cs="Times New Roman"/>
          <w:noProof/>
        </w:rPr>
        <w:t>2021)</w:t>
      </w:r>
      <w:r w:rsidR="00B84938">
        <w:rPr>
          <w:rFonts w:cs="Times New Roman"/>
        </w:rPr>
        <w:fldChar w:fldCharType="end"/>
      </w:r>
      <w:r w:rsidR="00F9445D">
        <w:rPr>
          <w:rFonts w:cs="Times New Roman"/>
        </w:rPr>
        <w:t xml:space="preserve"> and </w:t>
      </w:r>
      <w:r w:rsidR="00F9445D">
        <w:rPr>
          <w:rFonts w:cs="Times New Roman"/>
        </w:rPr>
        <w:fldChar w:fldCharType="begin" w:fldLock="1"/>
      </w:r>
      <w:r w:rsidR="00D66A72">
        <w:rPr>
          <w:rFonts w:cs="Times New Roman"/>
        </w:rPr>
        <w:instrText>ADDIN CSL_CITATION {"citationItems":[{"id":"ITEM-1","itemData":{"DOI":"10.1111/nph.14872","ISBN":"7476820487","ISSN":"0028-646X","abstract":"Land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Phytologist","id":"ITEM-1","issue":"2","issued":{"date-parts":[["2018","1","6"]]},"page":"507-522","title":"Ecosystem responses to elevated &lt;scp&gt;CO&lt;/scp&gt; &lt;sub&gt;2&lt;/sub&gt; governed by plant–soil interactions and the cost of nitrogen acquisition","type":"article-journal","volume":"217"},"uris":["http://www.mendeley.com/documents/?uuid=f5a032e4-11bd-468b-88f1-a7a4ce482036"]}],"mendeley":{"formattedCitation":"(Terrer et al., 2018)","manualFormatting":"Terrer et al. (2018)","plainTextFormattedCitation":"(Terrer et al., 2018)","previouslyFormattedCitation":"(Terrer et al., 2018)"},"properties":{"noteIndex":0},"schema":"https://github.com/citation-style-language/schema/raw/master/csl-citation.json"}</w:instrText>
      </w:r>
      <w:r w:rsidR="00F9445D">
        <w:rPr>
          <w:rFonts w:cs="Times New Roman"/>
        </w:rPr>
        <w:fldChar w:fldCharType="separate"/>
      </w:r>
      <w:r w:rsidR="00F9445D" w:rsidRPr="00F9445D">
        <w:rPr>
          <w:rFonts w:cs="Times New Roman"/>
          <w:noProof/>
        </w:rPr>
        <w:t xml:space="preserve">Terrer et al. </w:t>
      </w:r>
      <w:r w:rsidR="00F9445D">
        <w:rPr>
          <w:rFonts w:cs="Times New Roman"/>
          <w:noProof/>
        </w:rPr>
        <w:t>(</w:t>
      </w:r>
      <w:r w:rsidR="00F9445D" w:rsidRPr="00F9445D">
        <w:rPr>
          <w:rFonts w:cs="Times New Roman"/>
          <w:noProof/>
        </w:rPr>
        <w:t>2018)</w:t>
      </w:r>
      <w:r w:rsidR="00F9445D">
        <w:rPr>
          <w:rFonts w:cs="Times New Roman"/>
        </w:rPr>
        <w:fldChar w:fldCharType="end"/>
      </w:r>
      <w:r w:rsidR="00F9445D">
        <w:rPr>
          <w:rFonts w:cs="Times New Roman"/>
        </w:rPr>
        <w:t>.</w:t>
      </w:r>
    </w:p>
    <w:p w14:paraId="5E151562" w14:textId="77777777" w:rsidR="00DD0878" w:rsidRPr="00DD0878" w:rsidRDefault="00DD0878" w:rsidP="00A754EC">
      <w:pPr>
        <w:autoSpaceDE w:val="0"/>
        <w:autoSpaceDN w:val="0"/>
        <w:adjustRightInd w:val="0"/>
        <w:spacing w:line="360" w:lineRule="auto"/>
        <w:rPr>
          <w:color w:val="000000" w:themeColor="text1"/>
        </w:rPr>
      </w:pPr>
    </w:p>
    <w:p w14:paraId="7D99C48A" w14:textId="15E512C9" w:rsidR="00D67D74" w:rsidRDefault="00D67D74" w:rsidP="00A754EC">
      <w:pPr>
        <w:spacing w:line="360" w:lineRule="auto"/>
      </w:pPr>
      <w:r>
        <w:rPr>
          <w:i/>
          <w:iCs/>
        </w:rPr>
        <w:t>Statistical analyses</w:t>
      </w:r>
    </w:p>
    <w:p w14:paraId="100E66B0" w14:textId="7B611024" w:rsidR="00270350" w:rsidRDefault="00270350" w:rsidP="00A754EC">
      <w:pPr>
        <w:spacing w:line="360" w:lineRule="auto"/>
        <w:ind w:firstLine="720"/>
      </w:pPr>
      <w:r>
        <w:t>We built a series of linear mixed-effects models to investigate the impacts of soil nitrogen fertilization and inoculation</w:t>
      </w:r>
      <w:r w:rsidR="00926F7B">
        <w:t xml:space="preserve"> on</w:t>
      </w:r>
      <w:r>
        <w:t xml:space="preserve"> </w:t>
      </w:r>
      <w:r w:rsidR="00926F7B" w:rsidRPr="00926F7B">
        <w:rPr>
          <w:i/>
          <w:iCs/>
        </w:rPr>
        <w:t>G. max</w:t>
      </w:r>
      <w:r w:rsidR="00926F7B">
        <w:t xml:space="preserve"> </w:t>
      </w:r>
      <w:r w:rsidRPr="00926F7B">
        <w:t>leaf</w:t>
      </w:r>
      <w:r>
        <w:t xml:space="preserve"> photosynthesis, tradeoffs between nitrogen and water use, and whole plant growth. All models included soil nitrogen fertilization, inoculation, and interactions between soil nitrogen fertilization and inoculation as categorical fixed effects</w:t>
      </w:r>
      <w:r w:rsidR="00360D30">
        <w:t>. Block number was included as a random intercept term</w:t>
      </w:r>
      <w:r w:rsidR="00430044">
        <w:t xml:space="preserve"> to account for any environmental heterogeneity within the greenhouse</w:t>
      </w:r>
      <w:r w:rsidR="00DD0878">
        <w:t xml:space="preserve"> room</w:t>
      </w:r>
      <w:r w:rsidR="00360D30">
        <w:t>. Models with this independent variable structure were constructed to quantify relationships between soil nitrogen fertilization and inoculation on</w:t>
      </w:r>
      <w:r w:rsidR="006C759F">
        <w:t xml:space="preserve"> </w:t>
      </w:r>
      <w:proofErr w:type="spellStart"/>
      <w:r w:rsidR="006C759F">
        <w:rPr>
          <w:i/>
          <w:iCs/>
        </w:rPr>
        <w:t>N</w:t>
      </w:r>
      <w:r w:rsidR="006C759F">
        <w:rPr>
          <w:vertAlign w:val="subscript"/>
        </w:rPr>
        <w:t>area</w:t>
      </w:r>
      <w:proofErr w:type="spellEnd"/>
      <w:r w:rsidR="006C759F">
        <w:t xml:space="preserve">, </w:t>
      </w:r>
      <w:r w:rsidR="006C759F">
        <w:rPr>
          <w:i/>
          <w:iCs/>
        </w:rPr>
        <w:t>SLA</w:t>
      </w:r>
      <w:r w:rsidR="006C759F">
        <w:t xml:space="preserve">, </w:t>
      </w:r>
      <w:proofErr w:type="spellStart"/>
      <w:r w:rsidR="006C759F">
        <w:rPr>
          <w:i/>
          <w:iCs/>
        </w:rPr>
        <w:t>N</w:t>
      </w:r>
      <w:r w:rsidR="006C759F">
        <w:rPr>
          <w:vertAlign w:val="subscript"/>
        </w:rPr>
        <w:t>mass</w:t>
      </w:r>
      <w:proofErr w:type="spellEnd"/>
      <w:r w:rsidR="006C759F">
        <w:t>,</w:t>
      </w:r>
      <w:r w:rsidR="00360D30">
        <w:t xml:space="preserve"> </w:t>
      </w:r>
      <w:proofErr w:type="spellStart"/>
      <w:r w:rsidR="00360D30">
        <w:rPr>
          <w:i/>
          <w:iCs/>
        </w:rPr>
        <w:t>A</w:t>
      </w:r>
      <w:r w:rsidR="00B84938">
        <w:rPr>
          <w:vertAlign w:val="subscript"/>
        </w:rPr>
        <w:t>net</w:t>
      </w:r>
      <w:proofErr w:type="spellEnd"/>
      <w:r w:rsidR="00360D30">
        <w:t xml:space="preserve">, </w:t>
      </w:r>
      <w:r w:rsidR="00360D30">
        <w:rPr>
          <w:i/>
          <w:iCs/>
        </w:rPr>
        <w:t>V</w:t>
      </w:r>
      <w:r w:rsidR="00360D30">
        <w:rPr>
          <w:vertAlign w:val="subscript"/>
        </w:rPr>
        <w:t>cmax25</w:t>
      </w:r>
      <w:r w:rsidR="00360D30">
        <w:t xml:space="preserve">, </w:t>
      </w:r>
      <w:r w:rsidR="00360D30">
        <w:rPr>
          <w:i/>
          <w:iCs/>
        </w:rPr>
        <w:t>J</w:t>
      </w:r>
      <w:r w:rsidR="00360D30">
        <w:rPr>
          <w:vertAlign w:val="subscript"/>
        </w:rPr>
        <w:t>max25</w:t>
      </w:r>
      <w:r w:rsidR="00360D30">
        <w:t xml:space="preserve">, </w:t>
      </w:r>
      <w:r w:rsidR="00360D30">
        <w:rPr>
          <w:i/>
          <w:iCs/>
        </w:rPr>
        <w:t>J</w:t>
      </w:r>
      <w:r w:rsidR="00360D30">
        <w:rPr>
          <w:vertAlign w:val="subscript"/>
        </w:rPr>
        <w:t>max25</w:t>
      </w:r>
      <w:r w:rsidR="00360D30">
        <w:t>:</w:t>
      </w:r>
      <w:r w:rsidR="00360D30">
        <w:rPr>
          <w:i/>
          <w:iCs/>
        </w:rPr>
        <w:t>V</w:t>
      </w:r>
      <w:r w:rsidR="00360D30">
        <w:rPr>
          <w:vertAlign w:val="subscript"/>
        </w:rPr>
        <w:t>cmax25</w:t>
      </w:r>
      <w:r w:rsidR="00360D30">
        <w:t xml:space="preserve">, </w:t>
      </w:r>
      <w:r w:rsidR="00360D30">
        <w:rPr>
          <w:i/>
          <w:iCs/>
        </w:rPr>
        <w:t>R</w:t>
      </w:r>
      <w:r w:rsidR="00360D30">
        <w:rPr>
          <w:vertAlign w:val="subscript"/>
        </w:rPr>
        <w:t>d25</w:t>
      </w:r>
      <w:r w:rsidR="00360D30">
        <w:t xml:space="preserve">, </w:t>
      </w:r>
      <w:r w:rsidR="00360D30">
        <w:rPr>
          <w:i/>
          <w:iCs/>
        </w:rPr>
        <w:t>R</w:t>
      </w:r>
      <w:r w:rsidR="00360D30">
        <w:rPr>
          <w:vertAlign w:val="subscript"/>
        </w:rPr>
        <w:t>d25</w:t>
      </w:r>
      <w:r w:rsidR="00360D30">
        <w:t>:</w:t>
      </w:r>
      <w:r w:rsidR="00360D30">
        <w:rPr>
          <w:i/>
          <w:iCs/>
        </w:rPr>
        <w:t>V</w:t>
      </w:r>
      <w:r w:rsidR="00360D30">
        <w:rPr>
          <w:vertAlign w:val="subscript"/>
        </w:rPr>
        <w:t>cmax25</w:t>
      </w:r>
      <w:r w:rsidR="00360D30">
        <w:t>,</w:t>
      </w:r>
      <w:r w:rsidR="00360D30" w:rsidRPr="00805B20">
        <w:rPr>
          <w:i/>
          <w:iCs/>
        </w:rPr>
        <w:t xml:space="preserve"> </w:t>
      </w:r>
      <w:r w:rsidR="007D0701">
        <w:t>total leaf area, whole plant biomass</w:t>
      </w:r>
      <w:r w:rsidR="00360D30">
        <w:t>,</w:t>
      </w:r>
      <w:r w:rsidR="00360D30">
        <w:rPr>
          <w:i/>
          <w:iCs/>
        </w:rPr>
        <w:t xml:space="preserve"> </w:t>
      </w:r>
      <w:proofErr w:type="spellStart"/>
      <w:r w:rsidR="00360D30" w:rsidRPr="00A55A19">
        <w:rPr>
          <w:i/>
          <w:iCs/>
        </w:rPr>
        <w:t>g</w:t>
      </w:r>
      <w:r w:rsidR="00360D30">
        <w:rPr>
          <w:vertAlign w:val="subscript"/>
        </w:rPr>
        <w:t>s</w:t>
      </w:r>
      <w:proofErr w:type="spellEnd"/>
      <w:r w:rsidR="00360D30">
        <w:t xml:space="preserve">, </w:t>
      </w:r>
      <w:r w:rsidR="006C759F">
        <w:rPr>
          <w:i/>
          <w:iCs/>
        </w:rPr>
        <w:t>C</w:t>
      </w:r>
      <w:r w:rsidR="006C759F">
        <w:rPr>
          <w:vertAlign w:val="subscript"/>
        </w:rPr>
        <w:t>i</w:t>
      </w:r>
      <w:r w:rsidR="006C759F">
        <w:t xml:space="preserve">: </w:t>
      </w:r>
      <w:r w:rsidR="006C759F">
        <w:rPr>
          <w:i/>
          <w:iCs/>
        </w:rPr>
        <w:lastRenderedPageBreak/>
        <w:t>C</w:t>
      </w:r>
      <w:r w:rsidR="006C759F">
        <w:rPr>
          <w:vertAlign w:val="subscript"/>
        </w:rPr>
        <w:t>a</w:t>
      </w:r>
      <w:r w:rsidR="00360D30">
        <w:t xml:space="preserve">, </w:t>
      </w:r>
      <w:r w:rsidR="00360D30" w:rsidRPr="00F45847">
        <w:rPr>
          <w:i/>
          <w:iCs/>
        </w:rPr>
        <w:t>PNUE</w:t>
      </w:r>
      <w:r w:rsidR="00360D30">
        <w:t xml:space="preserve">, </w:t>
      </w:r>
      <w:proofErr w:type="spellStart"/>
      <w:r w:rsidR="00360D30" w:rsidRPr="00F45847">
        <w:rPr>
          <w:i/>
          <w:iCs/>
        </w:rPr>
        <w:t>iWUE</w:t>
      </w:r>
      <w:proofErr w:type="spellEnd"/>
      <w:r w:rsidR="00360D30">
        <w:t>,</w:t>
      </w:r>
      <w:r w:rsidR="00086E13">
        <w:t xml:space="preserve"> </w:t>
      </w:r>
      <w:proofErr w:type="spellStart"/>
      <w:r w:rsidR="00086E13">
        <w:rPr>
          <w:i/>
          <w:iCs/>
        </w:rPr>
        <w:t>N</w:t>
      </w:r>
      <w:r w:rsidR="00086E13">
        <w:rPr>
          <w:vertAlign w:val="subscript"/>
        </w:rPr>
        <w:t>area</w:t>
      </w:r>
      <w:r w:rsidR="00086E13">
        <w:t>:</w:t>
      </w:r>
      <w:r w:rsidR="00086E13" w:rsidRPr="00A55A19">
        <w:rPr>
          <w:i/>
          <w:iCs/>
        </w:rPr>
        <w:t>g</w:t>
      </w:r>
      <w:r w:rsidR="00086E13">
        <w:rPr>
          <w:vertAlign w:val="subscript"/>
        </w:rPr>
        <w:t>s</w:t>
      </w:r>
      <w:proofErr w:type="spellEnd"/>
      <w:r w:rsidR="00086E13">
        <w:t xml:space="preserve">, </w:t>
      </w:r>
      <w:proofErr w:type="spellStart"/>
      <w:r w:rsidR="00360D30">
        <w:rPr>
          <w:i/>
          <w:iCs/>
        </w:rPr>
        <w:t>V</w:t>
      </w:r>
      <w:r w:rsidR="00360D30">
        <w:rPr>
          <w:vertAlign w:val="subscript"/>
        </w:rPr>
        <w:t>cmax</w:t>
      </w:r>
      <w:r w:rsidR="00360D30">
        <w:t>:</w:t>
      </w:r>
      <w:r w:rsidR="00360D30">
        <w:rPr>
          <w:i/>
          <w:iCs/>
        </w:rPr>
        <w:t>g</w:t>
      </w:r>
      <w:r w:rsidR="00360D30">
        <w:rPr>
          <w:vertAlign w:val="subscript"/>
        </w:rPr>
        <w:t>s</w:t>
      </w:r>
      <w:proofErr w:type="spellEnd"/>
      <w:r w:rsidR="00360D30">
        <w:t>,</w:t>
      </w:r>
      <w:r w:rsidR="00AD6759">
        <w:t xml:space="preserve"> structural carbon costs to acquire nitrogen, belowground carbon biomass, whole plant nitrogen biomass, </w:t>
      </w:r>
      <w:r w:rsidR="00360D30">
        <w:t xml:space="preserve">total biomass, </w:t>
      </w:r>
      <w:r w:rsidR="00430044">
        <w:t>total leaf area</w:t>
      </w:r>
      <w:r w:rsidR="00AD6759">
        <w:t>,</w:t>
      </w:r>
      <w:r w:rsidR="00AD6759" w:rsidRPr="00AD6759">
        <w:t xml:space="preserve"> </w:t>
      </w:r>
      <w:r w:rsidR="00AD6759">
        <w:t>root nodule biomass: root biomass, root nodule biomass, and root biomass</w:t>
      </w:r>
      <w:r w:rsidR="00166B47">
        <w:t>.</w:t>
      </w:r>
    </w:p>
    <w:p w14:paraId="1BB40CCE" w14:textId="0094442A" w:rsidR="00400618" w:rsidRDefault="00166B47" w:rsidP="006A394B">
      <w:pPr>
        <w:spacing w:line="360" w:lineRule="auto"/>
        <w:ind w:firstLine="720"/>
      </w:pPr>
      <w:r>
        <w:t>We used Shapiro-Wilk tests of normality</w:t>
      </w:r>
      <w:r w:rsidR="00DD0878">
        <w:t xml:space="preserve"> </w:t>
      </w:r>
      <w:r>
        <w:t>to determine whether linear mixed-effects models satisfied residual normality assumptions. All models satisfied residual normality assumptions except</w:t>
      </w:r>
      <w:r w:rsidR="00C7318F">
        <w:t xml:space="preserve"> </w:t>
      </w:r>
      <w:proofErr w:type="spellStart"/>
      <w:r w:rsidR="00B20D1B">
        <w:rPr>
          <w:i/>
          <w:iCs/>
        </w:rPr>
        <w:t>N</w:t>
      </w:r>
      <w:r w:rsidR="00B20D1B">
        <w:rPr>
          <w:vertAlign w:val="subscript"/>
        </w:rPr>
        <w:t>area</w:t>
      </w:r>
      <w:proofErr w:type="spellEnd"/>
      <w:r w:rsidR="00B20D1B">
        <w:t xml:space="preserve">, </w:t>
      </w:r>
      <w:r w:rsidR="00B20D1B">
        <w:rPr>
          <w:i/>
          <w:iCs/>
        </w:rPr>
        <w:t>J</w:t>
      </w:r>
      <w:r w:rsidR="00B20D1B">
        <w:rPr>
          <w:vertAlign w:val="subscript"/>
        </w:rPr>
        <w:t>max25</w:t>
      </w:r>
      <w:r w:rsidR="00B20D1B">
        <w:t>:</w:t>
      </w:r>
      <w:r w:rsidR="00B20D1B">
        <w:rPr>
          <w:i/>
          <w:iCs/>
        </w:rPr>
        <w:t>V</w:t>
      </w:r>
      <w:r w:rsidR="00B20D1B">
        <w:rPr>
          <w:vertAlign w:val="subscript"/>
        </w:rPr>
        <w:t>cmax25</w:t>
      </w:r>
      <w:r w:rsidR="00B20D1B">
        <w:t xml:space="preserve">, </w:t>
      </w:r>
      <w:r w:rsidR="00B20D1B">
        <w:rPr>
          <w:i/>
          <w:iCs/>
        </w:rPr>
        <w:t>R</w:t>
      </w:r>
      <w:r w:rsidR="00B20D1B">
        <w:rPr>
          <w:vertAlign w:val="subscript"/>
        </w:rPr>
        <w:t>d25</w:t>
      </w:r>
      <w:r w:rsidR="00B20D1B">
        <w:t>,</w:t>
      </w:r>
      <w:r w:rsidR="00B20D1B" w:rsidRPr="00B20D1B">
        <w:rPr>
          <w:i/>
          <w:iCs/>
        </w:rPr>
        <w:t xml:space="preserve"> </w:t>
      </w:r>
      <w:r w:rsidR="00B20D1B">
        <w:rPr>
          <w:i/>
          <w:iCs/>
        </w:rPr>
        <w:t>R</w:t>
      </w:r>
      <w:r w:rsidR="00B20D1B">
        <w:rPr>
          <w:vertAlign w:val="subscript"/>
        </w:rPr>
        <w:t>d25</w:t>
      </w:r>
      <w:r w:rsidR="00B20D1B">
        <w:t>:</w:t>
      </w:r>
      <w:r w:rsidR="00B20D1B">
        <w:rPr>
          <w:i/>
          <w:iCs/>
        </w:rPr>
        <w:t>V</w:t>
      </w:r>
      <w:r w:rsidR="00B20D1B">
        <w:rPr>
          <w:vertAlign w:val="subscript"/>
        </w:rPr>
        <w:t>cmax25</w:t>
      </w:r>
      <w:r w:rsidR="00B20D1B">
        <w:t>,</w:t>
      </w:r>
      <w:r w:rsidR="00B20D1B" w:rsidRPr="00B20D1B">
        <w:rPr>
          <w:i/>
          <w:iCs/>
        </w:rPr>
        <w:t xml:space="preserve"> </w:t>
      </w:r>
      <w:proofErr w:type="spellStart"/>
      <w:r w:rsidR="00B20D1B">
        <w:rPr>
          <w:i/>
          <w:iCs/>
        </w:rPr>
        <w:t>g</w:t>
      </w:r>
      <w:r w:rsidR="00B20D1B">
        <w:rPr>
          <w:vertAlign w:val="subscript"/>
        </w:rPr>
        <w:t>s</w:t>
      </w:r>
      <w:proofErr w:type="spellEnd"/>
      <w:r w:rsidR="00B20D1B">
        <w:t>,</w:t>
      </w:r>
      <w:r w:rsidR="00B20D1B" w:rsidRPr="00B20D1B">
        <w:rPr>
          <w:i/>
          <w:iCs/>
        </w:rPr>
        <w:t xml:space="preserve"> </w:t>
      </w:r>
      <w:r w:rsidR="00B20D1B">
        <w:rPr>
          <w:i/>
          <w:iCs/>
        </w:rPr>
        <w:t>PNUE,</w:t>
      </w:r>
      <w:r w:rsidR="00B20D1B" w:rsidRPr="00B20D1B">
        <w:rPr>
          <w:i/>
          <w:iCs/>
        </w:rPr>
        <w:t xml:space="preserve"> </w:t>
      </w:r>
      <w:proofErr w:type="spellStart"/>
      <w:r w:rsidR="00B20D1B">
        <w:rPr>
          <w:i/>
          <w:iCs/>
        </w:rPr>
        <w:t>V</w:t>
      </w:r>
      <w:r w:rsidR="00B20D1B">
        <w:rPr>
          <w:vertAlign w:val="subscript"/>
        </w:rPr>
        <w:t>cmax</w:t>
      </w:r>
      <w:r w:rsidR="00B20D1B">
        <w:t>:</w:t>
      </w:r>
      <w:r w:rsidR="00B20D1B">
        <w:rPr>
          <w:i/>
          <w:iCs/>
        </w:rPr>
        <w:t>g</w:t>
      </w:r>
      <w:r w:rsidR="00B20D1B">
        <w:rPr>
          <w:vertAlign w:val="subscript"/>
        </w:rPr>
        <w:t>s</w:t>
      </w:r>
      <w:proofErr w:type="spellEnd"/>
      <w:r w:rsidR="00B20D1B">
        <w:t>,</w:t>
      </w:r>
      <w:r w:rsidR="006A394B" w:rsidRPr="006A394B">
        <w:rPr>
          <w:i/>
          <w:iCs/>
        </w:rPr>
        <w:t xml:space="preserve"> </w:t>
      </w:r>
      <w:proofErr w:type="spellStart"/>
      <w:r w:rsidR="006A394B">
        <w:rPr>
          <w:i/>
          <w:iCs/>
        </w:rPr>
        <w:t>N</w:t>
      </w:r>
      <w:r w:rsidR="006A394B">
        <w:rPr>
          <w:vertAlign w:val="subscript"/>
        </w:rPr>
        <w:t>cost</w:t>
      </w:r>
      <w:proofErr w:type="spellEnd"/>
      <w:r w:rsidR="006A394B">
        <w:t xml:space="preserve">, </w:t>
      </w:r>
      <w:proofErr w:type="spellStart"/>
      <w:r w:rsidR="006A394B">
        <w:rPr>
          <w:i/>
          <w:iCs/>
        </w:rPr>
        <w:t>C</w:t>
      </w:r>
      <w:r w:rsidR="006A394B">
        <w:rPr>
          <w:vertAlign w:val="subscript"/>
        </w:rPr>
        <w:t>bg</w:t>
      </w:r>
      <w:proofErr w:type="spellEnd"/>
      <w:r w:rsidR="006A394B">
        <w:t>, total biomass</w:t>
      </w:r>
      <w:r w:rsidR="006A394B">
        <w:t xml:space="preserve">, </w:t>
      </w:r>
      <w:r w:rsidR="00AD6759">
        <w:t>root nodule biomass: root biomass,</w:t>
      </w:r>
      <w:r w:rsidR="00086E13">
        <w:t xml:space="preserve"> </w:t>
      </w:r>
      <w:r w:rsidR="00AD6759">
        <w:t>root nodule biomass</w:t>
      </w:r>
      <w:r w:rsidR="00B20D1B">
        <w:t>, root biomass, and biomass: pot volume</w:t>
      </w:r>
      <w:r w:rsidR="00AD6759">
        <w:t xml:space="preserve"> </w:t>
      </w:r>
      <w:r>
        <w:t>(Shapiro-Wilk: p&lt;0.05 in all cases).</w:t>
      </w:r>
      <w:r w:rsidR="00AB654B">
        <w:t xml:space="preserve"> </w:t>
      </w:r>
      <w:r w:rsidR="00400618">
        <w:t>We</w:t>
      </w:r>
      <w:r w:rsidR="00916FB5">
        <w:t xml:space="preserve"> first</w:t>
      </w:r>
      <w:r w:rsidR="00400618">
        <w:t xml:space="preserve"> attempted to satisfy residual normality assumptions for </w:t>
      </w:r>
      <w:r w:rsidR="001C1F9E">
        <w:t>these dependent variables</w:t>
      </w:r>
      <w:r w:rsidR="00400618">
        <w:t xml:space="preserve"> using Bonferroni outlier tests to indicate any data points that were statistical outliers. </w:t>
      </w:r>
      <w:r w:rsidR="001C1F9E">
        <w:t>This was done using the ‘</w:t>
      </w:r>
      <w:proofErr w:type="spellStart"/>
      <w:r w:rsidR="001C1F9E">
        <w:t>OutlierTest</w:t>
      </w:r>
      <w:proofErr w:type="spellEnd"/>
      <w:r w:rsidR="001C1F9E">
        <w:t xml:space="preserve">’ function in the car R package </w:t>
      </w:r>
      <w:r w:rsidR="001C1F9E">
        <w:fldChar w:fldCharType="begin" w:fldLock="1"/>
      </w:r>
      <w:r w:rsidR="00097A1D">
        <w:instrText>ADDIN CSL_CITATION {"citationItems":[{"id":"ITEM-1","itemData":{"author":[{"dropping-particle":"","family":"Fox","given":"John","non-dropping-particle":"","parse-names":false,"suffix":""},{"dropping-particle":"","family":"Weisberg","given":"Sanford","non-dropping-particle":"","parse-names":false,"suffix":""}],"edition":"Third edit","id":"ITEM-1","issued":{"date-parts":[["2019"]]},"publisher":"Sage","publisher-place":"Thousand Oaks, California","title":"An R companion to applied regression","type":"book"},"uris":["http://www.mendeley.com/documents/?uuid=98b582d2-93ad-46f6-98d2-ede9c11c6d15"]}],"mendeley":{"formattedCitation":"(Fox &amp; Weisberg, 2019)","plainTextFormattedCitation":"(Fox &amp; Weisberg, 2019)","previouslyFormattedCitation":"(Fox &amp; Weisberg, 2019)"},"properties":{"noteIndex":0},"schema":"https://github.com/citation-style-language/schema/raw/master/csl-citation.json"}</w:instrText>
      </w:r>
      <w:r w:rsidR="001C1F9E">
        <w:fldChar w:fldCharType="separate"/>
      </w:r>
      <w:r w:rsidR="001C1F9E" w:rsidRPr="00400618">
        <w:rPr>
          <w:noProof/>
        </w:rPr>
        <w:t>(Fox &amp; Weisberg, 2019)</w:t>
      </w:r>
      <w:r w:rsidR="001C1F9E">
        <w:fldChar w:fldCharType="end"/>
      </w:r>
      <w:r w:rsidR="001C1F9E">
        <w:t>, which uses a Bonferroni-corrected t-distribution</w:t>
      </w:r>
      <w:r w:rsidR="00916FB5">
        <w:t xml:space="preserve"> </w:t>
      </w:r>
      <w:r w:rsidR="001C1F9E">
        <w:t>to evaluate whether residuals of a given data point shift the mean of the sampling population. We removed any data points where Bonferroni: p&lt;0.05</w:t>
      </w:r>
      <w:r w:rsidR="00AB654B">
        <w:t>, which</w:t>
      </w:r>
      <w:r w:rsidR="001C1F9E">
        <w:t xml:space="preserve"> resulted in one data point </w:t>
      </w:r>
      <w:r w:rsidR="00AB654B">
        <w:t xml:space="preserve">being </w:t>
      </w:r>
      <w:r w:rsidR="00D87519">
        <w:t>removed from each of</w:t>
      </w:r>
      <w:r w:rsidR="001C1F9E">
        <w:t xml:space="preserve"> </w:t>
      </w:r>
      <w:proofErr w:type="spellStart"/>
      <w:r w:rsidR="00B20D1B">
        <w:rPr>
          <w:i/>
          <w:iCs/>
        </w:rPr>
        <w:t>N</w:t>
      </w:r>
      <w:r w:rsidR="00B20D1B">
        <w:rPr>
          <w:vertAlign w:val="subscript"/>
        </w:rPr>
        <w:t>area</w:t>
      </w:r>
      <w:proofErr w:type="spellEnd"/>
      <w:r w:rsidR="00B20D1B">
        <w:t xml:space="preserve">, </w:t>
      </w:r>
      <w:proofErr w:type="spellStart"/>
      <w:r w:rsidR="00B20D1B">
        <w:rPr>
          <w:i/>
          <w:iCs/>
        </w:rPr>
        <w:t>g</w:t>
      </w:r>
      <w:r w:rsidR="00B20D1B">
        <w:rPr>
          <w:vertAlign w:val="subscript"/>
        </w:rPr>
        <w:t>s</w:t>
      </w:r>
      <w:proofErr w:type="spellEnd"/>
      <w:r w:rsidR="00B20D1B">
        <w:t xml:space="preserve">, </w:t>
      </w:r>
      <w:r w:rsidR="006A394B">
        <w:t xml:space="preserve">and </w:t>
      </w:r>
      <w:r w:rsidR="00B20D1B">
        <w:rPr>
          <w:i/>
          <w:iCs/>
        </w:rPr>
        <w:t>PNUE,</w:t>
      </w:r>
      <w:r w:rsidR="00B20D1B" w:rsidRPr="00086E13">
        <w:rPr>
          <w:i/>
          <w:iCs/>
        </w:rPr>
        <w:t xml:space="preserve"> </w:t>
      </w:r>
      <w:r w:rsidR="001C1F9E">
        <w:t>and two data points</w:t>
      </w:r>
      <w:r w:rsidR="00D87519">
        <w:t xml:space="preserve"> </w:t>
      </w:r>
      <w:r w:rsidR="00AB654B">
        <w:t xml:space="preserve">being </w:t>
      </w:r>
      <w:r w:rsidR="00D87519">
        <w:t>removed</w:t>
      </w:r>
      <w:r w:rsidR="001C1F9E">
        <w:t xml:space="preserve"> </w:t>
      </w:r>
      <w:r w:rsidR="00D87519">
        <w:t>from each of</w:t>
      </w:r>
      <w:r w:rsidR="001C1F9E">
        <w:t xml:space="preserve"> </w:t>
      </w:r>
      <w:r w:rsidR="00B20D1B">
        <w:rPr>
          <w:i/>
          <w:iCs/>
        </w:rPr>
        <w:t>J</w:t>
      </w:r>
      <w:r w:rsidR="00B20D1B">
        <w:rPr>
          <w:vertAlign w:val="subscript"/>
        </w:rPr>
        <w:t>max25</w:t>
      </w:r>
      <w:r w:rsidR="00B20D1B">
        <w:t>:</w:t>
      </w:r>
      <w:r w:rsidR="00B20D1B">
        <w:rPr>
          <w:i/>
          <w:iCs/>
        </w:rPr>
        <w:t>V</w:t>
      </w:r>
      <w:r w:rsidR="00B20D1B">
        <w:rPr>
          <w:vertAlign w:val="subscript"/>
        </w:rPr>
        <w:t>cmax25</w:t>
      </w:r>
      <w:r w:rsidR="00B20D1B">
        <w:t>,</w:t>
      </w:r>
      <w:r w:rsidR="00B20D1B" w:rsidRPr="00B20D1B">
        <w:rPr>
          <w:i/>
          <w:iCs/>
        </w:rPr>
        <w:t xml:space="preserve"> </w:t>
      </w:r>
      <w:r w:rsidR="00B20D1B">
        <w:rPr>
          <w:i/>
          <w:iCs/>
        </w:rPr>
        <w:t>R</w:t>
      </w:r>
      <w:r w:rsidR="00B20D1B">
        <w:rPr>
          <w:vertAlign w:val="subscript"/>
        </w:rPr>
        <w:t>d25</w:t>
      </w:r>
      <w:r w:rsidR="00B20D1B">
        <w:t>,</w:t>
      </w:r>
      <w:r w:rsidR="00B20D1B" w:rsidRPr="006A394B">
        <w:t xml:space="preserve"> </w:t>
      </w:r>
      <w:r w:rsidR="006A394B">
        <w:t xml:space="preserve">and </w:t>
      </w:r>
      <w:r w:rsidR="00B20D1B">
        <w:rPr>
          <w:i/>
          <w:iCs/>
        </w:rPr>
        <w:t>R</w:t>
      </w:r>
      <w:r w:rsidR="00B20D1B">
        <w:rPr>
          <w:vertAlign w:val="subscript"/>
        </w:rPr>
        <w:t>d25</w:t>
      </w:r>
      <w:r w:rsidR="00B20D1B">
        <w:t>:</w:t>
      </w:r>
      <w:r w:rsidR="00B20D1B">
        <w:rPr>
          <w:i/>
          <w:iCs/>
        </w:rPr>
        <w:t>V</w:t>
      </w:r>
      <w:r w:rsidR="00B20D1B">
        <w:rPr>
          <w:vertAlign w:val="subscript"/>
        </w:rPr>
        <w:t>cmax25</w:t>
      </w:r>
      <w:r w:rsidR="001C1F9E">
        <w:t>. The removal of these statistical outliers satisfied residual normality assumptions for</w:t>
      </w:r>
      <w:r w:rsidR="00C7318F">
        <w:t xml:space="preserve"> </w:t>
      </w:r>
      <w:proofErr w:type="spellStart"/>
      <w:r w:rsidR="00C7318F">
        <w:rPr>
          <w:i/>
          <w:iCs/>
        </w:rPr>
        <w:t>N</w:t>
      </w:r>
      <w:r w:rsidR="00C7318F">
        <w:rPr>
          <w:vertAlign w:val="subscript"/>
        </w:rPr>
        <w:t>area</w:t>
      </w:r>
      <w:proofErr w:type="spellEnd"/>
      <w:r w:rsidR="00C7318F">
        <w:t>,</w:t>
      </w:r>
      <w:r w:rsidR="00B20D1B">
        <w:t xml:space="preserve"> </w:t>
      </w:r>
      <w:r w:rsidR="00B20D1B">
        <w:rPr>
          <w:i/>
          <w:iCs/>
        </w:rPr>
        <w:t>J</w:t>
      </w:r>
      <w:r w:rsidR="00B20D1B">
        <w:rPr>
          <w:vertAlign w:val="subscript"/>
        </w:rPr>
        <w:t>max25</w:t>
      </w:r>
      <w:r w:rsidR="00B20D1B">
        <w:t>:</w:t>
      </w:r>
      <w:r w:rsidR="00B20D1B">
        <w:rPr>
          <w:i/>
          <w:iCs/>
        </w:rPr>
        <w:t>V</w:t>
      </w:r>
      <w:r w:rsidR="00B20D1B">
        <w:rPr>
          <w:vertAlign w:val="subscript"/>
        </w:rPr>
        <w:t>cmax25</w:t>
      </w:r>
      <w:r w:rsidR="00B20D1B">
        <w:t xml:space="preserve">, </w:t>
      </w:r>
      <w:r w:rsidR="00B20D1B">
        <w:rPr>
          <w:i/>
          <w:iCs/>
        </w:rPr>
        <w:t>R</w:t>
      </w:r>
      <w:r w:rsidR="00B20D1B">
        <w:rPr>
          <w:vertAlign w:val="subscript"/>
        </w:rPr>
        <w:t>d25</w:t>
      </w:r>
      <w:r w:rsidR="00B20D1B">
        <w:t>:</w:t>
      </w:r>
      <w:r w:rsidR="00B20D1B">
        <w:rPr>
          <w:i/>
          <w:iCs/>
        </w:rPr>
        <w:t>V</w:t>
      </w:r>
      <w:r w:rsidR="00B20D1B">
        <w:rPr>
          <w:vertAlign w:val="subscript"/>
        </w:rPr>
        <w:t>cmax25</w:t>
      </w:r>
      <w:r w:rsidR="00B20D1B">
        <w:t>,</w:t>
      </w:r>
      <w:r w:rsidR="00B20D1B" w:rsidRPr="00B20D1B">
        <w:rPr>
          <w:i/>
          <w:iCs/>
        </w:rPr>
        <w:t xml:space="preserve"> </w:t>
      </w:r>
      <w:proofErr w:type="spellStart"/>
      <w:r w:rsidR="00B20D1B">
        <w:rPr>
          <w:i/>
          <w:iCs/>
        </w:rPr>
        <w:t>g</w:t>
      </w:r>
      <w:r w:rsidR="00B20D1B">
        <w:rPr>
          <w:vertAlign w:val="subscript"/>
        </w:rPr>
        <w:t>s</w:t>
      </w:r>
      <w:proofErr w:type="spellEnd"/>
      <w:r w:rsidR="00B20D1B">
        <w:t>,</w:t>
      </w:r>
      <w:r w:rsidR="006A394B">
        <w:t xml:space="preserve"> and</w:t>
      </w:r>
      <w:r w:rsidR="00B20D1B" w:rsidRPr="00B20D1B">
        <w:rPr>
          <w:i/>
          <w:iCs/>
        </w:rPr>
        <w:t xml:space="preserve"> </w:t>
      </w:r>
      <w:r w:rsidR="00B20D1B">
        <w:rPr>
          <w:i/>
          <w:iCs/>
        </w:rPr>
        <w:t>PNUE</w:t>
      </w:r>
      <w:r w:rsidR="006A394B">
        <w:t xml:space="preserve"> </w:t>
      </w:r>
      <w:r w:rsidR="00D87519">
        <w:t>(Shapi</w:t>
      </w:r>
      <w:r w:rsidR="00AB654B">
        <w:t>r</w:t>
      </w:r>
      <w:r w:rsidR="00D87519">
        <w:t>o-Wilk: p&gt;0.05</w:t>
      </w:r>
      <w:r w:rsidR="00916FB5">
        <w:t xml:space="preserve"> in </w:t>
      </w:r>
      <w:r w:rsidR="00C7318F">
        <w:t>all</w:t>
      </w:r>
      <w:r w:rsidR="00916FB5">
        <w:t xml:space="preserve"> cases</w:t>
      </w:r>
      <w:r w:rsidR="00D87519">
        <w:t>)</w:t>
      </w:r>
      <w:r w:rsidR="001C1F9E">
        <w:t>.</w:t>
      </w:r>
    </w:p>
    <w:p w14:paraId="0FC0C20D" w14:textId="60751C84" w:rsidR="006A394B" w:rsidRDefault="00D87519" w:rsidP="00A754EC">
      <w:pPr>
        <w:spacing w:line="360" w:lineRule="auto"/>
        <w:ind w:firstLine="720"/>
      </w:pPr>
      <w:r>
        <w:t xml:space="preserve">For any dependent variables where </w:t>
      </w:r>
      <w:r w:rsidR="00916FB5">
        <w:t xml:space="preserve">statistical </w:t>
      </w:r>
      <w:r>
        <w:t>outlier removal did not satisfy residual normality assumptions, we</w:t>
      </w:r>
      <w:r w:rsidR="00916FB5">
        <w:t xml:space="preserve"> then</w:t>
      </w:r>
      <w:r>
        <w:t xml:space="preserve"> attempted to satisfy residual normality assumptions by fitting models using dependent variables that were </w:t>
      </w:r>
      <w:proofErr w:type="gramStart"/>
      <w:r>
        <w:t>natural-log</w:t>
      </w:r>
      <w:proofErr w:type="gramEnd"/>
      <w:r>
        <w:t xml:space="preserve"> transformed.</w:t>
      </w:r>
      <w:r w:rsidR="00916FB5">
        <w:t xml:space="preserve"> </w:t>
      </w:r>
      <w:r w:rsidR="00166B47">
        <w:t>If residual normality assumptions were still not met</w:t>
      </w:r>
      <w:r w:rsidR="00086E13">
        <w:t xml:space="preserve"> after a natural-log transformation</w:t>
      </w:r>
      <w:r w:rsidR="00166B47">
        <w:t xml:space="preserve"> (Shapiro-Wilk: p&lt;0.05), then models were fit using dependent variables that were square root transformed. All residual normality assumptions were met with either a natural log or square root data transformation (Shapiro-Wilk: p&gt;0.05 in all cases</w:t>
      </w:r>
      <w:r w:rsidR="00166B47" w:rsidRPr="00166B47">
        <w:t xml:space="preserve">). Specifically, we natural log transformed </w:t>
      </w:r>
      <w:r w:rsidR="006A394B">
        <w:rPr>
          <w:i/>
          <w:iCs/>
        </w:rPr>
        <w:t>R</w:t>
      </w:r>
      <w:r w:rsidR="006A394B">
        <w:rPr>
          <w:vertAlign w:val="subscript"/>
        </w:rPr>
        <w:t>d25</w:t>
      </w:r>
      <w:r w:rsidR="006A394B">
        <w:t xml:space="preserve">, </w:t>
      </w:r>
      <w:proofErr w:type="spellStart"/>
      <w:r w:rsidR="006A394B">
        <w:rPr>
          <w:i/>
          <w:iCs/>
        </w:rPr>
        <w:t>V</w:t>
      </w:r>
      <w:r w:rsidR="006A394B">
        <w:rPr>
          <w:vertAlign w:val="subscript"/>
        </w:rPr>
        <w:t>cmax</w:t>
      </w:r>
      <w:r w:rsidR="006A394B">
        <w:t>:</w:t>
      </w:r>
      <w:r w:rsidR="006A394B">
        <w:rPr>
          <w:i/>
          <w:iCs/>
        </w:rPr>
        <w:t>g</w:t>
      </w:r>
      <w:r w:rsidR="006A394B">
        <w:rPr>
          <w:vertAlign w:val="subscript"/>
        </w:rPr>
        <w:t>s</w:t>
      </w:r>
      <w:proofErr w:type="spellEnd"/>
      <w:r w:rsidR="006A394B">
        <w:t>,</w:t>
      </w:r>
      <w:r w:rsidR="006A394B" w:rsidRPr="006A394B">
        <w:rPr>
          <w:i/>
          <w:iCs/>
        </w:rPr>
        <w:t xml:space="preserve"> </w:t>
      </w:r>
      <w:proofErr w:type="spellStart"/>
      <w:r w:rsidR="006A394B">
        <w:rPr>
          <w:i/>
          <w:iCs/>
        </w:rPr>
        <w:t>N</w:t>
      </w:r>
      <w:r w:rsidR="006A394B">
        <w:rPr>
          <w:vertAlign w:val="subscript"/>
        </w:rPr>
        <w:t>cost</w:t>
      </w:r>
      <w:proofErr w:type="spellEnd"/>
      <w:r w:rsidR="006A394B">
        <w:t xml:space="preserve">, </w:t>
      </w:r>
      <w:proofErr w:type="spellStart"/>
      <w:r w:rsidR="006A394B">
        <w:rPr>
          <w:i/>
          <w:iCs/>
        </w:rPr>
        <w:t>C</w:t>
      </w:r>
      <w:r w:rsidR="006A394B">
        <w:rPr>
          <w:vertAlign w:val="subscript"/>
        </w:rPr>
        <w:t>bg</w:t>
      </w:r>
      <w:proofErr w:type="spellEnd"/>
      <w:r w:rsidR="006A394B">
        <w:t>, total biomass, root biomass, and biomass: pot volume, and square root transformed root nodule biomass: root biomass and root nodule biomass.</w:t>
      </w:r>
    </w:p>
    <w:p w14:paraId="0351CB86" w14:textId="7005C544" w:rsidR="004C3C71" w:rsidRDefault="00166B47" w:rsidP="00A754EC">
      <w:pPr>
        <w:spacing w:line="360" w:lineRule="auto"/>
        <w:ind w:firstLine="720"/>
        <w:sectPr w:rsidR="004C3C71" w:rsidSect="00DD0878">
          <w:pgSz w:w="12240" w:h="15840"/>
          <w:pgMar w:top="1440" w:right="1440" w:bottom="1440" w:left="1440" w:header="720" w:footer="720" w:gutter="0"/>
          <w:lnNumType w:countBy="1" w:restart="continuous"/>
          <w:cols w:space="720"/>
          <w:docGrid w:linePitch="360"/>
        </w:sectPr>
      </w:pPr>
      <w:r>
        <w:t>In all statistical models, w</w:t>
      </w:r>
      <w:r w:rsidRPr="00863849">
        <w:t>e used the '</w:t>
      </w:r>
      <w:proofErr w:type="spellStart"/>
      <w:r w:rsidRPr="00863849">
        <w:t>lmer</w:t>
      </w:r>
      <w:proofErr w:type="spellEnd"/>
      <w:r w:rsidRPr="00863849">
        <w:t xml:space="preserve">' function in the 'lme4' R package </w:t>
      </w:r>
      <w:r w:rsidRPr="00863849">
        <w:fldChar w:fldCharType="begin" w:fldLock="1"/>
      </w:r>
      <w:r w:rsidR="001B21C7">
        <w:instrText>ADDIN CSL_CITATION {"citationItems":[{"id":"ITEM-1","itemData":{"DOI":"10.18637/jss.v067.i01","ISSN":"1548-7660","abstract":"Maximum likelihood or restricted maximum likelihood (REML) estimates of the pa- 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 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Software","id":"ITEM-1","issue":"1","issued":{"date-parts":[["2015"]]},"page":"1-48","title":"Fitting linear mixed-effects models using lme4","type":"article-journal","volume":"67"},"uris":["http://www.mendeley.com/documents/?uuid=f767e28f-55eb-4f77-816b-8c8474093c4e"]}],"mendeley":{"formattedCitation":"(Bates et al., 2015)","plainTextFormattedCitation":"(Bates et al., 2015)","previouslyFormattedCitation":"(Bates et al., 2015)"},"properties":{"noteIndex":0},"schema":"https://github.com/citation-style-language/schema/raw/master/csl-citation.json"}</w:instrText>
      </w:r>
      <w:r w:rsidRPr="00863849">
        <w:fldChar w:fldCharType="separate"/>
      </w:r>
      <w:r w:rsidRPr="001B21C7">
        <w:rPr>
          <w:noProof/>
        </w:rPr>
        <w:t>(Bates et al., 2015)</w:t>
      </w:r>
      <w:r w:rsidRPr="00863849">
        <w:fldChar w:fldCharType="end"/>
      </w:r>
      <w:r w:rsidRPr="00863849">
        <w:t xml:space="preserve"> to fit each model and the '</w:t>
      </w:r>
      <w:proofErr w:type="spellStart"/>
      <w:r w:rsidRPr="00863849">
        <w:t>Anova</w:t>
      </w:r>
      <w:proofErr w:type="spellEnd"/>
      <w:r w:rsidRPr="00863849">
        <w:t xml:space="preserve">' function in the 'car' R package </w:t>
      </w:r>
      <w:r w:rsidRPr="00863849">
        <w:fldChar w:fldCharType="begin" w:fldLock="1"/>
      </w:r>
      <w:r>
        <w:instrText>ADDIN CSL_CITATION {"citationItems":[{"id":"ITEM-1","itemData":{"author":[{"dropping-particle":"","family":"Fox","given":"John","non-dropping-particle":"","parse-names":false,"suffix":""},{"dropping-particle":"","family":"Weisberg","given":"Sanford","non-dropping-particle":"","parse-names":false,"suffix":""}],"edition":"Third edit","id":"ITEM-1","issued":{"date-parts":[["2019"]]},"publisher":"Sage","publisher-place":"Thousand Oaks, California","title":"An R companion to applied regression","type":"book"},"uris":["http://www.mendeley.com/documents/?uuid=98b582d2-93ad-46f6-98d2-ede9c11c6d15"]}],"mendeley":{"formattedCitation":"(Fox &amp; Weisberg, 2019)","plainTextFormattedCitation":"(Fox &amp; Weisberg, 2019)","previouslyFormattedCitation":"(Fox &amp; Weisberg, 2019)"},"properties":{"noteIndex":0},"schema":"https://github.com/citation-style-language/schema/raw/master/csl-citation.json"}</w:instrText>
      </w:r>
      <w:r w:rsidRPr="00863849">
        <w:fldChar w:fldCharType="separate"/>
      </w:r>
      <w:r w:rsidRPr="007C0C43">
        <w:rPr>
          <w:noProof/>
        </w:rPr>
        <w:t>(Fox &amp; Weisberg, 2019)</w:t>
      </w:r>
      <w:r w:rsidRPr="00863849">
        <w:fldChar w:fldCharType="end"/>
      </w:r>
      <w:r w:rsidRPr="00863849">
        <w:t xml:space="preserve"> to calculate</w:t>
      </w:r>
      <w:r>
        <w:t xml:space="preserve"> Type II</w:t>
      </w:r>
      <w:r w:rsidRPr="00863849">
        <w:t xml:space="preserve"> Wald's χ</w:t>
      </w:r>
      <w:r w:rsidRPr="00863849">
        <w:rPr>
          <w:vertAlign w:val="superscript"/>
        </w:rPr>
        <w:t>2</w:t>
      </w:r>
      <w:r w:rsidRPr="00863849">
        <w:t xml:space="preserve"> and determine the significance (α=0.05) of each fixed effect coefficient.</w:t>
      </w:r>
      <w:r>
        <w:t xml:space="preserve"> </w:t>
      </w:r>
      <w:r w:rsidR="007D0701">
        <w:t>W</w:t>
      </w:r>
      <w:r w:rsidRPr="00863849">
        <w:t>e</w:t>
      </w:r>
      <w:r w:rsidR="007D0701">
        <w:t xml:space="preserve"> then</w:t>
      </w:r>
      <w:r w:rsidRPr="00863849">
        <w:t xml:space="preserve"> used the 'emmeans' R package </w:t>
      </w:r>
      <w:r w:rsidRPr="00863849">
        <w:fldChar w:fldCharType="begin" w:fldLock="1"/>
      </w:r>
      <w:r w:rsidRPr="00863849">
        <w:instrText>ADDIN CSL_CITATION {"citationItems":[{"id":"ITEM-1","itemData":{"author":[{"dropping-particle":"","family":"Lenth","given":"Russell","non-dropping-particle":"","parse-names":false,"suffix":""}],"id":"ITEM-1","issued":{"date-parts":[["2019"]]},"title":"emmeans: estimated marginal means, aka least-squares means","type":"article"},"uris":["http://www.mendeley.com/documents/?uuid=2f4fc7f4-f350-4d86-b210-f111a74f7704"]}],"mendeley":{"formattedCitation":"(Lenth, 2019)","plainTextFormattedCitation":"(Lenth, 2019)","previouslyFormattedCitation":"(Lenth, 2019)"},"properties":{"noteIndex":0},"schema":"https://github.com/citation-style-language/schema/raw/master/csl-citation.json"}</w:instrText>
      </w:r>
      <w:r w:rsidRPr="00863849">
        <w:fldChar w:fldCharType="separate"/>
      </w:r>
      <w:r w:rsidRPr="00863849">
        <w:rPr>
          <w:noProof/>
        </w:rPr>
        <w:t>(Lenth, 2019)</w:t>
      </w:r>
      <w:r w:rsidRPr="00863849">
        <w:fldChar w:fldCharType="end"/>
      </w:r>
      <w:r w:rsidRPr="00863849">
        <w:t xml:space="preserve"> to conduct post-hoc comparisons using Tukey's tests</w:t>
      </w:r>
      <w:r>
        <w:t xml:space="preserve">, where degrees of freedom were approximated using the Kenward-Roger approach </w:t>
      </w:r>
      <w:r>
        <w:fldChar w:fldCharType="begin" w:fldLock="1"/>
      </w:r>
      <w:r>
        <w:instrText>ADDIN CSL_CITATION {"citationItems":[{"id":"ITEM-1","itemData":{"DOI":"10.2307/2533558","ISSN":"0006341X","author":[{"dropping-particle":"","family":"Kenward","given":"Michael G","non-dropping-particle":"","parse-names":false,"suffix":""},{"dropping-particle":"","family":"Roger","given":"James H","non-dropping-particle":"","parse-names":false,"suffix":""}],"container-title":"Biometrics","id":"ITEM-1","issue":"3","issued":{"date-parts":[["1997","9"]]},"page":"983","title":"Small sample inference for fixed effects from restricted maximum likelihood","type":"article-journal","volume":"53"},"uris":["http://www.mendeley.com/documents/?uuid=04f42785-fd4a-4d10-b732-f053f063390e"]}],"mendeley":{"formattedCitation":"(Kenward &amp; Roger, 1997)","plainTextFormattedCitation":"(Kenward &amp; Roger, 1997)","previouslyFormattedCitation":"(Kenward &amp; Roger, 1997)"},"properties":{"noteIndex":0},"schema":"https://github.com/citation-style-language/schema/raw/master/csl-citation.json"}</w:instrText>
      </w:r>
      <w:r>
        <w:fldChar w:fldCharType="separate"/>
      </w:r>
      <w:r w:rsidRPr="007C0C43">
        <w:rPr>
          <w:noProof/>
        </w:rPr>
        <w:t>(Kenward &amp; Roger, 1997)</w:t>
      </w:r>
      <w:r>
        <w:fldChar w:fldCharType="end"/>
      </w:r>
      <w:r>
        <w:t xml:space="preserve">. </w:t>
      </w:r>
      <w:r w:rsidRPr="00863849">
        <w:t xml:space="preserve">All analyses and plots were conducted in R </w:t>
      </w:r>
      <w:r w:rsidRPr="00863849">
        <w:lastRenderedPageBreak/>
        <w:t xml:space="preserve">version </w:t>
      </w:r>
      <w:r>
        <w:t>4.</w:t>
      </w:r>
      <w:r w:rsidR="00E20C33">
        <w:t>2.0</w:t>
      </w:r>
      <w:r>
        <w:t xml:space="preserve"> </w:t>
      </w:r>
      <w:r>
        <w:fldChar w:fldCharType="begin" w:fldLock="1"/>
      </w:r>
      <w:r w:rsidR="00B84938">
        <w:instrText>ADDIN CSL_CITATION {"citationItems":[{"id":"ITEM-1","itemData":{"author":[{"dropping-particle":"","family":"R Core Team","given":"","non-dropping-particle":"","parse-names":false,"suffix":""}],"id":"ITEM-1","issued":{"date-parts":[["2021"]]},"number":"4.1.1","publisher":"R Foundation for Statistical Computing","publisher-place":"Vienna, Austria","title":"R: A language and environment for statistical computing","type":"article"},"uris":["http://www.mendeley.com/documents/?uuid=9df2246d-8bff-4e78-8053-1da2f14fc848"]}],"mendeley":{"formattedCitation":"(R Core Team, 2021)","plainTextFormattedCitation":"(R Core Team, 2021)","previouslyFormattedCitation":"(R Core Team, 2021)"},"properties":{"noteIndex":0},"schema":"https://github.com/citation-style-language/schema/raw/master/csl-citation.json"}</w:instrText>
      </w:r>
      <w:r>
        <w:fldChar w:fldCharType="separate"/>
      </w:r>
      <w:r w:rsidR="00430044" w:rsidRPr="00430044">
        <w:rPr>
          <w:noProof/>
        </w:rPr>
        <w:t>(R Core Team, 2021)</w:t>
      </w:r>
      <w:r>
        <w:fldChar w:fldCharType="end"/>
      </w:r>
      <w:r>
        <w:t>.</w:t>
      </w:r>
      <w:r w:rsidR="006C759F">
        <w:t xml:space="preserve"> All acronyms</w:t>
      </w:r>
      <w:r w:rsidR="00412BAB">
        <w:t xml:space="preserve">, </w:t>
      </w:r>
      <w:r w:rsidR="004C3C71">
        <w:t>acronym descriptions</w:t>
      </w:r>
      <w:r w:rsidR="00412BAB">
        <w:t>, and units</w:t>
      </w:r>
      <w:r w:rsidR="004C3C71">
        <w:t xml:space="preserve"> used in this paper</w:t>
      </w:r>
      <w:r w:rsidR="006C759F">
        <w:t xml:space="preserve"> are summarized in Table 1.</w:t>
      </w:r>
    </w:p>
    <w:p w14:paraId="509AA6F4" w14:textId="11227EB9" w:rsidR="00371C20" w:rsidRDefault="006C759F" w:rsidP="00A754EC">
      <w:pPr>
        <w:spacing w:line="360" w:lineRule="auto"/>
      </w:pPr>
      <w:r w:rsidRPr="006C759F">
        <w:rPr>
          <w:b/>
          <w:bCs/>
        </w:rPr>
        <w:lastRenderedPageBreak/>
        <w:t>Table 1</w:t>
      </w:r>
      <w:r>
        <w:t xml:space="preserve"> </w:t>
      </w:r>
      <w:r w:rsidR="00371C20">
        <w:t xml:space="preserve">Summary </w:t>
      </w:r>
      <w:r w:rsidR="00CB446B">
        <w:t>of</w:t>
      </w:r>
      <w:r w:rsidR="008D6E2F">
        <w:t xml:space="preserve"> all measured leaf and whole plant</w:t>
      </w:r>
      <w:r w:rsidR="00371C20">
        <w:t xml:space="preserve"> traits</w:t>
      </w:r>
      <w:r w:rsidR="00CB446B">
        <w:t>,</w:t>
      </w:r>
      <w:r w:rsidR="00371C20">
        <w:t xml:space="preserve"> their associated units</w:t>
      </w:r>
      <w:r w:rsidR="00CB446B">
        <w:t>, and a description if trait is referenced as an acronym throughout the paper</w:t>
      </w:r>
    </w:p>
    <w:p w14:paraId="73643E38" w14:textId="77777777" w:rsidR="00A754EC" w:rsidRDefault="00A754EC" w:rsidP="00A754EC">
      <w:pPr>
        <w:spacing w:line="360" w:lineRule="auto"/>
      </w:pPr>
    </w:p>
    <w:tbl>
      <w:tblPr>
        <w:tblStyle w:val="TableGrid"/>
        <w:tblW w:w="140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00"/>
        <w:gridCol w:w="2174"/>
        <w:gridCol w:w="8730"/>
      </w:tblGrid>
      <w:tr w:rsidR="00F073BB" w:rsidRPr="007D0701" w14:paraId="2E60B752" w14:textId="77777777" w:rsidTr="008D6E2F">
        <w:tc>
          <w:tcPr>
            <w:tcW w:w="3100" w:type="dxa"/>
            <w:tcBorders>
              <w:top w:val="single" w:sz="4" w:space="0" w:color="auto"/>
              <w:bottom w:val="single" w:sz="4" w:space="0" w:color="auto"/>
            </w:tcBorders>
          </w:tcPr>
          <w:p w14:paraId="559FCC84" w14:textId="77777777" w:rsidR="00F073BB" w:rsidRPr="008D6E2F" w:rsidRDefault="00F073BB" w:rsidP="00A85036">
            <w:pPr>
              <w:spacing w:line="276" w:lineRule="auto"/>
              <w:rPr>
                <w:b/>
                <w:bCs/>
                <w:sz w:val="22"/>
                <w:szCs w:val="22"/>
              </w:rPr>
            </w:pPr>
            <w:r w:rsidRPr="008D6E2F">
              <w:rPr>
                <w:b/>
                <w:bCs/>
                <w:sz w:val="22"/>
                <w:szCs w:val="22"/>
              </w:rPr>
              <w:t>Trait</w:t>
            </w:r>
          </w:p>
        </w:tc>
        <w:tc>
          <w:tcPr>
            <w:tcW w:w="2174" w:type="dxa"/>
            <w:tcBorders>
              <w:top w:val="single" w:sz="4" w:space="0" w:color="auto"/>
              <w:bottom w:val="single" w:sz="4" w:space="0" w:color="auto"/>
            </w:tcBorders>
          </w:tcPr>
          <w:p w14:paraId="6E75BD1E" w14:textId="77777777" w:rsidR="00F073BB" w:rsidRPr="008D6E2F" w:rsidRDefault="00F073BB" w:rsidP="00A85036">
            <w:pPr>
              <w:spacing w:line="276" w:lineRule="auto"/>
              <w:rPr>
                <w:b/>
                <w:bCs/>
                <w:sz w:val="22"/>
                <w:szCs w:val="22"/>
              </w:rPr>
            </w:pPr>
            <w:r w:rsidRPr="008D6E2F">
              <w:rPr>
                <w:b/>
                <w:bCs/>
                <w:sz w:val="22"/>
                <w:szCs w:val="22"/>
              </w:rPr>
              <w:t>Units</w:t>
            </w:r>
          </w:p>
        </w:tc>
        <w:tc>
          <w:tcPr>
            <w:tcW w:w="8730" w:type="dxa"/>
            <w:tcBorders>
              <w:top w:val="single" w:sz="4" w:space="0" w:color="auto"/>
              <w:bottom w:val="single" w:sz="4" w:space="0" w:color="auto"/>
            </w:tcBorders>
          </w:tcPr>
          <w:p w14:paraId="35E50795" w14:textId="77777777" w:rsidR="00F073BB" w:rsidRPr="008D6E2F" w:rsidRDefault="00F073BB" w:rsidP="00A85036">
            <w:pPr>
              <w:spacing w:line="276" w:lineRule="auto"/>
              <w:rPr>
                <w:b/>
                <w:bCs/>
                <w:sz w:val="22"/>
                <w:szCs w:val="22"/>
              </w:rPr>
            </w:pPr>
            <w:r w:rsidRPr="008D6E2F">
              <w:rPr>
                <w:b/>
                <w:bCs/>
                <w:sz w:val="22"/>
                <w:szCs w:val="22"/>
              </w:rPr>
              <w:t>Trait description</w:t>
            </w:r>
          </w:p>
        </w:tc>
      </w:tr>
      <w:tr w:rsidR="00F073BB" w:rsidRPr="007D0701" w14:paraId="30E4970D" w14:textId="77777777" w:rsidTr="00A85036">
        <w:tc>
          <w:tcPr>
            <w:tcW w:w="3100" w:type="dxa"/>
            <w:tcBorders>
              <w:top w:val="single" w:sz="4" w:space="0" w:color="auto"/>
            </w:tcBorders>
            <w:vAlign w:val="center"/>
          </w:tcPr>
          <w:p w14:paraId="4F65969C" w14:textId="77777777" w:rsidR="00F073BB" w:rsidRPr="008D6E2F" w:rsidRDefault="00F073BB" w:rsidP="00A85036">
            <w:pPr>
              <w:spacing w:line="276" w:lineRule="auto"/>
              <w:rPr>
                <w:sz w:val="22"/>
                <w:szCs w:val="22"/>
              </w:rPr>
            </w:pPr>
            <w:proofErr w:type="spellStart"/>
            <w:r w:rsidRPr="008D6E2F">
              <w:rPr>
                <w:i/>
                <w:iCs/>
                <w:color w:val="000000"/>
                <w:sz w:val="22"/>
                <w:szCs w:val="22"/>
              </w:rPr>
              <w:t>A</w:t>
            </w:r>
            <w:r w:rsidRPr="008D6E2F">
              <w:rPr>
                <w:color w:val="000000"/>
                <w:sz w:val="22"/>
                <w:szCs w:val="22"/>
                <w:vertAlign w:val="subscript"/>
              </w:rPr>
              <w:t>net</w:t>
            </w:r>
            <w:proofErr w:type="spellEnd"/>
          </w:p>
        </w:tc>
        <w:tc>
          <w:tcPr>
            <w:tcW w:w="2174" w:type="dxa"/>
            <w:tcBorders>
              <w:top w:val="single" w:sz="4" w:space="0" w:color="auto"/>
            </w:tcBorders>
            <w:vAlign w:val="center"/>
          </w:tcPr>
          <w:p w14:paraId="074FC600" w14:textId="77777777" w:rsidR="00F073BB" w:rsidRPr="008D6E2F" w:rsidRDefault="00F073BB" w:rsidP="00A85036">
            <w:pPr>
              <w:spacing w:line="276" w:lineRule="auto"/>
              <w:rPr>
                <w:sz w:val="22"/>
                <w:szCs w:val="22"/>
                <w:vertAlign w:val="superscript"/>
              </w:rPr>
            </w:pPr>
            <w:r w:rsidRPr="008D6E2F">
              <w:rPr>
                <w:sz w:val="22"/>
                <w:szCs w:val="22"/>
                <w:lang w:val="el-GR"/>
              </w:rPr>
              <w:t>μ</w:t>
            </w:r>
            <w:r w:rsidRPr="008D6E2F">
              <w:rPr>
                <w:sz w:val="22"/>
                <w:szCs w:val="22"/>
              </w:rPr>
              <w:t>mol m</w:t>
            </w:r>
            <w:r w:rsidRPr="008D6E2F">
              <w:rPr>
                <w:sz w:val="22"/>
                <w:szCs w:val="22"/>
                <w:vertAlign w:val="superscript"/>
              </w:rPr>
              <w:t>-2</w:t>
            </w:r>
            <w:r w:rsidRPr="008D6E2F">
              <w:rPr>
                <w:sz w:val="22"/>
                <w:szCs w:val="22"/>
              </w:rPr>
              <w:t xml:space="preserve"> s</w:t>
            </w:r>
            <w:r w:rsidRPr="008D6E2F">
              <w:rPr>
                <w:sz w:val="22"/>
                <w:szCs w:val="22"/>
                <w:vertAlign w:val="superscript"/>
              </w:rPr>
              <w:t>-1</w:t>
            </w:r>
          </w:p>
        </w:tc>
        <w:tc>
          <w:tcPr>
            <w:tcW w:w="8730" w:type="dxa"/>
            <w:tcBorders>
              <w:top w:val="single" w:sz="4" w:space="0" w:color="auto"/>
            </w:tcBorders>
            <w:vAlign w:val="center"/>
          </w:tcPr>
          <w:p w14:paraId="1A6BB3FC" w14:textId="3C2DBBC7" w:rsidR="00F073BB" w:rsidRPr="00817E03" w:rsidRDefault="00F073BB" w:rsidP="00A85036">
            <w:pPr>
              <w:spacing w:line="276" w:lineRule="auto"/>
              <w:rPr>
                <w:sz w:val="22"/>
                <w:szCs w:val="22"/>
                <w:vertAlign w:val="subscript"/>
              </w:rPr>
            </w:pPr>
            <w:r w:rsidRPr="008D6E2F">
              <w:rPr>
                <w:sz w:val="22"/>
                <w:szCs w:val="22"/>
              </w:rPr>
              <w:t>net photosynthesis</w:t>
            </w:r>
            <w:r>
              <w:rPr>
                <w:sz w:val="22"/>
                <w:szCs w:val="22"/>
              </w:rPr>
              <w:t xml:space="preserve"> rate</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732C98FD" w14:textId="77777777" w:rsidTr="00A85036">
        <w:tc>
          <w:tcPr>
            <w:tcW w:w="3100" w:type="dxa"/>
            <w:vAlign w:val="center"/>
          </w:tcPr>
          <w:p w14:paraId="4C8392A8" w14:textId="77777777" w:rsidR="00F073BB" w:rsidRPr="00F073BB" w:rsidRDefault="00F073BB" w:rsidP="00A85036">
            <w:pPr>
              <w:spacing w:line="276" w:lineRule="auto"/>
              <w:rPr>
                <w:color w:val="000000"/>
                <w:sz w:val="22"/>
                <w:szCs w:val="22"/>
                <w:vertAlign w:val="subscript"/>
              </w:rPr>
            </w:pPr>
            <w:proofErr w:type="spellStart"/>
            <w:r>
              <w:rPr>
                <w:i/>
                <w:iCs/>
                <w:color w:val="000000"/>
                <w:sz w:val="22"/>
                <w:szCs w:val="22"/>
              </w:rPr>
              <w:t>C</w:t>
            </w:r>
            <w:r>
              <w:rPr>
                <w:color w:val="000000"/>
                <w:sz w:val="22"/>
                <w:szCs w:val="22"/>
                <w:vertAlign w:val="subscript"/>
              </w:rPr>
              <w:t>bg</w:t>
            </w:r>
            <w:proofErr w:type="spellEnd"/>
          </w:p>
        </w:tc>
        <w:tc>
          <w:tcPr>
            <w:tcW w:w="2174" w:type="dxa"/>
            <w:vAlign w:val="center"/>
          </w:tcPr>
          <w:p w14:paraId="6E9E1510" w14:textId="77777777" w:rsidR="00F073BB" w:rsidRPr="008D6E2F" w:rsidRDefault="00F073BB" w:rsidP="00A85036">
            <w:pPr>
              <w:spacing w:line="276" w:lineRule="auto"/>
              <w:rPr>
                <w:sz w:val="22"/>
                <w:szCs w:val="22"/>
              </w:rPr>
            </w:pPr>
            <w:r w:rsidRPr="008D6E2F">
              <w:rPr>
                <w:sz w:val="22"/>
                <w:szCs w:val="22"/>
              </w:rPr>
              <w:t>g C</w:t>
            </w:r>
          </w:p>
        </w:tc>
        <w:tc>
          <w:tcPr>
            <w:tcW w:w="8730" w:type="dxa"/>
            <w:vAlign w:val="center"/>
          </w:tcPr>
          <w:p w14:paraId="419B0571" w14:textId="22F6FB37" w:rsidR="00F073BB" w:rsidRPr="00817E03" w:rsidRDefault="00916FB5" w:rsidP="00A85036">
            <w:pPr>
              <w:spacing w:line="276" w:lineRule="auto"/>
              <w:rPr>
                <w:sz w:val="22"/>
                <w:szCs w:val="22"/>
              </w:rPr>
            </w:pPr>
            <w:r>
              <w:rPr>
                <w:sz w:val="22"/>
                <w:szCs w:val="22"/>
              </w:rPr>
              <w:t>belowground carbon biomass</w:t>
            </w:r>
            <w:r w:rsidR="00817E03">
              <w:rPr>
                <w:sz w:val="22"/>
                <w:szCs w:val="22"/>
              </w:rPr>
              <w:t xml:space="preserve"> (numerator of </w:t>
            </w:r>
            <w:proofErr w:type="spellStart"/>
            <w:r w:rsidR="00817E03">
              <w:rPr>
                <w:i/>
                <w:iCs/>
                <w:sz w:val="22"/>
                <w:szCs w:val="22"/>
              </w:rPr>
              <w:t>N</w:t>
            </w:r>
            <w:r w:rsidR="00817E03">
              <w:rPr>
                <w:sz w:val="22"/>
                <w:szCs w:val="22"/>
                <w:vertAlign w:val="subscript"/>
              </w:rPr>
              <w:t>cost</w:t>
            </w:r>
            <w:proofErr w:type="spellEnd"/>
            <w:r w:rsidR="00817E03">
              <w:rPr>
                <w:sz w:val="22"/>
                <w:szCs w:val="22"/>
              </w:rPr>
              <w:t>)</w:t>
            </w:r>
          </w:p>
        </w:tc>
      </w:tr>
      <w:tr w:rsidR="00F073BB" w:rsidRPr="007D0701" w14:paraId="352B6931" w14:textId="77777777" w:rsidTr="00A85036">
        <w:tc>
          <w:tcPr>
            <w:tcW w:w="3100" w:type="dxa"/>
            <w:vAlign w:val="center"/>
          </w:tcPr>
          <w:p w14:paraId="10F6130E" w14:textId="77777777" w:rsidR="00F073BB" w:rsidRPr="008D6E2F" w:rsidRDefault="00F073BB" w:rsidP="00A85036">
            <w:pPr>
              <w:spacing w:line="276" w:lineRule="auto"/>
              <w:rPr>
                <w:sz w:val="22"/>
                <w:szCs w:val="22"/>
              </w:rPr>
            </w:pPr>
            <w:r w:rsidRPr="008D6E2F">
              <w:rPr>
                <w:i/>
                <w:iCs/>
                <w:color w:val="000000"/>
                <w:sz w:val="22"/>
                <w:szCs w:val="22"/>
              </w:rPr>
              <w:t>C</w:t>
            </w:r>
            <w:r w:rsidRPr="008D6E2F">
              <w:rPr>
                <w:color w:val="000000"/>
                <w:sz w:val="22"/>
                <w:szCs w:val="22"/>
                <w:vertAlign w:val="subscript"/>
              </w:rPr>
              <w:t>i</w:t>
            </w:r>
            <w:r w:rsidRPr="008D6E2F">
              <w:rPr>
                <w:color w:val="000000"/>
                <w:sz w:val="22"/>
                <w:szCs w:val="22"/>
              </w:rPr>
              <w:t xml:space="preserve">: </w:t>
            </w:r>
            <w:r w:rsidRPr="008D6E2F">
              <w:rPr>
                <w:i/>
                <w:iCs/>
                <w:color w:val="000000"/>
                <w:sz w:val="22"/>
                <w:szCs w:val="22"/>
              </w:rPr>
              <w:t>C</w:t>
            </w:r>
            <w:r w:rsidRPr="008D6E2F">
              <w:rPr>
                <w:color w:val="000000"/>
                <w:sz w:val="22"/>
                <w:szCs w:val="22"/>
                <w:vertAlign w:val="subscript"/>
              </w:rPr>
              <w:t>a</w:t>
            </w:r>
          </w:p>
        </w:tc>
        <w:tc>
          <w:tcPr>
            <w:tcW w:w="2174" w:type="dxa"/>
            <w:vAlign w:val="center"/>
          </w:tcPr>
          <w:p w14:paraId="4B45BE5A" w14:textId="77777777" w:rsidR="00F073BB" w:rsidRPr="008D6E2F" w:rsidRDefault="00F073BB" w:rsidP="00A85036">
            <w:pPr>
              <w:spacing w:line="276" w:lineRule="auto"/>
              <w:rPr>
                <w:sz w:val="22"/>
                <w:szCs w:val="22"/>
              </w:rPr>
            </w:pPr>
            <w:r w:rsidRPr="008D6E2F">
              <w:rPr>
                <w:sz w:val="22"/>
                <w:szCs w:val="22"/>
              </w:rPr>
              <w:t>unitless</w:t>
            </w:r>
          </w:p>
        </w:tc>
        <w:tc>
          <w:tcPr>
            <w:tcW w:w="8730" w:type="dxa"/>
            <w:vAlign w:val="center"/>
          </w:tcPr>
          <w:p w14:paraId="4DA45A5C" w14:textId="3DAE54AB" w:rsidR="00F073BB" w:rsidRPr="00817E03" w:rsidRDefault="00F073BB" w:rsidP="00A85036">
            <w:pPr>
              <w:spacing w:line="276" w:lineRule="auto"/>
              <w:rPr>
                <w:sz w:val="22"/>
                <w:szCs w:val="22"/>
              </w:rPr>
            </w:pPr>
            <w:r w:rsidRPr="008D6E2F">
              <w:rPr>
                <w:sz w:val="22"/>
                <w:szCs w:val="22"/>
              </w:rPr>
              <w:t>intercellular CO</w:t>
            </w:r>
            <w:r w:rsidRPr="008D6E2F">
              <w:rPr>
                <w:sz w:val="22"/>
                <w:szCs w:val="22"/>
                <w:vertAlign w:val="subscript"/>
              </w:rPr>
              <w:t>2</w:t>
            </w:r>
            <w:r w:rsidRPr="008D6E2F">
              <w:rPr>
                <w:sz w:val="22"/>
                <w:szCs w:val="22"/>
              </w:rPr>
              <w:t>: atmospheric CO</w:t>
            </w:r>
            <w:r w:rsidRPr="008D6E2F">
              <w:rPr>
                <w:sz w:val="22"/>
                <w:szCs w:val="22"/>
                <w:vertAlign w:val="subscript"/>
              </w:rPr>
              <w:t>2</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6D02A78C" w14:textId="77777777" w:rsidTr="00A85036">
        <w:tc>
          <w:tcPr>
            <w:tcW w:w="3100" w:type="dxa"/>
            <w:vAlign w:val="center"/>
          </w:tcPr>
          <w:p w14:paraId="5D6F5A9C" w14:textId="77777777" w:rsidR="00F073BB" w:rsidRPr="008D6E2F" w:rsidRDefault="00F073BB" w:rsidP="00A85036">
            <w:pPr>
              <w:spacing w:line="276" w:lineRule="auto"/>
              <w:rPr>
                <w:sz w:val="22"/>
                <w:szCs w:val="22"/>
              </w:rPr>
            </w:pPr>
            <w:proofErr w:type="spellStart"/>
            <w:r w:rsidRPr="008D6E2F">
              <w:rPr>
                <w:i/>
                <w:iCs/>
                <w:color w:val="000000"/>
                <w:sz w:val="22"/>
                <w:szCs w:val="22"/>
              </w:rPr>
              <w:t>g</w:t>
            </w:r>
            <w:r w:rsidRPr="008D6E2F">
              <w:rPr>
                <w:color w:val="000000"/>
                <w:sz w:val="22"/>
                <w:szCs w:val="22"/>
                <w:vertAlign w:val="subscript"/>
              </w:rPr>
              <w:t>s</w:t>
            </w:r>
            <w:proofErr w:type="spellEnd"/>
          </w:p>
        </w:tc>
        <w:tc>
          <w:tcPr>
            <w:tcW w:w="2174" w:type="dxa"/>
            <w:vAlign w:val="center"/>
          </w:tcPr>
          <w:p w14:paraId="13F3FC66" w14:textId="77777777" w:rsidR="00F073BB" w:rsidRPr="008D6E2F" w:rsidRDefault="00F073BB" w:rsidP="00A85036">
            <w:pPr>
              <w:spacing w:line="276" w:lineRule="auto"/>
              <w:rPr>
                <w:sz w:val="22"/>
                <w:szCs w:val="22"/>
              </w:rPr>
            </w:pPr>
            <w:r w:rsidRPr="008D6E2F">
              <w:rPr>
                <w:sz w:val="22"/>
                <w:szCs w:val="22"/>
              </w:rPr>
              <w:t>mol m</w:t>
            </w:r>
            <w:r w:rsidRPr="008D6E2F">
              <w:rPr>
                <w:sz w:val="22"/>
                <w:szCs w:val="22"/>
                <w:vertAlign w:val="superscript"/>
              </w:rPr>
              <w:t>-2</w:t>
            </w:r>
            <w:r w:rsidRPr="008D6E2F">
              <w:rPr>
                <w:sz w:val="22"/>
                <w:szCs w:val="22"/>
              </w:rPr>
              <w:t xml:space="preserve"> s</w:t>
            </w:r>
            <w:r w:rsidRPr="008D6E2F">
              <w:rPr>
                <w:sz w:val="22"/>
                <w:szCs w:val="22"/>
                <w:vertAlign w:val="superscript"/>
              </w:rPr>
              <w:t>-1</w:t>
            </w:r>
          </w:p>
        </w:tc>
        <w:tc>
          <w:tcPr>
            <w:tcW w:w="8730" w:type="dxa"/>
            <w:vAlign w:val="center"/>
          </w:tcPr>
          <w:p w14:paraId="122693D9" w14:textId="29A5189F" w:rsidR="00F073BB" w:rsidRPr="008D6E2F" w:rsidRDefault="00F073BB" w:rsidP="00A85036">
            <w:pPr>
              <w:spacing w:line="276" w:lineRule="auto"/>
              <w:rPr>
                <w:sz w:val="22"/>
                <w:szCs w:val="22"/>
              </w:rPr>
            </w:pPr>
            <w:r w:rsidRPr="008D6E2F">
              <w:rPr>
                <w:sz w:val="22"/>
                <w:szCs w:val="22"/>
              </w:rPr>
              <w:t>stomatal conductance</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000DB1CA" w14:textId="77777777" w:rsidTr="00A85036">
        <w:tc>
          <w:tcPr>
            <w:tcW w:w="3100" w:type="dxa"/>
            <w:vAlign w:val="center"/>
          </w:tcPr>
          <w:p w14:paraId="19E29D26" w14:textId="77777777" w:rsidR="00F073BB" w:rsidRPr="008D6E2F" w:rsidRDefault="00F073BB" w:rsidP="00A85036">
            <w:pPr>
              <w:spacing w:line="276" w:lineRule="auto"/>
              <w:rPr>
                <w:sz w:val="22"/>
                <w:szCs w:val="22"/>
              </w:rPr>
            </w:pPr>
            <w:proofErr w:type="spellStart"/>
            <w:r w:rsidRPr="008D6E2F">
              <w:rPr>
                <w:i/>
                <w:iCs/>
                <w:color w:val="000000"/>
                <w:sz w:val="22"/>
                <w:szCs w:val="22"/>
              </w:rPr>
              <w:t>iWUE</w:t>
            </w:r>
            <w:proofErr w:type="spellEnd"/>
          </w:p>
        </w:tc>
        <w:tc>
          <w:tcPr>
            <w:tcW w:w="2174" w:type="dxa"/>
            <w:vAlign w:val="center"/>
          </w:tcPr>
          <w:p w14:paraId="25B374E0" w14:textId="77777777" w:rsidR="00F073BB" w:rsidRPr="008D6E2F" w:rsidRDefault="00F073BB" w:rsidP="00A85036">
            <w:pPr>
              <w:spacing w:line="276" w:lineRule="auto"/>
              <w:rPr>
                <w:sz w:val="22"/>
                <w:szCs w:val="22"/>
              </w:rPr>
            </w:pPr>
            <w:r w:rsidRPr="008D6E2F">
              <w:rPr>
                <w:color w:val="000000" w:themeColor="text1"/>
                <w:sz w:val="22"/>
                <w:szCs w:val="22"/>
                <w:lang w:val="el-GR"/>
              </w:rPr>
              <w:t>μ</w:t>
            </w:r>
            <w:r w:rsidRPr="008D6E2F">
              <w:rPr>
                <w:color w:val="000000" w:themeColor="text1"/>
                <w:sz w:val="22"/>
                <w:szCs w:val="22"/>
              </w:rPr>
              <w:t>mol CO</w:t>
            </w:r>
            <w:r w:rsidRPr="008D6E2F">
              <w:rPr>
                <w:color w:val="000000" w:themeColor="text1"/>
                <w:sz w:val="22"/>
                <w:szCs w:val="22"/>
                <w:vertAlign w:val="subscript"/>
              </w:rPr>
              <w:t>2</w:t>
            </w:r>
            <w:r w:rsidRPr="008D6E2F">
              <w:rPr>
                <w:color w:val="000000" w:themeColor="text1"/>
                <w:sz w:val="22"/>
                <w:szCs w:val="22"/>
              </w:rPr>
              <w:t xml:space="preserve"> mol</w:t>
            </w:r>
            <w:r w:rsidRPr="008D6E2F">
              <w:rPr>
                <w:color w:val="000000" w:themeColor="text1"/>
                <w:sz w:val="22"/>
                <w:szCs w:val="22"/>
                <w:vertAlign w:val="superscript"/>
              </w:rPr>
              <w:t>-1</w:t>
            </w:r>
            <w:r w:rsidRPr="008D6E2F">
              <w:rPr>
                <w:color w:val="000000" w:themeColor="text1"/>
                <w:sz w:val="22"/>
                <w:szCs w:val="22"/>
              </w:rPr>
              <w:t xml:space="preserve"> H</w:t>
            </w:r>
            <w:r w:rsidRPr="008D6E2F">
              <w:rPr>
                <w:color w:val="000000" w:themeColor="text1"/>
                <w:sz w:val="22"/>
                <w:szCs w:val="22"/>
                <w:vertAlign w:val="subscript"/>
              </w:rPr>
              <w:t>2</w:t>
            </w:r>
            <w:r w:rsidRPr="008D6E2F">
              <w:rPr>
                <w:color w:val="000000" w:themeColor="text1"/>
                <w:sz w:val="22"/>
                <w:szCs w:val="22"/>
              </w:rPr>
              <w:t>O</w:t>
            </w:r>
          </w:p>
        </w:tc>
        <w:tc>
          <w:tcPr>
            <w:tcW w:w="8730" w:type="dxa"/>
            <w:vAlign w:val="center"/>
          </w:tcPr>
          <w:p w14:paraId="70978672" w14:textId="63F2F3D8" w:rsidR="00F073BB" w:rsidRPr="008D6E2F" w:rsidRDefault="00F073BB" w:rsidP="00A85036">
            <w:pPr>
              <w:spacing w:line="276" w:lineRule="auto"/>
              <w:rPr>
                <w:sz w:val="22"/>
                <w:szCs w:val="22"/>
              </w:rPr>
            </w:pPr>
            <w:r w:rsidRPr="008D6E2F">
              <w:rPr>
                <w:sz w:val="22"/>
                <w:szCs w:val="22"/>
              </w:rPr>
              <w:t>intrinsic water-use efficiency</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23D4D389" w14:textId="77777777" w:rsidTr="00A85036">
        <w:tc>
          <w:tcPr>
            <w:tcW w:w="3100" w:type="dxa"/>
            <w:vAlign w:val="center"/>
          </w:tcPr>
          <w:p w14:paraId="286A34ED" w14:textId="77777777" w:rsidR="00F073BB" w:rsidRPr="008D6E2F" w:rsidRDefault="00F073BB" w:rsidP="00A85036">
            <w:pPr>
              <w:spacing w:line="276" w:lineRule="auto"/>
              <w:rPr>
                <w:sz w:val="22"/>
                <w:szCs w:val="22"/>
              </w:rPr>
            </w:pPr>
            <w:r w:rsidRPr="008D6E2F">
              <w:rPr>
                <w:i/>
                <w:iCs/>
                <w:color w:val="000000"/>
                <w:sz w:val="22"/>
                <w:szCs w:val="22"/>
              </w:rPr>
              <w:t>J</w:t>
            </w:r>
            <w:r w:rsidRPr="008D6E2F">
              <w:rPr>
                <w:color w:val="000000"/>
                <w:sz w:val="22"/>
                <w:szCs w:val="22"/>
                <w:vertAlign w:val="subscript"/>
              </w:rPr>
              <w:t>max25</w:t>
            </w:r>
          </w:p>
        </w:tc>
        <w:tc>
          <w:tcPr>
            <w:tcW w:w="2174" w:type="dxa"/>
            <w:vAlign w:val="center"/>
          </w:tcPr>
          <w:p w14:paraId="0D7D37D3" w14:textId="77777777" w:rsidR="00F073BB" w:rsidRPr="008D6E2F" w:rsidRDefault="00F073BB" w:rsidP="00A85036">
            <w:pPr>
              <w:spacing w:line="276" w:lineRule="auto"/>
              <w:rPr>
                <w:sz w:val="22"/>
                <w:szCs w:val="22"/>
              </w:rPr>
            </w:pPr>
            <w:r w:rsidRPr="008D6E2F">
              <w:rPr>
                <w:sz w:val="22"/>
                <w:szCs w:val="22"/>
                <w:lang w:val="el-GR"/>
              </w:rPr>
              <w:t>μ</w:t>
            </w:r>
            <w:r w:rsidRPr="008D6E2F">
              <w:rPr>
                <w:sz w:val="22"/>
                <w:szCs w:val="22"/>
              </w:rPr>
              <w:t>mol m</w:t>
            </w:r>
            <w:r w:rsidRPr="008D6E2F">
              <w:rPr>
                <w:sz w:val="22"/>
                <w:szCs w:val="22"/>
                <w:vertAlign w:val="superscript"/>
              </w:rPr>
              <w:t>-2</w:t>
            </w:r>
            <w:r w:rsidRPr="008D6E2F">
              <w:rPr>
                <w:sz w:val="22"/>
                <w:szCs w:val="22"/>
              </w:rPr>
              <w:t xml:space="preserve"> s</w:t>
            </w:r>
            <w:r w:rsidRPr="008D6E2F">
              <w:rPr>
                <w:sz w:val="22"/>
                <w:szCs w:val="22"/>
                <w:vertAlign w:val="superscript"/>
              </w:rPr>
              <w:t>-1</w:t>
            </w:r>
          </w:p>
        </w:tc>
        <w:tc>
          <w:tcPr>
            <w:tcW w:w="8730" w:type="dxa"/>
            <w:vAlign w:val="center"/>
          </w:tcPr>
          <w:p w14:paraId="17D364F5" w14:textId="77777777" w:rsidR="00F073BB" w:rsidRPr="008D6E2F" w:rsidRDefault="00F073BB" w:rsidP="00A85036">
            <w:pPr>
              <w:spacing w:line="276" w:lineRule="auto"/>
              <w:rPr>
                <w:sz w:val="22"/>
                <w:szCs w:val="22"/>
              </w:rPr>
            </w:pPr>
            <w:r w:rsidRPr="008D6E2F">
              <w:rPr>
                <w:sz w:val="22"/>
                <w:szCs w:val="22"/>
              </w:rPr>
              <w:t>maximum RuBP regeneration rate, standardized to 25</w:t>
            </w:r>
            <w:r w:rsidRPr="008D6E2F">
              <w:rPr>
                <w:sz w:val="22"/>
                <w:szCs w:val="22"/>
              </w:rPr>
              <w:sym w:font="Symbol" w:char="F0B0"/>
            </w:r>
            <w:r w:rsidRPr="008D6E2F">
              <w:rPr>
                <w:sz w:val="22"/>
                <w:szCs w:val="22"/>
              </w:rPr>
              <w:t>C</w:t>
            </w:r>
          </w:p>
        </w:tc>
      </w:tr>
      <w:tr w:rsidR="00F073BB" w:rsidRPr="007D0701" w14:paraId="5513B4CD" w14:textId="77777777" w:rsidTr="00A85036">
        <w:tc>
          <w:tcPr>
            <w:tcW w:w="3100" w:type="dxa"/>
            <w:vAlign w:val="center"/>
          </w:tcPr>
          <w:p w14:paraId="36C40204" w14:textId="77777777" w:rsidR="00F073BB" w:rsidRPr="008D6E2F" w:rsidRDefault="00F073BB" w:rsidP="00A85036">
            <w:pPr>
              <w:spacing w:line="276" w:lineRule="auto"/>
              <w:rPr>
                <w:sz w:val="22"/>
                <w:szCs w:val="22"/>
              </w:rPr>
            </w:pPr>
            <w:r w:rsidRPr="008D6E2F">
              <w:rPr>
                <w:i/>
                <w:iCs/>
                <w:color w:val="000000"/>
                <w:sz w:val="22"/>
                <w:szCs w:val="22"/>
              </w:rPr>
              <w:t>J</w:t>
            </w:r>
            <w:r w:rsidRPr="008D6E2F">
              <w:rPr>
                <w:color w:val="000000"/>
                <w:sz w:val="22"/>
                <w:szCs w:val="22"/>
                <w:vertAlign w:val="subscript"/>
              </w:rPr>
              <w:t>max25</w:t>
            </w:r>
            <w:r w:rsidRPr="008D6E2F">
              <w:rPr>
                <w:color w:val="000000"/>
                <w:sz w:val="22"/>
                <w:szCs w:val="22"/>
              </w:rPr>
              <w:t>:</w:t>
            </w:r>
            <w:r w:rsidRPr="008D6E2F">
              <w:rPr>
                <w:i/>
                <w:iCs/>
                <w:color w:val="000000"/>
                <w:sz w:val="22"/>
                <w:szCs w:val="22"/>
              </w:rPr>
              <w:t xml:space="preserve"> V</w:t>
            </w:r>
            <w:r w:rsidRPr="008D6E2F">
              <w:rPr>
                <w:color w:val="000000"/>
                <w:sz w:val="22"/>
                <w:szCs w:val="22"/>
                <w:vertAlign w:val="subscript"/>
              </w:rPr>
              <w:t>cmax25</w:t>
            </w:r>
          </w:p>
        </w:tc>
        <w:tc>
          <w:tcPr>
            <w:tcW w:w="2174" w:type="dxa"/>
            <w:vAlign w:val="center"/>
          </w:tcPr>
          <w:p w14:paraId="188E25BA" w14:textId="77777777" w:rsidR="00F073BB" w:rsidRPr="008D6E2F" w:rsidRDefault="00F073BB" w:rsidP="00A85036">
            <w:pPr>
              <w:spacing w:line="276" w:lineRule="auto"/>
              <w:rPr>
                <w:sz w:val="22"/>
                <w:szCs w:val="22"/>
              </w:rPr>
            </w:pPr>
            <w:r w:rsidRPr="008D6E2F">
              <w:rPr>
                <w:sz w:val="22"/>
                <w:szCs w:val="22"/>
              </w:rPr>
              <w:t>unitless</w:t>
            </w:r>
          </w:p>
        </w:tc>
        <w:tc>
          <w:tcPr>
            <w:tcW w:w="8730" w:type="dxa"/>
            <w:vAlign w:val="center"/>
          </w:tcPr>
          <w:p w14:paraId="204A14FB" w14:textId="77777777" w:rsidR="00F073BB" w:rsidRPr="008D6E2F" w:rsidRDefault="00F073BB" w:rsidP="00A85036">
            <w:pPr>
              <w:spacing w:line="276" w:lineRule="auto"/>
              <w:rPr>
                <w:sz w:val="22"/>
                <w:szCs w:val="22"/>
              </w:rPr>
            </w:pPr>
            <w:r w:rsidRPr="008D6E2F">
              <w:rPr>
                <w:sz w:val="22"/>
                <w:szCs w:val="22"/>
              </w:rPr>
              <w:t>maximum RuBP regeneration rate: maximum Rubisco carboxylation rate, standardized to 25</w:t>
            </w:r>
            <w:r w:rsidRPr="008D6E2F">
              <w:rPr>
                <w:sz w:val="22"/>
                <w:szCs w:val="22"/>
              </w:rPr>
              <w:sym w:font="Symbol" w:char="F0B0"/>
            </w:r>
            <w:r w:rsidRPr="008D6E2F">
              <w:rPr>
                <w:sz w:val="22"/>
                <w:szCs w:val="22"/>
              </w:rPr>
              <w:t>C</w:t>
            </w:r>
          </w:p>
        </w:tc>
      </w:tr>
      <w:tr w:rsidR="00F073BB" w:rsidRPr="007D0701" w14:paraId="534F54B6" w14:textId="77777777" w:rsidTr="00A85036">
        <w:tc>
          <w:tcPr>
            <w:tcW w:w="3100" w:type="dxa"/>
            <w:vAlign w:val="center"/>
          </w:tcPr>
          <w:p w14:paraId="700C1195" w14:textId="77777777" w:rsidR="00F073BB" w:rsidRPr="008D6E2F" w:rsidRDefault="00F073BB" w:rsidP="00A85036">
            <w:pPr>
              <w:spacing w:line="276" w:lineRule="auto"/>
              <w:rPr>
                <w:sz w:val="22"/>
                <w:szCs w:val="22"/>
              </w:rPr>
            </w:pPr>
            <w:proofErr w:type="spellStart"/>
            <w:r w:rsidRPr="008D6E2F">
              <w:rPr>
                <w:i/>
                <w:iCs/>
                <w:color w:val="000000"/>
                <w:sz w:val="22"/>
                <w:szCs w:val="22"/>
              </w:rPr>
              <w:t>N</w:t>
            </w:r>
            <w:r w:rsidRPr="008D6E2F">
              <w:rPr>
                <w:color w:val="000000"/>
                <w:sz w:val="22"/>
                <w:szCs w:val="22"/>
                <w:vertAlign w:val="subscript"/>
              </w:rPr>
              <w:t>area</w:t>
            </w:r>
            <w:proofErr w:type="spellEnd"/>
          </w:p>
        </w:tc>
        <w:tc>
          <w:tcPr>
            <w:tcW w:w="2174" w:type="dxa"/>
            <w:vAlign w:val="center"/>
          </w:tcPr>
          <w:p w14:paraId="1A0B7DAA" w14:textId="77777777" w:rsidR="00F073BB" w:rsidRPr="008D6E2F" w:rsidRDefault="00F073BB" w:rsidP="00A85036">
            <w:pPr>
              <w:spacing w:line="276" w:lineRule="auto"/>
              <w:rPr>
                <w:sz w:val="22"/>
                <w:szCs w:val="22"/>
              </w:rPr>
            </w:pPr>
            <w:r w:rsidRPr="008D6E2F">
              <w:rPr>
                <w:sz w:val="22"/>
                <w:szCs w:val="22"/>
              </w:rPr>
              <w:t>g N m</w:t>
            </w:r>
            <w:r w:rsidRPr="008D6E2F">
              <w:rPr>
                <w:sz w:val="22"/>
                <w:szCs w:val="22"/>
                <w:vertAlign w:val="superscript"/>
              </w:rPr>
              <w:t>-2</w:t>
            </w:r>
          </w:p>
        </w:tc>
        <w:tc>
          <w:tcPr>
            <w:tcW w:w="8730" w:type="dxa"/>
            <w:vAlign w:val="center"/>
          </w:tcPr>
          <w:p w14:paraId="45E0920A" w14:textId="77777777" w:rsidR="00F073BB" w:rsidRPr="008D6E2F" w:rsidRDefault="00F073BB" w:rsidP="00A85036">
            <w:pPr>
              <w:spacing w:line="276" w:lineRule="auto"/>
              <w:rPr>
                <w:sz w:val="22"/>
                <w:szCs w:val="22"/>
              </w:rPr>
            </w:pPr>
            <w:r w:rsidRPr="008D6E2F">
              <w:rPr>
                <w:sz w:val="22"/>
                <w:szCs w:val="22"/>
              </w:rPr>
              <w:t>leaf nitrogen per leaf area</w:t>
            </w:r>
          </w:p>
        </w:tc>
      </w:tr>
      <w:tr w:rsidR="00F073BB" w:rsidRPr="007D0701" w14:paraId="7F0477CA" w14:textId="77777777" w:rsidTr="00A85036">
        <w:tc>
          <w:tcPr>
            <w:tcW w:w="3100" w:type="dxa"/>
            <w:vAlign w:val="center"/>
          </w:tcPr>
          <w:p w14:paraId="2571A41C" w14:textId="77777777" w:rsidR="00F073BB" w:rsidRPr="008D6E2F" w:rsidRDefault="00F073BB" w:rsidP="00A85036">
            <w:pPr>
              <w:spacing w:line="276" w:lineRule="auto"/>
              <w:rPr>
                <w:sz w:val="22"/>
                <w:szCs w:val="22"/>
              </w:rPr>
            </w:pPr>
            <w:proofErr w:type="spellStart"/>
            <w:r w:rsidRPr="008D6E2F">
              <w:rPr>
                <w:i/>
                <w:iCs/>
                <w:color w:val="000000"/>
                <w:sz w:val="22"/>
                <w:szCs w:val="22"/>
              </w:rPr>
              <w:t>N</w:t>
            </w:r>
            <w:r w:rsidRPr="008D6E2F">
              <w:rPr>
                <w:color w:val="000000"/>
                <w:sz w:val="22"/>
                <w:szCs w:val="22"/>
                <w:vertAlign w:val="subscript"/>
              </w:rPr>
              <w:t>area</w:t>
            </w:r>
            <w:r w:rsidRPr="008D6E2F">
              <w:rPr>
                <w:color w:val="000000"/>
                <w:sz w:val="22"/>
                <w:szCs w:val="22"/>
              </w:rPr>
              <w:t>:</w:t>
            </w:r>
            <w:r w:rsidRPr="008D6E2F">
              <w:rPr>
                <w:i/>
                <w:iCs/>
                <w:color w:val="000000"/>
                <w:sz w:val="22"/>
                <w:szCs w:val="22"/>
              </w:rPr>
              <w:t>g</w:t>
            </w:r>
            <w:r w:rsidRPr="008D6E2F">
              <w:rPr>
                <w:color w:val="000000"/>
                <w:sz w:val="22"/>
                <w:szCs w:val="22"/>
                <w:vertAlign w:val="subscript"/>
              </w:rPr>
              <w:t>s</w:t>
            </w:r>
            <w:proofErr w:type="spellEnd"/>
          </w:p>
        </w:tc>
        <w:tc>
          <w:tcPr>
            <w:tcW w:w="2174" w:type="dxa"/>
            <w:vAlign w:val="center"/>
          </w:tcPr>
          <w:p w14:paraId="13B17F6C" w14:textId="77777777" w:rsidR="00F073BB" w:rsidRPr="008D6E2F" w:rsidRDefault="00F073BB" w:rsidP="00A85036">
            <w:pPr>
              <w:spacing w:line="276" w:lineRule="auto"/>
              <w:rPr>
                <w:sz w:val="22"/>
                <w:szCs w:val="22"/>
              </w:rPr>
            </w:pPr>
            <w:r w:rsidRPr="008D6E2F">
              <w:rPr>
                <w:color w:val="000000" w:themeColor="text1"/>
                <w:sz w:val="22"/>
                <w:szCs w:val="22"/>
              </w:rPr>
              <w:t>g N s mol</w:t>
            </w:r>
            <w:r w:rsidRPr="008D6E2F">
              <w:rPr>
                <w:color w:val="000000" w:themeColor="text1"/>
                <w:sz w:val="22"/>
                <w:szCs w:val="22"/>
                <w:vertAlign w:val="superscript"/>
              </w:rPr>
              <w:t>-1</w:t>
            </w:r>
            <w:r w:rsidRPr="008D6E2F">
              <w:rPr>
                <w:color w:val="000000" w:themeColor="text1"/>
                <w:sz w:val="22"/>
                <w:szCs w:val="22"/>
              </w:rPr>
              <w:t xml:space="preserve"> H</w:t>
            </w:r>
            <w:r w:rsidRPr="008D6E2F">
              <w:rPr>
                <w:color w:val="000000" w:themeColor="text1"/>
                <w:sz w:val="22"/>
                <w:szCs w:val="22"/>
                <w:vertAlign w:val="subscript"/>
              </w:rPr>
              <w:t>2</w:t>
            </w:r>
            <w:r w:rsidRPr="008D6E2F">
              <w:rPr>
                <w:color w:val="000000" w:themeColor="text1"/>
                <w:sz w:val="22"/>
                <w:szCs w:val="22"/>
              </w:rPr>
              <w:t>O</w:t>
            </w:r>
          </w:p>
        </w:tc>
        <w:tc>
          <w:tcPr>
            <w:tcW w:w="8730" w:type="dxa"/>
            <w:vAlign w:val="center"/>
          </w:tcPr>
          <w:p w14:paraId="1B71FD05" w14:textId="657B2B66" w:rsidR="00F073BB" w:rsidRPr="008D6E2F" w:rsidRDefault="00F073BB" w:rsidP="00A85036">
            <w:pPr>
              <w:spacing w:line="276" w:lineRule="auto"/>
              <w:rPr>
                <w:sz w:val="22"/>
                <w:szCs w:val="22"/>
              </w:rPr>
            </w:pPr>
            <w:r w:rsidRPr="008D6E2F">
              <w:rPr>
                <w:sz w:val="22"/>
                <w:szCs w:val="22"/>
              </w:rPr>
              <w:t>leaf nitrogen per stomatal conductance</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39C0FF3E" w14:textId="77777777" w:rsidTr="00A85036">
        <w:tc>
          <w:tcPr>
            <w:tcW w:w="3100" w:type="dxa"/>
            <w:vAlign w:val="center"/>
          </w:tcPr>
          <w:p w14:paraId="69746B74" w14:textId="77777777" w:rsidR="00F073BB" w:rsidRPr="00F073BB" w:rsidRDefault="00F073BB" w:rsidP="00A85036">
            <w:pPr>
              <w:spacing w:line="276" w:lineRule="auto"/>
              <w:rPr>
                <w:sz w:val="22"/>
                <w:szCs w:val="22"/>
                <w:vertAlign w:val="subscript"/>
              </w:rPr>
            </w:pPr>
            <w:proofErr w:type="spellStart"/>
            <w:r>
              <w:rPr>
                <w:i/>
                <w:iCs/>
                <w:color w:val="000000"/>
                <w:sz w:val="22"/>
                <w:szCs w:val="22"/>
              </w:rPr>
              <w:t>N</w:t>
            </w:r>
            <w:r>
              <w:rPr>
                <w:color w:val="000000"/>
                <w:sz w:val="22"/>
                <w:szCs w:val="22"/>
                <w:vertAlign w:val="subscript"/>
              </w:rPr>
              <w:t>cost</w:t>
            </w:r>
            <w:proofErr w:type="spellEnd"/>
          </w:p>
        </w:tc>
        <w:tc>
          <w:tcPr>
            <w:tcW w:w="2174" w:type="dxa"/>
            <w:vAlign w:val="center"/>
          </w:tcPr>
          <w:p w14:paraId="324B30B6" w14:textId="77777777" w:rsidR="00F073BB" w:rsidRPr="008D6E2F" w:rsidRDefault="00F073BB" w:rsidP="00A85036">
            <w:pPr>
              <w:spacing w:line="276" w:lineRule="auto"/>
              <w:rPr>
                <w:sz w:val="22"/>
                <w:szCs w:val="22"/>
              </w:rPr>
            </w:pPr>
            <w:r w:rsidRPr="008D6E2F">
              <w:rPr>
                <w:sz w:val="22"/>
                <w:szCs w:val="22"/>
              </w:rPr>
              <w:t>g C g</w:t>
            </w:r>
            <w:r w:rsidRPr="008D6E2F">
              <w:rPr>
                <w:sz w:val="22"/>
                <w:szCs w:val="22"/>
                <w:vertAlign w:val="superscript"/>
              </w:rPr>
              <w:t>-1</w:t>
            </w:r>
            <w:r w:rsidRPr="008D6E2F">
              <w:rPr>
                <w:sz w:val="22"/>
                <w:szCs w:val="22"/>
              </w:rPr>
              <w:t xml:space="preserve"> N</w:t>
            </w:r>
          </w:p>
        </w:tc>
        <w:tc>
          <w:tcPr>
            <w:tcW w:w="8730" w:type="dxa"/>
            <w:vAlign w:val="center"/>
          </w:tcPr>
          <w:p w14:paraId="09987B5B" w14:textId="77777777" w:rsidR="00F073BB" w:rsidRPr="008D6E2F" w:rsidRDefault="00F073BB" w:rsidP="00A85036">
            <w:pPr>
              <w:spacing w:line="276" w:lineRule="auto"/>
              <w:rPr>
                <w:sz w:val="22"/>
                <w:szCs w:val="22"/>
              </w:rPr>
            </w:pPr>
            <w:r w:rsidRPr="008D6E2F">
              <w:rPr>
                <w:sz w:val="22"/>
                <w:szCs w:val="22"/>
              </w:rPr>
              <w:t>structural carbon costs to acquire nitrogen</w:t>
            </w:r>
          </w:p>
        </w:tc>
      </w:tr>
      <w:tr w:rsidR="00F073BB" w:rsidRPr="007D0701" w14:paraId="10FD478E" w14:textId="77777777" w:rsidTr="00A85036">
        <w:tc>
          <w:tcPr>
            <w:tcW w:w="3100" w:type="dxa"/>
            <w:vAlign w:val="center"/>
          </w:tcPr>
          <w:p w14:paraId="3C0CB54E" w14:textId="77777777" w:rsidR="00F073BB" w:rsidRPr="008D6E2F" w:rsidRDefault="00F073BB" w:rsidP="00A85036">
            <w:pPr>
              <w:spacing w:line="276" w:lineRule="auto"/>
              <w:rPr>
                <w:sz w:val="22"/>
                <w:szCs w:val="22"/>
              </w:rPr>
            </w:pPr>
            <w:proofErr w:type="spellStart"/>
            <w:r w:rsidRPr="008D6E2F">
              <w:rPr>
                <w:i/>
                <w:iCs/>
                <w:color w:val="000000"/>
                <w:sz w:val="22"/>
                <w:szCs w:val="22"/>
              </w:rPr>
              <w:t>N</w:t>
            </w:r>
            <w:r w:rsidRPr="008D6E2F">
              <w:rPr>
                <w:color w:val="000000"/>
                <w:sz w:val="22"/>
                <w:szCs w:val="22"/>
                <w:vertAlign w:val="subscript"/>
              </w:rPr>
              <w:t>mass</w:t>
            </w:r>
            <w:proofErr w:type="spellEnd"/>
          </w:p>
        </w:tc>
        <w:tc>
          <w:tcPr>
            <w:tcW w:w="2174" w:type="dxa"/>
            <w:vAlign w:val="center"/>
          </w:tcPr>
          <w:p w14:paraId="4E944BA0" w14:textId="77777777" w:rsidR="00F073BB" w:rsidRPr="008D6E2F" w:rsidRDefault="00F073BB" w:rsidP="00A85036">
            <w:pPr>
              <w:spacing w:line="276" w:lineRule="auto"/>
              <w:rPr>
                <w:sz w:val="22"/>
                <w:szCs w:val="22"/>
              </w:rPr>
            </w:pPr>
            <w:r w:rsidRPr="008D6E2F">
              <w:rPr>
                <w:sz w:val="22"/>
                <w:szCs w:val="22"/>
              </w:rPr>
              <w:t>g N g</w:t>
            </w:r>
            <w:r w:rsidRPr="008D6E2F">
              <w:rPr>
                <w:sz w:val="22"/>
                <w:szCs w:val="22"/>
                <w:vertAlign w:val="superscript"/>
              </w:rPr>
              <w:t>-1</w:t>
            </w:r>
            <w:r w:rsidRPr="008D6E2F">
              <w:rPr>
                <w:sz w:val="22"/>
                <w:szCs w:val="22"/>
              </w:rPr>
              <w:t xml:space="preserve"> biomass</w:t>
            </w:r>
          </w:p>
        </w:tc>
        <w:tc>
          <w:tcPr>
            <w:tcW w:w="8730" w:type="dxa"/>
            <w:vAlign w:val="center"/>
          </w:tcPr>
          <w:p w14:paraId="2A260E3F" w14:textId="77777777" w:rsidR="00F073BB" w:rsidRPr="008D6E2F" w:rsidRDefault="00F073BB" w:rsidP="00A85036">
            <w:pPr>
              <w:spacing w:line="276" w:lineRule="auto"/>
              <w:rPr>
                <w:sz w:val="22"/>
                <w:szCs w:val="22"/>
              </w:rPr>
            </w:pPr>
            <w:r w:rsidRPr="008D6E2F">
              <w:rPr>
                <w:sz w:val="22"/>
                <w:szCs w:val="22"/>
              </w:rPr>
              <w:t>leaf nitrogen content</w:t>
            </w:r>
          </w:p>
        </w:tc>
      </w:tr>
      <w:tr w:rsidR="00F073BB" w:rsidRPr="007D0701" w14:paraId="22407092" w14:textId="77777777" w:rsidTr="00A85036">
        <w:tc>
          <w:tcPr>
            <w:tcW w:w="3100" w:type="dxa"/>
            <w:vAlign w:val="center"/>
          </w:tcPr>
          <w:p w14:paraId="5FAEBCB2" w14:textId="77777777" w:rsidR="00F073BB" w:rsidRPr="008D6E2F" w:rsidRDefault="00F073BB" w:rsidP="00A85036">
            <w:pPr>
              <w:spacing w:line="276" w:lineRule="auto"/>
              <w:rPr>
                <w:color w:val="000000"/>
                <w:sz w:val="22"/>
                <w:szCs w:val="22"/>
              </w:rPr>
            </w:pPr>
            <w:r w:rsidRPr="008D6E2F">
              <w:rPr>
                <w:color w:val="000000"/>
                <w:sz w:val="22"/>
                <w:szCs w:val="22"/>
              </w:rPr>
              <w:t>Nodule biomass: root biomass</w:t>
            </w:r>
          </w:p>
        </w:tc>
        <w:tc>
          <w:tcPr>
            <w:tcW w:w="2174" w:type="dxa"/>
            <w:vAlign w:val="center"/>
          </w:tcPr>
          <w:p w14:paraId="4D89D5A6" w14:textId="77777777" w:rsidR="00F073BB" w:rsidRPr="008D6E2F" w:rsidRDefault="00F073BB" w:rsidP="00A85036">
            <w:pPr>
              <w:spacing w:line="276" w:lineRule="auto"/>
              <w:rPr>
                <w:sz w:val="22"/>
                <w:szCs w:val="22"/>
              </w:rPr>
            </w:pPr>
            <w:r w:rsidRPr="008D6E2F">
              <w:rPr>
                <w:sz w:val="22"/>
                <w:szCs w:val="22"/>
              </w:rPr>
              <w:t>unitless</w:t>
            </w:r>
          </w:p>
        </w:tc>
        <w:tc>
          <w:tcPr>
            <w:tcW w:w="8730" w:type="dxa"/>
            <w:vAlign w:val="center"/>
          </w:tcPr>
          <w:p w14:paraId="3BD62B1B" w14:textId="77777777" w:rsidR="00F073BB" w:rsidRPr="008D6E2F" w:rsidRDefault="00F073BB" w:rsidP="00A85036">
            <w:pPr>
              <w:spacing w:line="276" w:lineRule="auto"/>
              <w:rPr>
                <w:sz w:val="22"/>
                <w:szCs w:val="22"/>
              </w:rPr>
            </w:pPr>
            <w:r w:rsidRPr="008D6E2F">
              <w:rPr>
                <w:sz w:val="22"/>
                <w:szCs w:val="22"/>
              </w:rPr>
              <w:t>-</w:t>
            </w:r>
          </w:p>
        </w:tc>
      </w:tr>
      <w:tr w:rsidR="00F073BB" w:rsidRPr="007D0701" w14:paraId="13BDED55" w14:textId="77777777" w:rsidTr="00A85036">
        <w:tc>
          <w:tcPr>
            <w:tcW w:w="3100" w:type="dxa"/>
            <w:vAlign w:val="center"/>
          </w:tcPr>
          <w:p w14:paraId="1D2B48A3" w14:textId="77777777" w:rsidR="00F073BB" w:rsidRPr="00F073BB" w:rsidRDefault="00F073BB" w:rsidP="00A85036">
            <w:pPr>
              <w:spacing w:line="276" w:lineRule="auto"/>
              <w:rPr>
                <w:color w:val="000000"/>
                <w:sz w:val="22"/>
                <w:szCs w:val="22"/>
                <w:vertAlign w:val="subscript"/>
              </w:rPr>
            </w:pPr>
            <w:proofErr w:type="spellStart"/>
            <w:r>
              <w:rPr>
                <w:i/>
                <w:iCs/>
                <w:color w:val="000000"/>
                <w:sz w:val="22"/>
                <w:szCs w:val="22"/>
              </w:rPr>
              <w:t>N</w:t>
            </w:r>
            <w:r>
              <w:rPr>
                <w:color w:val="000000"/>
                <w:sz w:val="22"/>
                <w:szCs w:val="22"/>
                <w:vertAlign w:val="subscript"/>
              </w:rPr>
              <w:t>wp</w:t>
            </w:r>
            <w:proofErr w:type="spellEnd"/>
          </w:p>
        </w:tc>
        <w:tc>
          <w:tcPr>
            <w:tcW w:w="2174" w:type="dxa"/>
            <w:vAlign w:val="center"/>
          </w:tcPr>
          <w:p w14:paraId="208E6684" w14:textId="77777777" w:rsidR="00F073BB" w:rsidRPr="008D6E2F" w:rsidRDefault="00F073BB" w:rsidP="00A85036">
            <w:pPr>
              <w:spacing w:line="276" w:lineRule="auto"/>
              <w:rPr>
                <w:sz w:val="22"/>
                <w:szCs w:val="22"/>
              </w:rPr>
            </w:pPr>
            <w:r w:rsidRPr="008D6E2F">
              <w:rPr>
                <w:sz w:val="22"/>
                <w:szCs w:val="22"/>
              </w:rPr>
              <w:t>g N</w:t>
            </w:r>
          </w:p>
        </w:tc>
        <w:tc>
          <w:tcPr>
            <w:tcW w:w="8730" w:type="dxa"/>
            <w:vAlign w:val="center"/>
          </w:tcPr>
          <w:p w14:paraId="11FF8C81" w14:textId="73D36F17" w:rsidR="00F073BB" w:rsidRPr="008D6E2F" w:rsidRDefault="00F073BB" w:rsidP="00A85036">
            <w:pPr>
              <w:spacing w:line="276" w:lineRule="auto"/>
              <w:rPr>
                <w:sz w:val="22"/>
                <w:szCs w:val="22"/>
              </w:rPr>
            </w:pPr>
            <w:r>
              <w:rPr>
                <w:sz w:val="22"/>
                <w:szCs w:val="22"/>
              </w:rPr>
              <w:t>whole plant nitrogen biomass</w:t>
            </w:r>
            <w:r w:rsidR="00817E03">
              <w:rPr>
                <w:sz w:val="22"/>
                <w:szCs w:val="22"/>
              </w:rPr>
              <w:t xml:space="preserve"> (denominator of </w:t>
            </w:r>
            <w:proofErr w:type="spellStart"/>
            <w:r w:rsidR="00817E03">
              <w:rPr>
                <w:i/>
                <w:iCs/>
                <w:sz w:val="22"/>
                <w:szCs w:val="22"/>
              </w:rPr>
              <w:t>N</w:t>
            </w:r>
            <w:r w:rsidR="00817E03">
              <w:rPr>
                <w:sz w:val="22"/>
                <w:szCs w:val="22"/>
                <w:vertAlign w:val="subscript"/>
              </w:rPr>
              <w:t>cost</w:t>
            </w:r>
            <w:proofErr w:type="spellEnd"/>
            <w:r w:rsidR="00817E03">
              <w:rPr>
                <w:sz w:val="22"/>
                <w:szCs w:val="22"/>
              </w:rPr>
              <w:t>)</w:t>
            </w:r>
          </w:p>
        </w:tc>
      </w:tr>
      <w:tr w:rsidR="00F073BB" w:rsidRPr="007D0701" w14:paraId="1F028EE1" w14:textId="77777777" w:rsidTr="00A85036">
        <w:tc>
          <w:tcPr>
            <w:tcW w:w="3100" w:type="dxa"/>
            <w:vAlign w:val="center"/>
          </w:tcPr>
          <w:p w14:paraId="78469FC1" w14:textId="77777777" w:rsidR="00F073BB" w:rsidRPr="008D6E2F" w:rsidRDefault="00F073BB" w:rsidP="00A85036">
            <w:pPr>
              <w:spacing w:line="276" w:lineRule="auto"/>
              <w:rPr>
                <w:sz w:val="22"/>
                <w:szCs w:val="22"/>
              </w:rPr>
            </w:pPr>
            <w:r w:rsidRPr="008D6E2F">
              <w:rPr>
                <w:i/>
                <w:iCs/>
                <w:color w:val="000000"/>
                <w:sz w:val="22"/>
                <w:szCs w:val="22"/>
              </w:rPr>
              <w:t>PNUE</w:t>
            </w:r>
          </w:p>
        </w:tc>
        <w:tc>
          <w:tcPr>
            <w:tcW w:w="2174" w:type="dxa"/>
            <w:vAlign w:val="center"/>
          </w:tcPr>
          <w:p w14:paraId="486BB310" w14:textId="77777777" w:rsidR="00F073BB" w:rsidRPr="008D6E2F" w:rsidRDefault="00F073BB" w:rsidP="00A85036">
            <w:pPr>
              <w:spacing w:line="276" w:lineRule="auto"/>
              <w:rPr>
                <w:sz w:val="22"/>
                <w:szCs w:val="22"/>
              </w:rPr>
            </w:pPr>
            <w:r w:rsidRPr="008D6E2F">
              <w:rPr>
                <w:color w:val="000000" w:themeColor="text1"/>
                <w:sz w:val="22"/>
                <w:szCs w:val="22"/>
              </w:rPr>
              <w:t>µmol CO</w:t>
            </w:r>
            <w:r w:rsidRPr="008D6E2F">
              <w:rPr>
                <w:color w:val="000000" w:themeColor="text1"/>
                <w:sz w:val="22"/>
                <w:szCs w:val="22"/>
                <w:vertAlign w:val="subscript"/>
              </w:rPr>
              <w:t>2</w:t>
            </w:r>
            <w:r w:rsidRPr="008D6E2F">
              <w:rPr>
                <w:color w:val="000000" w:themeColor="text1"/>
                <w:sz w:val="22"/>
                <w:szCs w:val="22"/>
              </w:rPr>
              <w:t xml:space="preserve"> g</w:t>
            </w:r>
            <w:r w:rsidRPr="008D6E2F">
              <w:rPr>
                <w:color w:val="000000" w:themeColor="text1"/>
                <w:sz w:val="22"/>
                <w:szCs w:val="22"/>
                <w:vertAlign w:val="superscript"/>
              </w:rPr>
              <w:t>-1</w:t>
            </w:r>
            <w:r w:rsidRPr="008D6E2F">
              <w:rPr>
                <w:color w:val="000000" w:themeColor="text1"/>
                <w:sz w:val="22"/>
                <w:szCs w:val="22"/>
              </w:rPr>
              <w:t xml:space="preserve"> N s</w:t>
            </w:r>
            <w:r w:rsidRPr="008D6E2F">
              <w:rPr>
                <w:color w:val="000000" w:themeColor="text1"/>
                <w:sz w:val="22"/>
                <w:szCs w:val="22"/>
                <w:vertAlign w:val="superscript"/>
              </w:rPr>
              <w:t>-1</w:t>
            </w:r>
          </w:p>
        </w:tc>
        <w:tc>
          <w:tcPr>
            <w:tcW w:w="8730" w:type="dxa"/>
            <w:vAlign w:val="center"/>
          </w:tcPr>
          <w:p w14:paraId="66C141B4" w14:textId="47A990D0" w:rsidR="00F073BB" w:rsidRPr="008D6E2F" w:rsidRDefault="00F073BB" w:rsidP="00A85036">
            <w:pPr>
              <w:spacing w:line="276" w:lineRule="auto"/>
              <w:rPr>
                <w:sz w:val="22"/>
                <w:szCs w:val="22"/>
              </w:rPr>
            </w:pPr>
            <w:r w:rsidRPr="008D6E2F">
              <w:rPr>
                <w:sz w:val="22"/>
                <w:szCs w:val="22"/>
              </w:rPr>
              <w:t>photosynthetic nitrogen-use efficiency</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3051C1C9" w14:textId="77777777" w:rsidTr="00A85036">
        <w:tc>
          <w:tcPr>
            <w:tcW w:w="3100" w:type="dxa"/>
            <w:vAlign w:val="center"/>
          </w:tcPr>
          <w:p w14:paraId="40300436" w14:textId="77777777" w:rsidR="00F073BB" w:rsidRPr="008D6E2F" w:rsidRDefault="00F073BB" w:rsidP="00A85036">
            <w:pPr>
              <w:spacing w:line="276" w:lineRule="auto"/>
              <w:rPr>
                <w:sz w:val="22"/>
                <w:szCs w:val="22"/>
              </w:rPr>
            </w:pPr>
            <w:r w:rsidRPr="008D6E2F">
              <w:rPr>
                <w:i/>
                <w:iCs/>
                <w:color w:val="000000"/>
                <w:sz w:val="22"/>
                <w:szCs w:val="22"/>
              </w:rPr>
              <w:t>R</w:t>
            </w:r>
            <w:r w:rsidRPr="008D6E2F">
              <w:rPr>
                <w:color w:val="000000"/>
                <w:sz w:val="22"/>
                <w:szCs w:val="22"/>
                <w:vertAlign w:val="subscript"/>
              </w:rPr>
              <w:t>d25</w:t>
            </w:r>
          </w:p>
        </w:tc>
        <w:tc>
          <w:tcPr>
            <w:tcW w:w="2174" w:type="dxa"/>
            <w:vAlign w:val="center"/>
          </w:tcPr>
          <w:p w14:paraId="0D1E677C" w14:textId="77777777" w:rsidR="00F073BB" w:rsidRPr="008D6E2F" w:rsidRDefault="00F073BB" w:rsidP="00A85036">
            <w:pPr>
              <w:spacing w:line="276" w:lineRule="auto"/>
              <w:rPr>
                <w:sz w:val="22"/>
                <w:szCs w:val="22"/>
              </w:rPr>
            </w:pPr>
            <w:r w:rsidRPr="008D6E2F">
              <w:rPr>
                <w:sz w:val="22"/>
                <w:szCs w:val="22"/>
                <w:lang w:val="el-GR"/>
              </w:rPr>
              <w:t>μ</w:t>
            </w:r>
            <w:r w:rsidRPr="008D6E2F">
              <w:rPr>
                <w:sz w:val="22"/>
                <w:szCs w:val="22"/>
              </w:rPr>
              <w:t xml:space="preserve">mol </w:t>
            </w:r>
            <w:r w:rsidRPr="008D6E2F">
              <w:rPr>
                <w:color w:val="000000" w:themeColor="text1"/>
                <w:sz w:val="22"/>
                <w:szCs w:val="22"/>
              </w:rPr>
              <w:t>CO</w:t>
            </w:r>
            <w:r w:rsidRPr="008D6E2F">
              <w:rPr>
                <w:color w:val="000000" w:themeColor="text1"/>
                <w:sz w:val="22"/>
                <w:szCs w:val="22"/>
                <w:vertAlign w:val="subscript"/>
              </w:rPr>
              <w:t>2</w:t>
            </w:r>
            <w:r w:rsidRPr="008D6E2F">
              <w:rPr>
                <w:color w:val="000000" w:themeColor="text1"/>
                <w:sz w:val="22"/>
                <w:szCs w:val="22"/>
              </w:rPr>
              <w:t xml:space="preserve"> </w:t>
            </w:r>
            <w:r w:rsidRPr="008D6E2F">
              <w:rPr>
                <w:sz w:val="22"/>
                <w:szCs w:val="22"/>
              </w:rPr>
              <w:t>m</w:t>
            </w:r>
            <w:r w:rsidRPr="008D6E2F">
              <w:rPr>
                <w:sz w:val="22"/>
                <w:szCs w:val="22"/>
                <w:vertAlign w:val="superscript"/>
              </w:rPr>
              <w:t>-2</w:t>
            </w:r>
            <w:r w:rsidRPr="008D6E2F">
              <w:rPr>
                <w:sz w:val="22"/>
                <w:szCs w:val="22"/>
              </w:rPr>
              <w:t xml:space="preserve"> s</w:t>
            </w:r>
            <w:r w:rsidRPr="008D6E2F">
              <w:rPr>
                <w:sz w:val="22"/>
                <w:szCs w:val="22"/>
                <w:vertAlign w:val="superscript"/>
              </w:rPr>
              <w:t>-1</w:t>
            </w:r>
          </w:p>
        </w:tc>
        <w:tc>
          <w:tcPr>
            <w:tcW w:w="8730" w:type="dxa"/>
            <w:vAlign w:val="center"/>
          </w:tcPr>
          <w:p w14:paraId="6274A7AF" w14:textId="5FA5F528" w:rsidR="00F073BB" w:rsidRPr="008D6E2F" w:rsidRDefault="00F073BB" w:rsidP="00A85036">
            <w:pPr>
              <w:spacing w:line="276" w:lineRule="auto"/>
              <w:rPr>
                <w:sz w:val="22"/>
                <w:szCs w:val="22"/>
              </w:rPr>
            </w:pPr>
            <w:r w:rsidRPr="008D6E2F">
              <w:rPr>
                <w:sz w:val="22"/>
                <w:szCs w:val="22"/>
              </w:rPr>
              <w:t>dark respiration,</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r w:rsidR="00817E03">
              <w:rPr>
                <w:sz w:val="22"/>
                <w:szCs w:val="22"/>
              </w:rPr>
              <w:t xml:space="preserve"> and s</w:t>
            </w:r>
            <w:r w:rsidRPr="008D6E2F">
              <w:rPr>
                <w:sz w:val="22"/>
                <w:szCs w:val="22"/>
              </w:rPr>
              <w:t>tandardized to 25</w:t>
            </w:r>
            <w:r w:rsidRPr="008D6E2F">
              <w:rPr>
                <w:sz w:val="22"/>
                <w:szCs w:val="22"/>
              </w:rPr>
              <w:sym w:font="Symbol" w:char="F0B0"/>
            </w:r>
            <w:r w:rsidRPr="008D6E2F">
              <w:rPr>
                <w:sz w:val="22"/>
                <w:szCs w:val="22"/>
              </w:rPr>
              <w:t>C</w:t>
            </w:r>
          </w:p>
        </w:tc>
      </w:tr>
      <w:tr w:rsidR="00F073BB" w:rsidRPr="007D0701" w14:paraId="133344D8" w14:textId="77777777" w:rsidTr="00A85036">
        <w:tc>
          <w:tcPr>
            <w:tcW w:w="3100" w:type="dxa"/>
            <w:vAlign w:val="center"/>
          </w:tcPr>
          <w:p w14:paraId="4B84145C" w14:textId="77777777" w:rsidR="00F073BB" w:rsidRPr="008D6E2F" w:rsidRDefault="00F073BB" w:rsidP="00A85036">
            <w:pPr>
              <w:spacing w:line="276" w:lineRule="auto"/>
              <w:rPr>
                <w:sz w:val="22"/>
                <w:szCs w:val="22"/>
              </w:rPr>
            </w:pPr>
            <w:r w:rsidRPr="008D6E2F">
              <w:rPr>
                <w:i/>
                <w:iCs/>
                <w:color w:val="000000"/>
                <w:sz w:val="22"/>
                <w:szCs w:val="22"/>
              </w:rPr>
              <w:t>R</w:t>
            </w:r>
            <w:r w:rsidRPr="008D6E2F">
              <w:rPr>
                <w:color w:val="000000"/>
                <w:sz w:val="22"/>
                <w:szCs w:val="22"/>
                <w:vertAlign w:val="subscript"/>
              </w:rPr>
              <w:t>d25</w:t>
            </w:r>
            <w:r w:rsidRPr="008D6E2F">
              <w:rPr>
                <w:color w:val="000000"/>
                <w:sz w:val="22"/>
                <w:szCs w:val="22"/>
              </w:rPr>
              <w:t xml:space="preserve">: </w:t>
            </w:r>
            <w:r w:rsidRPr="008D6E2F">
              <w:rPr>
                <w:i/>
                <w:iCs/>
                <w:color w:val="000000"/>
                <w:sz w:val="22"/>
                <w:szCs w:val="22"/>
              </w:rPr>
              <w:t>V</w:t>
            </w:r>
            <w:r w:rsidRPr="008D6E2F">
              <w:rPr>
                <w:color w:val="000000"/>
                <w:sz w:val="22"/>
                <w:szCs w:val="22"/>
                <w:vertAlign w:val="subscript"/>
              </w:rPr>
              <w:t>cmax25</w:t>
            </w:r>
          </w:p>
        </w:tc>
        <w:tc>
          <w:tcPr>
            <w:tcW w:w="2174" w:type="dxa"/>
            <w:vAlign w:val="center"/>
          </w:tcPr>
          <w:p w14:paraId="250DED2F" w14:textId="77777777" w:rsidR="00F073BB" w:rsidRPr="008D6E2F" w:rsidRDefault="00F073BB" w:rsidP="00A85036">
            <w:pPr>
              <w:spacing w:line="276" w:lineRule="auto"/>
              <w:rPr>
                <w:sz w:val="22"/>
                <w:szCs w:val="22"/>
              </w:rPr>
            </w:pPr>
            <w:r w:rsidRPr="008D6E2F">
              <w:rPr>
                <w:sz w:val="22"/>
                <w:szCs w:val="22"/>
              </w:rPr>
              <w:t>unitless</w:t>
            </w:r>
          </w:p>
        </w:tc>
        <w:tc>
          <w:tcPr>
            <w:tcW w:w="8730" w:type="dxa"/>
            <w:vAlign w:val="center"/>
          </w:tcPr>
          <w:p w14:paraId="2250DCCC" w14:textId="77777777" w:rsidR="00F073BB" w:rsidRPr="008D6E2F" w:rsidRDefault="00F073BB" w:rsidP="00A85036">
            <w:pPr>
              <w:spacing w:line="276" w:lineRule="auto"/>
              <w:rPr>
                <w:sz w:val="22"/>
                <w:szCs w:val="22"/>
              </w:rPr>
            </w:pPr>
            <w:r w:rsidRPr="008D6E2F">
              <w:rPr>
                <w:sz w:val="22"/>
                <w:szCs w:val="22"/>
              </w:rPr>
              <w:t>dark respiration per maximum Rubisco carboxylation rate, standardized to 25</w:t>
            </w:r>
            <w:r w:rsidRPr="008D6E2F">
              <w:rPr>
                <w:sz w:val="22"/>
                <w:szCs w:val="22"/>
              </w:rPr>
              <w:sym w:font="Symbol" w:char="F0B0"/>
            </w:r>
            <w:r w:rsidRPr="008D6E2F">
              <w:rPr>
                <w:sz w:val="22"/>
                <w:szCs w:val="22"/>
              </w:rPr>
              <w:t>C</w:t>
            </w:r>
          </w:p>
        </w:tc>
      </w:tr>
      <w:tr w:rsidR="00F073BB" w:rsidRPr="007D0701" w14:paraId="1B4B59FE" w14:textId="77777777" w:rsidTr="00A85036">
        <w:tc>
          <w:tcPr>
            <w:tcW w:w="3100" w:type="dxa"/>
            <w:vAlign w:val="center"/>
          </w:tcPr>
          <w:p w14:paraId="30E4D7EE" w14:textId="77777777" w:rsidR="00F073BB" w:rsidRPr="008D6E2F" w:rsidRDefault="00F073BB" w:rsidP="00A85036">
            <w:pPr>
              <w:spacing w:line="276" w:lineRule="auto"/>
              <w:rPr>
                <w:color w:val="000000"/>
                <w:sz w:val="22"/>
                <w:szCs w:val="22"/>
              </w:rPr>
            </w:pPr>
            <w:r w:rsidRPr="008D6E2F">
              <w:rPr>
                <w:color w:val="000000"/>
                <w:sz w:val="22"/>
                <w:szCs w:val="22"/>
              </w:rPr>
              <w:t>Root biomass</w:t>
            </w:r>
          </w:p>
        </w:tc>
        <w:tc>
          <w:tcPr>
            <w:tcW w:w="2174" w:type="dxa"/>
            <w:vAlign w:val="center"/>
          </w:tcPr>
          <w:p w14:paraId="563C878C" w14:textId="77777777" w:rsidR="00F073BB" w:rsidRPr="008D6E2F" w:rsidRDefault="00F073BB" w:rsidP="00A85036">
            <w:pPr>
              <w:spacing w:line="276" w:lineRule="auto"/>
              <w:rPr>
                <w:sz w:val="22"/>
                <w:szCs w:val="22"/>
              </w:rPr>
            </w:pPr>
            <w:r w:rsidRPr="008D6E2F">
              <w:rPr>
                <w:sz w:val="22"/>
                <w:szCs w:val="22"/>
              </w:rPr>
              <w:t>g</w:t>
            </w:r>
          </w:p>
        </w:tc>
        <w:tc>
          <w:tcPr>
            <w:tcW w:w="8730" w:type="dxa"/>
            <w:vAlign w:val="center"/>
          </w:tcPr>
          <w:p w14:paraId="6B28E7A3" w14:textId="77777777" w:rsidR="00F073BB" w:rsidRPr="008D6E2F" w:rsidRDefault="00F073BB" w:rsidP="00A85036">
            <w:pPr>
              <w:spacing w:line="276" w:lineRule="auto"/>
              <w:rPr>
                <w:sz w:val="22"/>
                <w:szCs w:val="22"/>
              </w:rPr>
            </w:pPr>
            <w:r w:rsidRPr="008D6E2F">
              <w:rPr>
                <w:sz w:val="22"/>
                <w:szCs w:val="22"/>
              </w:rPr>
              <w:t>-</w:t>
            </w:r>
          </w:p>
        </w:tc>
      </w:tr>
      <w:tr w:rsidR="00F073BB" w:rsidRPr="007D0701" w14:paraId="0F7C35E1" w14:textId="77777777" w:rsidTr="00A85036">
        <w:tc>
          <w:tcPr>
            <w:tcW w:w="3100" w:type="dxa"/>
            <w:vAlign w:val="center"/>
          </w:tcPr>
          <w:p w14:paraId="34C82FD4" w14:textId="77777777" w:rsidR="00F073BB" w:rsidRPr="008D6E2F" w:rsidRDefault="00F073BB" w:rsidP="00A85036">
            <w:pPr>
              <w:spacing w:line="276" w:lineRule="auto"/>
              <w:rPr>
                <w:color w:val="000000"/>
                <w:sz w:val="22"/>
                <w:szCs w:val="22"/>
              </w:rPr>
            </w:pPr>
            <w:r w:rsidRPr="008D6E2F">
              <w:rPr>
                <w:color w:val="000000"/>
                <w:sz w:val="22"/>
                <w:szCs w:val="22"/>
              </w:rPr>
              <w:t>Root nodule biomass</w:t>
            </w:r>
          </w:p>
        </w:tc>
        <w:tc>
          <w:tcPr>
            <w:tcW w:w="2174" w:type="dxa"/>
            <w:vAlign w:val="center"/>
          </w:tcPr>
          <w:p w14:paraId="7EDFA796" w14:textId="77777777" w:rsidR="00F073BB" w:rsidRPr="008D6E2F" w:rsidRDefault="00F073BB" w:rsidP="00A85036">
            <w:pPr>
              <w:spacing w:line="276" w:lineRule="auto"/>
              <w:rPr>
                <w:sz w:val="22"/>
                <w:szCs w:val="22"/>
              </w:rPr>
            </w:pPr>
            <w:r w:rsidRPr="008D6E2F">
              <w:rPr>
                <w:sz w:val="22"/>
                <w:szCs w:val="22"/>
              </w:rPr>
              <w:t>g</w:t>
            </w:r>
          </w:p>
        </w:tc>
        <w:tc>
          <w:tcPr>
            <w:tcW w:w="8730" w:type="dxa"/>
            <w:vAlign w:val="center"/>
          </w:tcPr>
          <w:p w14:paraId="652D21F2" w14:textId="77777777" w:rsidR="00F073BB" w:rsidRPr="008D6E2F" w:rsidRDefault="00F073BB" w:rsidP="00A85036">
            <w:pPr>
              <w:spacing w:line="276" w:lineRule="auto"/>
              <w:rPr>
                <w:sz w:val="22"/>
                <w:szCs w:val="22"/>
              </w:rPr>
            </w:pPr>
            <w:r w:rsidRPr="008D6E2F">
              <w:rPr>
                <w:sz w:val="22"/>
                <w:szCs w:val="22"/>
              </w:rPr>
              <w:t>-</w:t>
            </w:r>
          </w:p>
        </w:tc>
      </w:tr>
      <w:tr w:rsidR="00F073BB" w:rsidRPr="007D0701" w14:paraId="637A58D7" w14:textId="77777777" w:rsidTr="00A85036">
        <w:tc>
          <w:tcPr>
            <w:tcW w:w="3100" w:type="dxa"/>
            <w:vAlign w:val="center"/>
          </w:tcPr>
          <w:p w14:paraId="2B2BC0F9" w14:textId="0BF8CF06" w:rsidR="00F073BB" w:rsidRPr="008D6E2F" w:rsidRDefault="00B877FE" w:rsidP="00A85036">
            <w:pPr>
              <w:spacing w:line="276" w:lineRule="auto"/>
              <w:rPr>
                <w:color w:val="000000"/>
                <w:sz w:val="22"/>
                <w:szCs w:val="22"/>
              </w:rPr>
            </w:pPr>
            <w:r>
              <w:rPr>
                <w:color w:val="000000"/>
                <w:sz w:val="22"/>
                <w:szCs w:val="22"/>
              </w:rPr>
              <w:t>SLA</w:t>
            </w:r>
          </w:p>
        </w:tc>
        <w:tc>
          <w:tcPr>
            <w:tcW w:w="2174" w:type="dxa"/>
            <w:vAlign w:val="center"/>
          </w:tcPr>
          <w:p w14:paraId="4896C7D4" w14:textId="77777777" w:rsidR="00F073BB" w:rsidRPr="008D6E2F" w:rsidRDefault="00F073BB" w:rsidP="00A85036">
            <w:pPr>
              <w:spacing w:line="276" w:lineRule="auto"/>
              <w:rPr>
                <w:sz w:val="22"/>
                <w:szCs w:val="22"/>
                <w:vertAlign w:val="superscript"/>
              </w:rPr>
            </w:pPr>
            <w:r w:rsidRPr="008D6E2F">
              <w:rPr>
                <w:sz w:val="22"/>
                <w:szCs w:val="22"/>
              </w:rPr>
              <w:t>cm</w:t>
            </w:r>
            <w:r w:rsidRPr="008D6E2F">
              <w:rPr>
                <w:sz w:val="22"/>
                <w:szCs w:val="22"/>
                <w:vertAlign w:val="superscript"/>
              </w:rPr>
              <w:t>2</w:t>
            </w:r>
            <w:r w:rsidRPr="008D6E2F">
              <w:rPr>
                <w:sz w:val="22"/>
                <w:szCs w:val="22"/>
              </w:rPr>
              <w:t xml:space="preserve"> g</w:t>
            </w:r>
            <w:r w:rsidRPr="008D6E2F">
              <w:rPr>
                <w:sz w:val="22"/>
                <w:szCs w:val="22"/>
                <w:vertAlign w:val="superscript"/>
              </w:rPr>
              <w:t>-1</w:t>
            </w:r>
          </w:p>
        </w:tc>
        <w:tc>
          <w:tcPr>
            <w:tcW w:w="8730" w:type="dxa"/>
            <w:vAlign w:val="center"/>
          </w:tcPr>
          <w:p w14:paraId="5B7CF2C5" w14:textId="0DDD9DAE" w:rsidR="00F073BB" w:rsidRPr="008D6E2F" w:rsidRDefault="00B877FE" w:rsidP="00A85036">
            <w:pPr>
              <w:spacing w:line="276" w:lineRule="auto"/>
              <w:rPr>
                <w:sz w:val="22"/>
                <w:szCs w:val="22"/>
              </w:rPr>
            </w:pPr>
            <w:r>
              <w:rPr>
                <w:sz w:val="22"/>
                <w:szCs w:val="22"/>
              </w:rPr>
              <w:t>specific leaf area</w:t>
            </w:r>
          </w:p>
        </w:tc>
      </w:tr>
      <w:tr w:rsidR="00F073BB" w:rsidRPr="007D0701" w14:paraId="0120629F" w14:textId="77777777" w:rsidTr="00A85036">
        <w:tc>
          <w:tcPr>
            <w:tcW w:w="3100" w:type="dxa"/>
            <w:vAlign w:val="center"/>
          </w:tcPr>
          <w:p w14:paraId="67AF11CF" w14:textId="77777777" w:rsidR="00F073BB" w:rsidRPr="008D6E2F" w:rsidRDefault="00F073BB" w:rsidP="00A85036">
            <w:pPr>
              <w:spacing w:line="276" w:lineRule="auto"/>
              <w:rPr>
                <w:color w:val="000000"/>
                <w:sz w:val="22"/>
                <w:szCs w:val="22"/>
              </w:rPr>
            </w:pPr>
            <w:r w:rsidRPr="008D6E2F">
              <w:rPr>
                <w:color w:val="000000"/>
                <w:sz w:val="22"/>
                <w:szCs w:val="22"/>
              </w:rPr>
              <w:t>Total leaf area</w:t>
            </w:r>
          </w:p>
        </w:tc>
        <w:tc>
          <w:tcPr>
            <w:tcW w:w="2174" w:type="dxa"/>
            <w:vAlign w:val="center"/>
          </w:tcPr>
          <w:p w14:paraId="424B2D02" w14:textId="77777777" w:rsidR="00F073BB" w:rsidRPr="008D6E2F" w:rsidRDefault="00F073BB" w:rsidP="00A85036">
            <w:pPr>
              <w:spacing w:line="276" w:lineRule="auto"/>
              <w:rPr>
                <w:sz w:val="22"/>
                <w:szCs w:val="22"/>
              </w:rPr>
            </w:pPr>
            <w:r w:rsidRPr="008D6E2F">
              <w:rPr>
                <w:sz w:val="22"/>
                <w:szCs w:val="22"/>
              </w:rPr>
              <w:t>cm</w:t>
            </w:r>
            <w:r w:rsidRPr="008D6E2F">
              <w:rPr>
                <w:sz w:val="22"/>
                <w:szCs w:val="22"/>
                <w:vertAlign w:val="superscript"/>
              </w:rPr>
              <w:t>2</w:t>
            </w:r>
          </w:p>
        </w:tc>
        <w:tc>
          <w:tcPr>
            <w:tcW w:w="8730" w:type="dxa"/>
            <w:vAlign w:val="center"/>
          </w:tcPr>
          <w:p w14:paraId="590A7466" w14:textId="77777777" w:rsidR="00F073BB" w:rsidRPr="008D6E2F" w:rsidRDefault="00F073BB" w:rsidP="00A85036">
            <w:pPr>
              <w:spacing w:line="276" w:lineRule="auto"/>
              <w:rPr>
                <w:sz w:val="22"/>
                <w:szCs w:val="22"/>
              </w:rPr>
            </w:pPr>
            <w:r w:rsidRPr="008D6E2F">
              <w:rPr>
                <w:sz w:val="22"/>
                <w:szCs w:val="22"/>
              </w:rPr>
              <w:t>-</w:t>
            </w:r>
          </w:p>
        </w:tc>
      </w:tr>
      <w:tr w:rsidR="00F073BB" w:rsidRPr="007D0701" w14:paraId="65836565" w14:textId="77777777" w:rsidTr="00A85036">
        <w:tc>
          <w:tcPr>
            <w:tcW w:w="3100" w:type="dxa"/>
            <w:vAlign w:val="center"/>
          </w:tcPr>
          <w:p w14:paraId="52742103" w14:textId="77777777" w:rsidR="00F073BB" w:rsidRPr="008D6E2F" w:rsidRDefault="00F073BB" w:rsidP="00A85036">
            <w:pPr>
              <w:spacing w:line="276" w:lineRule="auto"/>
              <w:rPr>
                <w:sz w:val="22"/>
                <w:szCs w:val="22"/>
              </w:rPr>
            </w:pPr>
            <w:proofErr w:type="spellStart"/>
            <w:r w:rsidRPr="008D6E2F">
              <w:rPr>
                <w:i/>
                <w:iCs/>
                <w:color w:val="000000"/>
                <w:sz w:val="22"/>
                <w:szCs w:val="22"/>
              </w:rPr>
              <w:t>V</w:t>
            </w:r>
            <w:r w:rsidRPr="008D6E2F">
              <w:rPr>
                <w:color w:val="000000"/>
                <w:sz w:val="22"/>
                <w:szCs w:val="22"/>
                <w:vertAlign w:val="subscript"/>
              </w:rPr>
              <w:t>cmax</w:t>
            </w:r>
            <w:r w:rsidRPr="008D6E2F">
              <w:rPr>
                <w:color w:val="000000"/>
                <w:sz w:val="22"/>
                <w:szCs w:val="22"/>
              </w:rPr>
              <w:t>:</w:t>
            </w:r>
            <w:r w:rsidRPr="008D6E2F">
              <w:rPr>
                <w:i/>
                <w:iCs/>
                <w:color w:val="000000"/>
                <w:sz w:val="22"/>
                <w:szCs w:val="22"/>
              </w:rPr>
              <w:t>g</w:t>
            </w:r>
            <w:r w:rsidRPr="008D6E2F">
              <w:rPr>
                <w:color w:val="000000"/>
                <w:sz w:val="22"/>
                <w:szCs w:val="22"/>
                <w:vertAlign w:val="subscript"/>
              </w:rPr>
              <w:t>s</w:t>
            </w:r>
            <w:proofErr w:type="spellEnd"/>
          </w:p>
        </w:tc>
        <w:tc>
          <w:tcPr>
            <w:tcW w:w="2174" w:type="dxa"/>
            <w:vAlign w:val="center"/>
          </w:tcPr>
          <w:p w14:paraId="4C235339" w14:textId="77777777" w:rsidR="00F073BB" w:rsidRPr="008D6E2F" w:rsidRDefault="00F073BB" w:rsidP="00A85036">
            <w:pPr>
              <w:spacing w:line="276" w:lineRule="auto"/>
              <w:rPr>
                <w:sz w:val="22"/>
                <w:szCs w:val="22"/>
              </w:rPr>
            </w:pPr>
            <w:r w:rsidRPr="008D6E2F">
              <w:rPr>
                <w:color w:val="000000" w:themeColor="text1"/>
                <w:sz w:val="22"/>
                <w:szCs w:val="22"/>
                <w:lang w:val="el-GR"/>
              </w:rPr>
              <w:t>μ</w:t>
            </w:r>
            <w:r w:rsidRPr="008D6E2F">
              <w:rPr>
                <w:color w:val="000000" w:themeColor="text1"/>
                <w:sz w:val="22"/>
                <w:szCs w:val="22"/>
              </w:rPr>
              <w:t>mol CO</w:t>
            </w:r>
            <w:r w:rsidRPr="008D6E2F">
              <w:rPr>
                <w:color w:val="000000" w:themeColor="text1"/>
                <w:sz w:val="22"/>
                <w:szCs w:val="22"/>
                <w:vertAlign w:val="subscript"/>
              </w:rPr>
              <w:t>2</w:t>
            </w:r>
            <w:r w:rsidRPr="008D6E2F">
              <w:rPr>
                <w:color w:val="000000" w:themeColor="text1"/>
                <w:sz w:val="22"/>
                <w:szCs w:val="22"/>
              </w:rPr>
              <w:t xml:space="preserve"> mol</w:t>
            </w:r>
            <w:r w:rsidRPr="008D6E2F">
              <w:rPr>
                <w:color w:val="000000" w:themeColor="text1"/>
                <w:sz w:val="22"/>
                <w:szCs w:val="22"/>
                <w:vertAlign w:val="superscript"/>
              </w:rPr>
              <w:t>-1</w:t>
            </w:r>
            <w:r w:rsidRPr="008D6E2F">
              <w:rPr>
                <w:color w:val="000000" w:themeColor="text1"/>
                <w:sz w:val="22"/>
                <w:szCs w:val="22"/>
              </w:rPr>
              <w:t xml:space="preserve"> H</w:t>
            </w:r>
            <w:r w:rsidRPr="008D6E2F">
              <w:rPr>
                <w:color w:val="000000" w:themeColor="text1"/>
                <w:sz w:val="22"/>
                <w:szCs w:val="22"/>
                <w:vertAlign w:val="subscript"/>
              </w:rPr>
              <w:t>2</w:t>
            </w:r>
            <w:r w:rsidRPr="008D6E2F">
              <w:rPr>
                <w:color w:val="000000" w:themeColor="text1"/>
                <w:sz w:val="22"/>
                <w:szCs w:val="22"/>
              </w:rPr>
              <w:t>O</w:t>
            </w:r>
          </w:p>
        </w:tc>
        <w:tc>
          <w:tcPr>
            <w:tcW w:w="8730" w:type="dxa"/>
            <w:vAlign w:val="center"/>
          </w:tcPr>
          <w:p w14:paraId="023C7C91" w14:textId="77777777" w:rsidR="00F073BB" w:rsidRPr="008D6E2F" w:rsidRDefault="00F073BB" w:rsidP="00A85036">
            <w:pPr>
              <w:spacing w:line="276" w:lineRule="auto"/>
              <w:rPr>
                <w:sz w:val="22"/>
                <w:szCs w:val="22"/>
              </w:rPr>
            </w:pPr>
            <w:r w:rsidRPr="008D6E2F">
              <w:rPr>
                <w:sz w:val="22"/>
                <w:szCs w:val="22"/>
              </w:rPr>
              <w:t>maximum Rubisco carboxylation rate per stomatal conductance</w:t>
            </w:r>
          </w:p>
        </w:tc>
      </w:tr>
      <w:tr w:rsidR="00F073BB" w:rsidRPr="007D0701" w14:paraId="799B8CA0" w14:textId="77777777" w:rsidTr="00A85036">
        <w:tc>
          <w:tcPr>
            <w:tcW w:w="3100" w:type="dxa"/>
            <w:vAlign w:val="center"/>
          </w:tcPr>
          <w:p w14:paraId="7CD5BFA9" w14:textId="77777777" w:rsidR="00F073BB" w:rsidRPr="008D6E2F" w:rsidRDefault="00F073BB" w:rsidP="00A85036">
            <w:pPr>
              <w:spacing w:line="276" w:lineRule="auto"/>
              <w:rPr>
                <w:sz w:val="22"/>
                <w:szCs w:val="22"/>
              </w:rPr>
            </w:pPr>
            <w:r w:rsidRPr="008D6E2F">
              <w:rPr>
                <w:i/>
                <w:iCs/>
                <w:color w:val="000000"/>
                <w:sz w:val="22"/>
                <w:szCs w:val="22"/>
              </w:rPr>
              <w:t>V</w:t>
            </w:r>
            <w:r w:rsidRPr="008D6E2F">
              <w:rPr>
                <w:color w:val="000000"/>
                <w:sz w:val="22"/>
                <w:szCs w:val="22"/>
                <w:vertAlign w:val="subscript"/>
              </w:rPr>
              <w:t>cmax25</w:t>
            </w:r>
          </w:p>
        </w:tc>
        <w:tc>
          <w:tcPr>
            <w:tcW w:w="2174" w:type="dxa"/>
            <w:vAlign w:val="center"/>
          </w:tcPr>
          <w:p w14:paraId="2F26C3C9" w14:textId="77777777" w:rsidR="00F073BB" w:rsidRPr="008D6E2F" w:rsidRDefault="00F073BB" w:rsidP="00A85036">
            <w:pPr>
              <w:spacing w:line="276" w:lineRule="auto"/>
              <w:rPr>
                <w:sz w:val="22"/>
                <w:szCs w:val="22"/>
              </w:rPr>
            </w:pPr>
            <w:r w:rsidRPr="008D6E2F">
              <w:rPr>
                <w:sz w:val="22"/>
                <w:szCs w:val="22"/>
                <w:lang w:val="el-GR"/>
              </w:rPr>
              <w:t>μ</w:t>
            </w:r>
            <w:r w:rsidRPr="008D6E2F">
              <w:rPr>
                <w:sz w:val="22"/>
                <w:szCs w:val="22"/>
              </w:rPr>
              <w:t>mol</w:t>
            </w:r>
            <w:r w:rsidRPr="008D6E2F">
              <w:rPr>
                <w:color w:val="000000" w:themeColor="text1"/>
                <w:sz w:val="22"/>
                <w:szCs w:val="22"/>
              </w:rPr>
              <w:t xml:space="preserve"> CO</w:t>
            </w:r>
            <w:r w:rsidRPr="008D6E2F">
              <w:rPr>
                <w:color w:val="000000" w:themeColor="text1"/>
                <w:sz w:val="22"/>
                <w:szCs w:val="22"/>
                <w:vertAlign w:val="subscript"/>
              </w:rPr>
              <w:t>2</w:t>
            </w:r>
            <w:r w:rsidRPr="008D6E2F">
              <w:rPr>
                <w:sz w:val="22"/>
                <w:szCs w:val="22"/>
              </w:rPr>
              <w:t xml:space="preserve"> m</w:t>
            </w:r>
            <w:r w:rsidRPr="008D6E2F">
              <w:rPr>
                <w:sz w:val="22"/>
                <w:szCs w:val="22"/>
                <w:vertAlign w:val="superscript"/>
              </w:rPr>
              <w:t>-2</w:t>
            </w:r>
            <w:r w:rsidRPr="008D6E2F">
              <w:rPr>
                <w:sz w:val="22"/>
                <w:szCs w:val="22"/>
              </w:rPr>
              <w:t xml:space="preserve"> s</w:t>
            </w:r>
            <w:r w:rsidRPr="008D6E2F">
              <w:rPr>
                <w:sz w:val="22"/>
                <w:szCs w:val="22"/>
                <w:vertAlign w:val="superscript"/>
              </w:rPr>
              <w:t>-1</w:t>
            </w:r>
          </w:p>
        </w:tc>
        <w:tc>
          <w:tcPr>
            <w:tcW w:w="8730" w:type="dxa"/>
            <w:vAlign w:val="center"/>
          </w:tcPr>
          <w:p w14:paraId="7D31C690" w14:textId="77777777" w:rsidR="00F073BB" w:rsidRPr="008D6E2F" w:rsidRDefault="00F073BB" w:rsidP="00A85036">
            <w:pPr>
              <w:spacing w:line="276" w:lineRule="auto"/>
              <w:rPr>
                <w:sz w:val="22"/>
                <w:szCs w:val="22"/>
              </w:rPr>
            </w:pPr>
            <w:r w:rsidRPr="008D6E2F">
              <w:rPr>
                <w:sz w:val="22"/>
                <w:szCs w:val="22"/>
              </w:rPr>
              <w:t>maximum Rubisco carboxylation rate, standardized to 25</w:t>
            </w:r>
            <w:r w:rsidRPr="008D6E2F">
              <w:rPr>
                <w:sz w:val="22"/>
                <w:szCs w:val="22"/>
              </w:rPr>
              <w:sym w:font="Symbol" w:char="F0B0"/>
            </w:r>
            <w:r w:rsidRPr="008D6E2F">
              <w:rPr>
                <w:sz w:val="22"/>
                <w:szCs w:val="22"/>
              </w:rPr>
              <w:t>C</w:t>
            </w:r>
          </w:p>
        </w:tc>
      </w:tr>
      <w:tr w:rsidR="00F073BB" w:rsidRPr="007D0701" w14:paraId="5FFD9593" w14:textId="77777777" w:rsidTr="00A85036">
        <w:tc>
          <w:tcPr>
            <w:tcW w:w="3100" w:type="dxa"/>
            <w:tcBorders>
              <w:bottom w:val="single" w:sz="4" w:space="0" w:color="auto"/>
            </w:tcBorders>
            <w:vAlign w:val="center"/>
          </w:tcPr>
          <w:p w14:paraId="5F6EE250" w14:textId="77777777" w:rsidR="00F073BB" w:rsidRPr="008D6E2F" w:rsidRDefault="00F073BB" w:rsidP="00A85036">
            <w:pPr>
              <w:spacing w:line="276" w:lineRule="auto"/>
              <w:rPr>
                <w:color w:val="000000"/>
                <w:sz w:val="22"/>
                <w:szCs w:val="22"/>
              </w:rPr>
            </w:pPr>
            <w:r w:rsidRPr="008D6E2F">
              <w:rPr>
                <w:color w:val="000000"/>
                <w:sz w:val="22"/>
                <w:szCs w:val="22"/>
              </w:rPr>
              <w:t>Whole plant biomass</w:t>
            </w:r>
          </w:p>
        </w:tc>
        <w:tc>
          <w:tcPr>
            <w:tcW w:w="2174" w:type="dxa"/>
            <w:tcBorders>
              <w:bottom w:val="single" w:sz="4" w:space="0" w:color="auto"/>
            </w:tcBorders>
            <w:vAlign w:val="center"/>
          </w:tcPr>
          <w:p w14:paraId="3BED1192" w14:textId="77777777" w:rsidR="00F073BB" w:rsidRPr="008D6E2F" w:rsidRDefault="00F073BB" w:rsidP="00A85036">
            <w:pPr>
              <w:spacing w:line="276" w:lineRule="auto"/>
              <w:rPr>
                <w:sz w:val="22"/>
                <w:szCs w:val="22"/>
              </w:rPr>
            </w:pPr>
            <w:r w:rsidRPr="008D6E2F">
              <w:rPr>
                <w:sz w:val="22"/>
                <w:szCs w:val="22"/>
              </w:rPr>
              <w:t>g</w:t>
            </w:r>
          </w:p>
        </w:tc>
        <w:tc>
          <w:tcPr>
            <w:tcW w:w="8730" w:type="dxa"/>
            <w:tcBorders>
              <w:bottom w:val="single" w:sz="4" w:space="0" w:color="auto"/>
            </w:tcBorders>
            <w:vAlign w:val="center"/>
          </w:tcPr>
          <w:p w14:paraId="10C7E735" w14:textId="77777777" w:rsidR="00F073BB" w:rsidRPr="008D6E2F" w:rsidRDefault="00F073BB" w:rsidP="00A85036">
            <w:pPr>
              <w:spacing w:line="276" w:lineRule="auto"/>
              <w:rPr>
                <w:sz w:val="22"/>
                <w:szCs w:val="22"/>
              </w:rPr>
            </w:pPr>
            <w:r w:rsidRPr="008D6E2F">
              <w:rPr>
                <w:sz w:val="22"/>
                <w:szCs w:val="22"/>
              </w:rPr>
              <w:t>-</w:t>
            </w:r>
          </w:p>
        </w:tc>
      </w:tr>
    </w:tbl>
    <w:p w14:paraId="7117B065" w14:textId="5C584499" w:rsidR="00412BAB" w:rsidRPr="00412BAB" w:rsidRDefault="00412BAB" w:rsidP="00A85036">
      <w:pPr>
        <w:spacing w:line="480" w:lineRule="auto"/>
        <w:sectPr w:rsidR="00412BAB" w:rsidRPr="00412BAB" w:rsidSect="004C3C71">
          <w:pgSz w:w="15840" w:h="12240" w:orient="landscape"/>
          <w:pgMar w:top="1440" w:right="1440" w:bottom="1440" w:left="1440" w:header="720" w:footer="720" w:gutter="0"/>
          <w:lnNumType w:countBy="1" w:restart="continuous"/>
          <w:cols w:space="720"/>
          <w:docGrid w:linePitch="360"/>
        </w:sectPr>
      </w:pPr>
    </w:p>
    <w:p w14:paraId="50CE6179" w14:textId="7E49F8E7" w:rsidR="00926F7B" w:rsidRDefault="00926F7B" w:rsidP="00A754EC">
      <w:pPr>
        <w:spacing w:line="360" w:lineRule="auto"/>
      </w:pPr>
      <w:r>
        <w:rPr>
          <w:b/>
          <w:bCs/>
        </w:rPr>
        <w:lastRenderedPageBreak/>
        <w:t>Results</w:t>
      </w:r>
    </w:p>
    <w:p w14:paraId="5F2DF415" w14:textId="692DE05D" w:rsidR="00BA75F3" w:rsidRPr="00885391" w:rsidRDefault="00885391" w:rsidP="00A754EC">
      <w:pPr>
        <w:spacing w:line="360" w:lineRule="auto"/>
        <w:rPr>
          <w:i/>
          <w:iCs/>
        </w:rPr>
      </w:pPr>
      <w:r>
        <w:rPr>
          <w:i/>
          <w:iCs/>
        </w:rPr>
        <w:t>Leaf nitrogen allocation</w:t>
      </w:r>
    </w:p>
    <w:p w14:paraId="33395C09" w14:textId="0BCC734F" w:rsidR="00852AF7" w:rsidRDefault="00106FCE" w:rsidP="00A754EC">
      <w:pPr>
        <w:spacing w:line="360" w:lineRule="auto"/>
        <w:ind w:firstLine="720"/>
      </w:pPr>
      <w:proofErr w:type="spellStart"/>
      <w:r>
        <w:rPr>
          <w:i/>
          <w:iCs/>
        </w:rPr>
        <w:t>N</w:t>
      </w:r>
      <w:r>
        <w:rPr>
          <w:vertAlign w:val="subscript"/>
        </w:rPr>
        <w:t>area</w:t>
      </w:r>
      <w:proofErr w:type="spellEnd"/>
      <w:r w:rsidR="009E31F0">
        <w:t xml:space="preserve"> and </w:t>
      </w:r>
      <w:proofErr w:type="spellStart"/>
      <w:r w:rsidR="009E31F0">
        <w:rPr>
          <w:i/>
          <w:iCs/>
        </w:rPr>
        <w:t>N</w:t>
      </w:r>
      <w:r w:rsidR="009E31F0">
        <w:rPr>
          <w:vertAlign w:val="subscript"/>
        </w:rPr>
        <w:t>mass</w:t>
      </w:r>
      <w:proofErr w:type="spellEnd"/>
      <w:r w:rsidR="009E31F0">
        <w:t xml:space="preserve"> were both</w:t>
      </w:r>
      <w:r w:rsidR="00885391">
        <w:t xml:space="preserve"> driven by an interaction between inoculation and nitrogen fertilization</w:t>
      </w:r>
      <w:r w:rsidR="009E31F0">
        <w:t xml:space="preserve"> (Table </w:t>
      </w:r>
      <w:r w:rsidR="0048004A">
        <w:t>2</w:t>
      </w:r>
      <w:r w:rsidR="009E31F0">
        <w:t>; Figs. 1A-B)</w:t>
      </w:r>
      <w:r w:rsidR="00885391">
        <w:t>. This interaction indicated that</w:t>
      </w:r>
      <w:r>
        <w:t xml:space="preserve"> </w:t>
      </w:r>
      <w:r w:rsidR="00852AF7">
        <w:t xml:space="preserve">inoculated individuals (marginal mean </w:t>
      </w:r>
      <w:r w:rsidR="00852AF7">
        <w:sym w:font="Symbol" w:char="F0B1"/>
      </w:r>
      <w:r w:rsidR="00852AF7">
        <w:t xml:space="preserve"> SE; </w:t>
      </w:r>
      <w:proofErr w:type="spellStart"/>
      <w:r w:rsidR="00852AF7">
        <w:rPr>
          <w:i/>
          <w:iCs/>
        </w:rPr>
        <w:t>N</w:t>
      </w:r>
      <w:r w:rsidR="00852AF7">
        <w:rPr>
          <w:vertAlign w:val="subscript"/>
        </w:rPr>
        <w:t>area</w:t>
      </w:r>
      <w:proofErr w:type="spellEnd"/>
      <w:r w:rsidR="00852AF7">
        <w:t>:</w:t>
      </w:r>
      <w:r w:rsidR="003D3439">
        <w:t xml:space="preserve"> 0.98 </w:t>
      </w:r>
      <w:r w:rsidR="003D3439">
        <w:sym w:font="Symbol" w:char="F0B1"/>
      </w:r>
      <w:r w:rsidR="003D3439">
        <w:t xml:space="preserve"> 0.04</w:t>
      </w:r>
      <w:r w:rsidR="00852AF7">
        <w:t xml:space="preserve"> g m</w:t>
      </w:r>
      <w:r w:rsidR="00852AF7">
        <w:rPr>
          <w:vertAlign w:val="superscript"/>
        </w:rPr>
        <w:t>-2</w:t>
      </w:r>
      <w:r w:rsidR="00852AF7">
        <w:t xml:space="preserve">; </w:t>
      </w:r>
      <w:proofErr w:type="spellStart"/>
      <w:r w:rsidR="00852AF7">
        <w:rPr>
          <w:i/>
          <w:iCs/>
        </w:rPr>
        <w:t>N</w:t>
      </w:r>
      <w:r w:rsidR="00852AF7">
        <w:rPr>
          <w:vertAlign w:val="subscript"/>
        </w:rPr>
        <w:t>mass</w:t>
      </w:r>
      <w:proofErr w:type="spellEnd"/>
      <w:r w:rsidR="00852AF7">
        <w:t>:</w:t>
      </w:r>
      <w:r w:rsidR="003D3439" w:rsidRPr="003D3439">
        <w:t xml:space="preserve"> 4.6</w:t>
      </w:r>
      <w:r w:rsidR="003D3439">
        <w:t xml:space="preserve">4 </w:t>
      </w:r>
      <w:r w:rsidR="003D3439">
        <w:sym w:font="Symbol" w:char="F0B1"/>
      </w:r>
      <w:r w:rsidR="003D3439">
        <w:t xml:space="preserve"> 0.12</w:t>
      </w:r>
      <w:r w:rsidR="00852AF7">
        <w:t xml:space="preserve"> g m</w:t>
      </w:r>
      <w:r w:rsidR="00852AF7">
        <w:rPr>
          <w:vertAlign w:val="superscript"/>
        </w:rPr>
        <w:t>-2</w:t>
      </w:r>
      <w:r w:rsidR="00852AF7">
        <w:t xml:space="preserve">) had </w:t>
      </w:r>
      <w:r w:rsidR="003D3439">
        <w:t>19.5</w:t>
      </w:r>
      <w:r w:rsidR="00852AF7">
        <w:t xml:space="preserve">% and </w:t>
      </w:r>
      <w:r w:rsidR="003D3439">
        <w:t>41.9</w:t>
      </w:r>
      <w:r w:rsidR="00852AF7">
        <w:t xml:space="preserve">% higher </w:t>
      </w:r>
      <w:r w:rsidR="003D3439">
        <w:t xml:space="preserve">respective </w:t>
      </w:r>
      <w:proofErr w:type="spellStart"/>
      <w:r w:rsidR="00852AF7">
        <w:rPr>
          <w:i/>
          <w:iCs/>
        </w:rPr>
        <w:t>N</w:t>
      </w:r>
      <w:r w:rsidR="00852AF7">
        <w:rPr>
          <w:vertAlign w:val="subscript"/>
        </w:rPr>
        <w:t>area</w:t>
      </w:r>
      <w:proofErr w:type="spellEnd"/>
      <w:r w:rsidR="00852AF7">
        <w:t xml:space="preserve"> and </w:t>
      </w:r>
      <w:proofErr w:type="spellStart"/>
      <w:r w:rsidR="00852AF7">
        <w:rPr>
          <w:i/>
          <w:iCs/>
        </w:rPr>
        <w:t>N</w:t>
      </w:r>
      <w:r w:rsidR="00852AF7">
        <w:rPr>
          <w:vertAlign w:val="subscript"/>
        </w:rPr>
        <w:t>mass</w:t>
      </w:r>
      <w:proofErr w:type="spellEnd"/>
      <w:r w:rsidR="00852AF7">
        <w:t xml:space="preserve"> under low nitrogen fertilization than non-inoculated individuals</w:t>
      </w:r>
      <w:r w:rsidR="008C398A">
        <w:t>,</w:t>
      </w:r>
      <w:r>
        <w:t xml:space="preserve"> (</w:t>
      </w:r>
      <w:proofErr w:type="spellStart"/>
      <w:r w:rsidR="00852AF7" w:rsidRPr="003D3439">
        <w:rPr>
          <w:i/>
          <w:iCs/>
        </w:rPr>
        <w:t>N</w:t>
      </w:r>
      <w:r w:rsidR="00852AF7" w:rsidRPr="003D3439">
        <w:rPr>
          <w:vertAlign w:val="subscript"/>
        </w:rPr>
        <w:t>area</w:t>
      </w:r>
      <w:proofErr w:type="spellEnd"/>
      <w:r w:rsidR="00852AF7" w:rsidRPr="003D3439">
        <w:t>:</w:t>
      </w:r>
      <w:r w:rsidR="003D3439" w:rsidRPr="003D3439">
        <w:t xml:space="preserve"> 0.82</w:t>
      </w:r>
      <w:r w:rsidR="00071365">
        <w:t xml:space="preserve"> </w:t>
      </w:r>
      <w:r w:rsidR="003D3439" w:rsidRPr="003D3439">
        <w:sym w:font="Symbol" w:char="F0B1"/>
      </w:r>
      <w:r w:rsidR="00071365">
        <w:t xml:space="preserve"> </w:t>
      </w:r>
      <w:r w:rsidR="003D3439" w:rsidRPr="003D3439">
        <w:t>0.04</w:t>
      </w:r>
      <w:r w:rsidR="00852AF7" w:rsidRPr="003D3439">
        <w:t xml:space="preserve"> g m</w:t>
      </w:r>
      <w:r w:rsidR="00852AF7" w:rsidRPr="003D3439">
        <w:rPr>
          <w:vertAlign w:val="superscript"/>
        </w:rPr>
        <w:t>-2</w:t>
      </w:r>
      <w:r w:rsidR="00852AF7" w:rsidRPr="003D3439">
        <w:t xml:space="preserve">; </w:t>
      </w:r>
      <w:proofErr w:type="spellStart"/>
      <w:r w:rsidR="00852AF7" w:rsidRPr="003D3439">
        <w:rPr>
          <w:i/>
          <w:iCs/>
        </w:rPr>
        <w:t>N</w:t>
      </w:r>
      <w:r w:rsidR="00852AF7" w:rsidRPr="003D3439">
        <w:rPr>
          <w:vertAlign w:val="subscript"/>
        </w:rPr>
        <w:t>mass</w:t>
      </w:r>
      <w:proofErr w:type="spellEnd"/>
      <w:r w:rsidR="00852AF7" w:rsidRPr="003D3439">
        <w:t>:</w:t>
      </w:r>
      <w:r w:rsidR="003D3439" w:rsidRPr="003D3439">
        <w:t xml:space="preserve"> 3.27 </w:t>
      </w:r>
      <w:r w:rsidR="003D3439" w:rsidRPr="003D3439">
        <w:sym w:font="Symbol" w:char="F0B1"/>
      </w:r>
      <w:r w:rsidR="003D3439" w:rsidRPr="003D3439">
        <w:t xml:space="preserve"> 0.12</w:t>
      </w:r>
      <w:r w:rsidR="00852AF7" w:rsidRPr="003D3439">
        <w:t xml:space="preserve"> g m</w:t>
      </w:r>
      <w:r w:rsidR="00852AF7" w:rsidRPr="003D3439">
        <w:rPr>
          <w:vertAlign w:val="superscript"/>
        </w:rPr>
        <w:t>-2</w:t>
      </w:r>
      <w:r w:rsidR="00852AF7">
        <w:t>;</w:t>
      </w:r>
      <w:r>
        <w:t>Tukey: p&lt;0.001</w:t>
      </w:r>
      <w:r w:rsidR="009E31F0">
        <w:t xml:space="preserve"> in both cases</w:t>
      </w:r>
      <w:r>
        <w:t xml:space="preserve">), with no difference between inoculation treatments under high </w:t>
      </w:r>
      <w:r w:rsidR="00852AF7">
        <w:t>nitrogen fertilization</w:t>
      </w:r>
      <w:r>
        <w:t xml:space="preserve"> (</w:t>
      </w:r>
      <w:proofErr w:type="spellStart"/>
      <w:r w:rsidR="009E31F0">
        <w:rPr>
          <w:i/>
          <w:iCs/>
        </w:rPr>
        <w:t>N</w:t>
      </w:r>
      <w:r w:rsidR="009E31F0">
        <w:rPr>
          <w:vertAlign w:val="subscript"/>
        </w:rPr>
        <w:t>area</w:t>
      </w:r>
      <w:proofErr w:type="spellEnd"/>
      <w:r w:rsidR="009E31F0">
        <w:t xml:space="preserve"> </w:t>
      </w:r>
      <w:r>
        <w:t>Tukey: p=0.623</w:t>
      </w:r>
      <w:r w:rsidR="009E31F0">
        <w:t xml:space="preserve">; </w:t>
      </w:r>
      <w:proofErr w:type="spellStart"/>
      <w:r w:rsidR="009E31F0">
        <w:rPr>
          <w:i/>
          <w:iCs/>
        </w:rPr>
        <w:t>N</w:t>
      </w:r>
      <w:r w:rsidR="009E31F0">
        <w:rPr>
          <w:vertAlign w:val="subscript"/>
        </w:rPr>
        <w:t>mass</w:t>
      </w:r>
      <w:proofErr w:type="spellEnd"/>
      <w:r w:rsidR="009E31F0" w:rsidRPr="009E31F0">
        <w:t xml:space="preserve"> </w:t>
      </w:r>
      <w:r w:rsidR="009E31F0">
        <w:t>Tukey: p=0.941</w:t>
      </w:r>
      <w:r>
        <w:t xml:space="preserve">). </w:t>
      </w:r>
      <w:r w:rsidR="00852AF7">
        <w:t>Individuals grown under high nitrogen fertilization (</w:t>
      </w:r>
      <w:proofErr w:type="spellStart"/>
      <w:r w:rsidR="00852AF7" w:rsidRPr="00071365">
        <w:rPr>
          <w:i/>
          <w:iCs/>
        </w:rPr>
        <w:t>N</w:t>
      </w:r>
      <w:r w:rsidR="00852AF7" w:rsidRPr="00071365">
        <w:rPr>
          <w:vertAlign w:val="subscript"/>
        </w:rPr>
        <w:t>area</w:t>
      </w:r>
      <w:proofErr w:type="spellEnd"/>
      <w:r w:rsidR="00852AF7" w:rsidRPr="00071365">
        <w:t>:</w:t>
      </w:r>
      <w:r w:rsidR="00071365" w:rsidRPr="00071365">
        <w:t xml:space="preserve"> 1.17</w:t>
      </w:r>
      <w:r w:rsidR="00852AF7" w:rsidRPr="00071365">
        <w:t xml:space="preserve"> </w:t>
      </w:r>
      <w:r w:rsidR="00071365" w:rsidRPr="00071365">
        <w:sym w:font="Symbol" w:char="F0B1"/>
      </w:r>
      <w:r w:rsidR="00071365" w:rsidRPr="00071365">
        <w:t xml:space="preserve"> 0.03 </w:t>
      </w:r>
      <w:r w:rsidR="00852AF7" w:rsidRPr="00071365">
        <w:t>g m</w:t>
      </w:r>
      <w:r w:rsidR="00852AF7" w:rsidRPr="00071365">
        <w:rPr>
          <w:vertAlign w:val="superscript"/>
        </w:rPr>
        <w:t>-2</w:t>
      </w:r>
      <w:r w:rsidR="00852AF7" w:rsidRPr="003D3439">
        <w:t xml:space="preserve">; </w:t>
      </w:r>
      <w:proofErr w:type="spellStart"/>
      <w:r w:rsidR="00852AF7" w:rsidRPr="003D3439">
        <w:rPr>
          <w:i/>
          <w:iCs/>
        </w:rPr>
        <w:t>N</w:t>
      </w:r>
      <w:r w:rsidR="00852AF7" w:rsidRPr="003D3439">
        <w:rPr>
          <w:vertAlign w:val="subscript"/>
        </w:rPr>
        <w:t>mass</w:t>
      </w:r>
      <w:proofErr w:type="spellEnd"/>
      <w:r w:rsidR="00852AF7" w:rsidRPr="003D3439">
        <w:t>:</w:t>
      </w:r>
      <w:r w:rsidR="003D3439" w:rsidRPr="003D3439">
        <w:t xml:space="preserve"> 5.39</w:t>
      </w:r>
      <w:r w:rsidR="003D3439" w:rsidRPr="003D3439">
        <w:sym w:font="Symbol" w:char="F0B1"/>
      </w:r>
      <w:r w:rsidR="003D3439" w:rsidRPr="003D3439">
        <w:t>0.09</w:t>
      </w:r>
      <w:r w:rsidR="00852AF7" w:rsidRPr="003D3439">
        <w:t xml:space="preserve"> g m</w:t>
      </w:r>
      <w:r w:rsidR="00852AF7" w:rsidRPr="003D3439">
        <w:rPr>
          <w:vertAlign w:val="superscript"/>
        </w:rPr>
        <w:t>-2</w:t>
      </w:r>
      <w:r w:rsidR="00852AF7">
        <w:t xml:space="preserve">) also had </w:t>
      </w:r>
      <w:r w:rsidR="00071365">
        <w:t>30.0</w:t>
      </w:r>
      <w:r w:rsidR="00852AF7">
        <w:t xml:space="preserve">% and </w:t>
      </w:r>
      <w:r w:rsidR="00071365">
        <w:t>38.2</w:t>
      </w:r>
      <w:r w:rsidR="00852AF7">
        <w:t xml:space="preserve">% higher </w:t>
      </w:r>
      <w:proofErr w:type="spellStart"/>
      <w:r w:rsidR="008C398A">
        <w:rPr>
          <w:i/>
          <w:iCs/>
        </w:rPr>
        <w:t>N</w:t>
      </w:r>
      <w:r w:rsidR="008C398A">
        <w:rPr>
          <w:vertAlign w:val="subscript"/>
        </w:rPr>
        <w:t>area</w:t>
      </w:r>
      <w:proofErr w:type="spellEnd"/>
      <w:r w:rsidR="008C398A">
        <w:t xml:space="preserve"> and</w:t>
      </w:r>
      <w:r w:rsidR="008C398A" w:rsidRPr="009E31F0">
        <w:rPr>
          <w:i/>
          <w:iCs/>
        </w:rPr>
        <w:t xml:space="preserve"> </w:t>
      </w:r>
      <w:proofErr w:type="spellStart"/>
      <w:r w:rsidR="008C398A">
        <w:rPr>
          <w:i/>
          <w:iCs/>
        </w:rPr>
        <w:t>N</w:t>
      </w:r>
      <w:r w:rsidR="008C398A">
        <w:rPr>
          <w:vertAlign w:val="subscript"/>
        </w:rPr>
        <w:t>mass</w:t>
      </w:r>
      <w:proofErr w:type="spellEnd"/>
      <w:r w:rsidR="008C398A">
        <w:t xml:space="preserve"> </w:t>
      </w:r>
      <w:r w:rsidR="00852AF7">
        <w:t>than those grown under low nitrogen fertilization (</w:t>
      </w:r>
      <w:proofErr w:type="spellStart"/>
      <w:r w:rsidR="00852AF7" w:rsidRPr="00071365">
        <w:rPr>
          <w:i/>
          <w:iCs/>
        </w:rPr>
        <w:t>N</w:t>
      </w:r>
      <w:r w:rsidR="00852AF7" w:rsidRPr="00071365">
        <w:rPr>
          <w:vertAlign w:val="subscript"/>
        </w:rPr>
        <w:t>area</w:t>
      </w:r>
      <w:proofErr w:type="spellEnd"/>
      <w:r w:rsidR="00852AF7" w:rsidRPr="00071365">
        <w:t>:</w:t>
      </w:r>
      <w:r w:rsidR="00071365" w:rsidRPr="00071365">
        <w:t xml:space="preserve"> 0.90 </w:t>
      </w:r>
      <w:r w:rsidR="00071365" w:rsidRPr="00071365">
        <w:sym w:font="Symbol" w:char="F0B1"/>
      </w:r>
      <w:r w:rsidR="00071365" w:rsidRPr="00071365">
        <w:t xml:space="preserve"> 0.03</w:t>
      </w:r>
      <w:r w:rsidR="00852AF7" w:rsidRPr="00071365">
        <w:t xml:space="preserve"> g m</w:t>
      </w:r>
      <w:r w:rsidR="00852AF7" w:rsidRPr="00071365">
        <w:rPr>
          <w:vertAlign w:val="superscript"/>
        </w:rPr>
        <w:t>-2</w:t>
      </w:r>
      <w:r w:rsidR="00852AF7" w:rsidRPr="00071365">
        <w:t xml:space="preserve">; </w:t>
      </w:r>
      <w:proofErr w:type="spellStart"/>
      <w:r w:rsidR="00852AF7" w:rsidRPr="003D3439">
        <w:rPr>
          <w:i/>
          <w:iCs/>
        </w:rPr>
        <w:t>N</w:t>
      </w:r>
      <w:r w:rsidR="00852AF7" w:rsidRPr="003D3439">
        <w:rPr>
          <w:vertAlign w:val="subscript"/>
        </w:rPr>
        <w:t>mass</w:t>
      </w:r>
      <w:proofErr w:type="spellEnd"/>
      <w:r w:rsidR="00852AF7" w:rsidRPr="003D3439">
        <w:t>:</w:t>
      </w:r>
      <w:r w:rsidR="003D3439">
        <w:t xml:space="preserve"> 3.9</w:t>
      </w:r>
      <w:r w:rsidR="00071365">
        <w:t xml:space="preserve"> </w:t>
      </w:r>
      <w:r w:rsidR="003D3439">
        <w:sym w:font="Symbol" w:char="F0B1"/>
      </w:r>
      <w:r w:rsidR="00071365">
        <w:t xml:space="preserve"> </w:t>
      </w:r>
      <w:r w:rsidR="003D3439">
        <w:t>0.09</w:t>
      </w:r>
      <w:r w:rsidR="00852AF7">
        <w:t xml:space="preserve"> g m</w:t>
      </w:r>
      <w:r w:rsidR="00852AF7">
        <w:rPr>
          <w:vertAlign w:val="superscript"/>
        </w:rPr>
        <w:t>-2</w:t>
      </w:r>
      <w:r w:rsidR="00852AF7">
        <w:t>), respectively</w:t>
      </w:r>
      <w:r w:rsidR="006C759F">
        <w:t xml:space="preserve"> </w:t>
      </w:r>
      <w:r>
        <w:t>(</w:t>
      </w:r>
      <w:r w:rsidR="009E31F0">
        <w:t xml:space="preserve">Table </w:t>
      </w:r>
      <w:r w:rsidR="0048004A">
        <w:t>2</w:t>
      </w:r>
      <w:r w:rsidR="009E31F0">
        <w:t>; Figs. 1A-B</w:t>
      </w:r>
      <w:r>
        <w:t>).</w:t>
      </w:r>
      <w:r w:rsidR="006C759F">
        <w:t xml:space="preserve"> </w:t>
      </w:r>
    </w:p>
    <w:p w14:paraId="0E0A3414" w14:textId="7C128B27" w:rsidR="006C759F" w:rsidRDefault="00B877FE" w:rsidP="00A754EC">
      <w:pPr>
        <w:spacing w:line="360" w:lineRule="auto"/>
        <w:ind w:firstLine="720"/>
      </w:pPr>
      <w:r w:rsidRPr="00B877FE">
        <w:rPr>
          <w:i/>
          <w:iCs/>
        </w:rPr>
        <w:t>SLA</w:t>
      </w:r>
      <w:r w:rsidR="00852AF7">
        <w:t xml:space="preserve"> increased with inoculation and marginally increased with increasing soil nitrogen fertilization</w:t>
      </w:r>
      <w:r w:rsidR="006C759F">
        <w:t xml:space="preserve">, with no observable interaction between fertilization and inoculation (Table </w:t>
      </w:r>
      <w:r w:rsidR="0048004A">
        <w:t>2</w:t>
      </w:r>
      <w:r w:rsidR="006C759F">
        <w:t>; Fig. 1C).</w:t>
      </w:r>
      <w:r w:rsidR="00852AF7">
        <w:t xml:space="preserve"> Specifically, inoculated individuals</w:t>
      </w:r>
      <w:r w:rsidR="00071365">
        <w:t xml:space="preserve"> (578.6 </w:t>
      </w:r>
      <w:r w:rsidR="00071365" w:rsidRPr="00071365">
        <w:sym w:font="Symbol" w:char="F0B1"/>
      </w:r>
      <w:r w:rsidR="00071365">
        <w:t xml:space="preserve"> 10.9 cm</w:t>
      </w:r>
      <w:r w:rsidR="00071365">
        <w:rPr>
          <w:vertAlign w:val="superscript"/>
        </w:rPr>
        <w:t>2</w:t>
      </w:r>
      <w:r w:rsidR="00071365">
        <w:t xml:space="preserve"> g</w:t>
      </w:r>
      <w:r w:rsidR="00071365">
        <w:rPr>
          <w:vertAlign w:val="superscript"/>
        </w:rPr>
        <w:t>-1</w:t>
      </w:r>
      <w:r w:rsidR="00071365">
        <w:t>)</w:t>
      </w:r>
      <w:r w:rsidR="00852AF7">
        <w:t xml:space="preserve"> had </w:t>
      </w:r>
      <w:r w:rsidR="00071365">
        <w:t>6.3</w:t>
      </w:r>
      <w:r w:rsidR="00852AF7">
        <w:t xml:space="preserve">% higher </w:t>
      </w:r>
      <w:r w:rsidRPr="00B877FE">
        <w:rPr>
          <w:i/>
          <w:iCs/>
        </w:rPr>
        <w:t>SLA</w:t>
      </w:r>
      <w:r w:rsidR="00852AF7">
        <w:t xml:space="preserve"> than non-inoculated individuals (</w:t>
      </w:r>
      <w:r w:rsidR="00071365">
        <w:t xml:space="preserve">544.1 </w:t>
      </w:r>
      <w:r w:rsidR="00071365" w:rsidRPr="00071365">
        <w:sym w:font="Symbol" w:char="F0B1"/>
      </w:r>
      <w:r w:rsidR="00071365">
        <w:t xml:space="preserve"> 10.9 cm</w:t>
      </w:r>
      <w:r w:rsidR="00071365">
        <w:rPr>
          <w:vertAlign w:val="superscript"/>
        </w:rPr>
        <w:t>2</w:t>
      </w:r>
      <w:r w:rsidR="00071365">
        <w:t xml:space="preserve"> g</w:t>
      </w:r>
      <w:r w:rsidR="00071365">
        <w:rPr>
          <w:vertAlign w:val="superscript"/>
        </w:rPr>
        <w:t>-1</w:t>
      </w:r>
      <w:r w:rsidR="00071365">
        <w:t xml:space="preserve">; </w:t>
      </w:r>
      <w:r w:rsidR="00852AF7">
        <w:t>Tukey: p</w:t>
      </w:r>
      <w:r w:rsidR="00071365">
        <w:t>=0.014</w:t>
      </w:r>
      <w:r w:rsidR="00852AF7">
        <w:t>)</w:t>
      </w:r>
      <w:r w:rsidR="00071365">
        <w:t>, while i</w:t>
      </w:r>
      <w:r w:rsidR="00852AF7">
        <w:t>ndividuals grown under high nitrogen fertilization</w:t>
      </w:r>
      <w:r w:rsidR="00071365">
        <w:t xml:space="preserve"> (572.8 </w:t>
      </w:r>
      <w:r w:rsidR="00071365" w:rsidRPr="00071365">
        <w:sym w:font="Symbol" w:char="F0B1"/>
      </w:r>
      <w:r w:rsidR="00071365">
        <w:t xml:space="preserve"> 10.9 cm</w:t>
      </w:r>
      <w:r w:rsidR="00071365">
        <w:rPr>
          <w:vertAlign w:val="superscript"/>
        </w:rPr>
        <w:t>2</w:t>
      </w:r>
      <w:r w:rsidR="00071365">
        <w:t xml:space="preserve"> g</w:t>
      </w:r>
      <w:r w:rsidR="00071365">
        <w:rPr>
          <w:vertAlign w:val="superscript"/>
        </w:rPr>
        <w:t>-1</w:t>
      </w:r>
      <w:r w:rsidR="00071365">
        <w:t>)</w:t>
      </w:r>
      <w:r w:rsidR="00852AF7">
        <w:t xml:space="preserve"> had </w:t>
      </w:r>
      <w:r w:rsidR="00071365">
        <w:t>4.2</w:t>
      </w:r>
      <w:r w:rsidR="00852AF7">
        <w:t xml:space="preserve">% higher </w:t>
      </w:r>
      <w:r w:rsidRPr="00B877FE">
        <w:rPr>
          <w:i/>
          <w:iCs/>
        </w:rPr>
        <w:t>SLA</w:t>
      </w:r>
      <w:r>
        <w:t xml:space="preserve"> </w:t>
      </w:r>
      <w:r w:rsidR="00852AF7">
        <w:t>than those grown under low nitrogen fertilization (</w:t>
      </w:r>
      <w:r w:rsidR="00071365">
        <w:t xml:space="preserve">549.8 </w:t>
      </w:r>
      <w:r w:rsidR="00071365" w:rsidRPr="00071365">
        <w:sym w:font="Symbol" w:char="F0B1"/>
      </w:r>
      <w:r w:rsidR="00071365">
        <w:t xml:space="preserve"> 10.9 cm</w:t>
      </w:r>
      <w:r w:rsidR="00071365">
        <w:rPr>
          <w:vertAlign w:val="superscript"/>
        </w:rPr>
        <w:t>2</w:t>
      </w:r>
      <w:r w:rsidR="00071365">
        <w:t xml:space="preserve"> g</w:t>
      </w:r>
      <w:r w:rsidR="00071365" w:rsidRPr="00071365">
        <w:rPr>
          <w:vertAlign w:val="superscript"/>
        </w:rPr>
        <w:t>-1</w:t>
      </w:r>
      <w:r w:rsidR="00071365">
        <w:t xml:space="preserve">; </w:t>
      </w:r>
      <w:r w:rsidR="00852AF7" w:rsidRPr="00071365">
        <w:t>Tukey</w:t>
      </w:r>
      <w:r w:rsidR="00852AF7">
        <w:t>: p</w:t>
      </w:r>
      <w:r w:rsidR="00071365">
        <w:t>=0.095</w:t>
      </w:r>
      <w:r w:rsidR="00852AF7">
        <w:t>).</w:t>
      </w:r>
    </w:p>
    <w:p w14:paraId="29F60B81" w14:textId="36A986B5" w:rsidR="009E31F0" w:rsidRDefault="009E31F0" w:rsidP="00A85036">
      <w:pPr>
        <w:spacing w:line="480" w:lineRule="auto"/>
      </w:pPr>
      <w:r>
        <w:br w:type="page"/>
      </w:r>
    </w:p>
    <w:p w14:paraId="2F172692" w14:textId="0604FF9A" w:rsidR="008D6E2F" w:rsidRDefault="00BA75F3" w:rsidP="00A754EC">
      <w:pPr>
        <w:spacing w:line="360" w:lineRule="auto"/>
        <w:rPr>
          <w:vertAlign w:val="superscript"/>
        </w:rPr>
      </w:pPr>
      <w:r w:rsidRPr="004C14FD">
        <w:rPr>
          <w:b/>
          <w:bCs/>
        </w:rPr>
        <w:lastRenderedPageBreak/>
        <w:t xml:space="preserve">Table </w:t>
      </w:r>
      <w:r w:rsidR="0048004A">
        <w:rPr>
          <w:b/>
          <w:bCs/>
        </w:rPr>
        <w:t>2</w:t>
      </w:r>
      <w:r>
        <w:rPr>
          <w:b/>
          <w:bCs/>
        </w:rPr>
        <w:t xml:space="preserve"> </w:t>
      </w:r>
      <w:r>
        <w:t xml:space="preserve">Analysis of variance results exploring effect of nitrogen fertilization, inoculation with </w:t>
      </w:r>
      <w:r>
        <w:rPr>
          <w:i/>
          <w:iCs/>
        </w:rPr>
        <w:t>B. japonicum</w:t>
      </w:r>
      <w:r>
        <w:t xml:space="preserve">, and interactions between </w:t>
      </w:r>
      <w:r w:rsidR="00885391">
        <w:t>soil nitrogen fertilization and inoculation on leaf nitrogen allocation</w:t>
      </w:r>
      <w:r w:rsidRPr="00526EFB">
        <w:rPr>
          <w:vertAlign w:val="superscript"/>
        </w:rPr>
        <w:t>*</w:t>
      </w:r>
    </w:p>
    <w:p w14:paraId="08CE6CBF" w14:textId="77777777" w:rsidR="00A754EC" w:rsidRPr="00A754EC" w:rsidRDefault="00A754EC" w:rsidP="00A754EC">
      <w:pPr>
        <w:spacing w:line="360" w:lineRule="auto"/>
      </w:pPr>
    </w:p>
    <w:tbl>
      <w:tblPr>
        <w:tblStyle w:val="TableGridLight"/>
        <w:tblW w:w="86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2"/>
        <w:gridCol w:w="537"/>
        <w:gridCol w:w="996"/>
        <w:gridCol w:w="1013"/>
        <w:gridCol w:w="996"/>
        <w:gridCol w:w="1013"/>
        <w:gridCol w:w="996"/>
        <w:gridCol w:w="1013"/>
      </w:tblGrid>
      <w:tr w:rsidR="00BA75F3" w:rsidRPr="009515D2" w14:paraId="1B9B3249" w14:textId="77777777" w:rsidTr="00885391">
        <w:trPr>
          <w:jc w:val="center"/>
        </w:trPr>
        <w:tc>
          <w:tcPr>
            <w:tcW w:w="2619" w:type="dxa"/>
            <w:gridSpan w:val="2"/>
            <w:tcBorders>
              <w:bottom w:val="single" w:sz="4" w:space="0" w:color="auto"/>
            </w:tcBorders>
          </w:tcPr>
          <w:p w14:paraId="72532A24" w14:textId="77777777" w:rsidR="00BA75F3" w:rsidRPr="009515D2" w:rsidRDefault="00BA75F3" w:rsidP="00A85036">
            <w:pPr>
              <w:spacing w:line="276" w:lineRule="auto"/>
              <w:rPr>
                <w:b/>
                <w:bCs/>
                <w:sz w:val="22"/>
                <w:szCs w:val="22"/>
              </w:rPr>
            </w:pPr>
          </w:p>
        </w:tc>
        <w:tc>
          <w:tcPr>
            <w:tcW w:w="2009" w:type="dxa"/>
            <w:gridSpan w:val="2"/>
            <w:tcBorders>
              <w:bottom w:val="single" w:sz="4" w:space="0" w:color="auto"/>
            </w:tcBorders>
          </w:tcPr>
          <w:p w14:paraId="7B84AA6D" w14:textId="77777777" w:rsidR="00BA75F3" w:rsidRPr="009515D2" w:rsidRDefault="00BA75F3" w:rsidP="00A85036">
            <w:pPr>
              <w:spacing w:line="276" w:lineRule="auto"/>
              <w:jc w:val="right"/>
              <w:rPr>
                <w:b/>
                <w:bCs/>
                <w:sz w:val="22"/>
                <w:szCs w:val="22"/>
                <w:vertAlign w:val="subscript"/>
              </w:rPr>
            </w:pPr>
            <w:proofErr w:type="spellStart"/>
            <w:r w:rsidRPr="009515D2">
              <w:rPr>
                <w:b/>
                <w:bCs/>
                <w:i/>
                <w:iCs/>
                <w:sz w:val="22"/>
                <w:szCs w:val="22"/>
              </w:rPr>
              <w:t>N</w:t>
            </w:r>
            <w:r w:rsidRPr="009515D2">
              <w:rPr>
                <w:b/>
                <w:bCs/>
                <w:sz w:val="22"/>
                <w:szCs w:val="22"/>
                <w:vertAlign w:val="subscript"/>
              </w:rPr>
              <w:t>area</w:t>
            </w:r>
            <w:proofErr w:type="spellEnd"/>
          </w:p>
        </w:tc>
        <w:tc>
          <w:tcPr>
            <w:tcW w:w="2009" w:type="dxa"/>
            <w:gridSpan w:val="2"/>
            <w:tcBorders>
              <w:bottom w:val="single" w:sz="4" w:space="0" w:color="auto"/>
            </w:tcBorders>
          </w:tcPr>
          <w:p w14:paraId="2B8B0179" w14:textId="77777777" w:rsidR="00BA75F3" w:rsidRPr="009515D2" w:rsidRDefault="00BA75F3" w:rsidP="00A85036">
            <w:pPr>
              <w:spacing w:line="276" w:lineRule="auto"/>
              <w:jc w:val="right"/>
              <w:rPr>
                <w:b/>
                <w:bCs/>
                <w:sz w:val="22"/>
                <w:szCs w:val="22"/>
                <w:vertAlign w:val="subscript"/>
              </w:rPr>
            </w:pPr>
            <w:proofErr w:type="spellStart"/>
            <w:r w:rsidRPr="009515D2">
              <w:rPr>
                <w:b/>
                <w:bCs/>
                <w:i/>
                <w:iCs/>
                <w:sz w:val="22"/>
                <w:szCs w:val="22"/>
              </w:rPr>
              <w:t>N</w:t>
            </w:r>
            <w:r w:rsidRPr="009515D2">
              <w:rPr>
                <w:b/>
                <w:bCs/>
                <w:sz w:val="22"/>
                <w:szCs w:val="22"/>
                <w:vertAlign w:val="subscript"/>
              </w:rPr>
              <w:t>mass</w:t>
            </w:r>
            <w:proofErr w:type="spellEnd"/>
          </w:p>
        </w:tc>
        <w:tc>
          <w:tcPr>
            <w:tcW w:w="2009" w:type="dxa"/>
            <w:gridSpan w:val="2"/>
            <w:tcBorders>
              <w:bottom w:val="single" w:sz="4" w:space="0" w:color="auto"/>
            </w:tcBorders>
          </w:tcPr>
          <w:p w14:paraId="0EC44BC3" w14:textId="143F43DE" w:rsidR="00BA75F3" w:rsidRPr="009515D2" w:rsidRDefault="00B877FE" w:rsidP="00A85036">
            <w:pPr>
              <w:spacing w:line="276" w:lineRule="auto"/>
              <w:jc w:val="right"/>
              <w:rPr>
                <w:sz w:val="22"/>
                <w:szCs w:val="22"/>
              </w:rPr>
            </w:pPr>
            <w:r>
              <w:rPr>
                <w:b/>
                <w:bCs/>
                <w:i/>
                <w:iCs/>
                <w:sz w:val="22"/>
                <w:szCs w:val="22"/>
              </w:rPr>
              <w:t>SLA</w:t>
            </w:r>
          </w:p>
        </w:tc>
      </w:tr>
      <w:tr w:rsidR="00BA75F3" w:rsidRPr="009515D2" w14:paraId="33AEDB71" w14:textId="77777777" w:rsidTr="00885391">
        <w:trPr>
          <w:jc w:val="center"/>
        </w:trPr>
        <w:tc>
          <w:tcPr>
            <w:tcW w:w="2082" w:type="dxa"/>
            <w:tcBorders>
              <w:top w:val="single" w:sz="4" w:space="0" w:color="auto"/>
              <w:bottom w:val="single" w:sz="4" w:space="0" w:color="auto"/>
            </w:tcBorders>
          </w:tcPr>
          <w:p w14:paraId="2BE4E812" w14:textId="77777777" w:rsidR="00BA75F3" w:rsidRPr="009515D2" w:rsidRDefault="00BA75F3" w:rsidP="00A85036">
            <w:pPr>
              <w:spacing w:line="276" w:lineRule="auto"/>
              <w:rPr>
                <w:sz w:val="22"/>
                <w:szCs w:val="22"/>
              </w:rPr>
            </w:pPr>
          </w:p>
        </w:tc>
        <w:tc>
          <w:tcPr>
            <w:tcW w:w="536" w:type="dxa"/>
            <w:tcBorders>
              <w:top w:val="single" w:sz="4" w:space="0" w:color="auto"/>
              <w:bottom w:val="single" w:sz="4" w:space="0" w:color="auto"/>
            </w:tcBorders>
          </w:tcPr>
          <w:p w14:paraId="07A7D44F" w14:textId="77777777" w:rsidR="00BA75F3" w:rsidRPr="009515D2" w:rsidRDefault="00BA75F3"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4C887F0A" w14:textId="77777777" w:rsidR="00BA75F3" w:rsidRPr="009515D2" w:rsidRDefault="00BA75F3"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2B7E8025" w14:textId="77777777" w:rsidR="00BA75F3" w:rsidRPr="009515D2" w:rsidRDefault="00BA75F3"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2F06D94B" w14:textId="77777777" w:rsidR="00BA75F3" w:rsidRPr="009515D2" w:rsidRDefault="00BA75F3"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34CAE185" w14:textId="77777777" w:rsidR="00BA75F3" w:rsidRPr="009515D2" w:rsidRDefault="00BA75F3"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663A8BE6" w14:textId="77777777" w:rsidR="00BA75F3" w:rsidRPr="009515D2" w:rsidRDefault="00BA75F3"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6F15D590" w14:textId="77777777" w:rsidR="00BA75F3" w:rsidRPr="009515D2" w:rsidRDefault="00BA75F3" w:rsidP="00A85036">
            <w:pPr>
              <w:spacing w:line="276" w:lineRule="auto"/>
              <w:jc w:val="right"/>
              <w:rPr>
                <w:sz w:val="22"/>
                <w:szCs w:val="22"/>
              </w:rPr>
            </w:pPr>
            <w:r w:rsidRPr="009515D2">
              <w:rPr>
                <w:i/>
                <w:iCs/>
                <w:sz w:val="22"/>
                <w:szCs w:val="22"/>
              </w:rPr>
              <w:t>p</w:t>
            </w:r>
          </w:p>
        </w:tc>
      </w:tr>
      <w:tr w:rsidR="00BA75F3" w:rsidRPr="009515D2" w14:paraId="01F7C978" w14:textId="77777777" w:rsidTr="00885391">
        <w:trPr>
          <w:jc w:val="center"/>
        </w:trPr>
        <w:tc>
          <w:tcPr>
            <w:tcW w:w="2082" w:type="dxa"/>
            <w:tcBorders>
              <w:top w:val="single" w:sz="4" w:space="0" w:color="auto"/>
            </w:tcBorders>
          </w:tcPr>
          <w:p w14:paraId="562547B4" w14:textId="0C635FBF" w:rsidR="00BA75F3" w:rsidRPr="009515D2" w:rsidRDefault="00885391"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6F3CB36F" w14:textId="77777777" w:rsidR="00BA75F3" w:rsidRPr="009515D2" w:rsidRDefault="00BA75F3"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06BC8A83" w14:textId="37E37AED" w:rsidR="00BA75F3" w:rsidRPr="009515D2" w:rsidRDefault="00885391" w:rsidP="00A85036">
            <w:pPr>
              <w:spacing w:line="276" w:lineRule="auto"/>
              <w:jc w:val="right"/>
              <w:rPr>
                <w:sz w:val="22"/>
                <w:szCs w:val="22"/>
              </w:rPr>
            </w:pPr>
            <w:r w:rsidRPr="009515D2">
              <w:rPr>
                <w:sz w:val="22"/>
                <w:szCs w:val="22"/>
              </w:rPr>
              <w:t>104.61</w:t>
            </w:r>
          </w:p>
        </w:tc>
        <w:tc>
          <w:tcPr>
            <w:tcW w:w="1013" w:type="dxa"/>
            <w:tcBorders>
              <w:top w:val="single" w:sz="4" w:space="0" w:color="auto"/>
            </w:tcBorders>
          </w:tcPr>
          <w:p w14:paraId="0A1A6756" w14:textId="09DC8A97" w:rsidR="00BA75F3" w:rsidRPr="009515D2" w:rsidRDefault="00885391"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31FAF402" w14:textId="0CE74CD4" w:rsidR="00BA75F3" w:rsidRPr="009515D2" w:rsidRDefault="00885391" w:rsidP="00A85036">
            <w:pPr>
              <w:spacing w:line="276" w:lineRule="auto"/>
              <w:jc w:val="right"/>
              <w:rPr>
                <w:sz w:val="22"/>
                <w:szCs w:val="22"/>
              </w:rPr>
            </w:pPr>
            <w:r w:rsidRPr="009515D2">
              <w:rPr>
                <w:sz w:val="22"/>
                <w:szCs w:val="22"/>
              </w:rPr>
              <w:t>139.51</w:t>
            </w:r>
          </w:p>
        </w:tc>
        <w:tc>
          <w:tcPr>
            <w:tcW w:w="1013" w:type="dxa"/>
            <w:tcBorders>
              <w:top w:val="single" w:sz="4" w:space="0" w:color="auto"/>
            </w:tcBorders>
          </w:tcPr>
          <w:p w14:paraId="036FB930" w14:textId="127132FC" w:rsidR="00BA75F3" w:rsidRPr="009515D2" w:rsidRDefault="00885391"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70200C59" w14:textId="1B8D6833" w:rsidR="00BA75F3" w:rsidRPr="009515D2" w:rsidRDefault="00885391" w:rsidP="00A85036">
            <w:pPr>
              <w:spacing w:line="276" w:lineRule="auto"/>
              <w:jc w:val="right"/>
              <w:rPr>
                <w:sz w:val="22"/>
                <w:szCs w:val="22"/>
              </w:rPr>
            </w:pPr>
            <w:r w:rsidRPr="009515D2">
              <w:rPr>
                <w:sz w:val="22"/>
                <w:szCs w:val="22"/>
              </w:rPr>
              <w:t>2.88</w:t>
            </w:r>
          </w:p>
        </w:tc>
        <w:tc>
          <w:tcPr>
            <w:tcW w:w="1013" w:type="dxa"/>
            <w:tcBorders>
              <w:top w:val="single" w:sz="4" w:space="0" w:color="auto"/>
            </w:tcBorders>
          </w:tcPr>
          <w:p w14:paraId="1886AF17" w14:textId="63AF2487" w:rsidR="00BA75F3" w:rsidRPr="009515D2" w:rsidRDefault="00885391" w:rsidP="00A85036">
            <w:pPr>
              <w:spacing w:line="276" w:lineRule="auto"/>
              <w:jc w:val="right"/>
              <w:rPr>
                <w:i/>
                <w:iCs/>
                <w:sz w:val="22"/>
                <w:szCs w:val="22"/>
              </w:rPr>
            </w:pPr>
            <w:r w:rsidRPr="009515D2">
              <w:rPr>
                <w:i/>
                <w:iCs/>
                <w:sz w:val="22"/>
                <w:szCs w:val="22"/>
              </w:rPr>
              <w:t>0.090</w:t>
            </w:r>
          </w:p>
        </w:tc>
      </w:tr>
      <w:tr w:rsidR="00BA75F3" w:rsidRPr="009515D2" w14:paraId="329D108C" w14:textId="77777777" w:rsidTr="0048004A">
        <w:trPr>
          <w:jc w:val="center"/>
        </w:trPr>
        <w:tc>
          <w:tcPr>
            <w:tcW w:w="2082" w:type="dxa"/>
          </w:tcPr>
          <w:p w14:paraId="19F8B858" w14:textId="404BE41C" w:rsidR="00BA75F3" w:rsidRPr="009515D2" w:rsidRDefault="00885391" w:rsidP="00A85036">
            <w:pPr>
              <w:spacing w:line="276" w:lineRule="auto"/>
              <w:jc w:val="right"/>
              <w:rPr>
                <w:sz w:val="22"/>
                <w:szCs w:val="22"/>
              </w:rPr>
            </w:pPr>
            <w:r w:rsidRPr="009515D2">
              <w:rPr>
                <w:sz w:val="22"/>
                <w:szCs w:val="22"/>
              </w:rPr>
              <w:t>Inoculation (I)</w:t>
            </w:r>
          </w:p>
        </w:tc>
        <w:tc>
          <w:tcPr>
            <w:tcW w:w="536" w:type="dxa"/>
          </w:tcPr>
          <w:p w14:paraId="75C4C0D7" w14:textId="77777777" w:rsidR="00BA75F3" w:rsidRPr="009515D2" w:rsidRDefault="00BA75F3" w:rsidP="00A85036">
            <w:pPr>
              <w:spacing w:line="276" w:lineRule="auto"/>
              <w:jc w:val="right"/>
              <w:rPr>
                <w:sz w:val="22"/>
                <w:szCs w:val="22"/>
              </w:rPr>
            </w:pPr>
            <w:r w:rsidRPr="009515D2">
              <w:rPr>
                <w:sz w:val="22"/>
                <w:szCs w:val="22"/>
              </w:rPr>
              <w:t>1</w:t>
            </w:r>
          </w:p>
        </w:tc>
        <w:tc>
          <w:tcPr>
            <w:tcW w:w="996" w:type="dxa"/>
          </w:tcPr>
          <w:p w14:paraId="1826E3C8" w14:textId="50434BDD" w:rsidR="00BA75F3" w:rsidRPr="009515D2" w:rsidRDefault="00885391" w:rsidP="00A85036">
            <w:pPr>
              <w:spacing w:line="276" w:lineRule="auto"/>
              <w:jc w:val="right"/>
              <w:rPr>
                <w:sz w:val="22"/>
                <w:szCs w:val="22"/>
              </w:rPr>
            </w:pPr>
            <w:r w:rsidRPr="009515D2">
              <w:rPr>
                <w:sz w:val="22"/>
                <w:szCs w:val="22"/>
              </w:rPr>
              <w:t>4.45</w:t>
            </w:r>
          </w:p>
        </w:tc>
        <w:tc>
          <w:tcPr>
            <w:tcW w:w="1013" w:type="dxa"/>
          </w:tcPr>
          <w:p w14:paraId="26FD23E2" w14:textId="7A83B797" w:rsidR="00BA75F3" w:rsidRPr="009515D2" w:rsidRDefault="00885391" w:rsidP="00A85036">
            <w:pPr>
              <w:spacing w:line="276" w:lineRule="auto"/>
              <w:jc w:val="right"/>
              <w:rPr>
                <w:b/>
                <w:bCs/>
                <w:sz w:val="22"/>
                <w:szCs w:val="22"/>
              </w:rPr>
            </w:pPr>
            <w:r w:rsidRPr="009515D2">
              <w:rPr>
                <w:b/>
                <w:bCs/>
                <w:sz w:val="22"/>
                <w:szCs w:val="22"/>
              </w:rPr>
              <w:t>0.035</w:t>
            </w:r>
          </w:p>
        </w:tc>
        <w:tc>
          <w:tcPr>
            <w:tcW w:w="996" w:type="dxa"/>
          </w:tcPr>
          <w:p w14:paraId="58565FBB" w14:textId="3A87E2DC" w:rsidR="00BA75F3" w:rsidRPr="009515D2" w:rsidRDefault="00885391" w:rsidP="00A85036">
            <w:pPr>
              <w:spacing w:line="276" w:lineRule="auto"/>
              <w:jc w:val="right"/>
              <w:rPr>
                <w:sz w:val="22"/>
                <w:szCs w:val="22"/>
              </w:rPr>
            </w:pPr>
            <w:r w:rsidRPr="009515D2">
              <w:rPr>
                <w:sz w:val="22"/>
                <w:szCs w:val="22"/>
              </w:rPr>
              <w:t>36.38</w:t>
            </w:r>
          </w:p>
        </w:tc>
        <w:tc>
          <w:tcPr>
            <w:tcW w:w="1013" w:type="dxa"/>
          </w:tcPr>
          <w:p w14:paraId="04A35F7B" w14:textId="157D014F" w:rsidR="00BA75F3" w:rsidRPr="009515D2" w:rsidRDefault="00885391" w:rsidP="00A85036">
            <w:pPr>
              <w:spacing w:line="276" w:lineRule="auto"/>
              <w:jc w:val="right"/>
              <w:rPr>
                <w:b/>
                <w:bCs/>
                <w:sz w:val="22"/>
                <w:szCs w:val="22"/>
              </w:rPr>
            </w:pPr>
            <w:r w:rsidRPr="009515D2">
              <w:rPr>
                <w:b/>
                <w:bCs/>
                <w:sz w:val="22"/>
                <w:szCs w:val="22"/>
              </w:rPr>
              <w:t>&lt;0.001</w:t>
            </w:r>
          </w:p>
        </w:tc>
        <w:tc>
          <w:tcPr>
            <w:tcW w:w="996" w:type="dxa"/>
          </w:tcPr>
          <w:p w14:paraId="0A929D4C" w14:textId="578D74E0" w:rsidR="00BA75F3" w:rsidRPr="009515D2" w:rsidRDefault="00885391" w:rsidP="00A85036">
            <w:pPr>
              <w:spacing w:line="276" w:lineRule="auto"/>
              <w:jc w:val="right"/>
              <w:rPr>
                <w:sz w:val="22"/>
                <w:szCs w:val="22"/>
              </w:rPr>
            </w:pPr>
            <w:r w:rsidRPr="009515D2">
              <w:rPr>
                <w:sz w:val="22"/>
                <w:szCs w:val="22"/>
              </w:rPr>
              <w:t>6.46</w:t>
            </w:r>
          </w:p>
        </w:tc>
        <w:tc>
          <w:tcPr>
            <w:tcW w:w="1013" w:type="dxa"/>
          </w:tcPr>
          <w:p w14:paraId="35A91526" w14:textId="1EAF171A" w:rsidR="00BA75F3" w:rsidRPr="009515D2" w:rsidRDefault="00885391" w:rsidP="00A85036">
            <w:pPr>
              <w:spacing w:line="276" w:lineRule="auto"/>
              <w:jc w:val="right"/>
              <w:rPr>
                <w:b/>
                <w:bCs/>
                <w:sz w:val="22"/>
                <w:szCs w:val="22"/>
              </w:rPr>
            </w:pPr>
            <w:r w:rsidRPr="009515D2">
              <w:rPr>
                <w:b/>
                <w:bCs/>
                <w:sz w:val="22"/>
                <w:szCs w:val="22"/>
              </w:rPr>
              <w:t>0.011</w:t>
            </w:r>
          </w:p>
        </w:tc>
      </w:tr>
      <w:tr w:rsidR="00BA75F3" w:rsidRPr="009515D2" w14:paraId="543D92F6" w14:textId="77777777" w:rsidTr="0048004A">
        <w:trPr>
          <w:jc w:val="center"/>
        </w:trPr>
        <w:tc>
          <w:tcPr>
            <w:tcW w:w="2082" w:type="dxa"/>
            <w:tcBorders>
              <w:bottom w:val="single" w:sz="4" w:space="0" w:color="auto"/>
            </w:tcBorders>
          </w:tcPr>
          <w:p w14:paraId="4E90981C" w14:textId="23CBCA51" w:rsidR="00BA75F3" w:rsidRPr="009515D2" w:rsidRDefault="00885391" w:rsidP="00A85036">
            <w:pPr>
              <w:spacing w:line="276" w:lineRule="auto"/>
              <w:jc w:val="right"/>
              <w:rPr>
                <w:sz w:val="22"/>
                <w:szCs w:val="22"/>
              </w:rPr>
            </w:pPr>
            <w:r w:rsidRPr="009515D2">
              <w:rPr>
                <w:sz w:val="22"/>
                <w:szCs w:val="22"/>
              </w:rPr>
              <w:t>N*I</w:t>
            </w:r>
          </w:p>
        </w:tc>
        <w:tc>
          <w:tcPr>
            <w:tcW w:w="536" w:type="dxa"/>
            <w:tcBorders>
              <w:bottom w:val="single" w:sz="4" w:space="0" w:color="auto"/>
            </w:tcBorders>
          </w:tcPr>
          <w:p w14:paraId="1C284E6E" w14:textId="261C4FB0" w:rsidR="00BA75F3" w:rsidRPr="009515D2" w:rsidRDefault="00885391" w:rsidP="00A85036">
            <w:pPr>
              <w:spacing w:line="276" w:lineRule="auto"/>
              <w:jc w:val="right"/>
              <w:rPr>
                <w:sz w:val="22"/>
                <w:szCs w:val="22"/>
              </w:rPr>
            </w:pPr>
            <w:r w:rsidRPr="009515D2">
              <w:rPr>
                <w:sz w:val="22"/>
                <w:szCs w:val="22"/>
              </w:rPr>
              <w:t>1</w:t>
            </w:r>
          </w:p>
        </w:tc>
        <w:tc>
          <w:tcPr>
            <w:tcW w:w="996" w:type="dxa"/>
            <w:tcBorders>
              <w:bottom w:val="single" w:sz="4" w:space="0" w:color="auto"/>
            </w:tcBorders>
          </w:tcPr>
          <w:p w14:paraId="515586C9" w14:textId="1DB7C6F0" w:rsidR="00BA75F3" w:rsidRPr="009515D2" w:rsidRDefault="00885391" w:rsidP="00A85036">
            <w:pPr>
              <w:spacing w:line="276" w:lineRule="auto"/>
              <w:jc w:val="right"/>
              <w:rPr>
                <w:sz w:val="22"/>
                <w:szCs w:val="22"/>
              </w:rPr>
            </w:pPr>
            <w:r w:rsidRPr="009515D2">
              <w:rPr>
                <w:sz w:val="22"/>
                <w:szCs w:val="22"/>
              </w:rPr>
              <w:t>14.62</w:t>
            </w:r>
          </w:p>
        </w:tc>
        <w:tc>
          <w:tcPr>
            <w:tcW w:w="1013" w:type="dxa"/>
            <w:tcBorders>
              <w:bottom w:val="single" w:sz="4" w:space="0" w:color="auto"/>
            </w:tcBorders>
          </w:tcPr>
          <w:p w14:paraId="5920A908" w14:textId="41B4F389" w:rsidR="00BA75F3" w:rsidRPr="009515D2" w:rsidRDefault="00885391" w:rsidP="00A85036">
            <w:pPr>
              <w:spacing w:line="276" w:lineRule="auto"/>
              <w:jc w:val="right"/>
              <w:rPr>
                <w:b/>
                <w:bCs/>
                <w:sz w:val="22"/>
                <w:szCs w:val="22"/>
              </w:rPr>
            </w:pPr>
            <w:r w:rsidRPr="009515D2">
              <w:rPr>
                <w:b/>
                <w:bCs/>
                <w:sz w:val="22"/>
                <w:szCs w:val="22"/>
              </w:rPr>
              <w:t>&lt;0.001</w:t>
            </w:r>
          </w:p>
        </w:tc>
        <w:tc>
          <w:tcPr>
            <w:tcW w:w="996" w:type="dxa"/>
            <w:tcBorders>
              <w:bottom w:val="single" w:sz="4" w:space="0" w:color="auto"/>
            </w:tcBorders>
          </w:tcPr>
          <w:p w14:paraId="550173D8" w14:textId="3C571147" w:rsidR="00BA75F3" w:rsidRPr="009515D2" w:rsidRDefault="00885391" w:rsidP="00A85036">
            <w:pPr>
              <w:spacing w:line="276" w:lineRule="auto"/>
              <w:jc w:val="right"/>
              <w:rPr>
                <w:sz w:val="22"/>
                <w:szCs w:val="22"/>
              </w:rPr>
            </w:pPr>
            <w:r w:rsidRPr="009515D2">
              <w:rPr>
                <w:sz w:val="22"/>
                <w:szCs w:val="22"/>
              </w:rPr>
              <w:t>27.35</w:t>
            </w:r>
          </w:p>
        </w:tc>
        <w:tc>
          <w:tcPr>
            <w:tcW w:w="1013" w:type="dxa"/>
            <w:tcBorders>
              <w:bottom w:val="single" w:sz="4" w:space="0" w:color="auto"/>
            </w:tcBorders>
          </w:tcPr>
          <w:p w14:paraId="33C5FA70" w14:textId="56127BC5" w:rsidR="00BA75F3" w:rsidRPr="009515D2" w:rsidRDefault="00885391" w:rsidP="00A85036">
            <w:pPr>
              <w:spacing w:line="276" w:lineRule="auto"/>
              <w:jc w:val="right"/>
              <w:rPr>
                <w:b/>
                <w:bCs/>
                <w:sz w:val="22"/>
                <w:szCs w:val="22"/>
              </w:rPr>
            </w:pPr>
            <w:r w:rsidRPr="009515D2">
              <w:rPr>
                <w:b/>
                <w:bCs/>
                <w:sz w:val="22"/>
                <w:szCs w:val="22"/>
              </w:rPr>
              <w:t>&lt;0.001</w:t>
            </w:r>
          </w:p>
        </w:tc>
        <w:tc>
          <w:tcPr>
            <w:tcW w:w="996" w:type="dxa"/>
            <w:tcBorders>
              <w:bottom w:val="single" w:sz="4" w:space="0" w:color="auto"/>
            </w:tcBorders>
          </w:tcPr>
          <w:p w14:paraId="4D2573C7" w14:textId="673736C0" w:rsidR="00BA75F3" w:rsidRPr="009515D2" w:rsidRDefault="00885391" w:rsidP="00A85036">
            <w:pPr>
              <w:spacing w:line="276" w:lineRule="auto"/>
              <w:jc w:val="right"/>
              <w:rPr>
                <w:sz w:val="22"/>
                <w:szCs w:val="22"/>
              </w:rPr>
            </w:pPr>
            <w:r w:rsidRPr="009515D2">
              <w:rPr>
                <w:sz w:val="22"/>
                <w:szCs w:val="22"/>
              </w:rPr>
              <w:t>1.27</w:t>
            </w:r>
          </w:p>
        </w:tc>
        <w:tc>
          <w:tcPr>
            <w:tcW w:w="1013" w:type="dxa"/>
            <w:tcBorders>
              <w:bottom w:val="single" w:sz="4" w:space="0" w:color="auto"/>
            </w:tcBorders>
          </w:tcPr>
          <w:p w14:paraId="30D77202" w14:textId="0952F57A" w:rsidR="00BA75F3" w:rsidRPr="009515D2" w:rsidRDefault="00885391" w:rsidP="00A85036">
            <w:pPr>
              <w:spacing w:line="276" w:lineRule="auto"/>
              <w:jc w:val="right"/>
              <w:rPr>
                <w:sz w:val="22"/>
                <w:szCs w:val="22"/>
              </w:rPr>
            </w:pPr>
            <w:r w:rsidRPr="009515D2">
              <w:rPr>
                <w:sz w:val="22"/>
                <w:szCs w:val="22"/>
              </w:rPr>
              <w:t>0.260</w:t>
            </w:r>
          </w:p>
        </w:tc>
      </w:tr>
    </w:tbl>
    <w:p w14:paraId="7538BD46" w14:textId="77777777" w:rsidR="007A2F1C" w:rsidRDefault="007A2F1C" w:rsidP="00A754EC">
      <w:pPr>
        <w:spacing w:line="360" w:lineRule="auto"/>
        <w:rPr>
          <w:vertAlign w:val="superscript"/>
        </w:rPr>
      </w:pPr>
    </w:p>
    <w:p w14:paraId="2F1D329D" w14:textId="4F2F8588" w:rsidR="009E31F0" w:rsidRDefault="00BA75F3" w:rsidP="00A754EC">
      <w:pPr>
        <w:spacing w:line="360" w:lineRule="auto"/>
      </w:pPr>
      <w:r w:rsidRPr="00526EFB">
        <w:rPr>
          <w:vertAlign w:val="superscript"/>
        </w:rPr>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-values less than 0.05 are in bold.</w:t>
      </w:r>
      <w:r w:rsidR="00885391">
        <w:t xml:space="preserve"> Key: </w:t>
      </w:r>
      <w:proofErr w:type="spellStart"/>
      <w:r w:rsidR="00885391">
        <w:rPr>
          <w:i/>
          <w:iCs/>
        </w:rPr>
        <w:t>N</w:t>
      </w:r>
      <w:r w:rsidR="00885391">
        <w:rPr>
          <w:vertAlign w:val="subscript"/>
        </w:rPr>
        <w:t>area</w:t>
      </w:r>
      <w:proofErr w:type="spellEnd"/>
      <w:r w:rsidR="00885391">
        <w:t>=leaf nitrogen per leaf area (g m</w:t>
      </w:r>
      <w:r w:rsidR="00885391">
        <w:rPr>
          <w:vertAlign w:val="superscript"/>
        </w:rPr>
        <w:t>-2</w:t>
      </w:r>
      <w:r w:rsidR="00885391">
        <w:t xml:space="preserve">); </w:t>
      </w:r>
      <w:proofErr w:type="spellStart"/>
      <w:r w:rsidR="00885391">
        <w:rPr>
          <w:i/>
          <w:iCs/>
        </w:rPr>
        <w:t>N</w:t>
      </w:r>
      <w:r w:rsidR="00885391">
        <w:rPr>
          <w:vertAlign w:val="subscript"/>
        </w:rPr>
        <w:t>mass</w:t>
      </w:r>
      <w:proofErr w:type="spellEnd"/>
      <w:r w:rsidR="00885391">
        <w:t>=leaf nitrogen per leaf mass (g g</w:t>
      </w:r>
      <w:r w:rsidR="00885391">
        <w:rPr>
          <w:vertAlign w:val="superscript"/>
        </w:rPr>
        <w:t>-1</w:t>
      </w:r>
      <w:r w:rsidR="00885391">
        <w:t xml:space="preserve">); </w:t>
      </w:r>
      <w:r w:rsidR="00885391">
        <w:rPr>
          <w:i/>
          <w:iCs/>
        </w:rPr>
        <w:t>SLA</w:t>
      </w:r>
      <w:r w:rsidR="00885391">
        <w:t>=specific leaf area (cm</w:t>
      </w:r>
      <w:r w:rsidR="00885391">
        <w:rPr>
          <w:vertAlign w:val="superscript"/>
        </w:rPr>
        <w:t>2</w:t>
      </w:r>
      <w:r w:rsidR="00885391">
        <w:t xml:space="preserve"> g</w:t>
      </w:r>
      <w:r w:rsidR="00885391">
        <w:rPr>
          <w:vertAlign w:val="superscript"/>
        </w:rPr>
        <w:t>-1</w:t>
      </w:r>
      <w:r w:rsidR="00885391">
        <w:t>)</w:t>
      </w:r>
    </w:p>
    <w:p w14:paraId="1A54C76E" w14:textId="59BF9C41" w:rsidR="009E31F0" w:rsidRDefault="009E31F0" w:rsidP="00A85036">
      <w:pPr>
        <w:spacing w:line="480" w:lineRule="auto"/>
      </w:pPr>
      <w:r>
        <w:br w:type="page"/>
      </w:r>
    </w:p>
    <w:p w14:paraId="14BB0725" w14:textId="2DDBD9F3" w:rsidR="004A3DE5" w:rsidRDefault="009E31F0" w:rsidP="00A754EC">
      <w:pPr>
        <w:spacing w:line="360" w:lineRule="auto"/>
        <w:rPr>
          <w:b/>
          <w:bCs/>
        </w:rPr>
      </w:pPr>
      <w:r>
        <w:rPr>
          <w:b/>
          <w:bCs/>
        </w:rPr>
        <w:lastRenderedPageBreak/>
        <w:t>Figure 1</w:t>
      </w:r>
    </w:p>
    <w:p w14:paraId="17064F2E" w14:textId="2FF5FD82" w:rsidR="004A3DE5" w:rsidRDefault="0029276A" w:rsidP="00A754EC">
      <w:pPr>
        <w:spacing w:line="360" w:lineRule="auto"/>
        <w:rPr>
          <w:b/>
          <w:bCs/>
        </w:rPr>
      </w:pPr>
      <w:r>
        <w:rPr>
          <w:b/>
          <w:bCs/>
          <w:noProof/>
        </w:rPr>
        <w:drawing>
          <wp:inline distT="0" distB="0" distL="0" distR="0" wp14:anchorId="0B0B2C89" wp14:editId="18010B94">
            <wp:extent cx="5943600" cy="2641600"/>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14BDAABD" w14:textId="28D09A7B" w:rsidR="007A2F1C" w:rsidRDefault="009E31F0" w:rsidP="00A754EC">
      <w:pPr>
        <w:spacing w:line="360" w:lineRule="auto"/>
      </w:pPr>
      <w:r>
        <w:rPr>
          <w:b/>
          <w:bCs/>
        </w:rPr>
        <w:t>Figure 1</w:t>
      </w:r>
      <w:r>
        <w:t xml:space="preserve"> </w:t>
      </w:r>
      <w:r w:rsidR="00490BC5" w:rsidRPr="001B10F7">
        <w:t>Effects</w:t>
      </w:r>
      <w:r w:rsidR="00490BC5">
        <w:t xml:space="preserve"> of soil nitrogen fertilization and inoculation on </w:t>
      </w:r>
      <w:r w:rsidR="00490BC5">
        <w:rPr>
          <w:i/>
          <w:iCs/>
        </w:rPr>
        <w:t>G. max</w:t>
      </w:r>
      <w:r w:rsidR="00490BC5">
        <w:t xml:space="preserve"> leaf nitrogen per unit leaf area (panel A), leaf nitrogen per unit leaf biomass (panel B), and specific leaf area (panel C). Soil nitrogen fertilization is represented categorically on the x-axis, while inoculation </w:t>
      </w:r>
      <w:r w:rsidR="00F9445D">
        <w:t xml:space="preserve">treatment </w:t>
      </w:r>
      <w:r w:rsidR="00490BC5">
        <w:t>is represented by colored boxplots. Yellow</w:t>
      </w:r>
      <w:r w:rsidR="007A2F1C">
        <w:t xml:space="preserve"> shaded</w:t>
      </w:r>
      <w:r w:rsidR="00490BC5">
        <w:t xml:space="preserve"> boxplots indicate individuals that were not inoculated</w:t>
      </w:r>
      <w:r w:rsidR="00490BC5" w:rsidRPr="00490BC5">
        <w:t xml:space="preserve"> </w:t>
      </w:r>
      <w:r w:rsidR="00490BC5">
        <w:t xml:space="preserve">with </w:t>
      </w:r>
      <w:r w:rsidR="00490BC5">
        <w:rPr>
          <w:i/>
          <w:iCs/>
        </w:rPr>
        <w:t>B. japonicum</w:t>
      </w:r>
      <w:r w:rsidR="00490BC5">
        <w:t>, while red</w:t>
      </w:r>
      <w:r w:rsidR="007A2F1C">
        <w:t xml:space="preserve"> shaded</w:t>
      </w:r>
      <w:r w:rsidR="00490BC5">
        <w:t xml:space="preserve"> boxplots indicate individuals that were inoculated with </w:t>
      </w:r>
      <w:r w:rsidR="00490BC5">
        <w:rPr>
          <w:i/>
          <w:iCs/>
        </w:rPr>
        <w:t>B. japonicum</w:t>
      </w:r>
      <w:r w:rsidR="00490BC5">
        <w:t xml:space="preserve">. </w:t>
      </w:r>
      <w:r w:rsidR="0079226D"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w:t>
      </w:r>
      <w:r w:rsidR="007A7928">
        <w:rPr>
          <w:rFonts w:eastAsia="Times New Roman" w:cs="Times New Roman"/>
          <w:color w:val="000000" w:themeColor="text1"/>
        </w:rPr>
        <w:t>p</w:t>
      </w:r>
      <w:r w:rsidR="0079226D" w:rsidRPr="6E1ABADC">
        <w:rPr>
          <w:rFonts w:eastAsia="Times New Roman" w:cs="Times New Roman"/>
          <w:color w:val="000000" w:themeColor="text1"/>
        </w:rPr>
        <w:t>&lt;0.05).</w:t>
      </w:r>
      <w:r w:rsidR="007A2F1C">
        <w:br w:type="page"/>
      </w:r>
    </w:p>
    <w:p w14:paraId="5B469B50" w14:textId="1885A216" w:rsidR="00F75EB7" w:rsidRDefault="007A2F1C" w:rsidP="00A754EC">
      <w:pPr>
        <w:spacing w:line="360" w:lineRule="auto"/>
      </w:pPr>
      <w:r>
        <w:rPr>
          <w:i/>
          <w:iCs/>
        </w:rPr>
        <w:lastRenderedPageBreak/>
        <w:t>Leaf photosynthesis</w:t>
      </w:r>
      <w:r w:rsidR="00AF1559">
        <w:rPr>
          <w:i/>
          <w:iCs/>
        </w:rPr>
        <w:t xml:space="preserve"> and gas exchange</w:t>
      </w:r>
    </w:p>
    <w:p w14:paraId="430AB314" w14:textId="31F03955" w:rsidR="002F0BBB" w:rsidRPr="002F0BBB" w:rsidRDefault="009E304C" w:rsidP="008D46B4">
      <w:pPr>
        <w:spacing w:line="360" w:lineRule="auto"/>
        <w:ind w:firstLine="720"/>
      </w:pPr>
      <w:r>
        <w:t xml:space="preserve">Increasing </w:t>
      </w:r>
      <w:r w:rsidR="003873F0">
        <w:t xml:space="preserve">nitrogen fertilization </w:t>
      </w:r>
      <w:r w:rsidR="00AA5502">
        <w:t>had a negative effect on</w:t>
      </w:r>
      <w:r>
        <w:t xml:space="preserve"> </w:t>
      </w:r>
      <w:proofErr w:type="spellStart"/>
      <w:r w:rsidR="00D634C4">
        <w:rPr>
          <w:i/>
          <w:iCs/>
        </w:rPr>
        <w:t>A</w:t>
      </w:r>
      <w:r w:rsidR="00D634C4">
        <w:rPr>
          <w:vertAlign w:val="subscript"/>
        </w:rPr>
        <w:t>net</w:t>
      </w:r>
      <w:proofErr w:type="spellEnd"/>
      <w:r w:rsidR="00AA5502">
        <w:t xml:space="preserve"> </w:t>
      </w:r>
      <w:r w:rsidR="003873F0">
        <w:t xml:space="preserve">(Table </w:t>
      </w:r>
      <w:r w:rsidR="00EB0C0F">
        <w:t>3</w:t>
      </w:r>
      <w:r w:rsidR="003873F0">
        <w:t>; Fig. 2</w:t>
      </w:r>
      <w:r w:rsidR="00055528">
        <w:t>A</w:t>
      </w:r>
      <w:r w:rsidR="00AA5502">
        <w:t>-B</w:t>
      </w:r>
      <w:r w:rsidR="003873F0">
        <w:t>)</w:t>
      </w:r>
      <w:r w:rsidR="00A97B6C">
        <w:t xml:space="preserve">, where individuals </w:t>
      </w:r>
      <w:r>
        <w:t xml:space="preserve">grown </w:t>
      </w:r>
      <w:r w:rsidR="00532E28">
        <w:t>under</w:t>
      </w:r>
      <w:r>
        <w:t xml:space="preserve"> high nitrogen fertilization (</w:t>
      </w:r>
      <w:r w:rsidR="00A44260" w:rsidRPr="00A97B6C">
        <w:t>9.</w:t>
      </w:r>
      <w:r w:rsidR="00A747FF">
        <w:t>79</w:t>
      </w:r>
      <w:r w:rsidR="00A44260" w:rsidRPr="00A97B6C">
        <w:t xml:space="preserve"> </w:t>
      </w:r>
      <w:r w:rsidR="00A44260" w:rsidRPr="00A97B6C">
        <w:sym w:font="Symbol" w:char="F0B1"/>
      </w:r>
      <w:r w:rsidR="00A44260" w:rsidRPr="00A97B6C">
        <w:t xml:space="preserve"> 0.4</w:t>
      </w:r>
      <w:r w:rsidR="00A747FF">
        <w:t>6</w:t>
      </w:r>
      <w:r w:rsidR="00A44260" w:rsidRPr="00A97B6C">
        <w:t xml:space="preserve"> </w:t>
      </w:r>
      <w:r w:rsidR="00A44260" w:rsidRPr="00A97B6C">
        <w:rPr>
          <w:lang w:val="el-GR"/>
        </w:rPr>
        <w:t>μ</w:t>
      </w:r>
      <w:r w:rsidR="00A44260" w:rsidRPr="00A97B6C">
        <w:t>mol m</w:t>
      </w:r>
      <w:r w:rsidR="00A44260" w:rsidRPr="00A97B6C">
        <w:rPr>
          <w:vertAlign w:val="superscript"/>
        </w:rPr>
        <w:t>-2</w:t>
      </w:r>
      <w:r w:rsidR="00A44260" w:rsidRPr="00A97B6C">
        <w:t xml:space="preserve"> s</w:t>
      </w:r>
      <w:r w:rsidR="00A44260" w:rsidRPr="00A97B6C">
        <w:rPr>
          <w:vertAlign w:val="superscript"/>
        </w:rPr>
        <w:t>-1</w:t>
      </w:r>
      <w:r>
        <w:t xml:space="preserve">) had </w:t>
      </w:r>
      <w:r w:rsidR="00532E28">
        <w:t>20.</w:t>
      </w:r>
      <w:r w:rsidR="00A747FF">
        <w:t>8</w:t>
      </w:r>
      <w:r>
        <w:t>%</w:t>
      </w:r>
      <w:r w:rsidR="00A97B6C">
        <w:t xml:space="preserve"> </w:t>
      </w:r>
      <w:r>
        <w:t xml:space="preserve">lower </w:t>
      </w:r>
      <w:proofErr w:type="spellStart"/>
      <w:r>
        <w:rPr>
          <w:i/>
          <w:iCs/>
        </w:rPr>
        <w:t>A</w:t>
      </w:r>
      <w:r>
        <w:rPr>
          <w:vertAlign w:val="subscript"/>
        </w:rPr>
        <w:t>net</w:t>
      </w:r>
      <w:proofErr w:type="spellEnd"/>
      <w:r w:rsidR="00AA5502">
        <w:t xml:space="preserve"> </w:t>
      </w:r>
      <w:r>
        <w:t xml:space="preserve">than individuals </w:t>
      </w:r>
      <w:r w:rsidR="00532E28">
        <w:t>grown under</w:t>
      </w:r>
      <w:r>
        <w:t xml:space="preserve"> low nitrogen fertilization (</w:t>
      </w:r>
      <w:proofErr w:type="spellStart"/>
      <w:r w:rsidRPr="00532E28">
        <w:rPr>
          <w:i/>
          <w:iCs/>
        </w:rPr>
        <w:t>A</w:t>
      </w:r>
      <w:r w:rsidRPr="00532E28">
        <w:rPr>
          <w:vertAlign w:val="subscript"/>
        </w:rPr>
        <w:t>net</w:t>
      </w:r>
      <w:proofErr w:type="spellEnd"/>
      <w:r w:rsidRPr="00532E28">
        <w:t>:</w:t>
      </w:r>
      <w:r w:rsidR="00A44260" w:rsidRPr="00532E28">
        <w:t xml:space="preserve"> 12.</w:t>
      </w:r>
      <w:r w:rsidR="00A747FF">
        <w:t>36</w:t>
      </w:r>
      <w:r w:rsidR="00A44260" w:rsidRPr="00532E28">
        <w:t xml:space="preserve"> </w:t>
      </w:r>
      <w:r w:rsidR="00A44260" w:rsidRPr="00532E28">
        <w:sym w:font="Symbol" w:char="F0B1"/>
      </w:r>
      <w:r w:rsidR="00A44260" w:rsidRPr="00532E28">
        <w:t xml:space="preserve"> 0.4</w:t>
      </w:r>
      <w:r w:rsidR="00A747FF">
        <w:t>6</w:t>
      </w:r>
      <w:r w:rsidR="00A44260" w:rsidRPr="00532E28">
        <w:t xml:space="preserve"> </w:t>
      </w:r>
      <w:r w:rsidR="00A44260" w:rsidRPr="00532E28">
        <w:rPr>
          <w:lang w:val="el-GR"/>
        </w:rPr>
        <w:t>μ</w:t>
      </w:r>
      <w:r w:rsidR="00A44260" w:rsidRPr="00532E28">
        <w:t>mol m</w:t>
      </w:r>
      <w:r w:rsidR="00A44260" w:rsidRPr="00532E28">
        <w:rPr>
          <w:vertAlign w:val="superscript"/>
        </w:rPr>
        <w:t>-2</w:t>
      </w:r>
      <w:r w:rsidR="00532E28">
        <w:t xml:space="preserve"> </w:t>
      </w:r>
      <w:r w:rsidR="00A44260" w:rsidRPr="00532E28">
        <w:t>s</w:t>
      </w:r>
      <w:r w:rsidR="00A44260" w:rsidRPr="00532E28">
        <w:rPr>
          <w:vertAlign w:val="superscript"/>
        </w:rPr>
        <w:t>-1</w:t>
      </w:r>
      <w:r w:rsidRPr="00532E28">
        <w:t xml:space="preserve">; </w:t>
      </w:r>
      <w:r w:rsidR="00A44260" w:rsidRPr="00532E28">
        <w:t>Tukey: p</w:t>
      </w:r>
      <w:r w:rsidR="00AA5502" w:rsidRPr="00532E28">
        <w:t>&lt;0.0</w:t>
      </w:r>
      <w:r w:rsidR="00532E28" w:rsidRPr="00532E28">
        <w:t>01</w:t>
      </w:r>
      <w:r w:rsidRPr="00532E28">
        <w:t>).</w:t>
      </w:r>
      <w:r>
        <w:t xml:space="preserve"> </w:t>
      </w:r>
      <w:r w:rsidR="00A97B6C">
        <w:t xml:space="preserve">There was a marginal negative effect of </w:t>
      </w:r>
      <w:r w:rsidR="00532E28">
        <w:t xml:space="preserve">increasing </w:t>
      </w:r>
      <w:r w:rsidR="00A97B6C">
        <w:t xml:space="preserve">nitrogen fertilization on </w:t>
      </w:r>
      <w:r w:rsidR="00A97B6C" w:rsidRPr="002F0BBB">
        <w:rPr>
          <w:i/>
          <w:iCs/>
        </w:rPr>
        <w:t>V</w:t>
      </w:r>
      <w:r w:rsidR="00A97B6C" w:rsidRPr="002F0BBB">
        <w:rPr>
          <w:vertAlign w:val="subscript"/>
        </w:rPr>
        <w:t>cmax25</w:t>
      </w:r>
      <w:r w:rsidR="00532E28">
        <w:t xml:space="preserve">, but no observable </w:t>
      </w:r>
      <w:r w:rsidR="00A747FF">
        <w:t xml:space="preserve">fertilization </w:t>
      </w:r>
      <w:r w:rsidR="00532E28">
        <w:t xml:space="preserve">effect on </w:t>
      </w:r>
      <w:r w:rsidR="00AA5502">
        <w:rPr>
          <w:i/>
          <w:iCs/>
        </w:rPr>
        <w:t>J</w:t>
      </w:r>
      <w:r w:rsidR="00AA5502">
        <w:rPr>
          <w:vertAlign w:val="subscript"/>
        </w:rPr>
        <w:t>max25</w:t>
      </w:r>
      <w:r w:rsidR="00AA5502" w:rsidRPr="00AA5502">
        <w:t xml:space="preserve"> </w:t>
      </w:r>
      <w:r w:rsidR="00AA5502">
        <w:t xml:space="preserve">or </w:t>
      </w:r>
      <w:r w:rsidR="00AA5502" w:rsidRPr="002F0BBB">
        <w:rPr>
          <w:i/>
          <w:iCs/>
        </w:rPr>
        <w:t>J</w:t>
      </w:r>
      <w:r w:rsidR="00AA5502" w:rsidRPr="002F0BBB">
        <w:rPr>
          <w:vertAlign w:val="subscript"/>
        </w:rPr>
        <w:t>max25</w:t>
      </w:r>
      <w:r w:rsidR="00AA5502" w:rsidRPr="002F0BBB">
        <w:t>:</w:t>
      </w:r>
      <w:r w:rsidR="00AA5502" w:rsidRPr="002F0BBB">
        <w:rPr>
          <w:i/>
          <w:iCs/>
        </w:rPr>
        <w:t xml:space="preserve"> V</w:t>
      </w:r>
      <w:r w:rsidR="00AA5502" w:rsidRPr="002F0BBB">
        <w:rPr>
          <w:vertAlign w:val="subscript"/>
        </w:rPr>
        <w:t>cmax25</w:t>
      </w:r>
      <w:r w:rsidR="00AA5502">
        <w:t xml:space="preserve"> (Table 3; Fig. 2C). </w:t>
      </w:r>
      <w:r w:rsidR="00532E28">
        <w:t xml:space="preserve">There was </w:t>
      </w:r>
      <w:r w:rsidR="00A747FF">
        <w:t xml:space="preserve">also no </w:t>
      </w:r>
      <w:r w:rsidR="00532E28">
        <w:t xml:space="preserve">effect of inoculation or any interaction between fertilization and inoculation on </w:t>
      </w:r>
      <w:proofErr w:type="spellStart"/>
      <w:r w:rsidR="002F0BBB">
        <w:rPr>
          <w:i/>
          <w:iCs/>
        </w:rPr>
        <w:t>A</w:t>
      </w:r>
      <w:r w:rsidR="002F0BBB">
        <w:rPr>
          <w:vertAlign w:val="subscript"/>
        </w:rPr>
        <w:t>net</w:t>
      </w:r>
      <w:proofErr w:type="spellEnd"/>
      <w:r w:rsidR="00AA5502">
        <w:t>,</w:t>
      </w:r>
      <w:r w:rsidR="002F0BBB">
        <w:t xml:space="preserve"> </w:t>
      </w:r>
      <w:r w:rsidR="002F0BBB">
        <w:rPr>
          <w:i/>
          <w:iCs/>
        </w:rPr>
        <w:t>V</w:t>
      </w:r>
      <w:r w:rsidR="002F0BBB">
        <w:rPr>
          <w:vertAlign w:val="subscript"/>
        </w:rPr>
        <w:t>cmax25</w:t>
      </w:r>
      <w:r w:rsidR="00AA5502">
        <w:t xml:space="preserve">, </w:t>
      </w:r>
      <w:r w:rsidR="00AA5502" w:rsidRPr="002F0BBB">
        <w:rPr>
          <w:i/>
          <w:iCs/>
        </w:rPr>
        <w:t>J</w:t>
      </w:r>
      <w:r w:rsidR="00AA5502" w:rsidRPr="002F0BBB">
        <w:rPr>
          <w:vertAlign w:val="subscript"/>
        </w:rPr>
        <w:t>max25</w:t>
      </w:r>
      <w:r w:rsidR="00AA5502" w:rsidRPr="002F0BBB">
        <w:t>:</w:t>
      </w:r>
      <w:r w:rsidR="00AA5502" w:rsidRPr="002F0BBB">
        <w:rPr>
          <w:i/>
          <w:iCs/>
        </w:rPr>
        <w:t xml:space="preserve"> V</w:t>
      </w:r>
      <w:r w:rsidR="00AA5502" w:rsidRPr="002F0BBB">
        <w:rPr>
          <w:vertAlign w:val="subscript"/>
        </w:rPr>
        <w:t>cmax25</w:t>
      </w:r>
      <w:r w:rsidR="008D46B4">
        <w:t xml:space="preserve">, </w:t>
      </w:r>
      <w:r w:rsidR="00A747FF">
        <w:t>but there was</w:t>
      </w:r>
      <w:r w:rsidR="008D46B4">
        <w:t xml:space="preserve"> a marginal positive effect of inoculation on </w:t>
      </w:r>
      <w:r w:rsidR="00AA5502">
        <w:rPr>
          <w:i/>
          <w:iCs/>
        </w:rPr>
        <w:t>J</w:t>
      </w:r>
      <w:r w:rsidR="00AA5502">
        <w:rPr>
          <w:vertAlign w:val="subscript"/>
        </w:rPr>
        <w:t>max25</w:t>
      </w:r>
      <w:r w:rsidR="00AA5502">
        <w:t xml:space="preserve"> </w:t>
      </w:r>
      <w:r w:rsidR="003873F0">
        <w:t xml:space="preserve">(Table </w:t>
      </w:r>
      <w:r w:rsidR="0048004A">
        <w:t>3</w:t>
      </w:r>
      <w:r w:rsidR="003873F0">
        <w:t xml:space="preserve">; Fig. </w:t>
      </w:r>
      <w:r w:rsidR="00055528">
        <w:t>2A-C</w:t>
      </w:r>
      <w:r w:rsidR="003873F0">
        <w:t>).</w:t>
      </w:r>
    </w:p>
    <w:p w14:paraId="04A094B1" w14:textId="77777777" w:rsidR="00DB3A79" w:rsidRDefault="00BD310E" w:rsidP="00DB3A79">
      <w:pPr>
        <w:spacing w:line="360" w:lineRule="auto"/>
        <w:ind w:firstLine="720"/>
      </w:pPr>
      <w:r>
        <w:rPr>
          <w:i/>
          <w:iCs/>
        </w:rPr>
        <w:t>R</w:t>
      </w:r>
      <w:r>
        <w:rPr>
          <w:vertAlign w:val="subscript"/>
        </w:rPr>
        <w:t>d25</w:t>
      </w:r>
      <w:r>
        <w:t xml:space="preserve"> w</w:t>
      </w:r>
      <w:r w:rsidR="00E372EE">
        <w:t>as</w:t>
      </w:r>
      <w:r>
        <w:t xml:space="preserve"> </w:t>
      </w:r>
      <w:r w:rsidR="00E372EE">
        <w:t>determined through</w:t>
      </w:r>
      <w:r>
        <w:t xml:space="preserve"> a weak</w:t>
      </w:r>
      <w:r w:rsidR="00E372EE">
        <w:t xml:space="preserve"> </w:t>
      </w:r>
      <w:r>
        <w:t xml:space="preserve">interaction between nitrogen fertilization and inoculation </w:t>
      </w:r>
      <w:r w:rsidR="00055528">
        <w:t xml:space="preserve">(Table </w:t>
      </w:r>
      <w:r w:rsidR="0048004A">
        <w:t>3</w:t>
      </w:r>
      <w:r w:rsidR="00055528">
        <w:t>; Fig. 2D)</w:t>
      </w:r>
      <w:r>
        <w:t xml:space="preserve">. </w:t>
      </w:r>
      <w:r w:rsidR="00FE6DAB">
        <w:t>This interaction indicated that inoculated individuals grown under high nitrogen fertilization (</w:t>
      </w:r>
      <w:r w:rsidR="008E75B9">
        <w:t xml:space="preserve">0.81 </w:t>
      </w:r>
      <w:r w:rsidR="008E75B9" w:rsidRPr="008E75B9">
        <w:sym w:font="Symbol" w:char="F0B1"/>
      </w:r>
      <w:r w:rsidR="008E75B9" w:rsidRPr="008E75B9">
        <w:t xml:space="preserve"> 0.07 </w:t>
      </w:r>
      <w:r w:rsidR="00FE6DAB" w:rsidRPr="008E75B9">
        <w:rPr>
          <w:lang w:val="el-GR"/>
        </w:rPr>
        <w:t>μ</w:t>
      </w:r>
      <w:r w:rsidR="00FE6DAB" w:rsidRPr="008E75B9">
        <w:t>mol m</w:t>
      </w:r>
      <w:r w:rsidR="00FE6DAB" w:rsidRPr="008E75B9">
        <w:rPr>
          <w:vertAlign w:val="superscript"/>
        </w:rPr>
        <w:t>-2</w:t>
      </w:r>
      <w:r w:rsidR="00FE6DAB" w:rsidRPr="008E75B9">
        <w:t xml:space="preserve"> s</w:t>
      </w:r>
      <w:r w:rsidR="00FE6DAB" w:rsidRPr="008E75B9">
        <w:rPr>
          <w:vertAlign w:val="superscript"/>
        </w:rPr>
        <w:t>-1</w:t>
      </w:r>
      <w:r w:rsidR="00FE6DAB">
        <w:t xml:space="preserve">) had </w:t>
      </w:r>
      <w:r w:rsidR="008E75B9">
        <w:t>47.2</w:t>
      </w:r>
      <w:r w:rsidR="00FE6DAB">
        <w:t xml:space="preserve">% higher </w:t>
      </w:r>
      <w:r w:rsidR="00FE6DAB">
        <w:rPr>
          <w:i/>
          <w:iCs/>
        </w:rPr>
        <w:t>R</w:t>
      </w:r>
      <w:r w:rsidR="00FE6DAB">
        <w:rPr>
          <w:vertAlign w:val="subscript"/>
        </w:rPr>
        <w:t>d25</w:t>
      </w:r>
      <w:r w:rsidR="00FE6DAB">
        <w:t xml:space="preserve"> values than inoculated individuals grown under low nitrogen fertilization (</w:t>
      </w:r>
      <w:r w:rsidR="008E75B9">
        <w:t xml:space="preserve">0.55 </w:t>
      </w:r>
      <w:r w:rsidR="008E75B9" w:rsidRPr="008E75B9">
        <w:sym w:font="Symbol" w:char="F0B1"/>
      </w:r>
      <w:r w:rsidR="008E75B9" w:rsidRPr="008E75B9">
        <w:t xml:space="preserve"> 0.04 </w:t>
      </w:r>
      <w:r w:rsidR="00FE6DAB" w:rsidRPr="008E75B9">
        <w:rPr>
          <w:lang w:val="el-GR"/>
        </w:rPr>
        <w:t>μ</w:t>
      </w:r>
      <w:r w:rsidR="00FE6DAB" w:rsidRPr="008E75B9">
        <w:t>mol m</w:t>
      </w:r>
      <w:r w:rsidR="00FE6DAB" w:rsidRPr="008E75B9">
        <w:rPr>
          <w:vertAlign w:val="superscript"/>
        </w:rPr>
        <w:t>-2</w:t>
      </w:r>
      <w:r w:rsidR="00FE6DAB" w:rsidRPr="008E75B9">
        <w:t xml:space="preserve"> s</w:t>
      </w:r>
      <w:r w:rsidR="00FE6DAB" w:rsidRPr="008E75B9">
        <w:rPr>
          <w:vertAlign w:val="superscript"/>
        </w:rPr>
        <w:t>-1</w:t>
      </w:r>
      <w:r w:rsidR="00FE6DAB">
        <w:t>; Tukey: p=</w:t>
      </w:r>
      <w:r w:rsidR="008E75B9">
        <w:t>0.004</w:t>
      </w:r>
      <w:r w:rsidR="00FE6DAB">
        <w:t>), with no fertilization effect observed in non-inoculated individuals</w:t>
      </w:r>
      <w:r w:rsidR="002F0BBB" w:rsidRPr="00D634C4">
        <w:t xml:space="preserve"> (Tukey: p=0.956).</w:t>
      </w:r>
      <w:r w:rsidR="00DB3A79">
        <w:t xml:space="preserve"> </w:t>
      </w:r>
    </w:p>
    <w:p w14:paraId="457C183A" w14:textId="35826C4D" w:rsidR="0045096E" w:rsidRDefault="00B877FE" w:rsidP="00DB3A79">
      <w:pPr>
        <w:spacing w:line="360" w:lineRule="auto"/>
        <w:ind w:firstLine="720"/>
      </w:pPr>
      <w:r>
        <w:t xml:space="preserve">We also observed a marginal interaction between fertilization and inoculation on </w:t>
      </w:r>
      <w:r w:rsidRPr="00D634C4">
        <w:rPr>
          <w:i/>
          <w:iCs/>
        </w:rPr>
        <w:t>R</w:t>
      </w:r>
      <w:r w:rsidRPr="00D634C4">
        <w:rPr>
          <w:vertAlign w:val="subscript"/>
        </w:rPr>
        <w:t>d25</w:t>
      </w:r>
      <w:r w:rsidRPr="00D634C4">
        <w:t>:</w:t>
      </w:r>
      <w:r>
        <w:t xml:space="preserve"> </w:t>
      </w:r>
      <w:r w:rsidRPr="00D634C4">
        <w:rPr>
          <w:i/>
          <w:iCs/>
        </w:rPr>
        <w:t>V</w:t>
      </w:r>
      <w:r w:rsidRPr="00D634C4">
        <w:rPr>
          <w:vertAlign w:val="subscript"/>
        </w:rPr>
        <w:t>cmax25</w:t>
      </w:r>
      <w:r>
        <w:t xml:space="preserve"> (Table 3).</w:t>
      </w:r>
      <w:r>
        <w:t xml:space="preserve"> This interaction indicated that in</w:t>
      </w:r>
      <w:r w:rsidR="00DB3A79">
        <w:t xml:space="preserve">oculated individuals growing under high nitrogen fertilization (0.0163 </w:t>
      </w:r>
      <w:r w:rsidR="00DB3A79" w:rsidRPr="008E75B9">
        <w:sym w:font="Symbol" w:char="F0B1"/>
      </w:r>
      <w:r w:rsidR="00DB3A79">
        <w:t xml:space="preserve"> 0.0015) had 66.3% higher </w:t>
      </w:r>
      <w:r w:rsidR="00DB3A79" w:rsidRPr="00D634C4">
        <w:rPr>
          <w:i/>
          <w:iCs/>
        </w:rPr>
        <w:t>R</w:t>
      </w:r>
      <w:r w:rsidR="00DB3A79" w:rsidRPr="00D634C4">
        <w:rPr>
          <w:vertAlign w:val="subscript"/>
        </w:rPr>
        <w:t>d25</w:t>
      </w:r>
      <w:r w:rsidR="00DB3A79" w:rsidRPr="00D634C4">
        <w:t>:</w:t>
      </w:r>
      <w:r w:rsidR="00DB3A79">
        <w:t xml:space="preserve"> </w:t>
      </w:r>
      <w:r w:rsidR="00DB3A79" w:rsidRPr="00D634C4">
        <w:rPr>
          <w:i/>
          <w:iCs/>
        </w:rPr>
        <w:t>V</w:t>
      </w:r>
      <w:r w:rsidR="00DB3A79" w:rsidRPr="00D634C4">
        <w:rPr>
          <w:vertAlign w:val="subscript"/>
        </w:rPr>
        <w:t>cmax25</w:t>
      </w:r>
      <w:r w:rsidR="00DB3A79">
        <w:t xml:space="preserve"> than inoculated individuals growing under low nitrogen fertilization (0.0098 </w:t>
      </w:r>
      <w:r w:rsidR="00DB3A79" w:rsidRPr="008E75B9">
        <w:sym w:font="Symbol" w:char="F0B1"/>
      </w:r>
      <w:r w:rsidR="00DB3A79">
        <w:t xml:space="preserve"> 0.0015; Tukey: p=0.004), with no fertilization effect observed in non-inoculated individuals (Tukey: p=0.770). Additionally, increasing nitrogen fertilization had a positive effect on </w:t>
      </w:r>
      <w:r w:rsidR="0045096E" w:rsidRPr="00D634C4">
        <w:rPr>
          <w:i/>
          <w:iCs/>
        </w:rPr>
        <w:t>R</w:t>
      </w:r>
      <w:r w:rsidR="0045096E" w:rsidRPr="00D634C4">
        <w:rPr>
          <w:vertAlign w:val="subscript"/>
        </w:rPr>
        <w:t>d25</w:t>
      </w:r>
      <w:r w:rsidR="0045096E" w:rsidRPr="00D634C4">
        <w:t>:</w:t>
      </w:r>
      <w:r w:rsidR="0045096E">
        <w:t xml:space="preserve"> </w:t>
      </w:r>
      <w:r w:rsidR="0045096E" w:rsidRPr="00D634C4">
        <w:rPr>
          <w:i/>
          <w:iCs/>
        </w:rPr>
        <w:t>V</w:t>
      </w:r>
      <w:r w:rsidR="0045096E" w:rsidRPr="00D634C4">
        <w:rPr>
          <w:vertAlign w:val="subscript"/>
        </w:rPr>
        <w:t>cmax25</w:t>
      </w:r>
      <w:r w:rsidR="0045096E">
        <w:t xml:space="preserve"> (Table 3)</w:t>
      </w:r>
      <w:r w:rsidR="00DB3A79">
        <w:t>, where individuals grown under high nitrogen fertilization</w:t>
      </w:r>
      <w:r w:rsidR="0045096E">
        <w:t xml:space="preserve"> (</w:t>
      </w:r>
      <w:r>
        <w:t xml:space="preserve">0.0146 </w:t>
      </w:r>
      <w:r w:rsidR="0045096E" w:rsidRPr="008E75B9">
        <w:sym w:font="Symbol" w:char="F0B1"/>
      </w:r>
      <w:r w:rsidR="0045096E">
        <w:t xml:space="preserve"> 0.001</w:t>
      </w:r>
      <w:r>
        <w:t>2</w:t>
      </w:r>
      <w:r w:rsidR="0045096E">
        <w:t xml:space="preserve">) had </w:t>
      </w:r>
      <w:r w:rsidR="00DB3A79">
        <w:t>40.3</w:t>
      </w:r>
      <w:r w:rsidR="0045096E">
        <w:t xml:space="preserve">% higher </w:t>
      </w:r>
      <w:r w:rsidR="0045096E" w:rsidRPr="00D634C4">
        <w:rPr>
          <w:i/>
          <w:iCs/>
        </w:rPr>
        <w:t>R</w:t>
      </w:r>
      <w:r w:rsidR="0045096E" w:rsidRPr="00D634C4">
        <w:rPr>
          <w:vertAlign w:val="subscript"/>
        </w:rPr>
        <w:t>d25</w:t>
      </w:r>
      <w:r w:rsidR="0045096E" w:rsidRPr="00D634C4">
        <w:t>:</w:t>
      </w:r>
      <w:r w:rsidR="0045096E">
        <w:t xml:space="preserve"> </w:t>
      </w:r>
      <w:r w:rsidR="0045096E" w:rsidRPr="00D634C4">
        <w:rPr>
          <w:i/>
          <w:iCs/>
        </w:rPr>
        <w:t>V</w:t>
      </w:r>
      <w:r w:rsidR="0045096E" w:rsidRPr="00D634C4">
        <w:rPr>
          <w:vertAlign w:val="subscript"/>
        </w:rPr>
        <w:t>cmax25</w:t>
      </w:r>
      <w:r w:rsidR="0045096E">
        <w:t xml:space="preserve"> than those grown under </w:t>
      </w:r>
      <w:r>
        <w:t>low</w:t>
      </w:r>
      <w:r w:rsidR="0045096E">
        <w:t xml:space="preserve"> nitrogen fertilization (0.01</w:t>
      </w:r>
      <w:r>
        <w:t>04</w:t>
      </w:r>
      <w:r w:rsidR="0045096E">
        <w:t xml:space="preserve"> </w:t>
      </w:r>
      <w:r w:rsidR="0045096E" w:rsidRPr="008E75B9">
        <w:sym w:font="Symbol" w:char="F0B1"/>
      </w:r>
      <w:r w:rsidR="0045096E">
        <w:t xml:space="preserve"> 0.001</w:t>
      </w:r>
      <w:r>
        <w:t>2</w:t>
      </w:r>
      <w:r w:rsidR="0045096E">
        <w:t>; Tukey: p=0.00</w:t>
      </w:r>
      <w:r>
        <w:t>3</w:t>
      </w:r>
      <w:r w:rsidR="0045096E">
        <w:t xml:space="preserve">). There was no </w:t>
      </w:r>
      <w:r w:rsidR="00DB3A79">
        <w:t xml:space="preserve">individual </w:t>
      </w:r>
      <w:r w:rsidR="0045096E">
        <w:t>inoculation</w:t>
      </w:r>
      <w:r w:rsidR="00DB3A79">
        <w:t xml:space="preserve"> effect</w:t>
      </w:r>
      <w:r w:rsidR="0045096E">
        <w:t xml:space="preserve"> on </w:t>
      </w:r>
      <w:r w:rsidR="0045096E" w:rsidRPr="00D634C4">
        <w:rPr>
          <w:i/>
          <w:iCs/>
        </w:rPr>
        <w:t>R</w:t>
      </w:r>
      <w:r w:rsidR="0045096E" w:rsidRPr="00D634C4">
        <w:rPr>
          <w:vertAlign w:val="subscript"/>
        </w:rPr>
        <w:t>d25</w:t>
      </w:r>
      <w:r w:rsidR="0045096E" w:rsidRPr="00D634C4">
        <w:t>:</w:t>
      </w:r>
      <w:r w:rsidR="0045096E">
        <w:t xml:space="preserve"> </w:t>
      </w:r>
      <w:r w:rsidR="0045096E" w:rsidRPr="00D634C4">
        <w:rPr>
          <w:i/>
          <w:iCs/>
        </w:rPr>
        <w:t>V</w:t>
      </w:r>
      <w:r w:rsidR="0045096E" w:rsidRPr="00D634C4">
        <w:rPr>
          <w:vertAlign w:val="subscript"/>
        </w:rPr>
        <w:t>cmax25</w:t>
      </w:r>
      <w:r w:rsidR="0045096E">
        <w:t xml:space="preserve"> (Table 3).</w:t>
      </w:r>
    </w:p>
    <w:p w14:paraId="596B3EE4" w14:textId="24CE75C9" w:rsidR="00E372EE" w:rsidRPr="00F00703" w:rsidRDefault="004654D8" w:rsidP="004654D8">
      <w:pPr>
        <w:spacing w:line="360" w:lineRule="auto"/>
        <w:ind w:firstLine="720"/>
      </w:pPr>
      <w:r>
        <w:t xml:space="preserve">Increasing nitrogen fertilization generally decreased </w:t>
      </w:r>
      <w:proofErr w:type="spellStart"/>
      <w:proofErr w:type="gramStart"/>
      <w:r>
        <w:rPr>
          <w:i/>
          <w:iCs/>
        </w:rPr>
        <w:t>g</w:t>
      </w:r>
      <w:r>
        <w:rPr>
          <w:vertAlign w:val="subscript"/>
        </w:rPr>
        <w:t>s</w:t>
      </w:r>
      <w:proofErr w:type="spellEnd"/>
      <w:r>
        <w:t>, but</w:t>
      </w:r>
      <w:proofErr w:type="gramEnd"/>
      <w:r>
        <w:t xml:space="preserve"> did not change </w:t>
      </w:r>
      <w:r w:rsidR="00792D5B">
        <w:rPr>
          <w:i/>
          <w:iCs/>
        </w:rPr>
        <w:t>C</w:t>
      </w:r>
      <w:r w:rsidR="00792D5B">
        <w:rPr>
          <w:vertAlign w:val="subscript"/>
        </w:rPr>
        <w:t>i</w:t>
      </w:r>
      <w:r w:rsidR="00792D5B">
        <w:t xml:space="preserve">: </w:t>
      </w:r>
      <w:r w:rsidR="00792D5B">
        <w:rPr>
          <w:i/>
          <w:iCs/>
        </w:rPr>
        <w:t>C</w:t>
      </w:r>
      <w:r w:rsidR="00792D5B">
        <w:rPr>
          <w:vertAlign w:val="subscript"/>
        </w:rPr>
        <w:t>a</w:t>
      </w:r>
      <w:r w:rsidR="008C398A">
        <w:t xml:space="preserve"> </w:t>
      </w:r>
      <w:r w:rsidR="00021BEB">
        <w:t xml:space="preserve">(Table </w:t>
      </w:r>
      <w:r w:rsidR="0048004A">
        <w:t>3</w:t>
      </w:r>
      <w:r w:rsidR="00021BEB">
        <w:t>).</w:t>
      </w:r>
      <w:r w:rsidR="0045096E">
        <w:t xml:space="preserve"> Specifically, individuals grown under high nitrogen fertilization (</w:t>
      </w:r>
      <w:r w:rsidR="00C4618D">
        <w:t>0.13</w:t>
      </w:r>
      <w:r w:rsidR="00EF1D97">
        <w:t>2</w:t>
      </w:r>
      <w:r w:rsidR="00C4618D">
        <w:t xml:space="preserve"> </w:t>
      </w:r>
      <w:r w:rsidR="00C4618D" w:rsidRPr="008E75B9">
        <w:sym w:font="Symbol" w:char="F0B1"/>
      </w:r>
      <w:r w:rsidR="00C4618D">
        <w:t xml:space="preserve"> 0.</w:t>
      </w:r>
      <w:r>
        <w:t>009</w:t>
      </w:r>
      <w:r w:rsidR="00C4618D">
        <w:t xml:space="preserve"> mol m</w:t>
      </w:r>
      <w:r w:rsidR="00C4618D">
        <w:rPr>
          <w:vertAlign w:val="superscript"/>
        </w:rPr>
        <w:t>-2</w:t>
      </w:r>
      <w:r w:rsidR="00C4618D">
        <w:t xml:space="preserve"> s</w:t>
      </w:r>
      <w:r w:rsidR="00C4618D">
        <w:rPr>
          <w:vertAlign w:val="superscript"/>
        </w:rPr>
        <w:t>-1</w:t>
      </w:r>
      <w:r w:rsidR="0045096E">
        <w:t xml:space="preserve">) had </w:t>
      </w:r>
      <w:r>
        <w:t>2</w:t>
      </w:r>
      <w:r w:rsidR="00EF1D97">
        <w:t>2.8</w:t>
      </w:r>
      <w:r w:rsidR="0045096E">
        <w:t xml:space="preserve">% lower </w:t>
      </w:r>
      <w:proofErr w:type="spellStart"/>
      <w:r w:rsidR="0045096E">
        <w:rPr>
          <w:i/>
          <w:iCs/>
        </w:rPr>
        <w:t>g</w:t>
      </w:r>
      <w:r w:rsidR="0045096E">
        <w:rPr>
          <w:vertAlign w:val="subscript"/>
        </w:rPr>
        <w:t>s</w:t>
      </w:r>
      <w:proofErr w:type="spellEnd"/>
      <w:r w:rsidR="0045096E">
        <w:t xml:space="preserve"> than those grown under low nitrogen fertilization (</w:t>
      </w:r>
      <w:r w:rsidR="00C4618D">
        <w:t>0.</w:t>
      </w:r>
      <w:r>
        <w:t>1</w:t>
      </w:r>
      <w:r w:rsidR="00EF1D97">
        <w:t>71</w:t>
      </w:r>
      <w:r w:rsidR="00C4618D">
        <w:t xml:space="preserve"> </w:t>
      </w:r>
      <w:r w:rsidR="00C4618D" w:rsidRPr="008E75B9">
        <w:sym w:font="Symbol" w:char="F0B1"/>
      </w:r>
      <w:r w:rsidR="00C4618D">
        <w:t xml:space="preserve"> 0.01</w:t>
      </w:r>
      <w:r>
        <w:t>0</w:t>
      </w:r>
      <w:r w:rsidR="00C4618D">
        <w:t xml:space="preserve"> mol m</w:t>
      </w:r>
      <w:r w:rsidR="00C4618D">
        <w:rPr>
          <w:vertAlign w:val="superscript"/>
        </w:rPr>
        <w:t>-2</w:t>
      </w:r>
      <w:r w:rsidR="00C4618D">
        <w:t xml:space="preserve"> s</w:t>
      </w:r>
      <w:r w:rsidR="00C4618D">
        <w:rPr>
          <w:vertAlign w:val="superscript"/>
        </w:rPr>
        <w:t>-1</w:t>
      </w:r>
      <w:r w:rsidR="0045096E">
        <w:t>), respectively (Tukey: p</w:t>
      </w:r>
      <w:r>
        <w:t>=</w:t>
      </w:r>
      <w:r w:rsidR="00C4618D">
        <w:t>0.00</w:t>
      </w:r>
      <w:r>
        <w:t>2</w:t>
      </w:r>
      <w:r w:rsidR="0045096E">
        <w:t>). There was no effect of inoculation or any observable interaction between nitrogen fertilization and inoculation on either response variable (Table 3).</w:t>
      </w:r>
    </w:p>
    <w:p w14:paraId="6C6FB8B6" w14:textId="77777777" w:rsidR="009C62F2" w:rsidRPr="009C62F2" w:rsidRDefault="009C62F2" w:rsidP="00A85036">
      <w:pPr>
        <w:spacing w:line="480" w:lineRule="auto"/>
      </w:pPr>
    </w:p>
    <w:p w14:paraId="212B52C6" w14:textId="77777777" w:rsidR="007A2F1C" w:rsidRDefault="007A2F1C" w:rsidP="00A85036">
      <w:pPr>
        <w:spacing w:line="480" w:lineRule="auto"/>
        <w:sectPr w:rsidR="007A2F1C" w:rsidSect="004C3C71">
          <w:pgSz w:w="12240" w:h="15840"/>
          <w:pgMar w:top="1440" w:right="1440" w:bottom="1440" w:left="1440" w:header="720" w:footer="720" w:gutter="0"/>
          <w:lnNumType w:countBy="1" w:restart="continuous"/>
          <w:cols w:space="720"/>
          <w:docGrid w:linePitch="360"/>
        </w:sectPr>
      </w:pPr>
    </w:p>
    <w:p w14:paraId="359C997A" w14:textId="298E2962" w:rsidR="008D6E2F" w:rsidRDefault="007A2F1C" w:rsidP="00A754EC">
      <w:pPr>
        <w:spacing w:line="360" w:lineRule="auto"/>
      </w:pPr>
      <w:r>
        <w:rPr>
          <w:b/>
          <w:bCs/>
        </w:rPr>
        <w:lastRenderedPageBreak/>
        <w:t xml:space="preserve">Table </w:t>
      </w:r>
      <w:r w:rsidR="00EB0C0F">
        <w:rPr>
          <w:b/>
          <w:bCs/>
        </w:rPr>
        <w:t>3</w:t>
      </w:r>
      <w:r>
        <w:t xml:space="preserve"> Analysis of variance results exploring effect of soil nitrogen </w:t>
      </w:r>
      <w:r w:rsidR="0033651D">
        <w:t xml:space="preserve">fertilization, inoculation with </w:t>
      </w:r>
      <w:r w:rsidR="0033651D">
        <w:rPr>
          <w:i/>
          <w:iCs/>
        </w:rPr>
        <w:t>B. japonicum</w:t>
      </w:r>
      <w:r w:rsidR="0033651D">
        <w:t>, and interactions between soil nitrogen fertilization and inoculation on leaf photosynthesis and gas exchange</w:t>
      </w:r>
      <w:r>
        <w:t>*</w:t>
      </w:r>
    </w:p>
    <w:tbl>
      <w:tblPr>
        <w:tblStyle w:val="TableGridLight"/>
        <w:tblW w:w="12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36"/>
        <w:gridCol w:w="996"/>
        <w:gridCol w:w="1012"/>
        <w:gridCol w:w="996"/>
        <w:gridCol w:w="1013"/>
        <w:gridCol w:w="996"/>
        <w:gridCol w:w="1013"/>
        <w:gridCol w:w="996"/>
        <w:gridCol w:w="1013"/>
        <w:gridCol w:w="996"/>
        <w:gridCol w:w="876"/>
      </w:tblGrid>
      <w:tr w:rsidR="004B1EA4" w:rsidRPr="009515D2" w14:paraId="7869E195" w14:textId="77777777" w:rsidTr="004B1EA4">
        <w:tc>
          <w:tcPr>
            <w:tcW w:w="2516" w:type="dxa"/>
            <w:gridSpan w:val="2"/>
            <w:tcBorders>
              <w:bottom w:val="single" w:sz="4" w:space="0" w:color="auto"/>
            </w:tcBorders>
          </w:tcPr>
          <w:p w14:paraId="440F8845" w14:textId="77777777" w:rsidR="004B1EA4" w:rsidRPr="009515D2" w:rsidRDefault="004B1EA4" w:rsidP="00A85036">
            <w:pPr>
              <w:spacing w:line="276" w:lineRule="auto"/>
              <w:rPr>
                <w:b/>
                <w:bCs/>
                <w:sz w:val="22"/>
                <w:szCs w:val="22"/>
              </w:rPr>
            </w:pPr>
          </w:p>
        </w:tc>
        <w:tc>
          <w:tcPr>
            <w:tcW w:w="2008" w:type="dxa"/>
            <w:gridSpan w:val="2"/>
            <w:tcBorders>
              <w:bottom w:val="single" w:sz="4" w:space="0" w:color="auto"/>
            </w:tcBorders>
          </w:tcPr>
          <w:p w14:paraId="22EB8E91" w14:textId="06A22E57" w:rsidR="004B1EA4" w:rsidRPr="009515D2" w:rsidRDefault="004B1EA4" w:rsidP="00A85036">
            <w:pPr>
              <w:spacing w:line="276" w:lineRule="auto"/>
              <w:jc w:val="right"/>
              <w:rPr>
                <w:b/>
                <w:bCs/>
                <w:sz w:val="22"/>
                <w:szCs w:val="22"/>
                <w:vertAlign w:val="subscript"/>
              </w:rPr>
            </w:pPr>
            <w:proofErr w:type="spellStart"/>
            <w:r w:rsidRPr="009515D2">
              <w:rPr>
                <w:b/>
                <w:bCs/>
                <w:i/>
                <w:iCs/>
                <w:sz w:val="22"/>
                <w:szCs w:val="22"/>
              </w:rPr>
              <w:t>A</w:t>
            </w:r>
            <w:r w:rsidRPr="009515D2">
              <w:rPr>
                <w:b/>
                <w:bCs/>
                <w:sz w:val="22"/>
                <w:szCs w:val="22"/>
                <w:vertAlign w:val="subscript"/>
              </w:rPr>
              <w:t>net</w:t>
            </w:r>
            <w:proofErr w:type="spellEnd"/>
          </w:p>
        </w:tc>
        <w:tc>
          <w:tcPr>
            <w:tcW w:w="2009" w:type="dxa"/>
            <w:gridSpan w:val="2"/>
            <w:tcBorders>
              <w:bottom w:val="single" w:sz="4" w:space="0" w:color="auto"/>
            </w:tcBorders>
          </w:tcPr>
          <w:p w14:paraId="41C91FCD" w14:textId="77777777" w:rsidR="004B1EA4" w:rsidRPr="009515D2" w:rsidRDefault="004B1EA4" w:rsidP="00A85036">
            <w:pPr>
              <w:spacing w:line="276" w:lineRule="auto"/>
              <w:jc w:val="right"/>
              <w:rPr>
                <w:b/>
                <w:bCs/>
                <w:sz w:val="22"/>
                <w:szCs w:val="22"/>
                <w:vertAlign w:val="subscript"/>
              </w:rPr>
            </w:pPr>
            <w:r w:rsidRPr="009515D2">
              <w:rPr>
                <w:b/>
                <w:bCs/>
                <w:i/>
                <w:iCs/>
                <w:sz w:val="22"/>
                <w:szCs w:val="22"/>
              </w:rPr>
              <w:t>V</w:t>
            </w:r>
            <w:r w:rsidRPr="009515D2">
              <w:rPr>
                <w:b/>
                <w:bCs/>
                <w:sz w:val="22"/>
                <w:szCs w:val="22"/>
                <w:vertAlign w:val="subscript"/>
              </w:rPr>
              <w:t>cmax25</w:t>
            </w:r>
          </w:p>
        </w:tc>
        <w:tc>
          <w:tcPr>
            <w:tcW w:w="2009" w:type="dxa"/>
            <w:gridSpan w:val="2"/>
            <w:tcBorders>
              <w:bottom w:val="single" w:sz="4" w:space="0" w:color="auto"/>
            </w:tcBorders>
          </w:tcPr>
          <w:p w14:paraId="5BD5CE1E" w14:textId="77777777" w:rsidR="004B1EA4" w:rsidRPr="009515D2" w:rsidRDefault="004B1EA4" w:rsidP="00A85036">
            <w:pPr>
              <w:spacing w:line="276" w:lineRule="auto"/>
              <w:jc w:val="right"/>
              <w:rPr>
                <w:b/>
                <w:bCs/>
                <w:sz w:val="22"/>
                <w:szCs w:val="22"/>
                <w:vertAlign w:val="subscript"/>
              </w:rPr>
            </w:pPr>
            <w:r w:rsidRPr="009515D2">
              <w:rPr>
                <w:b/>
                <w:bCs/>
                <w:i/>
                <w:iCs/>
                <w:sz w:val="22"/>
                <w:szCs w:val="22"/>
              </w:rPr>
              <w:t>J</w:t>
            </w:r>
            <w:r w:rsidRPr="009515D2">
              <w:rPr>
                <w:b/>
                <w:bCs/>
                <w:sz w:val="22"/>
                <w:szCs w:val="22"/>
                <w:vertAlign w:val="subscript"/>
              </w:rPr>
              <w:t>max25</w:t>
            </w:r>
          </w:p>
        </w:tc>
        <w:tc>
          <w:tcPr>
            <w:tcW w:w="2009" w:type="dxa"/>
            <w:gridSpan w:val="2"/>
            <w:tcBorders>
              <w:bottom w:val="single" w:sz="4" w:space="0" w:color="auto"/>
            </w:tcBorders>
          </w:tcPr>
          <w:p w14:paraId="34513C27" w14:textId="77777777" w:rsidR="004B1EA4" w:rsidRPr="009515D2" w:rsidRDefault="004B1EA4" w:rsidP="00A85036">
            <w:pPr>
              <w:spacing w:line="276" w:lineRule="auto"/>
              <w:jc w:val="right"/>
              <w:rPr>
                <w:b/>
                <w:bCs/>
                <w:sz w:val="22"/>
                <w:szCs w:val="22"/>
              </w:rPr>
            </w:pPr>
            <w:r w:rsidRPr="009515D2">
              <w:rPr>
                <w:b/>
                <w:bCs/>
                <w:i/>
                <w:iCs/>
                <w:sz w:val="22"/>
                <w:szCs w:val="22"/>
              </w:rPr>
              <w:t>J</w:t>
            </w:r>
            <w:r w:rsidRPr="009515D2">
              <w:rPr>
                <w:b/>
                <w:bCs/>
                <w:sz w:val="22"/>
                <w:szCs w:val="22"/>
                <w:vertAlign w:val="subscript"/>
              </w:rPr>
              <w:t>max25</w:t>
            </w:r>
            <w:r w:rsidRPr="009515D2">
              <w:rPr>
                <w:b/>
                <w:bCs/>
                <w:sz w:val="22"/>
                <w:szCs w:val="22"/>
              </w:rPr>
              <w:t>:</w:t>
            </w:r>
            <w:r w:rsidRPr="009515D2">
              <w:rPr>
                <w:b/>
                <w:bCs/>
                <w:i/>
                <w:iCs/>
                <w:sz w:val="22"/>
                <w:szCs w:val="22"/>
              </w:rPr>
              <w:t>V</w:t>
            </w:r>
            <w:r w:rsidRPr="009515D2">
              <w:rPr>
                <w:b/>
                <w:bCs/>
                <w:sz w:val="22"/>
                <w:szCs w:val="22"/>
                <w:vertAlign w:val="subscript"/>
              </w:rPr>
              <w:t>cmax25</w:t>
            </w:r>
          </w:p>
        </w:tc>
        <w:tc>
          <w:tcPr>
            <w:tcW w:w="1872" w:type="dxa"/>
            <w:gridSpan w:val="2"/>
            <w:tcBorders>
              <w:bottom w:val="single" w:sz="4" w:space="0" w:color="auto"/>
            </w:tcBorders>
          </w:tcPr>
          <w:p w14:paraId="2B7D632F" w14:textId="36AC814F" w:rsidR="004B1EA4" w:rsidRPr="009515D2" w:rsidRDefault="004B1EA4" w:rsidP="00A85036">
            <w:pPr>
              <w:spacing w:line="276" w:lineRule="auto"/>
              <w:jc w:val="right"/>
              <w:rPr>
                <w:b/>
                <w:bCs/>
                <w:sz w:val="22"/>
                <w:szCs w:val="22"/>
              </w:rPr>
            </w:pPr>
            <w:r w:rsidRPr="009515D2">
              <w:rPr>
                <w:b/>
                <w:bCs/>
                <w:i/>
                <w:iCs/>
                <w:sz w:val="22"/>
                <w:szCs w:val="22"/>
              </w:rPr>
              <w:t>R</w:t>
            </w:r>
            <w:r w:rsidRPr="009515D2">
              <w:rPr>
                <w:b/>
                <w:bCs/>
                <w:sz w:val="22"/>
                <w:szCs w:val="22"/>
                <w:vertAlign w:val="subscript"/>
              </w:rPr>
              <w:t>d25</w:t>
            </w:r>
          </w:p>
        </w:tc>
      </w:tr>
      <w:tr w:rsidR="004B1EA4" w:rsidRPr="009515D2" w14:paraId="7F809614" w14:textId="77777777" w:rsidTr="004B1EA4">
        <w:tc>
          <w:tcPr>
            <w:tcW w:w="1980" w:type="dxa"/>
            <w:tcBorders>
              <w:top w:val="single" w:sz="4" w:space="0" w:color="auto"/>
              <w:bottom w:val="single" w:sz="4" w:space="0" w:color="auto"/>
            </w:tcBorders>
          </w:tcPr>
          <w:p w14:paraId="1100190D" w14:textId="77777777" w:rsidR="004B1EA4" w:rsidRPr="009515D2" w:rsidRDefault="004B1EA4" w:rsidP="00A85036">
            <w:pPr>
              <w:spacing w:line="276" w:lineRule="auto"/>
              <w:rPr>
                <w:sz w:val="22"/>
                <w:szCs w:val="22"/>
              </w:rPr>
            </w:pPr>
          </w:p>
        </w:tc>
        <w:tc>
          <w:tcPr>
            <w:tcW w:w="536" w:type="dxa"/>
            <w:tcBorders>
              <w:top w:val="single" w:sz="4" w:space="0" w:color="auto"/>
              <w:bottom w:val="single" w:sz="4" w:space="0" w:color="auto"/>
            </w:tcBorders>
          </w:tcPr>
          <w:p w14:paraId="4BCDCE61" w14:textId="77777777" w:rsidR="004B1EA4" w:rsidRPr="009515D2" w:rsidRDefault="004B1EA4"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31734418" w14:textId="77777777" w:rsidR="004B1EA4" w:rsidRPr="009515D2" w:rsidRDefault="004B1EA4"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2E0812EE" w14:textId="77777777" w:rsidR="004B1EA4" w:rsidRPr="009515D2" w:rsidRDefault="004B1EA4"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06CAEF82" w14:textId="77777777" w:rsidR="004B1EA4" w:rsidRPr="009515D2" w:rsidRDefault="004B1EA4"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325306CC" w14:textId="77777777" w:rsidR="004B1EA4" w:rsidRPr="009515D2" w:rsidRDefault="004B1EA4"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36389F45" w14:textId="77777777" w:rsidR="004B1EA4" w:rsidRPr="009515D2" w:rsidRDefault="004B1EA4"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3542E7C5" w14:textId="77777777" w:rsidR="004B1EA4" w:rsidRPr="009515D2" w:rsidRDefault="004B1EA4"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62C231E7" w14:textId="77777777" w:rsidR="004B1EA4" w:rsidRPr="009515D2" w:rsidRDefault="004B1EA4"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4F0153BE" w14:textId="77777777" w:rsidR="004B1EA4" w:rsidRPr="009515D2" w:rsidRDefault="004B1EA4"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00F67E4A" w14:textId="77777777" w:rsidR="004B1EA4" w:rsidRPr="009515D2" w:rsidRDefault="004B1EA4" w:rsidP="00A85036">
            <w:pPr>
              <w:spacing w:line="276" w:lineRule="auto"/>
              <w:jc w:val="right"/>
              <w:rPr>
                <w:i/>
                <w:iCs/>
                <w:sz w:val="22"/>
                <w:szCs w:val="22"/>
              </w:rPr>
            </w:pPr>
            <w:r w:rsidRPr="009515D2">
              <w:rPr>
                <w:sz w:val="22"/>
                <w:szCs w:val="22"/>
                <w:lang w:val="el-GR"/>
              </w:rPr>
              <w:t>χ</w:t>
            </w:r>
            <w:r w:rsidRPr="009515D2">
              <w:rPr>
                <w:sz w:val="22"/>
                <w:szCs w:val="22"/>
                <w:vertAlign w:val="superscript"/>
              </w:rPr>
              <w:t>2</w:t>
            </w:r>
          </w:p>
        </w:tc>
        <w:tc>
          <w:tcPr>
            <w:tcW w:w="876" w:type="dxa"/>
            <w:tcBorders>
              <w:top w:val="single" w:sz="4" w:space="0" w:color="auto"/>
              <w:bottom w:val="single" w:sz="4" w:space="0" w:color="auto"/>
            </w:tcBorders>
          </w:tcPr>
          <w:p w14:paraId="0B577D55" w14:textId="77777777" w:rsidR="004B1EA4" w:rsidRPr="009515D2" w:rsidRDefault="004B1EA4" w:rsidP="00A85036">
            <w:pPr>
              <w:spacing w:line="276" w:lineRule="auto"/>
              <w:jc w:val="right"/>
              <w:rPr>
                <w:i/>
                <w:iCs/>
                <w:sz w:val="22"/>
                <w:szCs w:val="22"/>
              </w:rPr>
            </w:pPr>
            <w:r w:rsidRPr="009515D2">
              <w:rPr>
                <w:i/>
                <w:iCs/>
                <w:sz w:val="22"/>
                <w:szCs w:val="22"/>
              </w:rPr>
              <w:t>p</w:t>
            </w:r>
          </w:p>
        </w:tc>
      </w:tr>
      <w:tr w:rsidR="004B1EA4" w:rsidRPr="009515D2" w14:paraId="1A2F7F8F" w14:textId="77777777" w:rsidTr="008D46B4">
        <w:tc>
          <w:tcPr>
            <w:tcW w:w="1980" w:type="dxa"/>
            <w:tcBorders>
              <w:top w:val="single" w:sz="4" w:space="0" w:color="auto"/>
            </w:tcBorders>
          </w:tcPr>
          <w:p w14:paraId="030A6C63" w14:textId="223728B1" w:rsidR="004B1EA4" w:rsidRPr="009515D2" w:rsidRDefault="004B1EA4"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41ECD3D4" w14:textId="77777777" w:rsidR="004B1EA4" w:rsidRPr="009515D2" w:rsidRDefault="004B1EA4"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358738E5" w14:textId="161A4811" w:rsidR="004B1EA4" w:rsidRPr="009515D2" w:rsidRDefault="00A747FF" w:rsidP="00A85036">
            <w:pPr>
              <w:spacing w:line="276" w:lineRule="auto"/>
              <w:jc w:val="right"/>
              <w:rPr>
                <w:sz w:val="22"/>
                <w:szCs w:val="22"/>
              </w:rPr>
            </w:pPr>
            <w:r>
              <w:rPr>
                <w:sz w:val="22"/>
                <w:szCs w:val="22"/>
              </w:rPr>
              <w:t>15.82</w:t>
            </w:r>
          </w:p>
        </w:tc>
        <w:tc>
          <w:tcPr>
            <w:tcW w:w="1012" w:type="dxa"/>
            <w:tcBorders>
              <w:top w:val="single" w:sz="4" w:space="0" w:color="auto"/>
            </w:tcBorders>
          </w:tcPr>
          <w:p w14:paraId="1F9E819C" w14:textId="3C3D2E8A" w:rsidR="004B1EA4" w:rsidRPr="009515D2" w:rsidRDefault="004B1EA4"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1EDEFE0A" w14:textId="308DCD80" w:rsidR="004B1EA4" w:rsidRPr="009515D2" w:rsidRDefault="008D46B4" w:rsidP="00A85036">
            <w:pPr>
              <w:spacing w:line="276" w:lineRule="auto"/>
              <w:jc w:val="right"/>
              <w:rPr>
                <w:sz w:val="22"/>
                <w:szCs w:val="22"/>
              </w:rPr>
            </w:pPr>
            <w:r>
              <w:rPr>
                <w:sz w:val="22"/>
                <w:szCs w:val="22"/>
              </w:rPr>
              <w:t>2.87</w:t>
            </w:r>
          </w:p>
        </w:tc>
        <w:tc>
          <w:tcPr>
            <w:tcW w:w="1013" w:type="dxa"/>
            <w:tcBorders>
              <w:top w:val="single" w:sz="4" w:space="0" w:color="auto"/>
            </w:tcBorders>
          </w:tcPr>
          <w:p w14:paraId="6BC47A3B" w14:textId="7D37E685" w:rsidR="004B1EA4" w:rsidRPr="00EF1D97" w:rsidRDefault="008D46B4" w:rsidP="00A85036">
            <w:pPr>
              <w:spacing w:line="276" w:lineRule="auto"/>
              <w:jc w:val="right"/>
              <w:rPr>
                <w:i/>
                <w:iCs/>
                <w:sz w:val="22"/>
                <w:szCs w:val="22"/>
              </w:rPr>
            </w:pPr>
            <w:r w:rsidRPr="00EF1D97">
              <w:rPr>
                <w:i/>
                <w:iCs/>
                <w:sz w:val="22"/>
                <w:szCs w:val="22"/>
              </w:rPr>
              <w:t>0.090</w:t>
            </w:r>
          </w:p>
        </w:tc>
        <w:tc>
          <w:tcPr>
            <w:tcW w:w="996" w:type="dxa"/>
            <w:tcBorders>
              <w:top w:val="single" w:sz="4" w:space="0" w:color="auto"/>
            </w:tcBorders>
          </w:tcPr>
          <w:p w14:paraId="6B9216E7" w14:textId="6EEF0F99" w:rsidR="004B1EA4" w:rsidRPr="009515D2" w:rsidRDefault="008D46B4" w:rsidP="00A85036">
            <w:pPr>
              <w:spacing w:line="276" w:lineRule="auto"/>
              <w:jc w:val="right"/>
              <w:rPr>
                <w:sz w:val="22"/>
                <w:szCs w:val="22"/>
              </w:rPr>
            </w:pPr>
            <w:r>
              <w:rPr>
                <w:sz w:val="22"/>
                <w:szCs w:val="22"/>
              </w:rPr>
              <w:t>2.38</w:t>
            </w:r>
          </w:p>
        </w:tc>
        <w:tc>
          <w:tcPr>
            <w:tcW w:w="1013" w:type="dxa"/>
            <w:tcBorders>
              <w:top w:val="single" w:sz="4" w:space="0" w:color="auto"/>
            </w:tcBorders>
          </w:tcPr>
          <w:p w14:paraId="5E85844B" w14:textId="76F61257" w:rsidR="004B1EA4" w:rsidRPr="008D46B4" w:rsidRDefault="008D46B4" w:rsidP="00A85036">
            <w:pPr>
              <w:spacing w:line="276" w:lineRule="auto"/>
              <w:jc w:val="right"/>
              <w:rPr>
                <w:sz w:val="22"/>
                <w:szCs w:val="22"/>
              </w:rPr>
            </w:pPr>
            <w:r w:rsidRPr="008D46B4">
              <w:rPr>
                <w:sz w:val="22"/>
                <w:szCs w:val="22"/>
              </w:rPr>
              <w:t>0.123</w:t>
            </w:r>
          </w:p>
        </w:tc>
        <w:tc>
          <w:tcPr>
            <w:tcW w:w="996" w:type="dxa"/>
            <w:tcBorders>
              <w:top w:val="single" w:sz="4" w:space="0" w:color="auto"/>
            </w:tcBorders>
          </w:tcPr>
          <w:p w14:paraId="43310C22" w14:textId="476A5F61" w:rsidR="004B1EA4" w:rsidRPr="009515D2" w:rsidRDefault="008D46B4" w:rsidP="00A85036">
            <w:pPr>
              <w:spacing w:line="276" w:lineRule="auto"/>
              <w:jc w:val="right"/>
              <w:rPr>
                <w:sz w:val="22"/>
                <w:szCs w:val="22"/>
              </w:rPr>
            </w:pPr>
            <w:r>
              <w:rPr>
                <w:sz w:val="22"/>
                <w:szCs w:val="22"/>
              </w:rPr>
              <w:t>0.</w:t>
            </w:r>
            <w:r w:rsidR="00A747FF">
              <w:rPr>
                <w:sz w:val="22"/>
                <w:szCs w:val="22"/>
              </w:rPr>
              <w:t>77</w:t>
            </w:r>
          </w:p>
        </w:tc>
        <w:tc>
          <w:tcPr>
            <w:tcW w:w="1013" w:type="dxa"/>
            <w:tcBorders>
              <w:top w:val="single" w:sz="4" w:space="0" w:color="auto"/>
            </w:tcBorders>
            <w:shd w:val="clear" w:color="auto" w:fill="auto"/>
          </w:tcPr>
          <w:p w14:paraId="4BAB5ADA" w14:textId="2D35EFD6" w:rsidR="004B1EA4" w:rsidRPr="008D46B4" w:rsidRDefault="008D46B4" w:rsidP="00A85036">
            <w:pPr>
              <w:spacing w:line="276" w:lineRule="auto"/>
              <w:jc w:val="right"/>
              <w:rPr>
                <w:sz w:val="22"/>
                <w:szCs w:val="22"/>
              </w:rPr>
            </w:pPr>
            <w:r w:rsidRPr="008D46B4">
              <w:rPr>
                <w:sz w:val="22"/>
                <w:szCs w:val="22"/>
              </w:rPr>
              <w:t>0.</w:t>
            </w:r>
            <w:r w:rsidR="00A747FF">
              <w:rPr>
                <w:sz w:val="22"/>
                <w:szCs w:val="22"/>
              </w:rPr>
              <w:t>381</w:t>
            </w:r>
          </w:p>
        </w:tc>
        <w:tc>
          <w:tcPr>
            <w:tcW w:w="996" w:type="dxa"/>
            <w:tcBorders>
              <w:top w:val="single" w:sz="4" w:space="0" w:color="auto"/>
            </w:tcBorders>
          </w:tcPr>
          <w:p w14:paraId="07C9499F" w14:textId="42CF87ED" w:rsidR="004B1EA4" w:rsidRPr="009515D2" w:rsidRDefault="00F07852" w:rsidP="00A85036">
            <w:pPr>
              <w:spacing w:line="276" w:lineRule="auto"/>
              <w:jc w:val="right"/>
              <w:rPr>
                <w:sz w:val="22"/>
                <w:szCs w:val="22"/>
              </w:rPr>
            </w:pPr>
            <w:r w:rsidRPr="009515D2">
              <w:rPr>
                <w:sz w:val="22"/>
                <w:szCs w:val="22"/>
              </w:rPr>
              <w:t>8.61</w:t>
            </w:r>
          </w:p>
        </w:tc>
        <w:tc>
          <w:tcPr>
            <w:tcW w:w="876" w:type="dxa"/>
            <w:tcBorders>
              <w:top w:val="single" w:sz="4" w:space="0" w:color="auto"/>
            </w:tcBorders>
          </w:tcPr>
          <w:p w14:paraId="501A05DE" w14:textId="71D1361F" w:rsidR="004B1EA4" w:rsidRPr="009515D2" w:rsidRDefault="00F07852" w:rsidP="00A85036">
            <w:pPr>
              <w:spacing w:line="276" w:lineRule="auto"/>
              <w:jc w:val="right"/>
              <w:rPr>
                <w:b/>
                <w:bCs/>
                <w:sz w:val="22"/>
                <w:szCs w:val="22"/>
              </w:rPr>
            </w:pPr>
            <w:r w:rsidRPr="009515D2">
              <w:rPr>
                <w:b/>
                <w:bCs/>
                <w:sz w:val="22"/>
                <w:szCs w:val="22"/>
              </w:rPr>
              <w:t>0.003</w:t>
            </w:r>
          </w:p>
        </w:tc>
      </w:tr>
      <w:tr w:rsidR="004B1EA4" w:rsidRPr="009515D2" w14:paraId="4F37ED29" w14:textId="77777777" w:rsidTr="008D46B4">
        <w:tc>
          <w:tcPr>
            <w:tcW w:w="1980" w:type="dxa"/>
          </w:tcPr>
          <w:p w14:paraId="2B3D5523" w14:textId="7E37DA1A" w:rsidR="004B1EA4" w:rsidRPr="009515D2" w:rsidRDefault="004B1EA4" w:rsidP="00A85036">
            <w:pPr>
              <w:spacing w:line="276" w:lineRule="auto"/>
              <w:jc w:val="right"/>
              <w:rPr>
                <w:sz w:val="22"/>
                <w:szCs w:val="22"/>
              </w:rPr>
            </w:pPr>
            <w:r w:rsidRPr="009515D2">
              <w:rPr>
                <w:sz w:val="22"/>
                <w:szCs w:val="22"/>
              </w:rPr>
              <w:t>Inoculation (I)</w:t>
            </w:r>
          </w:p>
        </w:tc>
        <w:tc>
          <w:tcPr>
            <w:tcW w:w="536" w:type="dxa"/>
          </w:tcPr>
          <w:p w14:paraId="6AF7DE6D" w14:textId="77777777" w:rsidR="004B1EA4" w:rsidRPr="009515D2" w:rsidRDefault="004B1EA4" w:rsidP="00A85036">
            <w:pPr>
              <w:spacing w:line="276" w:lineRule="auto"/>
              <w:jc w:val="right"/>
              <w:rPr>
                <w:sz w:val="22"/>
                <w:szCs w:val="22"/>
              </w:rPr>
            </w:pPr>
            <w:r w:rsidRPr="009515D2">
              <w:rPr>
                <w:sz w:val="22"/>
                <w:szCs w:val="22"/>
              </w:rPr>
              <w:t>1</w:t>
            </w:r>
          </w:p>
        </w:tc>
        <w:tc>
          <w:tcPr>
            <w:tcW w:w="996" w:type="dxa"/>
          </w:tcPr>
          <w:p w14:paraId="421CFD13" w14:textId="57857507" w:rsidR="004B1EA4" w:rsidRPr="009515D2" w:rsidRDefault="00A747FF" w:rsidP="00A85036">
            <w:pPr>
              <w:spacing w:line="276" w:lineRule="auto"/>
              <w:jc w:val="right"/>
              <w:rPr>
                <w:sz w:val="22"/>
                <w:szCs w:val="22"/>
              </w:rPr>
            </w:pPr>
            <w:r>
              <w:rPr>
                <w:sz w:val="22"/>
                <w:szCs w:val="22"/>
              </w:rPr>
              <w:t>0.46</w:t>
            </w:r>
          </w:p>
        </w:tc>
        <w:tc>
          <w:tcPr>
            <w:tcW w:w="1012" w:type="dxa"/>
          </w:tcPr>
          <w:p w14:paraId="6D2596F2" w14:textId="4263B04E" w:rsidR="004B1EA4" w:rsidRPr="009515D2" w:rsidRDefault="00A97B6C" w:rsidP="00A85036">
            <w:pPr>
              <w:spacing w:line="276" w:lineRule="auto"/>
              <w:jc w:val="right"/>
              <w:rPr>
                <w:sz w:val="22"/>
                <w:szCs w:val="22"/>
              </w:rPr>
            </w:pPr>
            <w:r>
              <w:rPr>
                <w:sz w:val="22"/>
                <w:szCs w:val="22"/>
              </w:rPr>
              <w:t>0.</w:t>
            </w:r>
            <w:r w:rsidR="00A747FF">
              <w:rPr>
                <w:sz w:val="22"/>
                <w:szCs w:val="22"/>
              </w:rPr>
              <w:t>498</w:t>
            </w:r>
          </w:p>
        </w:tc>
        <w:tc>
          <w:tcPr>
            <w:tcW w:w="996" w:type="dxa"/>
          </w:tcPr>
          <w:p w14:paraId="561CA1F9" w14:textId="35E6FA55" w:rsidR="004B1EA4" w:rsidRPr="009515D2" w:rsidRDefault="008D46B4" w:rsidP="00A85036">
            <w:pPr>
              <w:spacing w:line="276" w:lineRule="auto"/>
              <w:jc w:val="right"/>
              <w:rPr>
                <w:sz w:val="22"/>
                <w:szCs w:val="22"/>
              </w:rPr>
            </w:pPr>
            <w:r>
              <w:rPr>
                <w:sz w:val="22"/>
                <w:szCs w:val="22"/>
              </w:rPr>
              <w:t>1.50</w:t>
            </w:r>
          </w:p>
        </w:tc>
        <w:tc>
          <w:tcPr>
            <w:tcW w:w="1013" w:type="dxa"/>
          </w:tcPr>
          <w:p w14:paraId="237EA234" w14:textId="71D9E318" w:rsidR="004B1EA4" w:rsidRPr="009515D2" w:rsidRDefault="008D46B4" w:rsidP="00A85036">
            <w:pPr>
              <w:spacing w:line="276" w:lineRule="auto"/>
              <w:jc w:val="right"/>
              <w:rPr>
                <w:sz w:val="22"/>
                <w:szCs w:val="22"/>
              </w:rPr>
            </w:pPr>
            <w:r>
              <w:rPr>
                <w:sz w:val="22"/>
                <w:szCs w:val="22"/>
              </w:rPr>
              <w:t>0.221</w:t>
            </w:r>
          </w:p>
        </w:tc>
        <w:tc>
          <w:tcPr>
            <w:tcW w:w="996" w:type="dxa"/>
          </w:tcPr>
          <w:p w14:paraId="4C216913" w14:textId="5C6D36D8" w:rsidR="004B1EA4" w:rsidRPr="009515D2" w:rsidRDefault="008D46B4" w:rsidP="00A85036">
            <w:pPr>
              <w:spacing w:line="276" w:lineRule="auto"/>
              <w:jc w:val="right"/>
              <w:rPr>
                <w:sz w:val="22"/>
                <w:szCs w:val="22"/>
              </w:rPr>
            </w:pPr>
            <w:r>
              <w:rPr>
                <w:sz w:val="22"/>
                <w:szCs w:val="22"/>
              </w:rPr>
              <w:t>2.86</w:t>
            </w:r>
          </w:p>
        </w:tc>
        <w:tc>
          <w:tcPr>
            <w:tcW w:w="1013" w:type="dxa"/>
          </w:tcPr>
          <w:p w14:paraId="38C8E2FB" w14:textId="716A6A34" w:rsidR="004B1EA4" w:rsidRPr="008D46B4" w:rsidRDefault="008D46B4" w:rsidP="00A85036">
            <w:pPr>
              <w:spacing w:line="276" w:lineRule="auto"/>
              <w:jc w:val="right"/>
              <w:rPr>
                <w:i/>
                <w:iCs/>
                <w:sz w:val="22"/>
                <w:szCs w:val="22"/>
              </w:rPr>
            </w:pPr>
            <w:r w:rsidRPr="008D46B4">
              <w:rPr>
                <w:i/>
                <w:iCs/>
                <w:sz w:val="22"/>
                <w:szCs w:val="22"/>
              </w:rPr>
              <w:t>0.091</w:t>
            </w:r>
          </w:p>
        </w:tc>
        <w:tc>
          <w:tcPr>
            <w:tcW w:w="996" w:type="dxa"/>
          </w:tcPr>
          <w:p w14:paraId="0DB8924D" w14:textId="6C1B4DD9" w:rsidR="004B1EA4" w:rsidRPr="009515D2" w:rsidRDefault="00A747FF" w:rsidP="00A85036">
            <w:pPr>
              <w:spacing w:line="276" w:lineRule="auto"/>
              <w:jc w:val="right"/>
              <w:rPr>
                <w:sz w:val="22"/>
                <w:szCs w:val="22"/>
              </w:rPr>
            </w:pPr>
            <w:r>
              <w:rPr>
                <w:sz w:val="22"/>
                <w:szCs w:val="22"/>
              </w:rPr>
              <w:t>2.20</w:t>
            </w:r>
          </w:p>
        </w:tc>
        <w:tc>
          <w:tcPr>
            <w:tcW w:w="1013" w:type="dxa"/>
            <w:shd w:val="clear" w:color="auto" w:fill="auto"/>
          </w:tcPr>
          <w:p w14:paraId="7CD142A6" w14:textId="22EA15F8" w:rsidR="004B1EA4" w:rsidRPr="008D46B4" w:rsidRDefault="008D46B4" w:rsidP="00A85036">
            <w:pPr>
              <w:spacing w:line="276" w:lineRule="auto"/>
              <w:jc w:val="right"/>
              <w:rPr>
                <w:sz w:val="22"/>
                <w:szCs w:val="22"/>
              </w:rPr>
            </w:pPr>
            <w:r w:rsidRPr="008D46B4">
              <w:rPr>
                <w:sz w:val="22"/>
                <w:szCs w:val="22"/>
              </w:rPr>
              <w:t>0.</w:t>
            </w:r>
            <w:r w:rsidR="00A747FF">
              <w:rPr>
                <w:sz w:val="22"/>
                <w:szCs w:val="22"/>
              </w:rPr>
              <w:t>138</w:t>
            </w:r>
          </w:p>
        </w:tc>
        <w:tc>
          <w:tcPr>
            <w:tcW w:w="996" w:type="dxa"/>
          </w:tcPr>
          <w:p w14:paraId="02F6E0BB" w14:textId="616C9600" w:rsidR="004B1EA4" w:rsidRPr="009515D2" w:rsidRDefault="00F07852" w:rsidP="00A85036">
            <w:pPr>
              <w:spacing w:line="276" w:lineRule="auto"/>
              <w:jc w:val="right"/>
              <w:rPr>
                <w:sz w:val="22"/>
                <w:szCs w:val="22"/>
              </w:rPr>
            </w:pPr>
            <w:r w:rsidRPr="009515D2">
              <w:rPr>
                <w:sz w:val="22"/>
                <w:szCs w:val="22"/>
              </w:rPr>
              <w:t>1.51</w:t>
            </w:r>
          </w:p>
        </w:tc>
        <w:tc>
          <w:tcPr>
            <w:tcW w:w="876" w:type="dxa"/>
          </w:tcPr>
          <w:p w14:paraId="54181450" w14:textId="22FF0DEB" w:rsidR="004B1EA4" w:rsidRPr="009515D2" w:rsidRDefault="00F07852" w:rsidP="00A85036">
            <w:pPr>
              <w:spacing w:line="276" w:lineRule="auto"/>
              <w:jc w:val="right"/>
              <w:rPr>
                <w:sz w:val="22"/>
                <w:szCs w:val="22"/>
              </w:rPr>
            </w:pPr>
            <w:r w:rsidRPr="009515D2">
              <w:rPr>
                <w:sz w:val="22"/>
                <w:szCs w:val="22"/>
              </w:rPr>
              <w:t>0.219</w:t>
            </w:r>
          </w:p>
        </w:tc>
      </w:tr>
      <w:tr w:rsidR="004B1EA4" w:rsidRPr="009515D2" w14:paraId="5770BA07" w14:textId="77777777" w:rsidTr="008D46B4">
        <w:tc>
          <w:tcPr>
            <w:tcW w:w="1980" w:type="dxa"/>
          </w:tcPr>
          <w:p w14:paraId="2F9213C4" w14:textId="6BBD27F3" w:rsidR="004B1EA4" w:rsidRPr="009515D2" w:rsidRDefault="004B1EA4" w:rsidP="00A85036">
            <w:pPr>
              <w:spacing w:line="276" w:lineRule="auto"/>
              <w:jc w:val="right"/>
              <w:rPr>
                <w:sz w:val="22"/>
                <w:szCs w:val="22"/>
              </w:rPr>
            </w:pPr>
            <w:r w:rsidRPr="009515D2">
              <w:rPr>
                <w:sz w:val="22"/>
                <w:szCs w:val="22"/>
              </w:rPr>
              <w:t>N*I</w:t>
            </w:r>
          </w:p>
        </w:tc>
        <w:tc>
          <w:tcPr>
            <w:tcW w:w="536" w:type="dxa"/>
          </w:tcPr>
          <w:p w14:paraId="120CFFD3" w14:textId="2916DC5F" w:rsidR="004B1EA4" w:rsidRPr="009515D2" w:rsidRDefault="004B1EA4" w:rsidP="00A85036">
            <w:pPr>
              <w:spacing w:line="276" w:lineRule="auto"/>
              <w:jc w:val="right"/>
              <w:rPr>
                <w:sz w:val="22"/>
                <w:szCs w:val="22"/>
              </w:rPr>
            </w:pPr>
            <w:r w:rsidRPr="009515D2">
              <w:rPr>
                <w:sz w:val="22"/>
                <w:szCs w:val="22"/>
              </w:rPr>
              <w:t>1</w:t>
            </w:r>
          </w:p>
        </w:tc>
        <w:tc>
          <w:tcPr>
            <w:tcW w:w="996" w:type="dxa"/>
          </w:tcPr>
          <w:p w14:paraId="17BF0F48" w14:textId="36E5B230" w:rsidR="004B1EA4" w:rsidRPr="009515D2" w:rsidRDefault="00A97B6C" w:rsidP="00A85036">
            <w:pPr>
              <w:spacing w:line="276" w:lineRule="auto"/>
              <w:jc w:val="right"/>
              <w:rPr>
                <w:sz w:val="22"/>
                <w:szCs w:val="22"/>
              </w:rPr>
            </w:pPr>
            <w:r>
              <w:rPr>
                <w:sz w:val="22"/>
                <w:szCs w:val="22"/>
              </w:rPr>
              <w:t>0.</w:t>
            </w:r>
            <w:r w:rsidR="00A747FF">
              <w:rPr>
                <w:sz w:val="22"/>
                <w:szCs w:val="22"/>
              </w:rPr>
              <w:t>39</w:t>
            </w:r>
          </w:p>
        </w:tc>
        <w:tc>
          <w:tcPr>
            <w:tcW w:w="1012" w:type="dxa"/>
          </w:tcPr>
          <w:p w14:paraId="17B9F787" w14:textId="471D20CA" w:rsidR="004B1EA4" w:rsidRPr="009515D2" w:rsidRDefault="00A97B6C" w:rsidP="00A85036">
            <w:pPr>
              <w:spacing w:line="276" w:lineRule="auto"/>
              <w:jc w:val="right"/>
              <w:rPr>
                <w:sz w:val="22"/>
                <w:szCs w:val="22"/>
              </w:rPr>
            </w:pPr>
            <w:r>
              <w:rPr>
                <w:sz w:val="22"/>
                <w:szCs w:val="22"/>
              </w:rPr>
              <w:t>0.</w:t>
            </w:r>
            <w:r w:rsidR="00A747FF">
              <w:rPr>
                <w:sz w:val="22"/>
                <w:szCs w:val="22"/>
              </w:rPr>
              <w:t>533</w:t>
            </w:r>
          </w:p>
        </w:tc>
        <w:tc>
          <w:tcPr>
            <w:tcW w:w="996" w:type="dxa"/>
          </w:tcPr>
          <w:p w14:paraId="5459BCA0" w14:textId="21E0FF7A" w:rsidR="004B1EA4" w:rsidRPr="009515D2" w:rsidRDefault="008D46B4" w:rsidP="00A85036">
            <w:pPr>
              <w:spacing w:line="276" w:lineRule="auto"/>
              <w:jc w:val="right"/>
              <w:rPr>
                <w:sz w:val="22"/>
                <w:szCs w:val="22"/>
              </w:rPr>
            </w:pPr>
            <w:r>
              <w:rPr>
                <w:sz w:val="22"/>
                <w:szCs w:val="22"/>
              </w:rPr>
              <w:t>0.18</w:t>
            </w:r>
          </w:p>
        </w:tc>
        <w:tc>
          <w:tcPr>
            <w:tcW w:w="1013" w:type="dxa"/>
          </w:tcPr>
          <w:p w14:paraId="11A62403" w14:textId="6F2CF909" w:rsidR="004B1EA4" w:rsidRPr="009515D2" w:rsidRDefault="008D46B4" w:rsidP="00A85036">
            <w:pPr>
              <w:spacing w:line="276" w:lineRule="auto"/>
              <w:jc w:val="right"/>
              <w:rPr>
                <w:sz w:val="22"/>
                <w:szCs w:val="22"/>
              </w:rPr>
            </w:pPr>
            <w:r>
              <w:rPr>
                <w:sz w:val="22"/>
                <w:szCs w:val="22"/>
              </w:rPr>
              <w:t>0.668</w:t>
            </w:r>
          </w:p>
        </w:tc>
        <w:tc>
          <w:tcPr>
            <w:tcW w:w="996" w:type="dxa"/>
          </w:tcPr>
          <w:p w14:paraId="2DC0516C" w14:textId="673BAA6C" w:rsidR="004B1EA4" w:rsidRPr="009515D2" w:rsidRDefault="008D46B4" w:rsidP="00A85036">
            <w:pPr>
              <w:spacing w:line="276" w:lineRule="auto"/>
              <w:jc w:val="right"/>
              <w:rPr>
                <w:sz w:val="22"/>
                <w:szCs w:val="22"/>
              </w:rPr>
            </w:pPr>
            <w:r>
              <w:rPr>
                <w:sz w:val="22"/>
                <w:szCs w:val="22"/>
              </w:rPr>
              <w:t>0.45</w:t>
            </w:r>
          </w:p>
        </w:tc>
        <w:tc>
          <w:tcPr>
            <w:tcW w:w="1013" w:type="dxa"/>
          </w:tcPr>
          <w:p w14:paraId="460056E7" w14:textId="6B69E9F9" w:rsidR="004B1EA4" w:rsidRPr="009515D2" w:rsidRDefault="008D46B4" w:rsidP="00A85036">
            <w:pPr>
              <w:spacing w:line="276" w:lineRule="auto"/>
              <w:jc w:val="right"/>
              <w:rPr>
                <w:sz w:val="22"/>
                <w:szCs w:val="22"/>
              </w:rPr>
            </w:pPr>
            <w:r>
              <w:rPr>
                <w:sz w:val="22"/>
                <w:szCs w:val="22"/>
              </w:rPr>
              <w:t>0.502</w:t>
            </w:r>
          </w:p>
        </w:tc>
        <w:tc>
          <w:tcPr>
            <w:tcW w:w="996" w:type="dxa"/>
          </w:tcPr>
          <w:p w14:paraId="1612BE60" w14:textId="0CF51615" w:rsidR="004B1EA4" w:rsidRPr="009515D2" w:rsidRDefault="00A747FF" w:rsidP="00A85036">
            <w:pPr>
              <w:spacing w:line="276" w:lineRule="auto"/>
              <w:jc w:val="right"/>
              <w:rPr>
                <w:sz w:val="22"/>
                <w:szCs w:val="22"/>
              </w:rPr>
            </w:pPr>
            <w:r>
              <w:rPr>
                <w:sz w:val="22"/>
                <w:szCs w:val="22"/>
              </w:rPr>
              <w:t>0.97</w:t>
            </w:r>
          </w:p>
        </w:tc>
        <w:tc>
          <w:tcPr>
            <w:tcW w:w="1013" w:type="dxa"/>
            <w:shd w:val="clear" w:color="auto" w:fill="auto"/>
          </w:tcPr>
          <w:p w14:paraId="681E3646" w14:textId="4F989A57" w:rsidR="004B1EA4" w:rsidRPr="008D46B4" w:rsidRDefault="008D46B4" w:rsidP="00A85036">
            <w:pPr>
              <w:spacing w:line="276" w:lineRule="auto"/>
              <w:jc w:val="right"/>
              <w:rPr>
                <w:sz w:val="22"/>
                <w:szCs w:val="22"/>
              </w:rPr>
            </w:pPr>
            <w:r w:rsidRPr="008D46B4">
              <w:rPr>
                <w:sz w:val="22"/>
                <w:szCs w:val="22"/>
              </w:rPr>
              <w:t>0.607</w:t>
            </w:r>
          </w:p>
        </w:tc>
        <w:tc>
          <w:tcPr>
            <w:tcW w:w="996" w:type="dxa"/>
          </w:tcPr>
          <w:p w14:paraId="6A150D9E" w14:textId="23BEA1E2" w:rsidR="004B1EA4" w:rsidRPr="009515D2" w:rsidRDefault="00F07852" w:rsidP="00A85036">
            <w:pPr>
              <w:spacing w:line="276" w:lineRule="auto"/>
              <w:jc w:val="right"/>
              <w:rPr>
                <w:sz w:val="22"/>
                <w:szCs w:val="22"/>
              </w:rPr>
            </w:pPr>
            <w:r w:rsidRPr="009515D2">
              <w:rPr>
                <w:sz w:val="22"/>
                <w:szCs w:val="22"/>
              </w:rPr>
              <w:t>4.34</w:t>
            </w:r>
          </w:p>
        </w:tc>
        <w:tc>
          <w:tcPr>
            <w:tcW w:w="876" w:type="dxa"/>
          </w:tcPr>
          <w:p w14:paraId="44B85FB5" w14:textId="71F5F31F" w:rsidR="004B1EA4" w:rsidRPr="009515D2" w:rsidRDefault="00F07852" w:rsidP="00A85036">
            <w:pPr>
              <w:spacing w:line="276" w:lineRule="auto"/>
              <w:jc w:val="right"/>
              <w:rPr>
                <w:b/>
                <w:bCs/>
                <w:sz w:val="22"/>
                <w:szCs w:val="22"/>
              </w:rPr>
            </w:pPr>
            <w:r w:rsidRPr="009515D2">
              <w:rPr>
                <w:b/>
                <w:bCs/>
                <w:sz w:val="22"/>
                <w:szCs w:val="22"/>
              </w:rPr>
              <w:t>0.037</w:t>
            </w:r>
          </w:p>
        </w:tc>
      </w:tr>
      <w:tr w:rsidR="004B1EA4" w:rsidRPr="009515D2" w14:paraId="7010AB4C" w14:textId="77777777" w:rsidTr="0033651D">
        <w:tc>
          <w:tcPr>
            <w:tcW w:w="1980" w:type="dxa"/>
          </w:tcPr>
          <w:p w14:paraId="1A9D825A" w14:textId="77777777" w:rsidR="004B1EA4" w:rsidRPr="009515D2" w:rsidRDefault="004B1EA4" w:rsidP="00A85036">
            <w:pPr>
              <w:spacing w:line="276" w:lineRule="auto"/>
              <w:jc w:val="right"/>
              <w:rPr>
                <w:sz w:val="22"/>
                <w:szCs w:val="22"/>
              </w:rPr>
            </w:pPr>
          </w:p>
        </w:tc>
        <w:tc>
          <w:tcPr>
            <w:tcW w:w="536" w:type="dxa"/>
          </w:tcPr>
          <w:p w14:paraId="279E6813" w14:textId="77777777" w:rsidR="004B1EA4" w:rsidRPr="009515D2" w:rsidRDefault="004B1EA4" w:rsidP="00A85036">
            <w:pPr>
              <w:spacing w:line="276" w:lineRule="auto"/>
              <w:jc w:val="right"/>
              <w:rPr>
                <w:sz w:val="22"/>
                <w:szCs w:val="22"/>
              </w:rPr>
            </w:pPr>
          </w:p>
        </w:tc>
        <w:tc>
          <w:tcPr>
            <w:tcW w:w="996" w:type="dxa"/>
          </w:tcPr>
          <w:p w14:paraId="030B6F48" w14:textId="77777777" w:rsidR="004B1EA4" w:rsidRPr="009515D2" w:rsidRDefault="004B1EA4" w:rsidP="00A85036">
            <w:pPr>
              <w:spacing w:line="276" w:lineRule="auto"/>
              <w:jc w:val="right"/>
              <w:rPr>
                <w:sz w:val="22"/>
                <w:szCs w:val="22"/>
              </w:rPr>
            </w:pPr>
          </w:p>
        </w:tc>
        <w:tc>
          <w:tcPr>
            <w:tcW w:w="1012" w:type="dxa"/>
          </w:tcPr>
          <w:p w14:paraId="68B8D07B" w14:textId="77777777" w:rsidR="004B1EA4" w:rsidRPr="009515D2" w:rsidRDefault="004B1EA4" w:rsidP="00A85036">
            <w:pPr>
              <w:spacing w:line="276" w:lineRule="auto"/>
              <w:jc w:val="right"/>
              <w:rPr>
                <w:sz w:val="22"/>
                <w:szCs w:val="22"/>
              </w:rPr>
            </w:pPr>
          </w:p>
        </w:tc>
        <w:tc>
          <w:tcPr>
            <w:tcW w:w="996" w:type="dxa"/>
          </w:tcPr>
          <w:p w14:paraId="1522E8CA" w14:textId="77777777" w:rsidR="004B1EA4" w:rsidRPr="009515D2" w:rsidRDefault="004B1EA4" w:rsidP="00A85036">
            <w:pPr>
              <w:spacing w:line="276" w:lineRule="auto"/>
              <w:jc w:val="right"/>
              <w:rPr>
                <w:sz w:val="22"/>
                <w:szCs w:val="22"/>
              </w:rPr>
            </w:pPr>
          </w:p>
        </w:tc>
        <w:tc>
          <w:tcPr>
            <w:tcW w:w="1013" w:type="dxa"/>
          </w:tcPr>
          <w:p w14:paraId="7749394A" w14:textId="77777777" w:rsidR="004B1EA4" w:rsidRPr="009515D2" w:rsidRDefault="004B1EA4" w:rsidP="00A85036">
            <w:pPr>
              <w:spacing w:line="276" w:lineRule="auto"/>
              <w:jc w:val="right"/>
              <w:rPr>
                <w:sz w:val="22"/>
                <w:szCs w:val="22"/>
              </w:rPr>
            </w:pPr>
          </w:p>
        </w:tc>
        <w:tc>
          <w:tcPr>
            <w:tcW w:w="996" w:type="dxa"/>
          </w:tcPr>
          <w:p w14:paraId="4F27B6A8" w14:textId="77777777" w:rsidR="004B1EA4" w:rsidRPr="009515D2" w:rsidRDefault="004B1EA4" w:rsidP="00A85036">
            <w:pPr>
              <w:spacing w:line="276" w:lineRule="auto"/>
              <w:jc w:val="right"/>
              <w:rPr>
                <w:sz w:val="22"/>
                <w:szCs w:val="22"/>
              </w:rPr>
            </w:pPr>
          </w:p>
        </w:tc>
        <w:tc>
          <w:tcPr>
            <w:tcW w:w="1013" w:type="dxa"/>
          </w:tcPr>
          <w:p w14:paraId="41971EBA" w14:textId="77777777" w:rsidR="004B1EA4" w:rsidRPr="009515D2" w:rsidRDefault="004B1EA4" w:rsidP="00A85036">
            <w:pPr>
              <w:spacing w:line="276" w:lineRule="auto"/>
              <w:jc w:val="right"/>
              <w:rPr>
                <w:sz w:val="22"/>
                <w:szCs w:val="22"/>
              </w:rPr>
            </w:pPr>
          </w:p>
        </w:tc>
        <w:tc>
          <w:tcPr>
            <w:tcW w:w="996" w:type="dxa"/>
          </w:tcPr>
          <w:p w14:paraId="5D829B49" w14:textId="77777777" w:rsidR="004B1EA4" w:rsidRPr="009515D2" w:rsidRDefault="004B1EA4" w:rsidP="00A85036">
            <w:pPr>
              <w:spacing w:line="276" w:lineRule="auto"/>
              <w:jc w:val="right"/>
              <w:rPr>
                <w:sz w:val="22"/>
                <w:szCs w:val="22"/>
              </w:rPr>
            </w:pPr>
          </w:p>
        </w:tc>
        <w:tc>
          <w:tcPr>
            <w:tcW w:w="1013" w:type="dxa"/>
          </w:tcPr>
          <w:p w14:paraId="768C37ED" w14:textId="77777777" w:rsidR="004B1EA4" w:rsidRPr="009515D2" w:rsidRDefault="004B1EA4" w:rsidP="00A85036">
            <w:pPr>
              <w:spacing w:line="276" w:lineRule="auto"/>
              <w:jc w:val="right"/>
              <w:rPr>
                <w:sz w:val="22"/>
                <w:szCs w:val="22"/>
              </w:rPr>
            </w:pPr>
          </w:p>
        </w:tc>
        <w:tc>
          <w:tcPr>
            <w:tcW w:w="996" w:type="dxa"/>
          </w:tcPr>
          <w:p w14:paraId="7C4A7B53" w14:textId="77777777" w:rsidR="004B1EA4" w:rsidRPr="009515D2" w:rsidRDefault="004B1EA4" w:rsidP="00A85036">
            <w:pPr>
              <w:spacing w:line="276" w:lineRule="auto"/>
              <w:jc w:val="right"/>
              <w:rPr>
                <w:sz w:val="22"/>
                <w:szCs w:val="22"/>
              </w:rPr>
            </w:pPr>
          </w:p>
        </w:tc>
        <w:tc>
          <w:tcPr>
            <w:tcW w:w="876" w:type="dxa"/>
          </w:tcPr>
          <w:p w14:paraId="506A25A6" w14:textId="77777777" w:rsidR="004B1EA4" w:rsidRPr="009515D2" w:rsidRDefault="004B1EA4" w:rsidP="00A85036">
            <w:pPr>
              <w:spacing w:line="276" w:lineRule="auto"/>
              <w:jc w:val="right"/>
              <w:rPr>
                <w:sz w:val="22"/>
                <w:szCs w:val="22"/>
              </w:rPr>
            </w:pPr>
          </w:p>
        </w:tc>
      </w:tr>
      <w:tr w:rsidR="004B1EA4" w:rsidRPr="009515D2" w14:paraId="199E22E6" w14:textId="77777777" w:rsidTr="00772D20">
        <w:tc>
          <w:tcPr>
            <w:tcW w:w="2516" w:type="dxa"/>
            <w:gridSpan w:val="2"/>
            <w:tcBorders>
              <w:bottom w:val="single" w:sz="4" w:space="0" w:color="auto"/>
            </w:tcBorders>
          </w:tcPr>
          <w:p w14:paraId="4A888030" w14:textId="77777777" w:rsidR="004B1EA4" w:rsidRPr="009515D2" w:rsidRDefault="004B1EA4" w:rsidP="00A85036">
            <w:pPr>
              <w:spacing w:line="276" w:lineRule="auto"/>
              <w:jc w:val="right"/>
              <w:rPr>
                <w:b/>
                <w:bCs/>
                <w:sz w:val="22"/>
                <w:szCs w:val="22"/>
              </w:rPr>
            </w:pPr>
          </w:p>
        </w:tc>
        <w:tc>
          <w:tcPr>
            <w:tcW w:w="2008" w:type="dxa"/>
            <w:gridSpan w:val="2"/>
            <w:tcBorders>
              <w:bottom w:val="single" w:sz="4" w:space="0" w:color="auto"/>
            </w:tcBorders>
          </w:tcPr>
          <w:p w14:paraId="71AA9BC2" w14:textId="1C3A1D80" w:rsidR="004B1EA4" w:rsidRPr="009515D2" w:rsidRDefault="00F07852" w:rsidP="00A85036">
            <w:pPr>
              <w:spacing w:line="276" w:lineRule="auto"/>
              <w:jc w:val="right"/>
              <w:rPr>
                <w:b/>
                <w:bCs/>
                <w:i/>
                <w:iCs/>
                <w:sz w:val="22"/>
                <w:szCs w:val="22"/>
              </w:rPr>
            </w:pPr>
            <w:r w:rsidRPr="009515D2">
              <w:rPr>
                <w:b/>
                <w:bCs/>
                <w:i/>
                <w:iCs/>
                <w:sz w:val="22"/>
                <w:szCs w:val="22"/>
              </w:rPr>
              <w:t>R</w:t>
            </w:r>
            <w:r w:rsidRPr="009515D2">
              <w:rPr>
                <w:b/>
                <w:bCs/>
                <w:sz w:val="22"/>
                <w:szCs w:val="22"/>
                <w:vertAlign w:val="subscript"/>
              </w:rPr>
              <w:t>d25</w:t>
            </w:r>
            <w:r w:rsidRPr="009515D2">
              <w:rPr>
                <w:b/>
                <w:bCs/>
                <w:sz w:val="22"/>
                <w:szCs w:val="22"/>
              </w:rPr>
              <w:t>:</w:t>
            </w:r>
            <w:r w:rsidRPr="009515D2">
              <w:rPr>
                <w:b/>
                <w:bCs/>
                <w:i/>
                <w:iCs/>
                <w:sz w:val="22"/>
                <w:szCs w:val="22"/>
              </w:rPr>
              <w:t>V</w:t>
            </w:r>
            <w:r w:rsidRPr="009515D2">
              <w:rPr>
                <w:b/>
                <w:bCs/>
                <w:sz w:val="22"/>
                <w:szCs w:val="22"/>
                <w:vertAlign w:val="subscript"/>
              </w:rPr>
              <w:t>cmax25</w:t>
            </w:r>
          </w:p>
        </w:tc>
        <w:tc>
          <w:tcPr>
            <w:tcW w:w="2009" w:type="dxa"/>
            <w:gridSpan w:val="2"/>
            <w:tcBorders>
              <w:bottom w:val="single" w:sz="4" w:space="0" w:color="auto"/>
            </w:tcBorders>
          </w:tcPr>
          <w:p w14:paraId="39265804" w14:textId="694764DB" w:rsidR="004B1EA4" w:rsidRPr="009515D2" w:rsidRDefault="0033651D" w:rsidP="00A85036">
            <w:pPr>
              <w:spacing w:line="276" w:lineRule="auto"/>
              <w:jc w:val="right"/>
              <w:rPr>
                <w:b/>
                <w:bCs/>
                <w:sz w:val="22"/>
                <w:szCs w:val="22"/>
                <w:vertAlign w:val="subscript"/>
              </w:rPr>
            </w:pPr>
            <w:proofErr w:type="spellStart"/>
            <w:r w:rsidRPr="009515D2">
              <w:rPr>
                <w:b/>
                <w:bCs/>
                <w:i/>
                <w:iCs/>
                <w:sz w:val="22"/>
                <w:szCs w:val="22"/>
              </w:rPr>
              <w:t>g</w:t>
            </w:r>
            <w:r w:rsidRPr="009515D2">
              <w:rPr>
                <w:b/>
                <w:bCs/>
                <w:sz w:val="22"/>
                <w:szCs w:val="22"/>
                <w:vertAlign w:val="subscript"/>
              </w:rPr>
              <w:t>s</w:t>
            </w:r>
            <w:proofErr w:type="spellEnd"/>
          </w:p>
        </w:tc>
        <w:tc>
          <w:tcPr>
            <w:tcW w:w="2009" w:type="dxa"/>
            <w:gridSpan w:val="2"/>
            <w:tcBorders>
              <w:bottom w:val="single" w:sz="4" w:space="0" w:color="auto"/>
            </w:tcBorders>
          </w:tcPr>
          <w:p w14:paraId="0F0B52B8" w14:textId="3C9F8CE5" w:rsidR="004B1EA4" w:rsidRPr="009515D2" w:rsidRDefault="00772D20" w:rsidP="00A85036">
            <w:pPr>
              <w:spacing w:line="276" w:lineRule="auto"/>
              <w:jc w:val="right"/>
              <w:rPr>
                <w:b/>
                <w:bCs/>
                <w:sz w:val="22"/>
                <w:szCs w:val="22"/>
              </w:rPr>
            </w:pPr>
            <w:r w:rsidRPr="009515D2">
              <w:rPr>
                <w:b/>
                <w:bCs/>
                <w:i/>
                <w:iCs/>
                <w:sz w:val="22"/>
                <w:szCs w:val="22"/>
              </w:rPr>
              <w:t>C</w:t>
            </w:r>
            <w:r w:rsidRPr="009515D2">
              <w:rPr>
                <w:b/>
                <w:bCs/>
                <w:sz w:val="22"/>
                <w:szCs w:val="22"/>
                <w:vertAlign w:val="subscript"/>
              </w:rPr>
              <w:t>i</w:t>
            </w:r>
            <w:r w:rsidRPr="009515D2">
              <w:rPr>
                <w:b/>
                <w:bCs/>
                <w:sz w:val="22"/>
                <w:szCs w:val="22"/>
              </w:rPr>
              <w:t xml:space="preserve">: </w:t>
            </w:r>
            <w:r w:rsidRPr="009515D2">
              <w:rPr>
                <w:b/>
                <w:bCs/>
                <w:i/>
                <w:iCs/>
                <w:sz w:val="22"/>
                <w:szCs w:val="22"/>
              </w:rPr>
              <w:t>C</w:t>
            </w:r>
            <w:r w:rsidRPr="009515D2">
              <w:rPr>
                <w:b/>
                <w:bCs/>
                <w:sz w:val="22"/>
                <w:szCs w:val="22"/>
                <w:vertAlign w:val="subscript"/>
              </w:rPr>
              <w:t>a</w:t>
            </w:r>
          </w:p>
        </w:tc>
        <w:tc>
          <w:tcPr>
            <w:tcW w:w="2009" w:type="dxa"/>
            <w:gridSpan w:val="2"/>
          </w:tcPr>
          <w:p w14:paraId="40711856" w14:textId="780A5EBB" w:rsidR="004B1EA4" w:rsidRPr="009515D2" w:rsidRDefault="004B1EA4" w:rsidP="00A85036">
            <w:pPr>
              <w:spacing w:line="276" w:lineRule="auto"/>
              <w:jc w:val="right"/>
              <w:rPr>
                <w:sz w:val="22"/>
                <w:szCs w:val="22"/>
              </w:rPr>
            </w:pPr>
          </w:p>
        </w:tc>
        <w:tc>
          <w:tcPr>
            <w:tcW w:w="1872" w:type="dxa"/>
            <w:gridSpan w:val="2"/>
          </w:tcPr>
          <w:p w14:paraId="4DBF7D9F" w14:textId="35722BE2" w:rsidR="004B1EA4" w:rsidRPr="009515D2" w:rsidRDefault="004B1EA4" w:rsidP="00A85036">
            <w:pPr>
              <w:spacing w:line="276" w:lineRule="auto"/>
              <w:jc w:val="right"/>
              <w:rPr>
                <w:sz w:val="22"/>
                <w:szCs w:val="22"/>
              </w:rPr>
            </w:pPr>
          </w:p>
        </w:tc>
      </w:tr>
      <w:tr w:rsidR="00772D20" w:rsidRPr="009515D2" w14:paraId="51DA29E8" w14:textId="77777777" w:rsidTr="00772D20">
        <w:tc>
          <w:tcPr>
            <w:tcW w:w="1980" w:type="dxa"/>
            <w:tcBorders>
              <w:top w:val="single" w:sz="4" w:space="0" w:color="auto"/>
              <w:bottom w:val="single" w:sz="4" w:space="0" w:color="auto"/>
            </w:tcBorders>
          </w:tcPr>
          <w:p w14:paraId="62ADA420" w14:textId="77777777" w:rsidR="00772D20" w:rsidRPr="009515D2" w:rsidRDefault="00772D20" w:rsidP="00A85036">
            <w:pPr>
              <w:spacing w:line="276" w:lineRule="auto"/>
              <w:jc w:val="right"/>
              <w:rPr>
                <w:sz w:val="22"/>
                <w:szCs w:val="22"/>
              </w:rPr>
            </w:pPr>
          </w:p>
        </w:tc>
        <w:tc>
          <w:tcPr>
            <w:tcW w:w="536" w:type="dxa"/>
            <w:tcBorders>
              <w:top w:val="single" w:sz="4" w:space="0" w:color="auto"/>
              <w:bottom w:val="single" w:sz="4" w:space="0" w:color="auto"/>
            </w:tcBorders>
          </w:tcPr>
          <w:p w14:paraId="3A7E3FE9" w14:textId="77777777" w:rsidR="00772D20" w:rsidRPr="009515D2" w:rsidRDefault="00772D20"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186690C8" w14:textId="77777777" w:rsidR="00772D20" w:rsidRPr="009515D2" w:rsidRDefault="00772D20"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31CD18E8" w14:textId="77777777" w:rsidR="00772D20" w:rsidRPr="009515D2" w:rsidRDefault="00772D20"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2441445D" w14:textId="77777777" w:rsidR="00772D20" w:rsidRPr="009515D2" w:rsidRDefault="00772D20"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76E87395" w14:textId="77777777" w:rsidR="00772D20" w:rsidRPr="009515D2" w:rsidRDefault="00772D20"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4EA70620" w14:textId="595CDB1A" w:rsidR="00772D20" w:rsidRPr="009515D2" w:rsidRDefault="00772D20"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78A2E226" w14:textId="5A4E6C2E" w:rsidR="00772D20" w:rsidRPr="009515D2" w:rsidRDefault="00772D20" w:rsidP="00A85036">
            <w:pPr>
              <w:spacing w:line="276" w:lineRule="auto"/>
              <w:jc w:val="right"/>
              <w:rPr>
                <w:sz w:val="22"/>
                <w:szCs w:val="22"/>
              </w:rPr>
            </w:pPr>
            <w:r w:rsidRPr="009515D2">
              <w:rPr>
                <w:i/>
                <w:iCs/>
                <w:sz w:val="22"/>
                <w:szCs w:val="22"/>
              </w:rPr>
              <w:t>p</w:t>
            </w:r>
          </w:p>
        </w:tc>
        <w:tc>
          <w:tcPr>
            <w:tcW w:w="996" w:type="dxa"/>
          </w:tcPr>
          <w:p w14:paraId="1BCAB48F" w14:textId="4FB93CCB" w:rsidR="00772D20" w:rsidRPr="009515D2" w:rsidRDefault="00772D20" w:rsidP="00A85036">
            <w:pPr>
              <w:spacing w:line="276" w:lineRule="auto"/>
              <w:jc w:val="right"/>
              <w:rPr>
                <w:sz w:val="22"/>
                <w:szCs w:val="22"/>
              </w:rPr>
            </w:pPr>
          </w:p>
        </w:tc>
        <w:tc>
          <w:tcPr>
            <w:tcW w:w="1013" w:type="dxa"/>
          </w:tcPr>
          <w:p w14:paraId="4A7D8307" w14:textId="4644929C" w:rsidR="00772D20" w:rsidRPr="009515D2" w:rsidRDefault="00772D20" w:rsidP="00A85036">
            <w:pPr>
              <w:spacing w:line="276" w:lineRule="auto"/>
              <w:jc w:val="right"/>
              <w:rPr>
                <w:sz w:val="22"/>
                <w:szCs w:val="22"/>
              </w:rPr>
            </w:pPr>
          </w:p>
        </w:tc>
        <w:tc>
          <w:tcPr>
            <w:tcW w:w="996" w:type="dxa"/>
          </w:tcPr>
          <w:p w14:paraId="4C187C68" w14:textId="0DF68B24" w:rsidR="00772D20" w:rsidRPr="009515D2" w:rsidRDefault="00772D20" w:rsidP="00A85036">
            <w:pPr>
              <w:spacing w:line="276" w:lineRule="auto"/>
              <w:jc w:val="right"/>
              <w:rPr>
                <w:i/>
                <w:iCs/>
                <w:sz w:val="22"/>
                <w:szCs w:val="22"/>
              </w:rPr>
            </w:pPr>
          </w:p>
        </w:tc>
        <w:tc>
          <w:tcPr>
            <w:tcW w:w="876" w:type="dxa"/>
          </w:tcPr>
          <w:p w14:paraId="62698BF4" w14:textId="178CC1E1" w:rsidR="00772D20" w:rsidRPr="009515D2" w:rsidRDefault="00772D20" w:rsidP="00A85036">
            <w:pPr>
              <w:spacing w:line="276" w:lineRule="auto"/>
              <w:jc w:val="right"/>
              <w:rPr>
                <w:i/>
                <w:iCs/>
                <w:sz w:val="22"/>
                <w:szCs w:val="22"/>
              </w:rPr>
            </w:pPr>
          </w:p>
        </w:tc>
      </w:tr>
      <w:tr w:rsidR="00772D20" w:rsidRPr="009515D2" w14:paraId="49896A63" w14:textId="77777777" w:rsidTr="00772D20">
        <w:tc>
          <w:tcPr>
            <w:tcW w:w="1980" w:type="dxa"/>
            <w:tcBorders>
              <w:top w:val="single" w:sz="4" w:space="0" w:color="auto"/>
            </w:tcBorders>
          </w:tcPr>
          <w:p w14:paraId="39869AF3" w14:textId="08DB46EA" w:rsidR="00772D20" w:rsidRPr="009515D2" w:rsidRDefault="00772D20"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7BF324CE" w14:textId="77777777" w:rsidR="00772D20" w:rsidRPr="009515D2" w:rsidRDefault="00772D20"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39D7EC72" w14:textId="6CAEED55" w:rsidR="00772D20" w:rsidRPr="009515D2" w:rsidRDefault="008D46B4" w:rsidP="00A85036">
            <w:pPr>
              <w:spacing w:line="276" w:lineRule="auto"/>
              <w:jc w:val="right"/>
              <w:rPr>
                <w:sz w:val="22"/>
                <w:szCs w:val="22"/>
              </w:rPr>
            </w:pPr>
            <w:r>
              <w:rPr>
                <w:sz w:val="22"/>
                <w:szCs w:val="22"/>
              </w:rPr>
              <w:t>10.54</w:t>
            </w:r>
          </w:p>
        </w:tc>
        <w:tc>
          <w:tcPr>
            <w:tcW w:w="1012" w:type="dxa"/>
            <w:tcBorders>
              <w:top w:val="single" w:sz="4" w:space="0" w:color="auto"/>
            </w:tcBorders>
          </w:tcPr>
          <w:p w14:paraId="2B96A3C3" w14:textId="7265AC6C" w:rsidR="00772D20" w:rsidRPr="009515D2" w:rsidRDefault="008D46B4" w:rsidP="00A85036">
            <w:pPr>
              <w:spacing w:line="276" w:lineRule="auto"/>
              <w:jc w:val="right"/>
              <w:rPr>
                <w:b/>
                <w:bCs/>
                <w:sz w:val="22"/>
                <w:szCs w:val="22"/>
              </w:rPr>
            </w:pPr>
            <w:r>
              <w:rPr>
                <w:b/>
                <w:bCs/>
                <w:sz w:val="22"/>
                <w:szCs w:val="22"/>
              </w:rPr>
              <w:t>0.001</w:t>
            </w:r>
          </w:p>
        </w:tc>
        <w:tc>
          <w:tcPr>
            <w:tcW w:w="996" w:type="dxa"/>
            <w:tcBorders>
              <w:top w:val="single" w:sz="4" w:space="0" w:color="auto"/>
            </w:tcBorders>
          </w:tcPr>
          <w:p w14:paraId="4D153B38" w14:textId="363BB4CC" w:rsidR="00772D20" w:rsidRPr="009515D2" w:rsidRDefault="00A747FF" w:rsidP="00A85036">
            <w:pPr>
              <w:spacing w:line="276" w:lineRule="auto"/>
              <w:jc w:val="right"/>
              <w:rPr>
                <w:sz w:val="22"/>
                <w:szCs w:val="22"/>
              </w:rPr>
            </w:pPr>
            <w:r>
              <w:rPr>
                <w:sz w:val="22"/>
                <w:szCs w:val="22"/>
              </w:rPr>
              <w:t>9.97</w:t>
            </w:r>
          </w:p>
        </w:tc>
        <w:tc>
          <w:tcPr>
            <w:tcW w:w="1013" w:type="dxa"/>
            <w:tcBorders>
              <w:top w:val="single" w:sz="4" w:space="0" w:color="auto"/>
            </w:tcBorders>
          </w:tcPr>
          <w:p w14:paraId="428DA2D8" w14:textId="5E64488E" w:rsidR="008D46B4" w:rsidRPr="009515D2" w:rsidRDefault="008D46B4" w:rsidP="008D46B4">
            <w:pPr>
              <w:spacing w:line="276" w:lineRule="auto"/>
              <w:jc w:val="right"/>
              <w:rPr>
                <w:b/>
                <w:bCs/>
                <w:sz w:val="22"/>
                <w:szCs w:val="22"/>
              </w:rPr>
            </w:pPr>
            <w:r>
              <w:rPr>
                <w:b/>
                <w:bCs/>
                <w:sz w:val="22"/>
                <w:szCs w:val="22"/>
              </w:rPr>
              <w:t>0.00</w:t>
            </w:r>
            <w:r w:rsidR="00A747FF">
              <w:rPr>
                <w:b/>
                <w:bCs/>
                <w:sz w:val="22"/>
                <w:szCs w:val="22"/>
              </w:rPr>
              <w:t>2</w:t>
            </w:r>
          </w:p>
        </w:tc>
        <w:tc>
          <w:tcPr>
            <w:tcW w:w="996" w:type="dxa"/>
            <w:tcBorders>
              <w:top w:val="single" w:sz="4" w:space="0" w:color="auto"/>
            </w:tcBorders>
          </w:tcPr>
          <w:p w14:paraId="4EAD0798" w14:textId="514F7EC4" w:rsidR="00772D20" w:rsidRPr="009515D2" w:rsidRDefault="004654D8" w:rsidP="00A85036">
            <w:pPr>
              <w:spacing w:line="276" w:lineRule="auto"/>
              <w:jc w:val="right"/>
              <w:rPr>
                <w:sz w:val="22"/>
                <w:szCs w:val="22"/>
              </w:rPr>
            </w:pPr>
            <w:r>
              <w:rPr>
                <w:sz w:val="22"/>
                <w:szCs w:val="22"/>
              </w:rPr>
              <w:t>0.0</w:t>
            </w:r>
            <w:r w:rsidR="000C5833">
              <w:rPr>
                <w:sz w:val="22"/>
                <w:szCs w:val="22"/>
              </w:rPr>
              <w:t>1</w:t>
            </w:r>
          </w:p>
        </w:tc>
        <w:tc>
          <w:tcPr>
            <w:tcW w:w="1013" w:type="dxa"/>
            <w:tcBorders>
              <w:top w:val="single" w:sz="4" w:space="0" w:color="auto"/>
            </w:tcBorders>
          </w:tcPr>
          <w:p w14:paraId="5F0924DD" w14:textId="5EB748FE" w:rsidR="00772D20" w:rsidRPr="004654D8" w:rsidRDefault="004654D8" w:rsidP="00A85036">
            <w:pPr>
              <w:spacing w:line="276" w:lineRule="auto"/>
              <w:jc w:val="right"/>
              <w:rPr>
                <w:sz w:val="22"/>
                <w:szCs w:val="22"/>
              </w:rPr>
            </w:pPr>
            <w:r w:rsidRPr="004654D8">
              <w:rPr>
                <w:sz w:val="22"/>
                <w:szCs w:val="22"/>
              </w:rPr>
              <w:t>0.</w:t>
            </w:r>
            <w:r w:rsidR="000C5833">
              <w:rPr>
                <w:sz w:val="22"/>
                <w:szCs w:val="22"/>
              </w:rPr>
              <w:t>913</w:t>
            </w:r>
          </w:p>
        </w:tc>
        <w:tc>
          <w:tcPr>
            <w:tcW w:w="996" w:type="dxa"/>
          </w:tcPr>
          <w:p w14:paraId="7CD81988" w14:textId="35769B81" w:rsidR="00772D20" w:rsidRPr="009515D2" w:rsidRDefault="00772D20" w:rsidP="00A85036">
            <w:pPr>
              <w:spacing w:line="276" w:lineRule="auto"/>
              <w:jc w:val="right"/>
              <w:rPr>
                <w:sz w:val="22"/>
                <w:szCs w:val="22"/>
              </w:rPr>
            </w:pPr>
          </w:p>
        </w:tc>
        <w:tc>
          <w:tcPr>
            <w:tcW w:w="1013" w:type="dxa"/>
          </w:tcPr>
          <w:p w14:paraId="09588227" w14:textId="63D675EB" w:rsidR="00772D20" w:rsidRPr="009515D2" w:rsidRDefault="00772D20" w:rsidP="00A85036">
            <w:pPr>
              <w:spacing w:line="276" w:lineRule="auto"/>
              <w:jc w:val="right"/>
              <w:rPr>
                <w:b/>
                <w:bCs/>
                <w:sz w:val="22"/>
                <w:szCs w:val="22"/>
              </w:rPr>
            </w:pPr>
          </w:p>
        </w:tc>
        <w:tc>
          <w:tcPr>
            <w:tcW w:w="996" w:type="dxa"/>
          </w:tcPr>
          <w:p w14:paraId="2385BC81" w14:textId="5F6FECA6" w:rsidR="00772D20" w:rsidRPr="009515D2" w:rsidRDefault="00772D20" w:rsidP="00A85036">
            <w:pPr>
              <w:spacing w:line="276" w:lineRule="auto"/>
              <w:jc w:val="right"/>
              <w:rPr>
                <w:sz w:val="22"/>
                <w:szCs w:val="22"/>
              </w:rPr>
            </w:pPr>
          </w:p>
        </w:tc>
        <w:tc>
          <w:tcPr>
            <w:tcW w:w="876" w:type="dxa"/>
          </w:tcPr>
          <w:p w14:paraId="5C9D6C64" w14:textId="2E5A760F" w:rsidR="00772D20" w:rsidRPr="009515D2" w:rsidRDefault="00772D20" w:rsidP="00A85036">
            <w:pPr>
              <w:spacing w:line="276" w:lineRule="auto"/>
              <w:jc w:val="right"/>
              <w:rPr>
                <w:i/>
                <w:iCs/>
                <w:sz w:val="22"/>
                <w:szCs w:val="22"/>
              </w:rPr>
            </w:pPr>
          </w:p>
        </w:tc>
      </w:tr>
      <w:tr w:rsidR="00772D20" w:rsidRPr="009515D2" w14:paraId="6B28A648" w14:textId="77777777" w:rsidTr="004B1EA4">
        <w:trPr>
          <w:trHeight w:val="60"/>
        </w:trPr>
        <w:tc>
          <w:tcPr>
            <w:tcW w:w="1980" w:type="dxa"/>
          </w:tcPr>
          <w:p w14:paraId="37C3382C" w14:textId="2321B3F4" w:rsidR="00772D20" w:rsidRPr="009515D2" w:rsidRDefault="00772D20" w:rsidP="00A85036">
            <w:pPr>
              <w:spacing w:line="276" w:lineRule="auto"/>
              <w:jc w:val="right"/>
              <w:rPr>
                <w:sz w:val="22"/>
                <w:szCs w:val="22"/>
              </w:rPr>
            </w:pPr>
            <w:r w:rsidRPr="009515D2">
              <w:rPr>
                <w:sz w:val="22"/>
                <w:szCs w:val="22"/>
              </w:rPr>
              <w:t>Inoculation (I)</w:t>
            </w:r>
          </w:p>
        </w:tc>
        <w:tc>
          <w:tcPr>
            <w:tcW w:w="536" w:type="dxa"/>
          </w:tcPr>
          <w:p w14:paraId="574ED284" w14:textId="77777777" w:rsidR="00772D20" w:rsidRPr="009515D2" w:rsidRDefault="00772D20" w:rsidP="00A85036">
            <w:pPr>
              <w:spacing w:line="276" w:lineRule="auto"/>
              <w:jc w:val="right"/>
              <w:rPr>
                <w:sz w:val="22"/>
                <w:szCs w:val="22"/>
              </w:rPr>
            </w:pPr>
            <w:r w:rsidRPr="009515D2">
              <w:rPr>
                <w:sz w:val="22"/>
                <w:szCs w:val="22"/>
              </w:rPr>
              <w:t>1</w:t>
            </w:r>
          </w:p>
        </w:tc>
        <w:tc>
          <w:tcPr>
            <w:tcW w:w="996" w:type="dxa"/>
          </w:tcPr>
          <w:p w14:paraId="05EEE654" w14:textId="75CB2A8C" w:rsidR="00772D20" w:rsidRPr="009515D2" w:rsidRDefault="008D46B4" w:rsidP="00A85036">
            <w:pPr>
              <w:spacing w:line="276" w:lineRule="auto"/>
              <w:jc w:val="right"/>
              <w:rPr>
                <w:sz w:val="22"/>
                <w:szCs w:val="22"/>
              </w:rPr>
            </w:pPr>
            <w:r>
              <w:rPr>
                <w:sz w:val="22"/>
                <w:szCs w:val="22"/>
              </w:rPr>
              <w:t>0.65</w:t>
            </w:r>
          </w:p>
        </w:tc>
        <w:tc>
          <w:tcPr>
            <w:tcW w:w="1012" w:type="dxa"/>
          </w:tcPr>
          <w:p w14:paraId="3906C5DC" w14:textId="5105980C" w:rsidR="00772D20" w:rsidRPr="009515D2" w:rsidRDefault="008D46B4" w:rsidP="00A85036">
            <w:pPr>
              <w:spacing w:line="276" w:lineRule="auto"/>
              <w:jc w:val="right"/>
              <w:rPr>
                <w:sz w:val="22"/>
                <w:szCs w:val="22"/>
              </w:rPr>
            </w:pPr>
            <w:r>
              <w:rPr>
                <w:sz w:val="22"/>
                <w:szCs w:val="22"/>
              </w:rPr>
              <w:t>0.421</w:t>
            </w:r>
          </w:p>
        </w:tc>
        <w:tc>
          <w:tcPr>
            <w:tcW w:w="996" w:type="dxa"/>
          </w:tcPr>
          <w:p w14:paraId="53E15C3E" w14:textId="4C254606" w:rsidR="00772D20" w:rsidRPr="009515D2" w:rsidRDefault="008D46B4" w:rsidP="00A85036">
            <w:pPr>
              <w:spacing w:line="276" w:lineRule="auto"/>
              <w:jc w:val="right"/>
              <w:rPr>
                <w:sz w:val="22"/>
                <w:szCs w:val="22"/>
              </w:rPr>
            </w:pPr>
            <w:r>
              <w:rPr>
                <w:sz w:val="22"/>
                <w:szCs w:val="22"/>
              </w:rPr>
              <w:t>0.</w:t>
            </w:r>
            <w:r w:rsidR="00A747FF">
              <w:rPr>
                <w:sz w:val="22"/>
                <w:szCs w:val="22"/>
              </w:rPr>
              <w:t>34</w:t>
            </w:r>
          </w:p>
        </w:tc>
        <w:tc>
          <w:tcPr>
            <w:tcW w:w="1013" w:type="dxa"/>
          </w:tcPr>
          <w:p w14:paraId="079C8FC4" w14:textId="5E096C68" w:rsidR="00772D20" w:rsidRPr="009515D2" w:rsidRDefault="008D46B4" w:rsidP="00A85036">
            <w:pPr>
              <w:spacing w:line="276" w:lineRule="auto"/>
              <w:jc w:val="right"/>
              <w:rPr>
                <w:sz w:val="22"/>
                <w:szCs w:val="22"/>
              </w:rPr>
            </w:pPr>
            <w:r>
              <w:rPr>
                <w:sz w:val="22"/>
                <w:szCs w:val="22"/>
              </w:rPr>
              <w:t>0.</w:t>
            </w:r>
            <w:r w:rsidR="00A747FF">
              <w:rPr>
                <w:sz w:val="22"/>
                <w:szCs w:val="22"/>
              </w:rPr>
              <w:t>561</w:t>
            </w:r>
          </w:p>
        </w:tc>
        <w:tc>
          <w:tcPr>
            <w:tcW w:w="996" w:type="dxa"/>
          </w:tcPr>
          <w:p w14:paraId="1C44127E" w14:textId="47D51476" w:rsidR="00772D20" w:rsidRPr="009515D2" w:rsidRDefault="004654D8" w:rsidP="00A85036">
            <w:pPr>
              <w:spacing w:line="276" w:lineRule="auto"/>
              <w:jc w:val="right"/>
              <w:rPr>
                <w:sz w:val="22"/>
                <w:szCs w:val="22"/>
              </w:rPr>
            </w:pPr>
            <w:r>
              <w:rPr>
                <w:sz w:val="22"/>
                <w:szCs w:val="22"/>
              </w:rPr>
              <w:t>0.2</w:t>
            </w:r>
            <w:r w:rsidR="000C5833">
              <w:rPr>
                <w:sz w:val="22"/>
                <w:szCs w:val="22"/>
              </w:rPr>
              <w:t>8</w:t>
            </w:r>
          </w:p>
        </w:tc>
        <w:tc>
          <w:tcPr>
            <w:tcW w:w="1013" w:type="dxa"/>
          </w:tcPr>
          <w:p w14:paraId="7A863FC4" w14:textId="2D7AE862" w:rsidR="00772D20" w:rsidRPr="009515D2" w:rsidRDefault="004654D8" w:rsidP="00A85036">
            <w:pPr>
              <w:spacing w:line="276" w:lineRule="auto"/>
              <w:jc w:val="right"/>
              <w:rPr>
                <w:sz w:val="22"/>
                <w:szCs w:val="22"/>
              </w:rPr>
            </w:pPr>
            <w:r>
              <w:rPr>
                <w:sz w:val="22"/>
                <w:szCs w:val="22"/>
              </w:rPr>
              <w:t>0.</w:t>
            </w:r>
            <w:r w:rsidR="000C5833">
              <w:rPr>
                <w:sz w:val="22"/>
                <w:szCs w:val="22"/>
              </w:rPr>
              <w:t>597</w:t>
            </w:r>
          </w:p>
        </w:tc>
        <w:tc>
          <w:tcPr>
            <w:tcW w:w="996" w:type="dxa"/>
          </w:tcPr>
          <w:p w14:paraId="0B4933CC" w14:textId="3E00819E" w:rsidR="00772D20" w:rsidRPr="009515D2" w:rsidRDefault="00772D20" w:rsidP="00A85036">
            <w:pPr>
              <w:spacing w:line="276" w:lineRule="auto"/>
              <w:jc w:val="right"/>
              <w:rPr>
                <w:sz w:val="22"/>
                <w:szCs w:val="22"/>
              </w:rPr>
            </w:pPr>
          </w:p>
        </w:tc>
        <w:tc>
          <w:tcPr>
            <w:tcW w:w="1013" w:type="dxa"/>
          </w:tcPr>
          <w:p w14:paraId="1254DAAD" w14:textId="051CD413" w:rsidR="00772D20" w:rsidRPr="009515D2" w:rsidRDefault="00772D20" w:rsidP="00A85036">
            <w:pPr>
              <w:spacing w:line="276" w:lineRule="auto"/>
              <w:jc w:val="right"/>
              <w:rPr>
                <w:sz w:val="22"/>
                <w:szCs w:val="22"/>
              </w:rPr>
            </w:pPr>
          </w:p>
        </w:tc>
        <w:tc>
          <w:tcPr>
            <w:tcW w:w="996" w:type="dxa"/>
          </w:tcPr>
          <w:p w14:paraId="5C55CFD9" w14:textId="44BF9751" w:rsidR="00772D20" w:rsidRPr="009515D2" w:rsidRDefault="00772D20" w:rsidP="00A85036">
            <w:pPr>
              <w:spacing w:line="276" w:lineRule="auto"/>
              <w:jc w:val="right"/>
              <w:rPr>
                <w:sz w:val="22"/>
                <w:szCs w:val="22"/>
              </w:rPr>
            </w:pPr>
          </w:p>
        </w:tc>
        <w:tc>
          <w:tcPr>
            <w:tcW w:w="876" w:type="dxa"/>
          </w:tcPr>
          <w:p w14:paraId="6313B017" w14:textId="7060984C" w:rsidR="00772D20" w:rsidRPr="009515D2" w:rsidRDefault="00772D20" w:rsidP="00A85036">
            <w:pPr>
              <w:spacing w:line="276" w:lineRule="auto"/>
              <w:jc w:val="right"/>
              <w:rPr>
                <w:sz w:val="22"/>
                <w:szCs w:val="22"/>
              </w:rPr>
            </w:pPr>
          </w:p>
        </w:tc>
      </w:tr>
      <w:tr w:rsidR="00772D20" w:rsidRPr="009515D2" w14:paraId="276C464A" w14:textId="77777777" w:rsidTr="004B1EA4">
        <w:tc>
          <w:tcPr>
            <w:tcW w:w="1980" w:type="dxa"/>
          </w:tcPr>
          <w:p w14:paraId="117FFFF0" w14:textId="538B42F4" w:rsidR="00772D20" w:rsidRPr="009515D2" w:rsidRDefault="00772D20" w:rsidP="00A85036">
            <w:pPr>
              <w:spacing w:line="276" w:lineRule="auto"/>
              <w:jc w:val="right"/>
              <w:rPr>
                <w:sz w:val="22"/>
                <w:szCs w:val="22"/>
              </w:rPr>
            </w:pPr>
            <w:r w:rsidRPr="009515D2">
              <w:rPr>
                <w:sz w:val="22"/>
                <w:szCs w:val="22"/>
              </w:rPr>
              <w:t>N*I</w:t>
            </w:r>
          </w:p>
        </w:tc>
        <w:tc>
          <w:tcPr>
            <w:tcW w:w="536" w:type="dxa"/>
          </w:tcPr>
          <w:p w14:paraId="768A5441" w14:textId="3CBA14BA" w:rsidR="00772D20" w:rsidRPr="009515D2" w:rsidRDefault="00772D20" w:rsidP="00A85036">
            <w:pPr>
              <w:spacing w:line="276" w:lineRule="auto"/>
              <w:jc w:val="right"/>
              <w:rPr>
                <w:sz w:val="22"/>
                <w:szCs w:val="22"/>
              </w:rPr>
            </w:pPr>
            <w:r w:rsidRPr="009515D2">
              <w:rPr>
                <w:sz w:val="22"/>
                <w:szCs w:val="22"/>
              </w:rPr>
              <w:t>1</w:t>
            </w:r>
          </w:p>
        </w:tc>
        <w:tc>
          <w:tcPr>
            <w:tcW w:w="996" w:type="dxa"/>
          </w:tcPr>
          <w:p w14:paraId="33CF390D" w14:textId="3691D34C" w:rsidR="00772D20" w:rsidRPr="009515D2" w:rsidRDefault="008D46B4" w:rsidP="00A85036">
            <w:pPr>
              <w:spacing w:line="276" w:lineRule="auto"/>
              <w:jc w:val="right"/>
              <w:rPr>
                <w:sz w:val="22"/>
                <w:szCs w:val="22"/>
              </w:rPr>
            </w:pPr>
            <w:r>
              <w:rPr>
                <w:sz w:val="22"/>
                <w:szCs w:val="22"/>
              </w:rPr>
              <w:t>3.06</w:t>
            </w:r>
          </w:p>
        </w:tc>
        <w:tc>
          <w:tcPr>
            <w:tcW w:w="1012" w:type="dxa"/>
          </w:tcPr>
          <w:p w14:paraId="2FCC6FE1" w14:textId="56383A1A" w:rsidR="00772D20" w:rsidRPr="009515D2" w:rsidRDefault="008D46B4" w:rsidP="00A85036">
            <w:pPr>
              <w:spacing w:line="276" w:lineRule="auto"/>
              <w:jc w:val="right"/>
              <w:rPr>
                <w:i/>
                <w:iCs/>
                <w:sz w:val="22"/>
                <w:szCs w:val="22"/>
              </w:rPr>
            </w:pPr>
            <w:r>
              <w:rPr>
                <w:i/>
                <w:iCs/>
                <w:sz w:val="22"/>
                <w:szCs w:val="22"/>
              </w:rPr>
              <w:t>0.080</w:t>
            </w:r>
          </w:p>
        </w:tc>
        <w:tc>
          <w:tcPr>
            <w:tcW w:w="996" w:type="dxa"/>
          </w:tcPr>
          <w:p w14:paraId="50ECE181" w14:textId="7D740BA8" w:rsidR="00772D20" w:rsidRPr="009515D2" w:rsidRDefault="008D46B4" w:rsidP="00A85036">
            <w:pPr>
              <w:spacing w:line="276" w:lineRule="auto"/>
              <w:jc w:val="right"/>
              <w:rPr>
                <w:sz w:val="22"/>
                <w:szCs w:val="22"/>
              </w:rPr>
            </w:pPr>
            <w:r>
              <w:rPr>
                <w:sz w:val="22"/>
                <w:szCs w:val="22"/>
              </w:rPr>
              <w:t>0.</w:t>
            </w:r>
            <w:r w:rsidR="00A747FF">
              <w:rPr>
                <w:sz w:val="22"/>
                <w:szCs w:val="22"/>
              </w:rPr>
              <w:t>01</w:t>
            </w:r>
          </w:p>
        </w:tc>
        <w:tc>
          <w:tcPr>
            <w:tcW w:w="1013" w:type="dxa"/>
          </w:tcPr>
          <w:p w14:paraId="2A93F8BE" w14:textId="4BEEF89A" w:rsidR="00772D20" w:rsidRPr="009515D2" w:rsidRDefault="008D46B4" w:rsidP="00A85036">
            <w:pPr>
              <w:spacing w:line="276" w:lineRule="auto"/>
              <w:jc w:val="right"/>
              <w:rPr>
                <w:sz w:val="22"/>
                <w:szCs w:val="22"/>
              </w:rPr>
            </w:pPr>
            <w:r>
              <w:rPr>
                <w:sz w:val="22"/>
                <w:szCs w:val="22"/>
              </w:rPr>
              <w:t>0.</w:t>
            </w:r>
            <w:r w:rsidR="00A747FF">
              <w:rPr>
                <w:sz w:val="22"/>
                <w:szCs w:val="22"/>
              </w:rPr>
              <w:t>929</w:t>
            </w:r>
          </w:p>
        </w:tc>
        <w:tc>
          <w:tcPr>
            <w:tcW w:w="996" w:type="dxa"/>
          </w:tcPr>
          <w:p w14:paraId="09BA5390" w14:textId="25F3D33E" w:rsidR="00772D20" w:rsidRPr="009515D2" w:rsidRDefault="000C5833" w:rsidP="00A85036">
            <w:pPr>
              <w:spacing w:line="276" w:lineRule="auto"/>
              <w:jc w:val="right"/>
              <w:rPr>
                <w:sz w:val="22"/>
                <w:szCs w:val="22"/>
              </w:rPr>
            </w:pPr>
            <w:r>
              <w:rPr>
                <w:sz w:val="22"/>
                <w:szCs w:val="22"/>
              </w:rPr>
              <w:t>1.40</w:t>
            </w:r>
          </w:p>
        </w:tc>
        <w:tc>
          <w:tcPr>
            <w:tcW w:w="1013" w:type="dxa"/>
          </w:tcPr>
          <w:p w14:paraId="4C247A2D" w14:textId="697AEEFC" w:rsidR="00772D20" w:rsidRPr="009515D2" w:rsidRDefault="004654D8" w:rsidP="00A85036">
            <w:pPr>
              <w:spacing w:line="276" w:lineRule="auto"/>
              <w:jc w:val="right"/>
              <w:rPr>
                <w:sz w:val="22"/>
                <w:szCs w:val="22"/>
              </w:rPr>
            </w:pPr>
            <w:r>
              <w:rPr>
                <w:sz w:val="22"/>
                <w:szCs w:val="22"/>
              </w:rPr>
              <w:t>0.</w:t>
            </w:r>
            <w:r w:rsidR="000C5833">
              <w:rPr>
                <w:sz w:val="22"/>
                <w:szCs w:val="22"/>
              </w:rPr>
              <w:t>237</w:t>
            </w:r>
          </w:p>
        </w:tc>
        <w:tc>
          <w:tcPr>
            <w:tcW w:w="996" w:type="dxa"/>
          </w:tcPr>
          <w:p w14:paraId="2E6FF966" w14:textId="4ACB9D39" w:rsidR="00772D20" w:rsidRPr="009515D2" w:rsidRDefault="00772D20" w:rsidP="00A85036">
            <w:pPr>
              <w:spacing w:line="276" w:lineRule="auto"/>
              <w:jc w:val="right"/>
              <w:rPr>
                <w:sz w:val="22"/>
                <w:szCs w:val="22"/>
              </w:rPr>
            </w:pPr>
          </w:p>
        </w:tc>
        <w:tc>
          <w:tcPr>
            <w:tcW w:w="1013" w:type="dxa"/>
          </w:tcPr>
          <w:p w14:paraId="18BF8ADC" w14:textId="5526C11F" w:rsidR="00772D20" w:rsidRPr="009515D2" w:rsidRDefault="00772D20" w:rsidP="00A85036">
            <w:pPr>
              <w:spacing w:line="276" w:lineRule="auto"/>
              <w:jc w:val="right"/>
              <w:rPr>
                <w:b/>
                <w:bCs/>
                <w:sz w:val="22"/>
                <w:szCs w:val="22"/>
              </w:rPr>
            </w:pPr>
          </w:p>
        </w:tc>
        <w:tc>
          <w:tcPr>
            <w:tcW w:w="996" w:type="dxa"/>
          </w:tcPr>
          <w:p w14:paraId="073ED45F" w14:textId="1E0C33AA" w:rsidR="00772D20" w:rsidRPr="009515D2" w:rsidRDefault="00772D20" w:rsidP="00A85036">
            <w:pPr>
              <w:spacing w:line="276" w:lineRule="auto"/>
              <w:jc w:val="right"/>
              <w:rPr>
                <w:sz w:val="22"/>
                <w:szCs w:val="22"/>
              </w:rPr>
            </w:pPr>
          </w:p>
        </w:tc>
        <w:tc>
          <w:tcPr>
            <w:tcW w:w="876" w:type="dxa"/>
          </w:tcPr>
          <w:p w14:paraId="1065E7B4" w14:textId="6F86B64A" w:rsidR="00772D20" w:rsidRPr="009515D2" w:rsidRDefault="00772D20" w:rsidP="00A85036">
            <w:pPr>
              <w:spacing w:line="276" w:lineRule="auto"/>
              <w:jc w:val="right"/>
              <w:rPr>
                <w:sz w:val="22"/>
                <w:szCs w:val="22"/>
              </w:rPr>
            </w:pPr>
          </w:p>
        </w:tc>
      </w:tr>
    </w:tbl>
    <w:p w14:paraId="7FD152BB" w14:textId="77777777" w:rsidR="007A2F1C" w:rsidRDefault="007A2F1C" w:rsidP="00A754EC">
      <w:pPr>
        <w:spacing w:line="360" w:lineRule="auto"/>
      </w:pPr>
    </w:p>
    <w:p w14:paraId="41234A95" w14:textId="376B4BCA" w:rsidR="0033651D" w:rsidRDefault="007A2F1C" w:rsidP="00A754EC">
      <w:pPr>
        <w:spacing w:line="360" w:lineRule="auto"/>
        <w:sectPr w:rsidR="0033651D" w:rsidSect="00772287">
          <w:pgSz w:w="15840" w:h="12240" w:orient="landscape"/>
          <w:pgMar w:top="1440" w:right="1440" w:bottom="1440" w:left="1440" w:header="720" w:footer="720" w:gutter="0"/>
          <w:lnNumType w:countBy="1" w:restart="continuous"/>
          <w:cols w:space="720"/>
          <w:docGrid w:linePitch="360"/>
        </w:sectPr>
      </w:pPr>
      <w:r w:rsidRPr="00E6584D">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 xml:space="preserve">-values less than 0.05 are in bold and </w:t>
      </w:r>
      <w:r>
        <w:rPr>
          <w:i/>
          <w:iCs/>
        </w:rPr>
        <w:t>P</w:t>
      </w:r>
      <w:r>
        <w:t>-values between 0.05 and 0.1 are italicized. Key:</w:t>
      </w:r>
      <w:r w:rsidRPr="00D07058">
        <w:rPr>
          <w:i/>
          <w:iCs/>
        </w:rPr>
        <w:t xml:space="preserve"> </w:t>
      </w:r>
      <w:proofErr w:type="spellStart"/>
      <w:r>
        <w:rPr>
          <w:i/>
          <w:iCs/>
        </w:rPr>
        <w:t>A</w:t>
      </w:r>
      <w:r>
        <w:rPr>
          <w:vertAlign w:val="subscript"/>
        </w:rPr>
        <w:t>net</w:t>
      </w:r>
      <w:proofErr w:type="spellEnd"/>
      <w:r>
        <w:t>=light saturated net photosynthesis</w:t>
      </w:r>
      <w:r w:rsidRPr="00A01023">
        <w:t xml:space="preserve"> </w:t>
      </w:r>
      <w:r>
        <w:t xml:space="preserve">measured at 400 </w:t>
      </w:r>
      <w:r w:rsidRPr="00863849">
        <w:rPr>
          <w:color w:val="000000"/>
          <w:lang w:val="el-GR"/>
        </w:rPr>
        <w:t>μ</w:t>
      </w:r>
      <w:r w:rsidRPr="00863849">
        <w:rPr>
          <w:color w:val="000000"/>
        </w:rPr>
        <w:t>mol mol</w:t>
      </w:r>
      <w:r w:rsidRPr="00863849">
        <w:rPr>
          <w:color w:val="000000"/>
          <w:vertAlign w:val="superscript"/>
        </w:rPr>
        <w:t>-1</w:t>
      </w:r>
      <w:r>
        <w:rPr>
          <w:color w:val="000000"/>
        </w:rPr>
        <w:t xml:space="preserve"> CO</w:t>
      </w:r>
      <w:r>
        <w:rPr>
          <w:color w:val="000000"/>
          <w:vertAlign w:val="subscript"/>
        </w:rPr>
        <w:t>2</w:t>
      </w:r>
      <w:r>
        <w:t>;</w:t>
      </w:r>
      <w:r w:rsidRPr="00D07058">
        <w:rPr>
          <w:i/>
          <w:iCs/>
        </w:rPr>
        <w:t xml:space="preserve"> </w:t>
      </w:r>
      <w:r>
        <w:rPr>
          <w:i/>
          <w:iCs/>
        </w:rPr>
        <w:t>V</w:t>
      </w:r>
      <w:r>
        <w:rPr>
          <w:vertAlign w:val="subscript"/>
        </w:rPr>
        <w:t>cmax25</w:t>
      </w:r>
      <w:r>
        <w:t>=maximum rate of Rubisco carboxylation</w:t>
      </w:r>
      <w:r w:rsidR="004B1EA4" w:rsidRPr="004B1EA4">
        <w:t xml:space="preserve"> </w:t>
      </w:r>
      <w:r w:rsidR="004B1EA4">
        <w:t>standardized to 25</w:t>
      </w:r>
      <w:r w:rsidR="004B1EA4">
        <w:sym w:font="Symbol" w:char="F0B0"/>
      </w:r>
      <w:r w:rsidR="004B1EA4">
        <w:t>C</w:t>
      </w:r>
      <w:r>
        <w:t xml:space="preserve">; </w:t>
      </w:r>
      <w:r w:rsidRPr="00D07058">
        <w:rPr>
          <w:i/>
          <w:iCs/>
        </w:rPr>
        <w:t>J</w:t>
      </w:r>
      <w:r w:rsidRPr="00D07058">
        <w:rPr>
          <w:vertAlign w:val="subscript"/>
        </w:rPr>
        <w:t>max25</w:t>
      </w:r>
      <w:r>
        <w:t>=</w:t>
      </w:r>
      <w:r w:rsidRPr="00D07058">
        <w:t>maximum</w:t>
      </w:r>
      <w:r>
        <w:t xml:space="preserve"> rate of electron transport for RuBP regeneration</w:t>
      </w:r>
      <w:r w:rsidR="004B1EA4" w:rsidRPr="004B1EA4">
        <w:t xml:space="preserve"> </w:t>
      </w:r>
      <w:r w:rsidR="004B1EA4">
        <w:t>standardized to 25</w:t>
      </w:r>
      <w:r w:rsidR="004B1EA4">
        <w:sym w:font="Symbol" w:char="F0B0"/>
      </w:r>
      <w:r w:rsidR="004B1EA4">
        <w:t>C</w:t>
      </w:r>
      <w:r>
        <w:t xml:space="preserve">, </w:t>
      </w:r>
      <w:r>
        <w:rPr>
          <w:i/>
          <w:iCs/>
        </w:rPr>
        <w:t>J</w:t>
      </w:r>
      <w:r>
        <w:rPr>
          <w:vertAlign w:val="subscript"/>
        </w:rPr>
        <w:t>max25</w:t>
      </w:r>
      <w:r>
        <w:t>:</w:t>
      </w:r>
      <w:r w:rsidRPr="00D07058">
        <w:rPr>
          <w:i/>
          <w:iCs/>
        </w:rPr>
        <w:t>V</w:t>
      </w:r>
      <w:r w:rsidRPr="00F21918">
        <w:rPr>
          <w:vertAlign w:val="subscript"/>
        </w:rPr>
        <w:t>cmax25</w:t>
      </w:r>
      <w:r>
        <w:t xml:space="preserve">=the ratio of </w:t>
      </w:r>
      <w:r>
        <w:rPr>
          <w:i/>
          <w:iCs/>
        </w:rPr>
        <w:t>J</w:t>
      </w:r>
      <w:r>
        <w:rPr>
          <w:vertAlign w:val="subscript"/>
        </w:rPr>
        <w:t>max25</w:t>
      </w:r>
      <w:r>
        <w:t xml:space="preserve"> to </w:t>
      </w:r>
      <w:r>
        <w:rPr>
          <w:i/>
          <w:iCs/>
        </w:rPr>
        <w:t>V</w:t>
      </w:r>
      <w:r>
        <w:rPr>
          <w:vertAlign w:val="subscript"/>
        </w:rPr>
        <w:t>cmax25</w:t>
      </w:r>
      <w:r w:rsidR="0033651D">
        <w:t>, both standardized to 25</w:t>
      </w:r>
      <w:r w:rsidR="0033651D">
        <w:sym w:font="Symbol" w:char="F0B0"/>
      </w:r>
      <w:r w:rsidR="0033651D">
        <w:t>C;</w:t>
      </w:r>
      <w:r w:rsidRPr="004B1EA4">
        <w:t xml:space="preserve"> </w:t>
      </w:r>
      <w:r w:rsidR="004B1EA4" w:rsidRPr="004B1EA4">
        <w:rPr>
          <w:i/>
          <w:iCs/>
        </w:rPr>
        <w:t>R</w:t>
      </w:r>
      <w:r w:rsidR="004B1EA4" w:rsidRPr="004B1EA4">
        <w:rPr>
          <w:vertAlign w:val="subscript"/>
        </w:rPr>
        <w:t>d25</w:t>
      </w:r>
      <w:r w:rsidR="004B1EA4">
        <w:t>=dark respiration rate standardized to 25</w:t>
      </w:r>
      <w:r w:rsidR="004B1EA4">
        <w:sym w:font="Symbol" w:char="F0B0"/>
      </w:r>
      <w:r w:rsidR="004B1EA4">
        <w:t>C;</w:t>
      </w:r>
      <w:r w:rsidR="0033651D">
        <w:t xml:space="preserve"> </w:t>
      </w:r>
      <w:r w:rsidR="0033651D" w:rsidRPr="0033651D">
        <w:rPr>
          <w:i/>
          <w:iCs/>
        </w:rPr>
        <w:t>R</w:t>
      </w:r>
      <w:r w:rsidR="0033651D" w:rsidRPr="0033651D">
        <w:rPr>
          <w:vertAlign w:val="subscript"/>
        </w:rPr>
        <w:t>d25</w:t>
      </w:r>
      <w:r w:rsidR="0033651D" w:rsidRPr="0033651D">
        <w:t>:</w:t>
      </w:r>
      <w:r w:rsidR="0033651D" w:rsidRPr="0033651D">
        <w:rPr>
          <w:i/>
          <w:iCs/>
        </w:rPr>
        <w:t>V</w:t>
      </w:r>
      <w:r w:rsidR="0033651D" w:rsidRPr="0033651D">
        <w:rPr>
          <w:vertAlign w:val="subscript"/>
        </w:rPr>
        <w:t>cmax25</w:t>
      </w:r>
      <w:r w:rsidR="0033651D">
        <w:t xml:space="preserve">= ratio of </w:t>
      </w:r>
      <w:r w:rsidR="0033651D" w:rsidRPr="0033651D">
        <w:rPr>
          <w:i/>
          <w:iCs/>
        </w:rPr>
        <w:t>R</w:t>
      </w:r>
      <w:r w:rsidR="0033651D" w:rsidRPr="0033651D">
        <w:rPr>
          <w:vertAlign w:val="subscript"/>
        </w:rPr>
        <w:t>d25</w:t>
      </w:r>
      <w:r w:rsidR="0033651D">
        <w:t xml:space="preserve"> to </w:t>
      </w:r>
      <w:r w:rsidR="0033651D" w:rsidRPr="0033651D">
        <w:rPr>
          <w:i/>
          <w:iCs/>
        </w:rPr>
        <w:t>V</w:t>
      </w:r>
      <w:r w:rsidR="0033651D" w:rsidRPr="0033651D">
        <w:rPr>
          <w:vertAlign w:val="subscript"/>
        </w:rPr>
        <w:t>cmax25</w:t>
      </w:r>
      <w:r w:rsidR="0033651D">
        <w:t>, both standardized to 25</w:t>
      </w:r>
      <w:r w:rsidR="0033651D">
        <w:sym w:font="Symbol" w:char="F0B0"/>
      </w:r>
      <w:r w:rsidR="0033651D">
        <w:t>C;</w:t>
      </w:r>
      <w:r w:rsidR="004B1EA4">
        <w:t xml:space="preserve"> </w:t>
      </w:r>
      <w:proofErr w:type="spellStart"/>
      <w:r>
        <w:rPr>
          <w:i/>
          <w:iCs/>
        </w:rPr>
        <w:t>g</w:t>
      </w:r>
      <w:r>
        <w:rPr>
          <w:vertAlign w:val="subscript"/>
        </w:rPr>
        <w:t>s</w:t>
      </w:r>
      <w:proofErr w:type="spellEnd"/>
      <w:r>
        <w:t xml:space="preserve">=stomatal conductance measured at 400 </w:t>
      </w:r>
      <w:r w:rsidRPr="00863849">
        <w:rPr>
          <w:color w:val="000000"/>
          <w:lang w:val="el-GR"/>
        </w:rPr>
        <w:t>μ</w:t>
      </w:r>
      <w:r w:rsidRPr="00863849">
        <w:rPr>
          <w:color w:val="000000"/>
        </w:rPr>
        <w:t>mol mol</w:t>
      </w:r>
      <w:r w:rsidRPr="00863849">
        <w:rPr>
          <w:color w:val="000000"/>
          <w:vertAlign w:val="superscript"/>
        </w:rPr>
        <w:t>-1</w:t>
      </w:r>
      <w:r>
        <w:rPr>
          <w:color w:val="000000"/>
        </w:rPr>
        <w:t xml:space="preserve"> CO</w:t>
      </w:r>
      <w:r>
        <w:rPr>
          <w:color w:val="000000"/>
          <w:vertAlign w:val="subscript"/>
        </w:rPr>
        <w:t>2</w:t>
      </w:r>
      <w:r>
        <w:t>;</w:t>
      </w:r>
      <w:r w:rsidR="00F00703">
        <w:rPr>
          <w:i/>
          <w:iCs/>
        </w:rPr>
        <w:t xml:space="preserve"> </w:t>
      </w:r>
      <w:proofErr w:type="spellStart"/>
      <w:r w:rsidR="00F00703">
        <w:rPr>
          <w:i/>
          <w:iCs/>
        </w:rPr>
        <w:t>C</w:t>
      </w:r>
      <w:r w:rsidR="00F00703">
        <w:rPr>
          <w:vertAlign w:val="subscript"/>
        </w:rPr>
        <w:t>i</w:t>
      </w:r>
      <w:r w:rsidR="00F00703">
        <w:t>:</w:t>
      </w:r>
      <w:r w:rsidR="00F00703">
        <w:rPr>
          <w:i/>
          <w:iCs/>
        </w:rPr>
        <w:t>C</w:t>
      </w:r>
      <w:r w:rsidR="00F00703">
        <w:rPr>
          <w:vertAlign w:val="subscript"/>
        </w:rPr>
        <w:t>a</w:t>
      </w:r>
      <w:proofErr w:type="spellEnd"/>
      <w:r w:rsidR="00F00703">
        <w:t>=ratio of intercellular CO</w:t>
      </w:r>
      <w:r w:rsidR="00F00703">
        <w:rPr>
          <w:vertAlign w:val="subscript"/>
        </w:rPr>
        <w:t>2</w:t>
      </w:r>
      <w:r w:rsidR="00F00703">
        <w:t xml:space="preserve"> to atmospheric CO</w:t>
      </w:r>
      <w:r w:rsidR="00F00703">
        <w:rPr>
          <w:vertAlign w:val="subscript"/>
        </w:rPr>
        <w:t>2</w:t>
      </w:r>
      <w:r>
        <w:t>.</w:t>
      </w:r>
    </w:p>
    <w:p w14:paraId="3310B983" w14:textId="464CA229" w:rsidR="003B6FAA" w:rsidRDefault="003B6FAA" w:rsidP="00A754EC">
      <w:pPr>
        <w:spacing w:line="360" w:lineRule="auto"/>
        <w:rPr>
          <w:b/>
          <w:bCs/>
        </w:rPr>
      </w:pPr>
      <w:r>
        <w:rPr>
          <w:b/>
          <w:bCs/>
        </w:rPr>
        <w:lastRenderedPageBreak/>
        <w:t>Figure 2</w:t>
      </w:r>
    </w:p>
    <w:p w14:paraId="04F5D345" w14:textId="7E2DDC28" w:rsidR="003B6FAA" w:rsidRDefault="0029276A" w:rsidP="00A754EC">
      <w:pPr>
        <w:spacing w:line="360" w:lineRule="auto"/>
        <w:rPr>
          <w:b/>
          <w:bCs/>
        </w:rPr>
      </w:pPr>
      <w:r>
        <w:rPr>
          <w:b/>
          <w:bCs/>
          <w:noProof/>
        </w:rPr>
        <w:drawing>
          <wp:inline distT="0" distB="0" distL="0" distR="0" wp14:anchorId="4063F7C5" wp14:editId="76A190A3">
            <wp:extent cx="5943600" cy="330200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1E3BD203" w14:textId="2867EB45" w:rsidR="003B6FAA" w:rsidRPr="00A85036" w:rsidRDefault="005214CF" w:rsidP="00A754EC">
      <w:pPr>
        <w:spacing w:line="360" w:lineRule="auto"/>
      </w:pPr>
      <w:r>
        <w:rPr>
          <w:b/>
          <w:bCs/>
        </w:rPr>
        <w:t>Figure 2</w:t>
      </w:r>
      <w:r>
        <w:t xml:space="preserve"> </w:t>
      </w:r>
      <w:r w:rsidRPr="001B10F7">
        <w:t>Effects</w:t>
      </w:r>
      <w:r>
        <w:t xml:space="preserve"> of soil nitrogen fertilization and inoculation on </w:t>
      </w:r>
      <w:r>
        <w:rPr>
          <w:i/>
          <w:iCs/>
        </w:rPr>
        <w:t>G. max</w:t>
      </w:r>
      <w:r>
        <w:t xml:space="preserve"> net photosynthesis (panel A), dark respiration standardized to </w:t>
      </w:r>
      <w:r w:rsidRPr="00863849">
        <w:rPr>
          <w:color w:val="000000"/>
        </w:rPr>
        <w:t>25</w:t>
      </w:r>
      <w:r w:rsidRPr="00863849">
        <w:rPr>
          <w:rFonts w:ascii="Symbol" w:eastAsia="Symbol" w:hAnsi="Symbol" w:cs="Symbol"/>
          <w:color w:val="000000"/>
        </w:rPr>
        <w:t></w:t>
      </w:r>
      <w:r w:rsidRPr="00863849">
        <w:rPr>
          <w:color w:val="000000"/>
        </w:rPr>
        <w:t>C</w:t>
      </w:r>
      <w:r>
        <w:t xml:space="preserve"> (panel B), maximum Rubisco carboxylation rate standardized to </w:t>
      </w:r>
      <w:r w:rsidRPr="00863849">
        <w:rPr>
          <w:color w:val="000000"/>
        </w:rPr>
        <w:t>25</w:t>
      </w:r>
      <w:r w:rsidRPr="00863849">
        <w:rPr>
          <w:rFonts w:ascii="Symbol" w:eastAsia="Symbol" w:hAnsi="Symbol" w:cs="Symbol"/>
          <w:color w:val="000000"/>
        </w:rPr>
        <w:t></w:t>
      </w:r>
      <w:r w:rsidRPr="00863849">
        <w:rPr>
          <w:color w:val="000000"/>
        </w:rPr>
        <w:t>C</w:t>
      </w:r>
      <w:r>
        <w:t xml:space="preserve"> (panel C), and the maximum electron transport for RuBP regeneration rate standardized to </w:t>
      </w:r>
      <w:r w:rsidRPr="00863849">
        <w:rPr>
          <w:color w:val="000000"/>
        </w:rPr>
        <w:t>25</w:t>
      </w:r>
      <w:r w:rsidRPr="00863849">
        <w:rPr>
          <w:rFonts w:ascii="Symbol" w:eastAsia="Symbol" w:hAnsi="Symbol" w:cs="Symbol"/>
          <w:color w:val="000000"/>
        </w:rPr>
        <w:t></w:t>
      </w:r>
      <w:r w:rsidRPr="00863849">
        <w:rPr>
          <w:color w:val="000000"/>
        </w:rPr>
        <w:t>C</w:t>
      </w:r>
      <w:r>
        <w:rPr>
          <w:color w:val="000000"/>
        </w:rPr>
        <w:t xml:space="preserve"> (panel D)</w:t>
      </w:r>
      <w:r>
        <w:t xml:space="preserve">. Soil nitrogen fertilization is represented categorically on the x-axis, while inoculation </w:t>
      </w:r>
      <w:r w:rsidR="00A433B8">
        <w:t>treatment</w:t>
      </w:r>
      <w:r>
        <w:t xml:space="preserve">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xml:space="preserve">. </w:t>
      </w:r>
      <w:r w:rsidR="0079226D"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w:t>
      </w:r>
      <w:r w:rsidR="00602B12">
        <w:rPr>
          <w:rFonts w:eastAsia="Times New Roman" w:cs="Times New Roman"/>
          <w:color w:val="000000" w:themeColor="text1"/>
        </w:rPr>
        <w:t>p</w:t>
      </w:r>
      <w:r w:rsidR="0079226D" w:rsidRPr="6E1ABADC">
        <w:rPr>
          <w:rFonts w:eastAsia="Times New Roman" w:cs="Times New Roman"/>
          <w:color w:val="000000" w:themeColor="text1"/>
        </w:rPr>
        <w:t>&lt;0.05).</w:t>
      </w:r>
      <w:r w:rsidR="003B6FAA">
        <w:rPr>
          <w:i/>
          <w:iCs/>
        </w:rPr>
        <w:br w:type="page"/>
      </w:r>
    </w:p>
    <w:p w14:paraId="1C5FC593" w14:textId="11BD1784" w:rsidR="007A2F1C" w:rsidRDefault="00AF1559" w:rsidP="00A754EC">
      <w:pPr>
        <w:spacing w:line="360" w:lineRule="auto"/>
        <w:rPr>
          <w:i/>
          <w:iCs/>
        </w:rPr>
      </w:pPr>
      <w:r>
        <w:rPr>
          <w:i/>
          <w:iCs/>
        </w:rPr>
        <w:lastRenderedPageBreak/>
        <w:t>Tradeoffs between nitrogen and water usage</w:t>
      </w:r>
    </w:p>
    <w:p w14:paraId="192E5AB2" w14:textId="04B0E18A" w:rsidR="00C377A1" w:rsidRDefault="00957D32" w:rsidP="00A754EC">
      <w:pPr>
        <w:spacing w:line="360" w:lineRule="auto"/>
        <w:ind w:firstLine="720"/>
      </w:pPr>
      <w:r w:rsidRPr="00957D32">
        <w:rPr>
          <w:i/>
          <w:iCs/>
        </w:rPr>
        <w:t>PNUE</w:t>
      </w:r>
      <w:r w:rsidR="00021BEB">
        <w:t xml:space="preserve"> was determined through an interaction between nitrogen fertilization and inoculation (Table </w:t>
      </w:r>
      <w:r w:rsidR="0048004A">
        <w:t>4</w:t>
      </w:r>
      <w:r w:rsidR="00021BEB">
        <w:t>; Fig. 3</w:t>
      </w:r>
      <w:r w:rsidR="003A7574">
        <w:t>A</w:t>
      </w:r>
      <w:r w:rsidR="00021BEB">
        <w:t>).</w:t>
      </w:r>
      <w:r w:rsidR="00C377A1">
        <w:t xml:space="preserve"> This interaction indicated that inoculated individuals grown under low nitrogen fertilization (12.</w:t>
      </w:r>
      <w:r w:rsidR="000C5833">
        <w:t>60</w:t>
      </w:r>
      <w:r w:rsidR="00C377A1">
        <w:t xml:space="preserve"> </w:t>
      </w:r>
      <w:r w:rsidR="00C377A1" w:rsidRPr="008E75B9">
        <w:sym w:font="Symbol" w:char="F0B1"/>
      </w:r>
      <w:r w:rsidR="00C377A1">
        <w:t xml:space="preserve"> 0.</w:t>
      </w:r>
      <w:r w:rsidR="00C24060">
        <w:t>6</w:t>
      </w:r>
      <w:r w:rsidR="000C5833">
        <w:t>2</w:t>
      </w:r>
      <w:r w:rsidR="00C377A1">
        <w:t xml:space="preserve"> </w:t>
      </w:r>
      <w:r w:rsidR="00C377A1">
        <w:rPr>
          <w:lang w:val="el-GR"/>
        </w:rPr>
        <w:t>μ</w:t>
      </w:r>
      <w:r w:rsidR="00C377A1">
        <w:t>mol CO</w:t>
      </w:r>
      <w:r w:rsidR="00C377A1">
        <w:rPr>
          <w:vertAlign w:val="subscript"/>
        </w:rPr>
        <w:t>2</w:t>
      </w:r>
      <w:r w:rsidR="00C377A1">
        <w:t xml:space="preserve"> g</w:t>
      </w:r>
      <w:r w:rsidR="00C377A1">
        <w:rPr>
          <w:vertAlign w:val="superscript"/>
        </w:rPr>
        <w:t>-1</w:t>
      </w:r>
      <w:r w:rsidR="00C377A1">
        <w:t xml:space="preserve"> N s</w:t>
      </w:r>
      <w:r w:rsidR="00C377A1">
        <w:rPr>
          <w:vertAlign w:val="superscript"/>
        </w:rPr>
        <w:t>-1</w:t>
      </w:r>
      <w:r w:rsidR="00C377A1">
        <w:t>) had</w:t>
      </w:r>
      <w:r w:rsidR="000C5833">
        <w:t xml:space="preserve"> 17.3%</w:t>
      </w:r>
      <w:r w:rsidR="00C377A1">
        <w:t xml:space="preserve"> lower </w:t>
      </w:r>
      <w:r w:rsidR="00C377A1">
        <w:rPr>
          <w:i/>
          <w:iCs/>
        </w:rPr>
        <w:t>PNUE</w:t>
      </w:r>
      <w:r w:rsidR="00C377A1">
        <w:t xml:space="preserve"> than non-inoculated individuals also grown under low nitrogen fertilization (1</w:t>
      </w:r>
      <w:r w:rsidR="00C24060">
        <w:t>5</w:t>
      </w:r>
      <w:r w:rsidR="00C377A1">
        <w:t>.</w:t>
      </w:r>
      <w:r w:rsidR="000C5833">
        <w:t>23</w:t>
      </w:r>
      <w:r w:rsidR="00C377A1">
        <w:t xml:space="preserve"> </w:t>
      </w:r>
      <w:r w:rsidR="00C377A1" w:rsidRPr="008E75B9">
        <w:sym w:font="Symbol" w:char="F0B1"/>
      </w:r>
      <w:r w:rsidR="00C377A1">
        <w:t xml:space="preserve"> 0.6</w:t>
      </w:r>
      <w:r w:rsidR="000C5833">
        <w:t>4</w:t>
      </w:r>
      <w:r w:rsidR="00C377A1">
        <w:t xml:space="preserve"> </w:t>
      </w:r>
      <w:r w:rsidR="00C377A1">
        <w:rPr>
          <w:lang w:val="el-GR"/>
        </w:rPr>
        <w:t>μ</w:t>
      </w:r>
      <w:r w:rsidR="00C377A1">
        <w:t>mol CO</w:t>
      </w:r>
      <w:r w:rsidR="00C377A1">
        <w:rPr>
          <w:vertAlign w:val="subscript"/>
        </w:rPr>
        <w:t>2</w:t>
      </w:r>
      <w:r w:rsidR="00C377A1">
        <w:t xml:space="preserve"> g</w:t>
      </w:r>
      <w:r w:rsidR="00C377A1">
        <w:rPr>
          <w:vertAlign w:val="superscript"/>
        </w:rPr>
        <w:t>-1</w:t>
      </w:r>
      <w:r w:rsidR="00C377A1">
        <w:t xml:space="preserve"> N s</w:t>
      </w:r>
      <w:r w:rsidR="00C377A1">
        <w:rPr>
          <w:vertAlign w:val="superscript"/>
        </w:rPr>
        <w:t>-1</w:t>
      </w:r>
      <w:r w:rsidR="0072033E">
        <w:t>; Tukey: p=0.0</w:t>
      </w:r>
      <w:r w:rsidR="000C5833">
        <w:t>24</w:t>
      </w:r>
      <w:r w:rsidR="00C377A1">
        <w:t>), with no difference in inoculation treatments under high nitrogen fertilization (Tukey: p=0.</w:t>
      </w:r>
      <w:r w:rsidR="000C5833">
        <w:t>799</w:t>
      </w:r>
      <w:r w:rsidR="0072033E">
        <w:t>)</w:t>
      </w:r>
      <w:r w:rsidR="00C377A1">
        <w:t xml:space="preserve">. We also observed a strong negative effect of soil nitrogen fertilization on </w:t>
      </w:r>
      <w:r w:rsidR="00C377A1">
        <w:rPr>
          <w:i/>
          <w:iCs/>
        </w:rPr>
        <w:t>PNUE</w:t>
      </w:r>
      <w:r w:rsidR="00C377A1">
        <w:t>, where individuals grown under high nitrogen fertilization (</w:t>
      </w:r>
      <w:r w:rsidR="0072033E">
        <w:t>8.</w:t>
      </w:r>
      <w:r w:rsidR="000C5833">
        <w:t>34</w:t>
      </w:r>
      <w:r w:rsidR="00C377A1">
        <w:t xml:space="preserve"> </w:t>
      </w:r>
      <w:r w:rsidR="00C377A1" w:rsidRPr="008E75B9">
        <w:sym w:font="Symbol" w:char="F0B1"/>
      </w:r>
      <w:r w:rsidR="0072033E">
        <w:t xml:space="preserve"> 0.4</w:t>
      </w:r>
      <w:r w:rsidR="000C5833">
        <w:t>5</w:t>
      </w:r>
      <w:r w:rsidR="00C377A1">
        <w:t xml:space="preserve"> </w:t>
      </w:r>
      <w:r w:rsidR="00C377A1">
        <w:rPr>
          <w:lang w:val="el-GR"/>
        </w:rPr>
        <w:t>μ</w:t>
      </w:r>
      <w:r w:rsidR="00C377A1">
        <w:t>mol CO</w:t>
      </w:r>
      <w:r w:rsidR="00C377A1">
        <w:rPr>
          <w:vertAlign w:val="subscript"/>
        </w:rPr>
        <w:t>2</w:t>
      </w:r>
      <w:r w:rsidR="00C377A1">
        <w:t xml:space="preserve"> g</w:t>
      </w:r>
      <w:r w:rsidR="00C377A1">
        <w:rPr>
          <w:vertAlign w:val="superscript"/>
        </w:rPr>
        <w:t>-1</w:t>
      </w:r>
      <w:r w:rsidR="00C377A1">
        <w:t xml:space="preserve"> N s</w:t>
      </w:r>
      <w:r w:rsidR="00C377A1">
        <w:rPr>
          <w:vertAlign w:val="superscript"/>
        </w:rPr>
        <w:t>-1</w:t>
      </w:r>
      <w:r w:rsidR="00C377A1">
        <w:t xml:space="preserve">) had </w:t>
      </w:r>
      <w:r w:rsidR="000C5833">
        <w:t>40.1</w:t>
      </w:r>
      <w:r w:rsidR="00C377A1">
        <w:t xml:space="preserve">% lower </w:t>
      </w:r>
      <w:r w:rsidR="00C377A1" w:rsidRPr="0072033E">
        <w:rPr>
          <w:i/>
          <w:iCs/>
        </w:rPr>
        <w:t>PNUE</w:t>
      </w:r>
      <w:r w:rsidR="00C377A1">
        <w:t xml:space="preserve"> than those grown under low nitrogen fertilization (</w:t>
      </w:r>
      <w:r w:rsidR="0072033E">
        <w:t>13.</w:t>
      </w:r>
      <w:r w:rsidR="00C24060">
        <w:t>9</w:t>
      </w:r>
      <w:r w:rsidR="000C5833">
        <w:t>2</w:t>
      </w:r>
      <w:r w:rsidR="00C377A1">
        <w:t xml:space="preserve"> </w:t>
      </w:r>
      <w:r w:rsidR="00C377A1" w:rsidRPr="008E75B9">
        <w:sym w:font="Symbol" w:char="F0B1"/>
      </w:r>
      <w:r w:rsidR="0072033E">
        <w:t xml:space="preserve"> 0.4</w:t>
      </w:r>
      <w:r w:rsidR="000C5833">
        <w:t>5</w:t>
      </w:r>
      <w:r w:rsidR="00C377A1">
        <w:t xml:space="preserve"> </w:t>
      </w:r>
      <w:r w:rsidR="00C377A1">
        <w:rPr>
          <w:lang w:val="el-GR"/>
        </w:rPr>
        <w:t>μ</w:t>
      </w:r>
      <w:r w:rsidR="00C377A1">
        <w:t>mol CO</w:t>
      </w:r>
      <w:r w:rsidR="00C377A1">
        <w:rPr>
          <w:vertAlign w:val="subscript"/>
        </w:rPr>
        <w:t>2</w:t>
      </w:r>
      <w:r w:rsidR="00C377A1">
        <w:t xml:space="preserve"> g</w:t>
      </w:r>
      <w:r w:rsidR="00C377A1">
        <w:rPr>
          <w:vertAlign w:val="superscript"/>
        </w:rPr>
        <w:t>-1</w:t>
      </w:r>
      <w:r w:rsidR="00C377A1">
        <w:t xml:space="preserve"> N s</w:t>
      </w:r>
      <w:r w:rsidR="00C377A1">
        <w:rPr>
          <w:vertAlign w:val="superscript"/>
        </w:rPr>
        <w:t>-1</w:t>
      </w:r>
      <w:r w:rsidR="00C377A1">
        <w:t>; Tukey: p</w:t>
      </w:r>
      <w:r w:rsidR="0072033E">
        <w:t>&lt;0.001</w:t>
      </w:r>
      <w:r w:rsidR="00C377A1">
        <w:t xml:space="preserve">). There was no individual inoculation effect on </w:t>
      </w:r>
      <w:r w:rsidR="00C377A1" w:rsidRPr="0072033E">
        <w:rPr>
          <w:i/>
          <w:iCs/>
        </w:rPr>
        <w:t>PNUE</w:t>
      </w:r>
      <w:r w:rsidR="00C377A1">
        <w:t xml:space="preserve"> (Table 4; Fig. 3A).</w:t>
      </w:r>
    </w:p>
    <w:p w14:paraId="2A95FC17" w14:textId="0B1B61DE" w:rsidR="00061330" w:rsidRDefault="00C24060" w:rsidP="00C24060">
      <w:pPr>
        <w:spacing w:line="360" w:lineRule="auto"/>
        <w:ind w:firstLine="720"/>
      </w:pPr>
      <w:r>
        <w:t xml:space="preserve">There was no effect of nitrogen fertilization, inoculation, or any observable interaction between fertilization and inoculation on </w:t>
      </w:r>
      <w:proofErr w:type="spellStart"/>
      <w:r w:rsidR="00957D32" w:rsidRPr="00957D32">
        <w:rPr>
          <w:i/>
          <w:iCs/>
        </w:rPr>
        <w:t>iWUE</w:t>
      </w:r>
      <w:proofErr w:type="spellEnd"/>
      <w:r w:rsidR="003A7574">
        <w:t xml:space="preserve"> (Table </w:t>
      </w:r>
      <w:r w:rsidR="0048004A">
        <w:t>4</w:t>
      </w:r>
      <w:r w:rsidR="003A7574">
        <w:t>; Fig. 3B)</w:t>
      </w:r>
      <w:r w:rsidR="00751149">
        <w:t>.</w:t>
      </w:r>
    </w:p>
    <w:p w14:paraId="404E21FC" w14:textId="51B5B6CC" w:rsidR="00AF1559" w:rsidRDefault="00751149" w:rsidP="00EA4E30">
      <w:pPr>
        <w:spacing w:line="360" w:lineRule="auto"/>
        <w:ind w:firstLine="720"/>
      </w:pPr>
      <w:r>
        <w:t xml:space="preserve">Increasing nitrogen fertilization generally increased </w:t>
      </w:r>
      <w:proofErr w:type="spellStart"/>
      <w:r w:rsidR="00957D32">
        <w:rPr>
          <w:i/>
          <w:iCs/>
        </w:rPr>
        <w:t>N</w:t>
      </w:r>
      <w:r w:rsidR="00957D32">
        <w:rPr>
          <w:vertAlign w:val="subscript"/>
        </w:rPr>
        <w:t>area</w:t>
      </w:r>
      <w:proofErr w:type="spellEnd"/>
      <w:r w:rsidR="00957D32">
        <w:t>:</w:t>
      </w:r>
      <w:r w:rsidR="00E20C33">
        <w:t xml:space="preserve"> </w:t>
      </w:r>
      <w:proofErr w:type="spellStart"/>
      <w:r w:rsidR="00957D32">
        <w:rPr>
          <w:i/>
          <w:iCs/>
        </w:rPr>
        <w:t>g</w:t>
      </w:r>
      <w:r w:rsidR="00957D32">
        <w:rPr>
          <w:vertAlign w:val="subscript"/>
        </w:rPr>
        <w:t>s</w:t>
      </w:r>
      <w:proofErr w:type="spellEnd"/>
      <w:r w:rsidR="005214CF" w:rsidRPr="00477955">
        <w:t xml:space="preserve"> </w:t>
      </w:r>
      <w:r w:rsidR="005214CF">
        <w:t xml:space="preserve">(Table </w:t>
      </w:r>
      <w:r w:rsidR="0048004A">
        <w:t>4</w:t>
      </w:r>
      <w:r w:rsidR="005214CF">
        <w:t>; Fig 3C)</w:t>
      </w:r>
      <w:r w:rsidR="00957D32">
        <w:t xml:space="preserve"> and</w:t>
      </w:r>
      <w:r w:rsidR="00C24060">
        <w:t xml:space="preserve"> marginally increased</w:t>
      </w:r>
      <w:r w:rsidR="00957D32">
        <w:t xml:space="preserve"> </w:t>
      </w:r>
      <w:proofErr w:type="spellStart"/>
      <w:r w:rsidR="00957D32" w:rsidRPr="00957D32">
        <w:rPr>
          <w:i/>
          <w:iCs/>
        </w:rPr>
        <w:t>V</w:t>
      </w:r>
      <w:r w:rsidR="00957D32">
        <w:rPr>
          <w:vertAlign w:val="subscript"/>
        </w:rPr>
        <w:t>cmax</w:t>
      </w:r>
      <w:proofErr w:type="spellEnd"/>
      <w:r w:rsidR="00957D32">
        <w:t>:</w:t>
      </w:r>
      <w:r w:rsidR="00E20C33">
        <w:t xml:space="preserve"> </w:t>
      </w:r>
      <w:proofErr w:type="spellStart"/>
      <w:r w:rsidR="00957D32" w:rsidRPr="00957D32">
        <w:rPr>
          <w:i/>
          <w:iCs/>
        </w:rPr>
        <w:t>g</w:t>
      </w:r>
      <w:r w:rsidR="00957D32">
        <w:rPr>
          <w:vertAlign w:val="subscript"/>
        </w:rPr>
        <w:t>s</w:t>
      </w:r>
      <w:proofErr w:type="spellEnd"/>
      <w:r w:rsidR="00957D32" w:rsidRPr="00957D32">
        <w:t xml:space="preserve"> </w:t>
      </w:r>
      <w:r w:rsidR="005214CF">
        <w:t xml:space="preserve">(Table </w:t>
      </w:r>
      <w:r w:rsidR="0048004A">
        <w:t>4</w:t>
      </w:r>
      <w:r w:rsidR="005214CF">
        <w:t>; Fig 3D)</w:t>
      </w:r>
      <w:r>
        <w:t>.</w:t>
      </w:r>
      <w:r w:rsidR="008C56B6">
        <w:t xml:space="preserve"> </w:t>
      </w:r>
      <w:r w:rsidR="00EA4E30">
        <w:t>Individuals grown under high nitrogen fertilization</w:t>
      </w:r>
      <w:r w:rsidR="008C56B6">
        <w:t xml:space="preserve"> (</w:t>
      </w:r>
      <w:r w:rsidR="00FE31B0">
        <w:t>9.</w:t>
      </w:r>
      <w:r w:rsidR="00EA4E30">
        <w:t>54</w:t>
      </w:r>
      <w:r w:rsidR="00FE31B0">
        <w:t xml:space="preserve"> </w:t>
      </w:r>
      <w:r w:rsidR="00FE31B0" w:rsidRPr="008E75B9">
        <w:sym w:font="Symbol" w:char="F0B1"/>
      </w:r>
      <w:r w:rsidR="00FE31B0">
        <w:t xml:space="preserve"> 0.</w:t>
      </w:r>
      <w:r w:rsidR="00EA4E30">
        <w:t>45</w:t>
      </w:r>
      <w:r w:rsidR="00FE31B0">
        <w:t xml:space="preserve"> g N s mol</w:t>
      </w:r>
      <w:r w:rsidR="00FE31B0">
        <w:rPr>
          <w:vertAlign w:val="superscript"/>
        </w:rPr>
        <w:t>-1</w:t>
      </w:r>
      <w:r w:rsidR="00FE31B0">
        <w:t xml:space="preserve"> H</w:t>
      </w:r>
      <w:r w:rsidR="00FE31B0">
        <w:rPr>
          <w:vertAlign w:val="subscript"/>
        </w:rPr>
        <w:t>2</w:t>
      </w:r>
      <w:r w:rsidR="00FE31B0">
        <w:t>O</w:t>
      </w:r>
      <w:r w:rsidR="008C56B6">
        <w:t xml:space="preserve">) had </w:t>
      </w:r>
      <w:r w:rsidR="00EA4E30">
        <w:t>68.3</w:t>
      </w:r>
      <w:r w:rsidR="008C56B6">
        <w:t xml:space="preserve">% higher </w:t>
      </w:r>
      <w:proofErr w:type="spellStart"/>
      <w:r w:rsidR="008C56B6">
        <w:rPr>
          <w:i/>
          <w:iCs/>
        </w:rPr>
        <w:t>N</w:t>
      </w:r>
      <w:r w:rsidR="008C56B6">
        <w:rPr>
          <w:vertAlign w:val="subscript"/>
        </w:rPr>
        <w:t>area</w:t>
      </w:r>
      <w:proofErr w:type="spellEnd"/>
      <w:r w:rsidR="008C56B6">
        <w:t xml:space="preserve">: </w:t>
      </w:r>
      <w:proofErr w:type="spellStart"/>
      <w:r w:rsidR="008C56B6">
        <w:rPr>
          <w:i/>
          <w:iCs/>
        </w:rPr>
        <w:t>g</w:t>
      </w:r>
      <w:r w:rsidR="008C56B6">
        <w:rPr>
          <w:vertAlign w:val="subscript"/>
        </w:rPr>
        <w:t>s</w:t>
      </w:r>
      <w:proofErr w:type="spellEnd"/>
      <w:r w:rsidR="008C56B6">
        <w:t xml:space="preserve"> than those grown under low nitrogen fertilization (</w:t>
      </w:r>
      <w:r w:rsidR="00EA4E30">
        <w:t>5.67</w:t>
      </w:r>
      <w:r w:rsidR="00FE31B0">
        <w:t xml:space="preserve"> </w:t>
      </w:r>
      <w:r w:rsidR="008C56B6" w:rsidRPr="008E75B9">
        <w:sym w:font="Symbol" w:char="F0B1"/>
      </w:r>
      <w:r w:rsidR="00FE31B0">
        <w:t xml:space="preserve"> 0.</w:t>
      </w:r>
      <w:r w:rsidR="00EA4E30">
        <w:t xml:space="preserve">0.44 </w:t>
      </w:r>
      <w:r w:rsidR="008C56B6">
        <w:t>g N s mol</w:t>
      </w:r>
      <w:r w:rsidR="008C56B6">
        <w:rPr>
          <w:vertAlign w:val="superscript"/>
        </w:rPr>
        <w:t>-1</w:t>
      </w:r>
      <w:r w:rsidR="008C56B6">
        <w:t xml:space="preserve"> </w:t>
      </w:r>
      <w:r w:rsidR="00FE31B0">
        <w:t>H</w:t>
      </w:r>
      <w:r w:rsidR="00FE31B0">
        <w:rPr>
          <w:vertAlign w:val="subscript"/>
        </w:rPr>
        <w:t>2</w:t>
      </w:r>
      <w:r w:rsidR="00FE31B0">
        <w:t>O</w:t>
      </w:r>
      <w:r w:rsidR="00EA4E30">
        <w:t>;</w:t>
      </w:r>
      <w:r w:rsidR="00FE31B0">
        <w:t xml:space="preserve"> Tukey: p&lt;0.001</w:t>
      </w:r>
      <w:r w:rsidR="008C56B6">
        <w:t>)</w:t>
      </w:r>
      <w:r w:rsidR="00FE31B0">
        <w:t>. There was no observable inoculation effect or interaction between fertilization and inoculation on</w:t>
      </w:r>
      <w:r w:rsidR="00EA4E30" w:rsidRPr="00EA4E30">
        <w:rPr>
          <w:i/>
          <w:iCs/>
        </w:rPr>
        <w:t xml:space="preserve"> </w:t>
      </w:r>
      <w:proofErr w:type="spellStart"/>
      <w:r w:rsidR="00EA4E30">
        <w:rPr>
          <w:i/>
          <w:iCs/>
        </w:rPr>
        <w:t>N</w:t>
      </w:r>
      <w:r w:rsidR="00EA4E30">
        <w:rPr>
          <w:vertAlign w:val="subscript"/>
        </w:rPr>
        <w:t>area</w:t>
      </w:r>
      <w:proofErr w:type="spellEnd"/>
      <w:r w:rsidR="00EA4E30">
        <w:t xml:space="preserve">: </w:t>
      </w:r>
      <w:proofErr w:type="spellStart"/>
      <w:r w:rsidR="00EA4E30">
        <w:rPr>
          <w:i/>
          <w:iCs/>
        </w:rPr>
        <w:t>g</w:t>
      </w:r>
      <w:r w:rsidR="00EA4E30">
        <w:rPr>
          <w:vertAlign w:val="subscript"/>
        </w:rPr>
        <w:t>s</w:t>
      </w:r>
      <w:proofErr w:type="spellEnd"/>
      <w:r w:rsidR="00EA4E30" w:rsidRPr="00477955">
        <w:t xml:space="preserve"> </w:t>
      </w:r>
      <w:r w:rsidR="00EA4E30">
        <w:t xml:space="preserve">and </w:t>
      </w:r>
      <w:proofErr w:type="spellStart"/>
      <w:r w:rsidR="00EA4E30" w:rsidRPr="00957D32">
        <w:rPr>
          <w:i/>
          <w:iCs/>
        </w:rPr>
        <w:t>V</w:t>
      </w:r>
      <w:r w:rsidR="00EA4E30">
        <w:rPr>
          <w:vertAlign w:val="subscript"/>
        </w:rPr>
        <w:t>cmax</w:t>
      </w:r>
      <w:proofErr w:type="spellEnd"/>
      <w:r w:rsidR="00EA4E30">
        <w:t xml:space="preserve">: </w:t>
      </w:r>
      <w:proofErr w:type="spellStart"/>
      <w:r w:rsidR="00EA4E30" w:rsidRPr="00957D32">
        <w:rPr>
          <w:i/>
          <w:iCs/>
        </w:rPr>
        <w:t>g</w:t>
      </w:r>
      <w:r w:rsidR="00EA4E30">
        <w:rPr>
          <w:vertAlign w:val="subscript"/>
        </w:rPr>
        <w:t>s</w:t>
      </w:r>
      <w:proofErr w:type="spellEnd"/>
      <w:r w:rsidR="00EA4E30" w:rsidRPr="00EA4E30">
        <w:t xml:space="preserve"> </w:t>
      </w:r>
      <w:r w:rsidR="00FE31B0">
        <w:t>(Table 4).</w:t>
      </w:r>
    </w:p>
    <w:p w14:paraId="56F80B48" w14:textId="77777777" w:rsidR="00AF1559" w:rsidRDefault="00AF1559" w:rsidP="00A85036">
      <w:pPr>
        <w:spacing w:line="480" w:lineRule="auto"/>
        <w:sectPr w:rsidR="00AF1559" w:rsidSect="00772287">
          <w:pgSz w:w="12240" w:h="15840"/>
          <w:pgMar w:top="1440" w:right="1440" w:bottom="1440" w:left="1440" w:header="720" w:footer="720" w:gutter="0"/>
          <w:lnNumType w:countBy="1" w:restart="continuous"/>
          <w:cols w:space="720"/>
          <w:docGrid w:linePitch="360"/>
        </w:sectPr>
      </w:pPr>
    </w:p>
    <w:p w14:paraId="0E2441EB" w14:textId="21261934" w:rsidR="008D6E2F" w:rsidRDefault="00AF1559" w:rsidP="00A754EC">
      <w:pPr>
        <w:spacing w:line="360" w:lineRule="auto"/>
      </w:pPr>
      <w:r>
        <w:rPr>
          <w:b/>
          <w:bCs/>
        </w:rPr>
        <w:lastRenderedPageBreak/>
        <w:t xml:space="preserve">Table </w:t>
      </w:r>
      <w:r w:rsidR="00EB0C0F">
        <w:rPr>
          <w:b/>
          <w:bCs/>
        </w:rPr>
        <w:t>4</w:t>
      </w:r>
      <w:r>
        <w:t xml:space="preserve"> Analysis of variance results exploring effect of soil nitrogen fertilization, inoculation with </w:t>
      </w:r>
      <w:r>
        <w:rPr>
          <w:i/>
          <w:iCs/>
        </w:rPr>
        <w:t>B. japonicum</w:t>
      </w:r>
      <w:r>
        <w:t>, and interactions between soil nitrogen fertilization and inoculation on tradeoffs between nitrogen and water usage*</w:t>
      </w:r>
    </w:p>
    <w:p w14:paraId="4DA193F7" w14:textId="77777777" w:rsidR="00A754EC" w:rsidRDefault="00A754EC" w:rsidP="00A754EC">
      <w:pPr>
        <w:spacing w:line="360" w:lineRule="auto"/>
      </w:pPr>
    </w:p>
    <w:tbl>
      <w:tblPr>
        <w:tblStyle w:val="TableGridLight"/>
        <w:tblW w:w="105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36"/>
        <w:gridCol w:w="996"/>
        <w:gridCol w:w="1012"/>
        <w:gridCol w:w="996"/>
        <w:gridCol w:w="1013"/>
        <w:gridCol w:w="996"/>
        <w:gridCol w:w="1013"/>
        <w:gridCol w:w="996"/>
        <w:gridCol w:w="1013"/>
      </w:tblGrid>
      <w:tr w:rsidR="00AF1559" w:rsidRPr="009515D2" w14:paraId="18D67BC5" w14:textId="77777777" w:rsidTr="00AF1559">
        <w:tc>
          <w:tcPr>
            <w:tcW w:w="2516" w:type="dxa"/>
            <w:gridSpan w:val="2"/>
            <w:tcBorders>
              <w:bottom w:val="single" w:sz="4" w:space="0" w:color="auto"/>
            </w:tcBorders>
          </w:tcPr>
          <w:p w14:paraId="182B1290" w14:textId="77777777" w:rsidR="00AF1559" w:rsidRPr="009515D2" w:rsidRDefault="00AF1559" w:rsidP="00A85036">
            <w:pPr>
              <w:spacing w:line="276" w:lineRule="auto"/>
              <w:rPr>
                <w:b/>
                <w:bCs/>
                <w:sz w:val="22"/>
                <w:szCs w:val="22"/>
              </w:rPr>
            </w:pPr>
          </w:p>
        </w:tc>
        <w:tc>
          <w:tcPr>
            <w:tcW w:w="2008" w:type="dxa"/>
            <w:gridSpan w:val="2"/>
            <w:tcBorders>
              <w:bottom w:val="single" w:sz="4" w:space="0" w:color="auto"/>
            </w:tcBorders>
          </w:tcPr>
          <w:p w14:paraId="4773E066" w14:textId="05BF929C" w:rsidR="00AF1559" w:rsidRPr="009515D2" w:rsidRDefault="00AF1559" w:rsidP="00A85036">
            <w:pPr>
              <w:spacing w:line="276" w:lineRule="auto"/>
              <w:jc w:val="right"/>
              <w:rPr>
                <w:b/>
                <w:bCs/>
                <w:sz w:val="22"/>
                <w:szCs w:val="22"/>
                <w:vertAlign w:val="subscript"/>
              </w:rPr>
            </w:pPr>
            <w:r w:rsidRPr="009515D2">
              <w:rPr>
                <w:b/>
                <w:bCs/>
                <w:i/>
                <w:iCs/>
                <w:sz w:val="22"/>
                <w:szCs w:val="22"/>
              </w:rPr>
              <w:t>PNUE</w:t>
            </w:r>
          </w:p>
        </w:tc>
        <w:tc>
          <w:tcPr>
            <w:tcW w:w="2009" w:type="dxa"/>
            <w:gridSpan w:val="2"/>
            <w:tcBorders>
              <w:bottom w:val="single" w:sz="4" w:space="0" w:color="auto"/>
            </w:tcBorders>
          </w:tcPr>
          <w:p w14:paraId="43748AD6" w14:textId="4FF8045F" w:rsidR="00AF1559" w:rsidRPr="009515D2" w:rsidRDefault="00AF1559" w:rsidP="00A85036">
            <w:pPr>
              <w:spacing w:line="276" w:lineRule="auto"/>
              <w:jc w:val="right"/>
              <w:rPr>
                <w:b/>
                <w:bCs/>
                <w:sz w:val="22"/>
                <w:szCs w:val="22"/>
                <w:vertAlign w:val="subscript"/>
              </w:rPr>
            </w:pPr>
            <w:proofErr w:type="spellStart"/>
            <w:r w:rsidRPr="009515D2">
              <w:rPr>
                <w:b/>
                <w:bCs/>
                <w:i/>
                <w:iCs/>
                <w:sz w:val="22"/>
                <w:szCs w:val="22"/>
              </w:rPr>
              <w:t>iWUE</w:t>
            </w:r>
            <w:proofErr w:type="spellEnd"/>
          </w:p>
        </w:tc>
        <w:tc>
          <w:tcPr>
            <w:tcW w:w="2009" w:type="dxa"/>
            <w:gridSpan w:val="2"/>
            <w:tcBorders>
              <w:bottom w:val="single" w:sz="4" w:space="0" w:color="auto"/>
            </w:tcBorders>
          </w:tcPr>
          <w:p w14:paraId="68FF0F27" w14:textId="66990E21" w:rsidR="00AF1559" w:rsidRPr="009515D2" w:rsidRDefault="00AF1559" w:rsidP="00A85036">
            <w:pPr>
              <w:spacing w:line="276" w:lineRule="auto"/>
              <w:jc w:val="right"/>
              <w:rPr>
                <w:b/>
                <w:bCs/>
                <w:sz w:val="22"/>
                <w:szCs w:val="22"/>
                <w:vertAlign w:val="subscript"/>
              </w:rPr>
            </w:pPr>
            <w:proofErr w:type="spellStart"/>
            <w:r w:rsidRPr="009515D2">
              <w:rPr>
                <w:b/>
                <w:bCs/>
                <w:i/>
                <w:iCs/>
                <w:sz w:val="22"/>
                <w:szCs w:val="22"/>
              </w:rPr>
              <w:t>N</w:t>
            </w:r>
            <w:r w:rsidRPr="009515D2">
              <w:rPr>
                <w:b/>
                <w:bCs/>
                <w:sz w:val="22"/>
                <w:szCs w:val="22"/>
                <w:vertAlign w:val="subscript"/>
              </w:rPr>
              <w:t>area</w:t>
            </w:r>
            <w:r w:rsidRPr="009515D2">
              <w:rPr>
                <w:b/>
                <w:bCs/>
                <w:sz w:val="22"/>
                <w:szCs w:val="22"/>
              </w:rPr>
              <w:t>:</w:t>
            </w:r>
            <w:r w:rsidRPr="009515D2">
              <w:rPr>
                <w:b/>
                <w:bCs/>
                <w:i/>
                <w:iCs/>
                <w:sz w:val="22"/>
                <w:szCs w:val="22"/>
              </w:rPr>
              <w:t>g</w:t>
            </w:r>
            <w:r w:rsidRPr="009515D2">
              <w:rPr>
                <w:b/>
                <w:bCs/>
                <w:sz w:val="22"/>
                <w:szCs w:val="22"/>
                <w:vertAlign w:val="subscript"/>
              </w:rPr>
              <w:t>s</w:t>
            </w:r>
            <w:proofErr w:type="spellEnd"/>
          </w:p>
        </w:tc>
        <w:tc>
          <w:tcPr>
            <w:tcW w:w="2009" w:type="dxa"/>
            <w:gridSpan w:val="2"/>
            <w:tcBorders>
              <w:bottom w:val="single" w:sz="4" w:space="0" w:color="auto"/>
            </w:tcBorders>
          </w:tcPr>
          <w:p w14:paraId="1BF53C16" w14:textId="431B529F" w:rsidR="00AF1559" w:rsidRPr="009515D2" w:rsidRDefault="00AF1559" w:rsidP="00A85036">
            <w:pPr>
              <w:spacing w:line="276" w:lineRule="auto"/>
              <w:jc w:val="right"/>
              <w:rPr>
                <w:b/>
                <w:bCs/>
                <w:sz w:val="22"/>
                <w:szCs w:val="22"/>
              </w:rPr>
            </w:pPr>
            <w:proofErr w:type="spellStart"/>
            <w:r w:rsidRPr="009515D2">
              <w:rPr>
                <w:b/>
                <w:bCs/>
                <w:i/>
                <w:iCs/>
                <w:sz w:val="22"/>
                <w:szCs w:val="22"/>
              </w:rPr>
              <w:t>V</w:t>
            </w:r>
            <w:r w:rsidRPr="009515D2">
              <w:rPr>
                <w:b/>
                <w:bCs/>
                <w:sz w:val="22"/>
                <w:szCs w:val="22"/>
                <w:vertAlign w:val="subscript"/>
              </w:rPr>
              <w:t>cmax</w:t>
            </w:r>
            <w:r w:rsidRPr="009515D2">
              <w:rPr>
                <w:b/>
                <w:bCs/>
                <w:sz w:val="22"/>
                <w:szCs w:val="22"/>
              </w:rPr>
              <w:t>:</w:t>
            </w:r>
            <w:r w:rsidRPr="009515D2">
              <w:rPr>
                <w:b/>
                <w:bCs/>
                <w:i/>
                <w:iCs/>
                <w:sz w:val="22"/>
                <w:szCs w:val="22"/>
              </w:rPr>
              <w:t>g</w:t>
            </w:r>
            <w:r w:rsidRPr="009515D2">
              <w:rPr>
                <w:b/>
                <w:bCs/>
                <w:sz w:val="22"/>
                <w:szCs w:val="22"/>
                <w:vertAlign w:val="subscript"/>
              </w:rPr>
              <w:t>s</w:t>
            </w:r>
            <w:proofErr w:type="spellEnd"/>
          </w:p>
        </w:tc>
      </w:tr>
      <w:tr w:rsidR="00AF1559" w:rsidRPr="009515D2" w14:paraId="555037E2" w14:textId="77777777" w:rsidTr="00AF1559">
        <w:tc>
          <w:tcPr>
            <w:tcW w:w="1980" w:type="dxa"/>
            <w:tcBorders>
              <w:top w:val="single" w:sz="4" w:space="0" w:color="auto"/>
              <w:bottom w:val="single" w:sz="4" w:space="0" w:color="auto"/>
            </w:tcBorders>
          </w:tcPr>
          <w:p w14:paraId="77570317" w14:textId="77777777" w:rsidR="00AF1559" w:rsidRPr="009515D2" w:rsidRDefault="00AF1559" w:rsidP="00A85036">
            <w:pPr>
              <w:spacing w:line="276" w:lineRule="auto"/>
              <w:rPr>
                <w:sz w:val="22"/>
                <w:szCs w:val="22"/>
              </w:rPr>
            </w:pPr>
          </w:p>
        </w:tc>
        <w:tc>
          <w:tcPr>
            <w:tcW w:w="536" w:type="dxa"/>
            <w:tcBorders>
              <w:top w:val="single" w:sz="4" w:space="0" w:color="auto"/>
              <w:bottom w:val="single" w:sz="4" w:space="0" w:color="auto"/>
            </w:tcBorders>
          </w:tcPr>
          <w:p w14:paraId="601E70FB" w14:textId="77777777" w:rsidR="00AF1559" w:rsidRPr="009515D2" w:rsidRDefault="00AF1559"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0AE12F1E"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7BD954E2"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5B9A4AC6"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493384B1"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58765051"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4DF42158"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29B018B8"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63B105F6" w14:textId="77777777" w:rsidR="00AF1559" w:rsidRPr="009515D2" w:rsidRDefault="00AF1559" w:rsidP="00A85036">
            <w:pPr>
              <w:spacing w:line="276" w:lineRule="auto"/>
              <w:jc w:val="right"/>
              <w:rPr>
                <w:sz w:val="22"/>
                <w:szCs w:val="22"/>
              </w:rPr>
            </w:pPr>
            <w:r w:rsidRPr="009515D2">
              <w:rPr>
                <w:i/>
                <w:iCs/>
                <w:sz w:val="22"/>
                <w:szCs w:val="22"/>
              </w:rPr>
              <w:t>p</w:t>
            </w:r>
          </w:p>
        </w:tc>
      </w:tr>
      <w:tr w:rsidR="002C4FBE" w:rsidRPr="009515D2" w14:paraId="793DC0B0" w14:textId="77777777" w:rsidTr="00AF1559">
        <w:tc>
          <w:tcPr>
            <w:tcW w:w="1980" w:type="dxa"/>
            <w:tcBorders>
              <w:top w:val="single" w:sz="4" w:space="0" w:color="auto"/>
            </w:tcBorders>
          </w:tcPr>
          <w:p w14:paraId="017CBD49" w14:textId="77777777" w:rsidR="002C4FBE" w:rsidRPr="009515D2" w:rsidRDefault="002C4FBE"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29764761" w14:textId="77777777" w:rsidR="002C4FBE" w:rsidRPr="009515D2" w:rsidRDefault="002C4FBE"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399D0E03" w14:textId="64D698BA" w:rsidR="002C4FBE" w:rsidRPr="009515D2" w:rsidRDefault="000C5833" w:rsidP="00A85036">
            <w:pPr>
              <w:spacing w:line="276" w:lineRule="auto"/>
              <w:jc w:val="right"/>
              <w:rPr>
                <w:sz w:val="22"/>
                <w:szCs w:val="22"/>
              </w:rPr>
            </w:pPr>
            <w:r>
              <w:rPr>
                <w:sz w:val="22"/>
                <w:szCs w:val="22"/>
              </w:rPr>
              <w:t>77.73</w:t>
            </w:r>
          </w:p>
        </w:tc>
        <w:tc>
          <w:tcPr>
            <w:tcW w:w="1012" w:type="dxa"/>
            <w:tcBorders>
              <w:top w:val="single" w:sz="4" w:space="0" w:color="auto"/>
            </w:tcBorders>
          </w:tcPr>
          <w:p w14:paraId="592F49CA" w14:textId="7219AA22" w:rsidR="002C4FBE" w:rsidRPr="009515D2" w:rsidRDefault="002C4FBE"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062EB17D" w14:textId="3F8ED8F5" w:rsidR="002C4FBE" w:rsidRPr="009515D2" w:rsidRDefault="000C5833" w:rsidP="00A85036">
            <w:pPr>
              <w:spacing w:line="276" w:lineRule="auto"/>
              <w:jc w:val="right"/>
              <w:rPr>
                <w:sz w:val="22"/>
                <w:szCs w:val="22"/>
              </w:rPr>
            </w:pPr>
            <w:r>
              <w:rPr>
                <w:sz w:val="22"/>
                <w:szCs w:val="22"/>
              </w:rPr>
              <w:t>&lt;0.01</w:t>
            </w:r>
          </w:p>
        </w:tc>
        <w:tc>
          <w:tcPr>
            <w:tcW w:w="1013" w:type="dxa"/>
            <w:tcBorders>
              <w:top w:val="single" w:sz="4" w:space="0" w:color="auto"/>
            </w:tcBorders>
          </w:tcPr>
          <w:p w14:paraId="485BB97D" w14:textId="2603B0AC" w:rsidR="002C4FBE" w:rsidRPr="009F14D5" w:rsidRDefault="000C5833" w:rsidP="00A85036">
            <w:pPr>
              <w:spacing w:line="276" w:lineRule="auto"/>
              <w:jc w:val="right"/>
              <w:rPr>
                <w:sz w:val="22"/>
                <w:szCs w:val="22"/>
              </w:rPr>
            </w:pPr>
            <w:r w:rsidRPr="009F14D5">
              <w:rPr>
                <w:sz w:val="22"/>
                <w:szCs w:val="22"/>
              </w:rPr>
              <w:t>0.974</w:t>
            </w:r>
          </w:p>
        </w:tc>
        <w:tc>
          <w:tcPr>
            <w:tcW w:w="996" w:type="dxa"/>
            <w:tcBorders>
              <w:top w:val="single" w:sz="4" w:space="0" w:color="auto"/>
            </w:tcBorders>
          </w:tcPr>
          <w:p w14:paraId="01E7C947" w14:textId="5B233092" w:rsidR="002C4FBE" w:rsidRPr="009515D2" w:rsidRDefault="00EA4E30" w:rsidP="00A85036">
            <w:pPr>
              <w:spacing w:line="276" w:lineRule="auto"/>
              <w:jc w:val="right"/>
              <w:rPr>
                <w:sz w:val="22"/>
                <w:szCs w:val="22"/>
              </w:rPr>
            </w:pPr>
            <w:r>
              <w:rPr>
                <w:sz w:val="22"/>
                <w:szCs w:val="22"/>
              </w:rPr>
              <w:t>38.07</w:t>
            </w:r>
          </w:p>
        </w:tc>
        <w:tc>
          <w:tcPr>
            <w:tcW w:w="1013" w:type="dxa"/>
            <w:tcBorders>
              <w:top w:val="single" w:sz="4" w:space="0" w:color="auto"/>
            </w:tcBorders>
          </w:tcPr>
          <w:p w14:paraId="34216C9B" w14:textId="6CAFEBEE" w:rsidR="002C4FBE" w:rsidRPr="009515D2" w:rsidRDefault="00EA4E30" w:rsidP="00A85036">
            <w:pPr>
              <w:spacing w:line="276" w:lineRule="auto"/>
              <w:jc w:val="right"/>
              <w:rPr>
                <w:b/>
                <w:bCs/>
                <w:sz w:val="22"/>
                <w:szCs w:val="22"/>
              </w:rPr>
            </w:pPr>
            <w:r>
              <w:rPr>
                <w:b/>
                <w:bCs/>
                <w:sz w:val="22"/>
                <w:szCs w:val="22"/>
              </w:rPr>
              <w:t>&lt;0.001</w:t>
            </w:r>
          </w:p>
        </w:tc>
        <w:tc>
          <w:tcPr>
            <w:tcW w:w="996" w:type="dxa"/>
            <w:tcBorders>
              <w:top w:val="single" w:sz="4" w:space="0" w:color="auto"/>
            </w:tcBorders>
          </w:tcPr>
          <w:p w14:paraId="0150388D" w14:textId="51977C8A" w:rsidR="002C4FBE" w:rsidRPr="009515D2" w:rsidRDefault="00C24060" w:rsidP="00A85036">
            <w:pPr>
              <w:spacing w:line="276" w:lineRule="auto"/>
              <w:jc w:val="right"/>
              <w:rPr>
                <w:sz w:val="22"/>
                <w:szCs w:val="22"/>
              </w:rPr>
            </w:pPr>
            <w:r>
              <w:rPr>
                <w:sz w:val="22"/>
                <w:szCs w:val="22"/>
              </w:rPr>
              <w:t>3.</w:t>
            </w:r>
            <w:r w:rsidR="000C5833">
              <w:rPr>
                <w:sz w:val="22"/>
                <w:szCs w:val="22"/>
              </w:rPr>
              <w:t>46</w:t>
            </w:r>
          </w:p>
        </w:tc>
        <w:tc>
          <w:tcPr>
            <w:tcW w:w="1013" w:type="dxa"/>
            <w:tcBorders>
              <w:top w:val="single" w:sz="4" w:space="0" w:color="auto"/>
            </w:tcBorders>
          </w:tcPr>
          <w:p w14:paraId="7D963337" w14:textId="4E313DD7" w:rsidR="002C4FBE" w:rsidRPr="00C24060" w:rsidRDefault="00C24060" w:rsidP="00A85036">
            <w:pPr>
              <w:spacing w:line="276" w:lineRule="auto"/>
              <w:jc w:val="right"/>
              <w:rPr>
                <w:i/>
                <w:iCs/>
                <w:sz w:val="22"/>
                <w:szCs w:val="22"/>
              </w:rPr>
            </w:pPr>
            <w:r w:rsidRPr="00C24060">
              <w:rPr>
                <w:i/>
                <w:iCs/>
                <w:sz w:val="22"/>
                <w:szCs w:val="22"/>
              </w:rPr>
              <w:t>0.0</w:t>
            </w:r>
            <w:r w:rsidR="000C5833">
              <w:rPr>
                <w:i/>
                <w:iCs/>
                <w:sz w:val="22"/>
                <w:szCs w:val="22"/>
              </w:rPr>
              <w:t>63</w:t>
            </w:r>
          </w:p>
        </w:tc>
      </w:tr>
      <w:tr w:rsidR="002C4FBE" w:rsidRPr="009515D2" w14:paraId="1EABCC44" w14:textId="77777777" w:rsidTr="00EB0C0F">
        <w:tc>
          <w:tcPr>
            <w:tcW w:w="1980" w:type="dxa"/>
          </w:tcPr>
          <w:p w14:paraId="51161FFD" w14:textId="77777777" w:rsidR="002C4FBE" w:rsidRPr="009515D2" w:rsidRDefault="002C4FBE" w:rsidP="00A85036">
            <w:pPr>
              <w:spacing w:line="276" w:lineRule="auto"/>
              <w:jc w:val="right"/>
              <w:rPr>
                <w:sz w:val="22"/>
                <w:szCs w:val="22"/>
              </w:rPr>
            </w:pPr>
            <w:r w:rsidRPr="009515D2">
              <w:rPr>
                <w:sz w:val="22"/>
                <w:szCs w:val="22"/>
              </w:rPr>
              <w:t>Inoculation (I)</w:t>
            </w:r>
          </w:p>
        </w:tc>
        <w:tc>
          <w:tcPr>
            <w:tcW w:w="536" w:type="dxa"/>
          </w:tcPr>
          <w:p w14:paraId="58D61715" w14:textId="77777777" w:rsidR="002C4FBE" w:rsidRPr="009515D2" w:rsidRDefault="002C4FBE" w:rsidP="00A85036">
            <w:pPr>
              <w:spacing w:line="276" w:lineRule="auto"/>
              <w:jc w:val="right"/>
              <w:rPr>
                <w:sz w:val="22"/>
                <w:szCs w:val="22"/>
              </w:rPr>
            </w:pPr>
            <w:r w:rsidRPr="009515D2">
              <w:rPr>
                <w:sz w:val="22"/>
                <w:szCs w:val="22"/>
              </w:rPr>
              <w:t>1</w:t>
            </w:r>
          </w:p>
        </w:tc>
        <w:tc>
          <w:tcPr>
            <w:tcW w:w="996" w:type="dxa"/>
          </w:tcPr>
          <w:p w14:paraId="2840693B" w14:textId="5F13E734" w:rsidR="002C4FBE" w:rsidRPr="009515D2" w:rsidRDefault="000C5833" w:rsidP="00A85036">
            <w:pPr>
              <w:spacing w:line="276" w:lineRule="auto"/>
              <w:jc w:val="right"/>
              <w:rPr>
                <w:sz w:val="22"/>
                <w:szCs w:val="22"/>
              </w:rPr>
            </w:pPr>
            <w:r>
              <w:rPr>
                <w:sz w:val="22"/>
                <w:szCs w:val="22"/>
              </w:rPr>
              <w:t>2.06</w:t>
            </w:r>
          </w:p>
        </w:tc>
        <w:tc>
          <w:tcPr>
            <w:tcW w:w="1012" w:type="dxa"/>
          </w:tcPr>
          <w:p w14:paraId="4A11C5CA" w14:textId="4B2320AE" w:rsidR="002C4FBE" w:rsidRPr="009515D2" w:rsidRDefault="000C5833" w:rsidP="00A85036">
            <w:pPr>
              <w:spacing w:line="276" w:lineRule="auto"/>
              <w:jc w:val="right"/>
              <w:rPr>
                <w:sz w:val="22"/>
                <w:szCs w:val="22"/>
              </w:rPr>
            </w:pPr>
            <w:r>
              <w:rPr>
                <w:sz w:val="22"/>
                <w:szCs w:val="22"/>
              </w:rPr>
              <w:t>0.152</w:t>
            </w:r>
          </w:p>
        </w:tc>
        <w:tc>
          <w:tcPr>
            <w:tcW w:w="996" w:type="dxa"/>
          </w:tcPr>
          <w:p w14:paraId="26DDA98E" w14:textId="044BDDF9" w:rsidR="002C4FBE" w:rsidRPr="009515D2" w:rsidRDefault="000C5833" w:rsidP="00A85036">
            <w:pPr>
              <w:spacing w:line="276" w:lineRule="auto"/>
              <w:jc w:val="right"/>
              <w:rPr>
                <w:sz w:val="22"/>
                <w:szCs w:val="22"/>
              </w:rPr>
            </w:pPr>
            <w:r>
              <w:rPr>
                <w:sz w:val="22"/>
                <w:szCs w:val="22"/>
              </w:rPr>
              <w:t>0.30</w:t>
            </w:r>
          </w:p>
        </w:tc>
        <w:tc>
          <w:tcPr>
            <w:tcW w:w="1013" w:type="dxa"/>
          </w:tcPr>
          <w:p w14:paraId="20BE77E4" w14:textId="26860013" w:rsidR="002C4FBE" w:rsidRPr="009515D2" w:rsidRDefault="000C5833" w:rsidP="00A85036">
            <w:pPr>
              <w:spacing w:line="276" w:lineRule="auto"/>
              <w:jc w:val="right"/>
              <w:rPr>
                <w:sz w:val="22"/>
                <w:szCs w:val="22"/>
              </w:rPr>
            </w:pPr>
            <w:r>
              <w:rPr>
                <w:sz w:val="22"/>
                <w:szCs w:val="22"/>
              </w:rPr>
              <w:t>0.586</w:t>
            </w:r>
          </w:p>
        </w:tc>
        <w:tc>
          <w:tcPr>
            <w:tcW w:w="996" w:type="dxa"/>
          </w:tcPr>
          <w:p w14:paraId="460A2E5C" w14:textId="7F9C9210" w:rsidR="002C4FBE" w:rsidRPr="009515D2" w:rsidRDefault="00EA4E30" w:rsidP="00A85036">
            <w:pPr>
              <w:spacing w:line="276" w:lineRule="auto"/>
              <w:jc w:val="right"/>
              <w:rPr>
                <w:sz w:val="22"/>
                <w:szCs w:val="22"/>
              </w:rPr>
            </w:pPr>
            <w:r>
              <w:rPr>
                <w:sz w:val="22"/>
                <w:szCs w:val="22"/>
              </w:rPr>
              <w:t>&lt;0.01</w:t>
            </w:r>
          </w:p>
        </w:tc>
        <w:tc>
          <w:tcPr>
            <w:tcW w:w="1013" w:type="dxa"/>
          </w:tcPr>
          <w:p w14:paraId="0FA152AC" w14:textId="23A56570" w:rsidR="002C4FBE" w:rsidRPr="009515D2" w:rsidRDefault="00EA4E30" w:rsidP="00A85036">
            <w:pPr>
              <w:spacing w:line="276" w:lineRule="auto"/>
              <w:jc w:val="right"/>
              <w:rPr>
                <w:sz w:val="22"/>
                <w:szCs w:val="22"/>
              </w:rPr>
            </w:pPr>
            <w:r>
              <w:rPr>
                <w:sz w:val="22"/>
                <w:szCs w:val="22"/>
              </w:rPr>
              <w:t>0.967</w:t>
            </w:r>
          </w:p>
        </w:tc>
        <w:tc>
          <w:tcPr>
            <w:tcW w:w="996" w:type="dxa"/>
          </w:tcPr>
          <w:p w14:paraId="3AED3C65" w14:textId="6E8FD181" w:rsidR="002C4FBE" w:rsidRPr="009515D2" w:rsidRDefault="00C24060" w:rsidP="00A85036">
            <w:pPr>
              <w:spacing w:line="276" w:lineRule="auto"/>
              <w:jc w:val="right"/>
              <w:rPr>
                <w:sz w:val="22"/>
                <w:szCs w:val="22"/>
              </w:rPr>
            </w:pPr>
            <w:r>
              <w:rPr>
                <w:sz w:val="22"/>
                <w:szCs w:val="22"/>
              </w:rPr>
              <w:t>0.</w:t>
            </w:r>
            <w:r w:rsidR="000C5833">
              <w:rPr>
                <w:sz w:val="22"/>
                <w:szCs w:val="22"/>
              </w:rPr>
              <w:t>06</w:t>
            </w:r>
          </w:p>
        </w:tc>
        <w:tc>
          <w:tcPr>
            <w:tcW w:w="1013" w:type="dxa"/>
          </w:tcPr>
          <w:p w14:paraId="3A32B31A" w14:textId="236E1129" w:rsidR="002C4FBE" w:rsidRPr="00C24060" w:rsidRDefault="00C24060" w:rsidP="00A85036">
            <w:pPr>
              <w:spacing w:line="276" w:lineRule="auto"/>
              <w:jc w:val="right"/>
              <w:rPr>
                <w:sz w:val="22"/>
                <w:szCs w:val="22"/>
              </w:rPr>
            </w:pPr>
            <w:r w:rsidRPr="00C24060">
              <w:rPr>
                <w:sz w:val="22"/>
                <w:szCs w:val="22"/>
              </w:rPr>
              <w:t>0.</w:t>
            </w:r>
            <w:r w:rsidR="000C5833">
              <w:rPr>
                <w:sz w:val="22"/>
                <w:szCs w:val="22"/>
              </w:rPr>
              <w:t>811</w:t>
            </w:r>
          </w:p>
        </w:tc>
      </w:tr>
      <w:tr w:rsidR="002C4FBE" w:rsidRPr="009515D2" w14:paraId="1A42C81E" w14:textId="77777777" w:rsidTr="00EB0C0F">
        <w:tc>
          <w:tcPr>
            <w:tcW w:w="1980" w:type="dxa"/>
            <w:tcBorders>
              <w:bottom w:val="single" w:sz="4" w:space="0" w:color="auto"/>
            </w:tcBorders>
          </w:tcPr>
          <w:p w14:paraId="3FC82232" w14:textId="77777777" w:rsidR="002C4FBE" w:rsidRPr="009515D2" w:rsidRDefault="002C4FBE" w:rsidP="00A85036">
            <w:pPr>
              <w:spacing w:line="276" w:lineRule="auto"/>
              <w:jc w:val="right"/>
              <w:rPr>
                <w:sz w:val="22"/>
                <w:szCs w:val="22"/>
              </w:rPr>
            </w:pPr>
            <w:r w:rsidRPr="009515D2">
              <w:rPr>
                <w:sz w:val="22"/>
                <w:szCs w:val="22"/>
              </w:rPr>
              <w:t>N*I</w:t>
            </w:r>
          </w:p>
        </w:tc>
        <w:tc>
          <w:tcPr>
            <w:tcW w:w="536" w:type="dxa"/>
            <w:tcBorders>
              <w:bottom w:val="single" w:sz="4" w:space="0" w:color="auto"/>
            </w:tcBorders>
          </w:tcPr>
          <w:p w14:paraId="7BD4BBAA" w14:textId="77777777" w:rsidR="002C4FBE" w:rsidRPr="009515D2" w:rsidRDefault="002C4FBE" w:rsidP="00A85036">
            <w:pPr>
              <w:spacing w:line="276" w:lineRule="auto"/>
              <w:jc w:val="right"/>
              <w:rPr>
                <w:sz w:val="22"/>
                <w:szCs w:val="22"/>
              </w:rPr>
            </w:pPr>
            <w:r w:rsidRPr="009515D2">
              <w:rPr>
                <w:sz w:val="22"/>
                <w:szCs w:val="22"/>
              </w:rPr>
              <w:t>1</w:t>
            </w:r>
          </w:p>
        </w:tc>
        <w:tc>
          <w:tcPr>
            <w:tcW w:w="996" w:type="dxa"/>
            <w:tcBorders>
              <w:bottom w:val="single" w:sz="4" w:space="0" w:color="auto"/>
            </w:tcBorders>
          </w:tcPr>
          <w:p w14:paraId="2B30715B" w14:textId="250194B3" w:rsidR="002C4FBE" w:rsidRPr="009515D2" w:rsidRDefault="000C5833" w:rsidP="00A85036">
            <w:pPr>
              <w:spacing w:line="276" w:lineRule="auto"/>
              <w:jc w:val="right"/>
              <w:rPr>
                <w:sz w:val="22"/>
                <w:szCs w:val="22"/>
              </w:rPr>
            </w:pPr>
            <w:r>
              <w:rPr>
                <w:sz w:val="22"/>
                <w:szCs w:val="22"/>
              </w:rPr>
              <w:t>7.42</w:t>
            </w:r>
          </w:p>
        </w:tc>
        <w:tc>
          <w:tcPr>
            <w:tcW w:w="1012" w:type="dxa"/>
            <w:tcBorders>
              <w:bottom w:val="single" w:sz="4" w:space="0" w:color="auto"/>
            </w:tcBorders>
          </w:tcPr>
          <w:p w14:paraId="7C7968A0" w14:textId="27D159B6" w:rsidR="002C4FBE" w:rsidRPr="009515D2" w:rsidRDefault="000C5833" w:rsidP="00A85036">
            <w:pPr>
              <w:spacing w:line="276" w:lineRule="auto"/>
              <w:jc w:val="right"/>
              <w:rPr>
                <w:b/>
                <w:bCs/>
                <w:sz w:val="22"/>
                <w:szCs w:val="22"/>
              </w:rPr>
            </w:pPr>
            <w:r>
              <w:rPr>
                <w:b/>
                <w:bCs/>
                <w:sz w:val="22"/>
                <w:szCs w:val="22"/>
              </w:rPr>
              <w:t>0.006</w:t>
            </w:r>
          </w:p>
        </w:tc>
        <w:tc>
          <w:tcPr>
            <w:tcW w:w="996" w:type="dxa"/>
            <w:tcBorders>
              <w:bottom w:val="single" w:sz="4" w:space="0" w:color="auto"/>
            </w:tcBorders>
          </w:tcPr>
          <w:p w14:paraId="58AFC7A5" w14:textId="0B844203" w:rsidR="002C4FBE" w:rsidRPr="009515D2" w:rsidRDefault="000C5833" w:rsidP="00A85036">
            <w:pPr>
              <w:spacing w:line="276" w:lineRule="auto"/>
              <w:jc w:val="right"/>
              <w:rPr>
                <w:sz w:val="22"/>
                <w:szCs w:val="22"/>
              </w:rPr>
            </w:pPr>
            <w:r>
              <w:rPr>
                <w:sz w:val="22"/>
                <w:szCs w:val="22"/>
              </w:rPr>
              <w:t>1.36</w:t>
            </w:r>
          </w:p>
        </w:tc>
        <w:tc>
          <w:tcPr>
            <w:tcW w:w="1013" w:type="dxa"/>
            <w:tcBorders>
              <w:bottom w:val="single" w:sz="4" w:space="0" w:color="auto"/>
            </w:tcBorders>
          </w:tcPr>
          <w:p w14:paraId="6A8AF927" w14:textId="59C90AC3" w:rsidR="002C4FBE" w:rsidRPr="009515D2" w:rsidRDefault="000C5833" w:rsidP="00A85036">
            <w:pPr>
              <w:spacing w:line="276" w:lineRule="auto"/>
              <w:jc w:val="right"/>
              <w:rPr>
                <w:sz w:val="22"/>
                <w:szCs w:val="22"/>
              </w:rPr>
            </w:pPr>
            <w:r>
              <w:rPr>
                <w:sz w:val="22"/>
                <w:szCs w:val="22"/>
              </w:rPr>
              <w:t>0.243</w:t>
            </w:r>
          </w:p>
        </w:tc>
        <w:tc>
          <w:tcPr>
            <w:tcW w:w="996" w:type="dxa"/>
            <w:tcBorders>
              <w:bottom w:val="single" w:sz="4" w:space="0" w:color="auto"/>
            </w:tcBorders>
          </w:tcPr>
          <w:p w14:paraId="708542CE" w14:textId="2C6455ED" w:rsidR="002C4FBE" w:rsidRPr="009515D2" w:rsidRDefault="00EA4E30" w:rsidP="00A85036">
            <w:pPr>
              <w:spacing w:line="276" w:lineRule="auto"/>
              <w:jc w:val="right"/>
              <w:rPr>
                <w:sz w:val="22"/>
                <w:szCs w:val="22"/>
              </w:rPr>
            </w:pPr>
            <w:r>
              <w:rPr>
                <w:sz w:val="22"/>
                <w:szCs w:val="22"/>
              </w:rPr>
              <w:t>1.20</w:t>
            </w:r>
          </w:p>
        </w:tc>
        <w:tc>
          <w:tcPr>
            <w:tcW w:w="1013" w:type="dxa"/>
            <w:tcBorders>
              <w:bottom w:val="single" w:sz="4" w:space="0" w:color="auto"/>
            </w:tcBorders>
          </w:tcPr>
          <w:p w14:paraId="4360B96B" w14:textId="3272310B" w:rsidR="002C4FBE" w:rsidRPr="009515D2" w:rsidRDefault="00EA4E30" w:rsidP="00A85036">
            <w:pPr>
              <w:spacing w:line="276" w:lineRule="auto"/>
              <w:jc w:val="right"/>
              <w:rPr>
                <w:sz w:val="22"/>
                <w:szCs w:val="22"/>
              </w:rPr>
            </w:pPr>
            <w:r>
              <w:rPr>
                <w:sz w:val="22"/>
                <w:szCs w:val="22"/>
              </w:rPr>
              <w:t>0.274</w:t>
            </w:r>
          </w:p>
        </w:tc>
        <w:tc>
          <w:tcPr>
            <w:tcW w:w="996" w:type="dxa"/>
            <w:tcBorders>
              <w:bottom w:val="single" w:sz="4" w:space="0" w:color="auto"/>
            </w:tcBorders>
          </w:tcPr>
          <w:p w14:paraId="70B61CF4" w14:textId="675F055F" w:rsidR="002C4FBE" w:rsidRPr="009515D2" w:rsidRDefault="00C24060" w:rsidP="00A85036">
            <w:pPr>
              <w:spacing w:line="276" w:lineRule="auto"/>
              <w:jc w:val="right"/>
              <w:rPr>
                <w:sz w:val="22"/>
                <w:szCs w:val="22"/>
              </w:rPr>
            </w:pPr>
            <w:r>
              <w:rPr>
                <w:sz w:val="22"/>
                <w:szCs w:val="22"/>
              </w:rPr>
              <w:t>0.</w:t>
            </w:r>
            <w:r w:rsidR="000C5833">
              <w:rPr>
                <w:sz w:val="22"/>
                <w:szCs w:val="22"/>
              </w:rPr>
              <w:t>25</w:t>
            </w:r>
          </w:p>
        </w:tc>
        <w:tc>
          <w:tcPr>
            <w:tcW w:w="1013" w:type="dxa"/>
            <w:tcBorders>
              <w:bottom w:val="single" w:sz="4" w:space="0" w:color="auto"/>
            </w:tcBorders>
          </w:tcPr>
          <w:p w14:paraId="1581A9BD" w14:textId="35C82904" w:rsidR="002C4FBE" w:rsidRPr="00C24060" w:rsidRDefault="00C24060" w:rsidP="00A85036">
            <w:pPr>
              <w:spacing w:line="276" w:lineRule="auto"/>
              <w:jc w:val="right"/>
              <w:rPr>
                <w:sz w:val="22"/>
                <w:szCs w:val="22"/>
              </w:rPr>
            </w:pPr>
            <w:r w:rsidRPr="00C24060">
              <w:rPr>
                <w:sz w:val="22"/>
                <w:szCs w:val="22"/>
              </w:rPr>
              <w:t>0.</w:t>
            </w:r>
            <w:r w:rsidR="000C5833">
              <w:rPr>
                <w:sz w:val="22"/>
                <w:szCs w:val="22"/>
              </w:rPr>
              <w:t>619</w:t>
            </w:r>
          </w:p>
        </w:tc>
      </w:tr>
    </w:tbl>
    <w:p w14:paraId="194973AA" w14:textId="77777777" w:rsidR="00AF1559" w:rsidRDefault="00AF1559" w:rsidP="00A754EC">
      <w:pPr>
        <w:spacing w:line="360" w:lineRule="auto"/>
      </w:pPr>
    </w:p>
    <w:p w14:paraId="009D9BCF" w14:textId="6C8FE51E" w:rsidR="00AF1559" w:rsidRDefault="00AF1559" w:rsidP="00A754EC">
      <w:pPr>
        <w:spacing w:line="360" w:lineRule="auto"/>
      </w:pPr>
      <w:r w:rsidRPr="00E6584D">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 xml:space="preserve">-values less than 0.05 are in bold and </w:t>
      </w:r>
      <w:r>
        <w:rPr>
          <w:i/>
          <w:iCs/>
        </w:rPr>
        <w:t>P</w:t>
      </w:r>
      <w:r>
        <w:t>-values between 0.05 and 0.1 are italicized. Key:</w:t>
      </w:r>
      <w:r w:rsidRPr="00D07058">
        <w:rPr>
          <w:i/>
          <w:iCs/>
        </w:rPr>
        <w:t xml:space="preserve"> </w:t>
      </w:r>
      <w:r>
        <w:rPr>
          <w:i/>
          <w:iCs/>
        </w:rPr>
        <w:t>PNUE</w:t>
      </w:r>
      <w:r>
        <w:t xml:space="preserve">=photosynthetic nitrogen use efficiency; </w:t>
      </w:r>
      <w:proofErr w:type="spellStart"/>
      <w:r w:rsidRPr="00F072DB">
        <w:rPr>
          <w:i/>
          <w:iCs/>
        </w:rPr>
        <w:t>N</w:t>
      </w:r>
      <w:r w:rsidRPr="00F072DB">
        <w:rPr>
          <w:vertAlign w:val="subscript"/>
        </w:rPr>
        <w:t>area</w:t>
      </w:r>
      <w:proofErr w:type="spellEnd"/>
      <w:r w:rsidRPr="00F072DB">
        <w:t>:</w:t>
      </w:r>
      <w:r w:rsidR="00061330">
        <w:t xml:space="preserve"> </w:t>
      </w:r>
      <w:proofErr w:type="spellStart"/>
      <w:r w:rsidRPr="00F072DB">
        <w:rPr>
          <w:i/>
          <w:iCs/>
        </w:rPr>
        <w:t>g</w:t>
      </w:r>
      <w:r w:rsidRPr="00F072DB">
        <w:rPr>
          <w:vertAlign w:val="subscript"/>
        </w:rPr>
        <w:t>s</w:t>
      </w:r>
      <w:proofErr w:type="spellEnd"/>
      <w:r>
        <w:t xml:space="preserve">=ratio of </w:t>
      </w:r>
      <w:proofErr w:type="spellStart"/>
      <w:r w:rsidRPr="00F072DB">
        <w:rPr>
          <w:i/>
          <w:iCs/>
        </w:rPr>
        <w:t>N</w:t>
      </w:r>
      <w:r w:rsidRPr="00F072DB">
        <w:rPr>
          <w:vertAlign w:val="subscript"/>
        </w:rPr>
        <w:t>area</w:t>
      </w:r>
      <w:proofErr w:type="spellEnd"/>
      <w:r w:rsidRPr="00F072DB">
        <w:t xml:space="preserve"> to </w:t>
      </w:r>
      <w:proofErr w:type="spellStart"/>
      <w:r w:rsidRPr="00F072DB">
        <w:rPr>
          <w:i/>
          <w:iCs/>
        </w:rPr>
        <w:t>g</w:t>
      </w:r>
      <w:r w:rsidRPr="00F072DB">
        <w:rPr>
          <w:vertAlign w:val="subscript"/>
        </w:rPr>
        <w:t>s</w:t>
      </w:r>
      <w:proofErr w:type="spellEnd"/>
      <w:r>
        <w:t>;</w:t>
      </w:r>
      <w:r w:rsidRPr="00982BDD">
        <w:t xml:space="preserve"> </w:t>
      </w:r>
      <w:proofErr w:type="spellStart"/>
      <w:r w:rsidRPr="00982BDD">
        <w:rPr>
          <w:i/>
          <w:iCs/>
        </w:rPr>
        <w:t>V</w:t>
      </w:r>
      <w:r w:rsidRPr="00982BDD">
        <w:rPr>
          <w:vertAlign w:val="subscript"/>
        </w:rPr>
        <w:t>cmax</w:t>
      </w:r>
      <w:proofErr w:type="spellEnd"/>
      <w:r w:rsidRPr="00982BDD">
        <w:t>:</w:t>
      </w:r>
      <w:r w:rsidR="00061330">
        <w:t xml:space="preserve"> </w:t>
      </w:r>
      <w:proofErr w:type="spellStart"/>
      <w:r w:rsidRPr="00982BDD">
        <w:rPr>
          <w:i/>
          <w:iCs/>
        </w:rPr>
        <w:t>g</w:t>
      </w:r>
      <w:r w:rsidRPr="00982BDD">
        <w:rPr>
          <w:vertAlign w:val="subscript"/>
        </w:rPr>
        <w:t>s</w:t>
      </w:r>
      <w:proofErr w:type="spellEnd"/>
      <w:r>
        <w:t>=ratio of temperature unstandardized</w:t>
      </w:r>
      <w:r w:rsidRPr="002B7BC1">
        <w:rPr>
          <w:i/>
          <w:iCs/>
        </w:rPr>
        <w:t xml:space="preserve"> </w:t>
      </w:r>
      <w:proofErr w:type="spellStart"/>
      <w:r>
        <w:rPr>
          <w:i/>
          <w:iCs/>
        </w:rPr>
        <w:t>V</w:t>
      </w:r>
      <w:r>
        <w:rPr>
          <w:vertAlign w:val="subscript"/>
        </w:rPr>
        <w:t>cmax</w:t>
      </w:r>
      <w:proofErr w:type="spellEnd"/>
      <w:r>
        <w:t xml:space="preserve"> to </w:t>
      </w:r>
      <w:proofErr w:type="spellStart"/>
      <w:r>
        <w:rPr>
          <w:i/>
          <w:iCs/>
        </w:rPr>
        <w:t>g</w:t>
      </w:r>
      <w:r>
        <w:rPr>
          <w:vertAlign w:val="subscript"/>
        </w:rPr>
        <w:t>s</w:t>
      </w:r>
      <w:proofErr w:type="spellEnd"/>
      <w:r>
        <w:t>.</w:t>
      </w:r>
    </w:p>
    <w:p w14:paraId="73A30839" w14:textId="77777777" w:rsidR="002C4FBE" w:rsidRDefault="002C4FBE" w:rsidP="00A85036">
      <w:pPr>
        <w:spacing w:line="480" w:lineRule="auto"/>
      </w:pPr>
    </w:p>
    <w:p w14:paraId="6F402091" w14:textId="396F086D" w:rsidR="002C4FBE" w:rsidRDefault="002C4FBE" w:rsidP="00A85036">
      <w:pPr>
        <w:spacing w:line="480" w:lineRule="auto"/>
        <w:sectPr w:rsidR="002C4FBE" w:rsidSect="00772287">
          <w:pgSz w:w="15840" w:h="12240" w:orient="landscape"/>
          <w:pgMar w:top="1440" w:right="1440" w:bottom="1440" w:left="1440" w:header="720" w:footer="720" w:gutter="0"/>
          <w:lnNumType w:countBy="1" w:restart="continuous"/>
          <w:cols w:space="720"/>
          <w:docGrid w:linePitch="360"/>
        </w:sectPr>
      </w:pPr>
    </w:p>
    <w:p w14:paraId="69C5F409" w14:textId="2CC2E4E6" w:rsidR="005F0602" w:rsidRDefault="005F0602" w:rsidP="00A754EC">
      <w:pPr>
        <w:spacing w:line="360" w:lineRule="auto"/>
        <w:rPr>
          <w:b/>
          <w:bCs/>
        </w:rPr>
      </w:pPr>
      <w:r>
        <w:rPr>
          <w:b/>
          <w:bCs/>
        </w:rPr>
        <w:lastRenderedPageBreak/>
        <w:t>Figure 3</w:t>
      </w:r>
    </w:p>
    <w:p w14:paraId="4BD407F2" w14:textId="28F60E05" w:rsidR="005F0602" w:rsidRDefault="0029276A" w:rsidP="00A754EC">
      <w:pPr>
        <w:spacing w:line="360" w:lineRule="auto"/>
        <w:rPr>
          <w:b/>
          <w:bCs/>
        </w:rPr>
      </w:pPr>
      <w:r>
        <w:rPr>
          <w:b/>
          <w:bCs/>
          <w:noProof/>
        </w:rPr>
        <w:drawing>
          <wp:inline distT="0" distB="0" distL="0" distR="0" wp14:anchorId="0284AF96" wp14:editId="302BB0AF">
            <wp:extent cx="5943600" cy="3434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434080"/>
                    </a:xfrm>
                    <a:prstGeom prst="rect">
                      <a:avLst/>
                    </a:prstGeom>
                  </pic:spPr>
                </pic:pic>
              </a:graphicData>
            </a:graphic>
          </wp:inline>
        </w:drawing>
      </w:r>
    </w:p>
    <w:p w14:paraId="7C52C665" w14:textId="77777777" w:rsidR="00EA4E30" w:rsidRPr="005F0602" w:rsidRDefault="00EA4E30" w:rsidP="00A754EC">
      <w:pPr>
        <w:spacing w:line="360" w:lineRule="auto"/>
        <w:rPr>
          <w:b/>
          <w:bCs/>
        </w:rPr>
      </w:pPr>
    </w:p>
    <w:p w14:paraId="66818DBC" w14:textId="7E06DC79" w:rsidR="005F0602" w:rsidRPr="00C4037A" w:rsidRDefault="00C4037A" w:rsidP="00A754EC">
      <w:pPr>
        <w:spacing w:line="360" w:lineRule="auto"/>
      </w:pPr>
      <w:r>
        <w:rPr>
          <w:b/>
          <w:bCs/>
        </w:rPr>
        <w:t xml:space="preserve">Figure </w:t>
      </w:r>
      <w:r w:rsidR="00EB0C0F">
        <w:rPr>
          <w:b/>
          <w:bCs/>
        </w:rPr>
        <w:t>3</w:t>
      </w:r>
      <w:r>
        <w:t xml:space="preserve"> </w:t>
      </w:r>
      <w:r w:rsidRPr="001B10F7">
        <w:t>Effects</w:t>
      </w:r>
      <w:r>
        <w:t xml:space="preserve"> of soil nitrogen fertilization and inoculation on </w:t>
      </w:r>
      <w:r>
        <w:rPr>
          <w:i/>
          <w:iCs/>
        </w:rPr>
        <w:t>G. max</w:t>
      </w:r>
      <w:r>
        <w:t xml:space="preserve"> photosynthetic nitrogen use efficiency (panel A), intrinsic water-use efficiency (panel B), the ratio of leaf nitrogen per leaf area to stomatal conductance (panel C), and the ratio of the maximum Rubisco carboxylation rate to stomatal conductance </w:t>
      </w:r>
      <w:r>
        <w:rPr>
          <w:color w:val="000000"/>
        </w:rPr>
        <w:t>(panel D)</w:t>
      </w:r>
      <w:r>
        <w:t xml:space="preserve">. Soil nitrogen fertilization is represented categorically on the x-axis, while inoculation </w:t>
      </w:r>
      <w:r w:rsidR="00A433B8">
        <w:t>treatment</w:t>
      </w:r>
      <w:r>
        <w:t xml:space="preserve">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xml:space="preserve">. </w:t>
      </w:r>
      <w:r w:rsidR="0079226D"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w:t>
      </w:r>
      <w:r w:rsidR="00E20C33">
        <w:rPr>
          <w:rFonts w:eastAsia="Times New Roman" w:cs="Times New Roman"/>
          <w:color w:val="000000" w:themeColor="text1"/>
        </w:rPr>
        <w:t>p</w:t>
      </w:r>
      <w:r w:rsidR="0079226D" w:rsidRPr="6E1ABADC">
        <w:rPr>
          <w:rFonts w:eastAsia="Times New Roman" w:cs="Times New Roman"/>
          <w:color w:val="000000" w:themeColor="text1"/>
        </w:rPr>
        <w:t>&lt;0.05).</w:t>
      </w:r>
      <w:r w:rsidR="005F0602">
        <w:rPr>
          <w:i/>
          <w:iCs/>
        </w:rPr>
        <w:br w:type="page"/>
      </w:r>
    </w:p>
    <w:p w14:paraId="25F6E929" w14:textId="3ABE0360" w:rsidR="00AF1559" w:rsidRDefault="00322974" w:rsidP="00A754EC">
      <w:pPr>
        <w:spacing w:line="360" w:lineRule="auto"/>
      </w:pPr>
      <w:r>
        <w:rPr>
          <w:i/>
          <w:iCs/>
        </w:rPr>
        <w:lastRenderedPageBreak/>
        <w:t>Structural carbon costs to acquire nitrogen</w:t>
      </w:r>
    </w:p>
    <w:p w14:paraId="6375127F" w14:textId="1824C078" w:rsidR="00FE31B0" w:rsidRDefault="00607987" w:rsidP="00A754EC">
      <w:pPr>
        <w:spacing w:line="360" w:lineRule="auto"/>
        <w:ind w:firstLine="720"/>
      </w:pPr>
      <w:r>
        <w:t>S</w:t>
      </w:r>
      <w:r w:rsidRPr="00607987">
        <w:t>tructural carbon costs to acquire nitrogen</w:t>
      </w:r>
      <w:r w:rsidR="00464BF7">
        <w:t xml:space="preserve"> w</w:t>
      </w:r>
      <w:r>
        <w:t>ere</w:t>
      </w:r>
      <w:r w:rsidR="009A60BD">
        <w:t xml:space="preserve"> </w:t>
      </w:r>
      <w:r w:rsidR="00751149">
        <w:t xml:space="preserve">driven by a strong interaction between nitrogen fertilization and inoculation </w:t>
      </w:r>
      <w:r w:rsidR="009A60BD">
        <w:t xml:space="preserve">(Table </w:t>
      </w:r>
      <w:r w:rsidR="00EB0C0F">
        <w:t>5</w:t>
      </w:r>
      <w:r w:rsidR="009A60BD">
        <w:t>; Fig. 4A)</w:t>
      </w:r>
      <w:r w:rsidR="00751149">
        <w:t xml:space="preserve">. </w:t>
      </w:r>
      <w:r w:rsidR="00FE31B0">
        <w:t>This interaction indicated that inoculated individuals</w:t>
      </w:r>
      <w:r w:rsidR="007C2F39">
        <w:t xml:space="preserve"> grown under low nitrogen fertilization (2.77 </w:t>
      </w:r>
      <w:r w:rsidR="007C2F39" w:rsidRPr="008E75B9">
        <w:sym w:font="Symbol" w:char="F0B1"/>
      </w:r>
      <w:r w:rsidR="007C2F39">
        <w:t xml:space="preserve"> 0.44 g C g</w:t>
      </w:r>
      <w:r w:rsidR="007C2F39">
        <w:rPr>
          <w:vertAlign w:val="superscript"/>
        </w:rPr>
        <w:t>-1</w:t>
      </w:r>
      <w:r w:rsidR="007C2F39">
        <w:t xml:space="preserve"> N)</w:t>
      </w:r>
      <w:r w:rsidR="00FE31B0">
        <w:t xml:space="preserve"> had </w:t>
      </w:r>
      <w:r w:rsidR="00696F09">
        <w:t>63.4</w:t>
      </w:r>
      <w:r w:rsidR="00FE31B0">
        <w:t xml:space="preserve">% lower </w:t>
      </w:r>
      <w:r w:rsidRPr="00607987">
        <w:t>structural carbon costs to acquire nitrogen</w:t>
      </w:r>
      <w:r w:rsidR="00464BF7">
        <w:t xml:space="preserve"> </w:t>
      </w:r>
      <w:r w:rsidR="007C2F39">
        <w:t xml:space="preserve">than non-inoculated individuals also grown under low nitrogen fertilization (7.56 </w:t>
      </w:r>
      <w:r w:rsidR="007C2F39" w:rsidRPr="008E75B9">
        <w:sym w:font="Symbol" w:char="F0B1"/>
      </w:r>
      <w:r w:rsidR="007C2F39">
        <w:t xml:space="preserve"> 1.20 g C g</w:t>
      </w:r>
      <w:r w:rsidR="007C2F39">
        <w:rPr>
          <w:vertAlign w:val="superscript"/>
        </w:rPr>
        <w:t>-1</w:t>
      </w:r>
      <w:r w:rsidR="007C2F39">
        <w:t xml:space="preserve"> N; Tukey: p&lt;0.001)</w:t>
      </w:r>
      <w:r w:rsidR="00464BF7">
        <w:t>. There was</w:t>
      </w:r>
      <w:r w:rsidR="007C2F39">
        <w:t xml:space="preserve"> no difference</w:t>
      </w:r>
      <w:r w:rsidR="00464BF7">
        <w:t xml:space="preserve"> in </w:t>
      </w:r>
      <w:r w:rsidRPr="00607987">
        <w:t>structural carbon costs to acquire nitrogen</w:t>
      </w:r>
      <w:r w:rsidR="007C2F39">
        <w:t xml:space="preserve"> between inoculation treatments under high nitrogen fertilization (Tukey: p=0.597). Nitrogen fertilization also decreased </w:t>
      </w:r>
      <w:r w:rsidRPr="00607987">
        <w:t>structural carbon costs to acquire nitrogen</w:t>
      </w:r>
      <w:r w:rsidR="007C2F39">
        <w:t xml:space="preserve">, where individuals grown under high nitrogen fertilization (2.10 </w:t>
      </w:r>
      <w:r w:rsidR="007C2F39" w:rsidRPr="008E75B9">
        <w:sym w:font="Symbol" w:char="F0B1"/>
      </w:r>
      <w:r w:rsidR="007C2F39">
        <w:t xml:space="preserve"> 0.25 g C g</w:t>
      </w:r>
      <w:r w:rsidR="007C2F39">
        <w:rPr>
          <w:vertAlign w:val="superscript"/>
        </w:rPr>
        <w:t>-1</w:t>
      </w:r>
      <w:r w:rsidR="007C2F39">
        <w:t xml:space="preserve"> N) had </w:t>
      </w:r>
      <w:r w:rsidR="00696F09">
        <w:t>54.1</w:t>
      </w:r>
      <w:r w:rsidR="007C2F39">
        <w:t xml:space="preserve">% lower </w:t>
      </w:r>
      <w:r w:rsidRPr="00607987">
        <w:t>structural carbon costs to acquire nitrogen</w:t>
      </w:r>
      <w:r w:rsidR="007C2F39">
        <w:t xml:space="preserve"> than those grown under low nitrogen fertilization (4.58 </w:t>
      </w:r>
      <w:r w:rsidR="007C2F39" w:rsidRPr="008E75B9">
        <w:sym w:font="Symbol" w:char="F0B1"/>
      </w:r>
      <w:r w:rsidR="007C2F39">
        <w:t xml:space="preserve"> </w:t>
      </w:r>
      <w:r w:rsidR="00696F09">
        <w:t>0.52</w:t>
      </w:r>
      <w:r w:rsidR="007C2F39">
        <w:t xml:space="preserve"> g C g</w:t>
      </w:r>
      <w:r w:rsidR="007C2F39">
        <w:rPr>
          <w:vertAlign w:val="superscript"/>
        </w:rPr>
        <w:t>-1</w:t>
      </w:r>
      <w:r w:rsidR="007C2F39">
        <w:t xml:space="preserve"> N; Tukey: p</w:t>
      </w:r>
      <w:r w:rsidR="00696F09">
        <w:t>&lt;0.001</w:t>
      </w:r>
      <w:r w:rsidR="007C2F39">
        <w:t xml:space="preserve">). </w:t>
      </w:r>
      <w:r w:rsidR="00696F09">
        <w:t xml:space="preserve">Inoculation decreased </w:t>
      </w:r>
      <w:r w:rsidRPr="00607987">
        <w:t>structural carbon costs to acquire nitrogen</w:t>
      </w:r>
      <w:r w:rsidR="00696F09">
        <w:t xml:space="preserve">, where inoculated individuals (2.24 </w:t>
      </w:r>
      <w:r w:rsidR="00696F09" w:rsidRPr="008E75B9">
        <w:sym w:font="Symbol" w:char="F0B1"/>
      </w:r>
      <w:r w:rsidR="00696F09">
        <w:t xml:space="preserve"> 0.26 g C g</w:t>
      </w:r>
      <w:r w:rsidR="00696F09">
        <w:rPr>
          <w:vertAlign w:val="superscript"/>
        </w:rPr>
        <w:t>-1</w:t>
      </w:r>
      <w:r w:rsidR="00696F09">
        <w:t xml:space="preserve"> N) had 91.5% lower </w:t>
      </w:r>
      <w:r w:rsidRPr="00607987">
        <w:t>structural carbon costs to acquire nitrogen</w:t>
      </w:r>
      <w:r w:rsidR="00696F09" w:rsidRPr="00607987">
        <w:t xml:space="preserve"> than </w:t>
      </w:r>
      <w:r w:rsidR="00696F09">
        <w:t xml:space="preserve">non-inoculated individuals (4.29 </w:t>
      </w:r>
      <w:r w:rsidR="00696F09" w:rsidRPr="008E75B9">
        <w:sym w:font="Symbol" w:char="F0B1"/>
      </w:r>
      <w:r w:rsidR="00696F09">
        <w:t xml:space="preserve"> 0.49 g C g</w:t>
      </w:r>
      <w:r w:rsidR="00696F09">
        <w:rPr>
          <w:vertAlign w:val="superscript"/>
        </w:rPr>
        <w:t>-1</w:t>
      </w:r>
      <w:r w:rsidR="00696F09">
        <w:t xml:space="preserve"> N; Tukey: p&lt;0.001).</w:t>
      </w:r>
    </w:p>
    <w:p w14:paraId="24944EA7" w14:textId="490AA981" w:rsidR="00322974" w:rsidRDefault="00607987" w:rsidP="00607987">
      <w:pPr>
        <w:spacing w:line="360" w:lineRule="auto"/>
        <w:ind w:firstLine="720"/>
      </w:pPr>
      <w:r>
        <w:t xml:space="preserve">Inoculation negatively affected </w:t>
      </w:r>
      <w:r w:rsidRPr="00607987">
        <w:t>belowground carbon biomass</w:t>
      </w:r>
      <w:r w:rsidR="00FF5B3D" w:rsidRPr="00607987">
        <w:t xml:space="preserve"> (</w:t>
      </w:r>
      <w:r>
        <w:t xml:space="preserve">Table </w:t>
      </w:r>
      <w:r w:rsidR="00FF5B3D">
        <w:t>5; Fig. 4B</w:t>
      </w:r>
      <w:r>
        <w:t>).</w:t>
      </w:r>
      <w:r w:rsidR="00696F09">
        <w:t xml:space="preserve"> Specifically, inoculated individuals</w:t>
      </w:r>
      <w:r w:rsidR="00FF5B3D">
        <w:t xml:space="preserve"> (0.295 </w:t>
      </w:r>
      <w:r w:rsidR="00FF5B3D" w:rsidRPr="008E75B9">
        <w:sym w:font="Symbol" w:char="F0B1"/>
      </w:r>
      <w:r w:rsidR="00FF5B3D">
        <w:t xml:space="preserve"> 0.037 g C)</w:t>
      </w:r>
      <w:r w:rsidR="00696F09">
        <w:t xml:space="preserve"> had </w:t>
      </w:r>
      <w:r w:rsidR="00FF5B3D">
        <w:t>29.9</w:t>
      </w:r>
      <w:r w:rsidR="00696F09">
        <w:t xml:space="preserve">% less belowground carbon biomass </w:t>
      </w:r>
      <w:r w:rsidR="00FF5B3D">
        <w:t xml:space="preserve">than non-inoculated individuals (0.421 </w:t>
      </w:r>
      <w:r w:rsidR="00FF5B3D" w:rsidRPr="008E75B9">
        <w:sym w:font="Symbol" w:char="F0B1"/>
      </w:r>
      <w:r w:rsidR="00FF5B3D">
        <w:t xml:space="preserve"> 0.053 g C; Tukey: p=0.050). There was no effect of nitrogen fertilization or </w:t>
      </w:r>
      <w:r>
        <w:t xml:space="preserve">any observable </w:t>
      </w:r>
      <w:r w:rsidR="00FF5B3D">
        <w:t>interaction between nitrogen fertilization and inoculation</w:t>
      </w:r>
      <w:r>
        <w:t xml:space="preserve"> on </w:t>
      </w:r>
      <w:r w:rsidRPr="00607987">
        <w:t>belowground carbon biomass</w:t>
      </w:r>
      <w:r w:rsidR="009A60BD">
        <w:t xml:space="preserve"> (Table </w:t>
      </w:r>
      <w:r w:rsidR="00EB0C0F">
        <w:t>5</w:t>
      </w:r>
      <w:r w:rsidR="009A60BD">
        <w:t>).</w:t>
      </w:r>
      <w:r w:rsidR="00602B12">
        <w:t xml:space="preserve"> </w:t>
      </w:r>
    </w:p>
    <w:p w14:paraId="4E9265F9" w14:textId="73D21CC4" w:rsidR="00AF1559" w:rsidRDefault="00FF5B3D" w:rsidP="00607987">
      <w:pPr>
        <w:spacing w:line="360" w:lineRule="auto"/>
        <w:ind w:firstLine="720"/>
      </w:pPr>
      <w:r>
        <w:t>Whole plant nitrogen biomass was driven by a strong interaction between fertilization and inoculation</w:t>
      </w:r>
      <w:r w:rsidR="00013F5C">
        <w:t xml:space="preserve"> (Table </w:t>
      </w:r>
      <w:r w:rsidR="00EB0C0F">
        <w:t>5</w:t>
      </w:r>
      <w:r w:rsidR="00013F5C">
        <w:t xml:space="preserve">; Fig. </w:t>
      </w:r>
      <w:r w:rsidR="00EB0C0F">
        <w:t>5</w:t>
      </w:r>
      <w:r w:rsidR="00013F5C">
        <w:t>C)</w:t>
      </w:r>
      <w:r w:rsidR="006C50B8">
        <w:t xml:space="preserve">. </w:t>
      </w:r>
      <w:r>
        <w:t>This interaction indicated that inoculated individuals grown under low nitrogen fertilization (</w:t>
      </w:r>
      <w:r w:rsidR="00322974">
        <w:t xml:space="preserve">0.100 </w:t>
      </w:r>
      <w:r w:rsidRPr="008E75B9">
        <w:sym w:font="Symbol" w:char="F0B1"/>
      </w:r>
      <w:r w:rsidR="00322974">
        <w:t xml:space="preserve"> 0.005</w:t>
      </w:r>
      <w:r>
        <w:t xml:space="preserve"> g N) had </w:t>
      </w:r>
      <w:r w:rsidR="00322974">
        <w:t>72.4</w:t>
      </w:r>
      <w:r>
        <w:t>% higher whole plant nitrogen biomass than non-inoculated individuals also grown under low nitrogen fertilization (</w:t>
      </w:r>
      <w:r w:rsidR="00322974">
        <w:t xml:space="preserve">0.058 </w:t>
      </w:r>
      <w:r w:rsidRPr="008E75B9">
        <w:sym w:font="Symbol" w:char="F0B1"/>
      </w:r>
      <w:r w:rsidR="00322974">
        <w:t xml:space="preserve"> 0.005</w:t>
      </w:r>
      <w:r>
        <w:t xml:space="preserve"> g N; Tukey: p&lt;0.001), with no difference between inoculation treatments under high nitrogen fertilization (Tukey: p=</w:t>
      </w:r>
      <w:r w:rsidR="00322974">
        <w:t>0.873</w:t>
      </w:r>
      <w:r>
        <w:t>). Nitrogen fertilization also increased whole plant nitrogen biomass, where individuals grown under high nitrogen fertilization (</w:t>
      </w:r>
      <w:r w:rsidR="00322974">
        <w:t>0.173</w:t>
      </w:r>
      <w:r>
        <w:t xml:space="preserve"> </w:t>
      </w:r>
      <w:r w:rsidRPr="008E75B9">
        <w:sym w:font="Symbol" w:char="F0B1"/>
      </w:r>
      <w:r w:rsidR="00322974">
        <w:t xml:space="preserve"> 0.004</w:t>
      </w:r>
      <w:r>
        <w:t xml:space="preserve"> g</w:t>
      </w:r>
      <w:r>
        <w:rPr>
          <w:vertAlign w:val="superscript"/>
        </w:rPr>
        <w:t xml:space="preserve"> </w:t>
      </w:r>
      <w:r>
        <w:t xml:space="preserve">N) had </w:t>
      </w:r>
      <w:r w:rsidR="00322974">
        <w:t>119.0</w:t>
      </w:r>
      <w:r>
        <w:t>% higher whole plant nitrogen biomass than those grown under low nitrogen fertilization (</w:t>
      </w:r>
      <w:r w:rsidR="00322974">
        <w:t xml:space="preserve">0.079 </w:t>
      </w:r>
      <w:r w:rsidRPr="008E75B9">
        <w:sym w:font="Symbol" w:char="F0B1"/>
      </w:r>
      <w:r w:rsidR="00322974">
        <w:t xml:space="preserve"> 0.003</w:t>
      </w:r>
      <w:r>
        <w:t xml:space="preserve"> g</w:t>
      </w:r>
      <w:r>
        <w:rPr>
          <w:vertAlign w:val="superscript"/>
        </w:rPr>
        <w:t xml:space="preserve"> </w:t>
      </w:r>
      <w:r>
        <w:t>N; Tukey: p&lt;0.001). Inoculation increased whole plant nitrogen biomass, where inoculated individuals (</w:t>
      </w:r>
      <w:r w:rsidR="00322974">
        <w:t xml:space="preserve">0.138 </w:t>
      </w:r>
      <w:r w:rsidRPr="008E75B9">
        <w:sym w:font="Symbol" w:char="F0B1"/>
      </w:r>
      <w:r w:rsidR="00322974">
        <w:t xml:space="preserve"> 0.004</w:t>
      </w:r>
      <w:r>
        <w:t xml:space="preserve"> g</w:t>
      </w:r>
      <w:r>
        <w:rPr>
          <w:vertAlign w:val="superscript"/>
        </w:rPr>
        <w:t xml:space="preserve"> </w:t>
      </w:r>
      <w:r>
        <w:t xml:space="preserve">N) had </w:t>
      </w:r>
      <w:r w:rsidR="00322974">
        <w:t>17.4</w:t>
      </w:r>
      <w:r>
        <w:t xml:space="preserve">% </w:t>
      </w:r>
      <w:r w:rsidR="00322974">
        <w:t>higher whole plant nitrogen biomass</w:t>
      </w:r>
      <w:r>
        <w:t xml:space="preserve"> than non-inoculated individuals (</w:t>
      </w:r>
      <w:r w:rsidR="00322974">
        <w:t xml:space="preserve">0.114 </w:t>
      </w:r>
      <w:r w:rsidRPr="008E75B9">
        <w:sym w:font="Symbol" w:char="F0B1"/>
      </w:r>
      <w:r w:rsidR="00322974">
        <w:t xml:space="preserve"> 0.004</w:t>
      </w:r>
      <w:r>
        <w:t xml:space="preserve"> g</w:t>
      </w:r>
      <w:r>
        <w:rPr>
          <w:vertAlign w:val="superscript"/>
        </w:rPr>
        <w:t xml:space="preserve"> </w:t>
      </w:r>
      <w:r>
        <w:t>N; Tukey: p&lt;0.001).</w:t>
      </w:r>
    </w:p>
    <w:p w14:paraId="31E6F38F" w14:textId="3ED00D13" w:rsidR="00AF1559" w:rsidRPr="00AF1559" w:rsidRDefault="00AF1559" w:rsidP="00A85036">
      <w:pPr>
        <w:spacing w:line="480" w:lineRule="auto"/>
        <w:sectPr w:rsidR="00AF1559" w:rsidRPr="00AF1559" w:rsidSect="00772287">
          <w:pgSz w:w="12240" w:h="15840"/>
          <w:pgMar w:top="1440" w:right="1440" w:bottom="1440" w:left="1440" w:header="720" w:footer="720" w:gutter="0"/>
          <w:lnNumType w:countBy="1" w:restart="continuous"/>
          <w:cols w:space="720"/>
          <w:docGrid w:linePitch="360"/>
        </w:sectPr>
      </w:pPr>
    </w:p>
    <w:p w14:paraId="588CAD82" w14:textId="69ACD560" w:rsidR="008D6E2F" w:rsidRDefault="00AF1559" w:rsidP="00A754EC">
      <w:pPr>
        <w:spacing w:line="360" w:lineRule="auto"/>
      </w:pPr>
      <w:r>
        <w:rPr>
          <w:b/>
          <w:bCs/>
        </w:rPr>
        <w:lastRenderedPageBreak/>
        <w:t xml:space="preserve">Table </w:t>
      </w:r>
      <w:r w:rsidR="00EB0C0F">
        <w:rPr>
          <w:b/>
          <w:bCs/>
        </w:rPr>
        <w:t>5</w:t>
      </w:r>
      <w:r>
        <w:t xml:space="preserve"> Analysis of variance results exploring effect of soil nitrogen fertilization, inoculation with </w:t>
      </w:r>
      <w:r>
        <w:rPr>
          <w:i/>
          <w:iCs/>
        </w:rPr>
        <w:t>B. japonicum</w:t>
      </w:r>
      <w:r>
        <w:t xml:space="preserve">, and interactions between soil nitrogen fertilization and inoculation on </w:t>
      </w:r>
      <w:r w:rsidR="00A433B8">
        <w:t xml:space="preserve">structural </w:t>
      </w:r>
      <w:r>
        <w:t>carbon costs to acquire nitrogen</w:t>
      </w:r>
      <w:r w:rsidR="00A433B8">
        <w:t>, whole plant growth, and root nodulation</w:t>
      </w:r>
      <w:r>
        <w:t>*</w:t>
      </w:r>
    </w:p>
    <w:p w14:paraId="2682AB21" w14:textId="77777777" w:rsidR="00A754EC" w:rsidRDefault="00A754EC" w:rsidP="00A754EC">
      <w:pPr>
        <w:spacing w:line="360" w:lineRule="auto"/>
      </w:pPr>
    </w:p>
    <w:tbl>
      <w:tblPr>
        <w:tblStyle w:val="TableGridLight"/>
        <w:tblW w:w="125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36"/>
        <w:gridCol w:w="996"/>
        <w:gridCol w:w="1012"/>
        <w:gridCol w:w="996"/>
        <w:gridCol w:w="1013"/>
        <w:gridCol w:w="996"/>
        <w:gridCol w:w="1013"/>
        <w:gridCol w:w="996"/>
        <w:gridCol w:w="1013"/>
        <w:gridCol w:w="996"/>
        <w:gridCol w:w="1012"/>
      </w:tblGrid>
      <w:tr w:rsidR="00AF1559" w:rsidRPr="009515D2" w14:paraId="1EED3753" w14:textId="77777777" w:rsidTr="002C4FBE">
        <w:tc>
          <w:tcPr>
            <w:tcW w:w="2516" w:type="dxa"/>
            <w:gridSpan w:val="2"/>
            <w:tcBorders>
              <w:bottom w:val="single" w:sz="4" w:space="0" w:color="auto"/>
            </w:tcBorders>
          </w:tcPr>
          <w:p w14:paraId="5BD185E2" w14:textId="77777777" w:rsidR="00AF1559" w:rsidRPr="009515D2" w:rsidRDefault="00AF1559" w:rsidP="00A85036">
            <w:pPr>
              <w:spacing w:line="276" w:lineRule="auto"/>
              <w:rPr>
                <w:b/>
                <w:bCs/>
                <w:sz w:val="22"/>
                <w:szCs w:val="22"/>
              </w:rPr>
            </w:pPr>
          </w:p>
        </w:tc>
        <w:tc>
          <w:tcPr>
            <w:tcW w:w="2008" w:type="dxa"/>
            <w:gridSpan w:val="2"/>
            <w:tcBorders>
              <w:bottom w:val="single" w:sz="4" w:space="0" w:color="auto"/>
            </w:tcBorders>
          </w:tcPr>
          <w:p w14:paraId="100A0F03" w14:textId="3A0115D7" w:rsidR="00AF1559" w:rsidRPr="009515D2" w:rsidRDefault="00E20C33" w:rsidP="00A85036">
            <w:pPr>
              <w:spacing w:line="276" w:lineRule="auto"/>
              <w:jc w:val="right"/>
              <w:rPr>
                <w:b/>
                <w:bCs/>
                <w:sz w:val="22"/>
                <w:szCs w:val="22"/>
                <w:vertAlign w:val="subscript"/>
              </w:rPr>
            </w:pPr>
            <w:r w:rsidRPr="009515D2">
              <w:rPr>
                <w:b/>
                <w:bCs/>
                <w:sz w:val="22"/>
                <w:szCs w:val="22"/>
              </w:rPr>
              <w:t>Carbon cost to acquire nitrogen</w:t>
            </w:r>
          </w:p>
        </w:tc>
        <w:tc>
          <w:tcPr>
            <w:tcW w:w="2009" w:type="dxa"/>
            <w:gridSpan w:val="2"/>
            <w:tcBorders>
              <w:bottom w:val="single" w:sz="4" w:space="0" w:color="auto"/>
            </w:tcBorders>
          </w:tcPr>
          <w:p w14:paraId="6CEEACBF" w14:textId="7C6963DD" w:rsidR="00AF1559" w:rsidRPr="009515D2" w:rsidRDefault="00E20C33" w:rsidP="00A85036">
            <w:pPr>
              <w:spacing w:line="276" w:lineRule="auto"/>
              <w:jc w:val="right"/>
              <w:rPr>
                <w:b/>
                <w:bCs/>
                <w:sz w:val="22"/>
                <w:szCs w:val="22"/>
                <w:vertAlign w:val="subscript"/>
              </w:rPr>
            </w:pPr>
            <w:r w:rsidRPr="009515D2">
              <w:rPr>
                <w:b/>
                <w:bCs/>
                <w:sz w:val="22"/>
                <w:szCs w:val="22"/>
              </w:rPr>
              <w:t>Belowground carbon biomass</w:t>
            </w:r>
          </w:p>
        </w:tc>
        <w:tc>
          <w:tcPr>
            <w:tcW w:w="2009" w:type="dxa"/>
            <w:gridSpan w:val="2"/>
            <w:tcBorders>
              <w:bottom w:val="single" w:sz="4" w:space="0" w:color="auto"/>
            </w:tcBorders>
          </w:tcPr>
          <w:p w14:paraId="1B66003E" w14:textId="4D4EF71D" w:rsidR="00AF1559" w:rsidRPr="009515D2" w:rsidRDefault="00E20C33" w:rsidP="00A85036">
            <w:pPr>
              <w:spacing w:line="276" w:lineRule="auto"/>
              <w:jc w:val="right"/>
              <w:rPr>
                <w:b/>
                <w:bCs/>
                <w:sz w:val="22"/>
                <w:szCs w:val="22"/>
                <w:vertAlign w:val="subscript"/>
              </w:rPr>
            </w:pPr>
            <w:r w:rsidRPr="009515D2">
              <w:rPr>
                <w:b/>
                <w:bCs/>
                <w:sz w:val="22"/>
                <w:szCs w:val="22"/>
              </w:rPr>
              <w:t>Whole plant nitrogen biomass</w:t>
            </w:r>
          </w:p>
        </w:tc>
        <w:tc>
          <w:tcPr>
            <w:tcW w:w="2009" w:type="dxa"/>
            <w:gridSpan w:val="2"/>
            <w:tcBorders>
              <w:bottom w:val="single" w:sz="4" w:space="0" w:color="auto"/>
            </w:tcBorders>
          </w:tcPr>
          <w:p w14:paraId="43644B03" w14:textId="77777777" w:rsidR="00A85036" w:rsidRPr="009515D2" w:rsidRDefault="00E20C33" w:rsidP="00A85036">
            <w:pPr>
              <w:spacing w:line="276" w:lineRule="auto"/>
              <w:jc w:val="right"/>
              <w:rPr>
                <w:b/>
                <w:bCs/>
                <w:sz w:val="22"/>
                <w:szCs w:val="22"/>
              </w:rPr>
            </w:pPr>
            <w:r w:rsidRPr="009515D2">
              <w:rPr>
                <w:b/>
                <w:bCs/>
                <w:sz w:val="22"/>
                <w:szCs w:val="22"/>
              </w:rPr>
              <w:t xml:space="preserve">Total </w:t>
            </w:r>
          </w:p>
          <w:p w14:paraId="332410E2" w14:textId="00A3E701" w:rsidR="00AF1559" w:rsidRPr="009515D2" w:rsidRDefault="00E20C33" w:rsidP="00A85036">
            <w:pPr>
              <w:spacing w:line="276" w:lineRule="auto"/>
              <w:jc w:val="right"/>
              <w:rPr>
                <w:b/>
                <w:bCs/>
                <w:sz w:val="22"/>
                <w:szCs w:val="22"/>
              </w:rPr>
            </w:pPr>
            <w:r w:rsidRPr="009515D2">
              <w:rPr>
                <w:b/>
                <w:bCs/>
                <w:sz w:val="22"/>
                <w:szCs w:val="22"/>
              </w:rPr>
              <w:t>leaf</w:t>
            </w:r>
            <w:r w:rsidR="00A85036" w:rsidRPr="009515D2">
              <w:rPr>
                <w:b/>
                <w:bCs/>
                <w:sz w:val="22"/>
                <w:szCs w:val="22"/>
              </w:rPr>
              <w:t xml:space="preserve"> </w:t>
            </w:r>
            <w:r w:rsidRPr="009515D2">
              <w:rPr>
                <w:b/>
                <w:bCs/>
                <w:sz w:val="22"/>
                <w:szCs w:val="22"/>
              </w:rPr>
              <w:t>area</w:t>
            </w:r>
          </w:p>
        </w:tc>
        <w:tc>
          <w:tcPr>
            <w:tcW w:w="2008" w:type="dxa"/>
            <w:gridSpan w:val="2"/>
            <w:tcBorders>
              <w:bottom w:val="single" w:sz="4" w:space="0" w:color="auto"/>
            </w:tcBorders>
          </w:tcPr>
          <w:p w14:paraId="09A87716" w14:textId="7E06D09B" w:rsidR="00AF1559" w:rsidRPr="009515D2" w:rsidRDefault="00E20C33" w:rsidP="00A85036">
            <w:pPr>
              <w:spacing w:line="276" w:lineRule="auto"/>
              <w:jc w:val="right"/>
              <w:rPr>
                <w:b/>
                <w:bCs/>
                <w:sz w:val="22"/>
                <w:szCs w:val="22"/>
              </w:rPr>
            </w:pPr>
            <w:r w:rsidRPr="009515D2">
              <w:rPr>
                <w:b/>
                <w:bCs/>
                <w:sz w:val="22"/>
                <w:szCs w:val="22"/>
              </w:rPr>
              <w:t>Whole plant biomass</w:t>
            </w:r>
          </w:p>
        </w:tc>
      </w:tr>
      <w:tr w:rsidR="00AF1559" w:rsidRPr="009515D2" w14:paraId="594FFC4A" w14:textId="77777777" w:rsidTr="002C4FBE">
        <w:tc>
          <w:tcPr>
            <w:tcW w:w="1980" w:type="dxa"/>
            <w:tcBorders>
              <w:top w:val="single" w:sz="4" w:space="0" w:color="auto"/>
              <w:bottom w:val="single" w:sz="4" w:space="0" w:color="auto"/>
            </w:tcBorders>
          </w:tcPr>
          <w:p w14:paraId="0D7024B3" w14:textId="77777777" w:rsidR="00AF1559" w:rsidRPr="009515D2" w:rsidRDefault="00AF1559" w:rsidP="00A85036">
            <w:pPr>
              <w:spacing w:line="276" w:lineRule="auto"/>
              <w:rPr>
                <w:sz w:val="22"/>
                <w:szCs w:val="22"/>
              </w:rPr>
            </w:pPr>
          </w:p>
        </w:tc>
        <w:tc>
          <w:tcPr>
            <w:tcW w:w="536" w:type="dxa"/>
            <w:tcBorders>
              <w:top w:val="single" w:sz="4" w:space="0" w:color="auto"/>
              <w:bottom w:val="single" w:sz="4" w:space="0" w:color="auto"/>
            </w:tcBorders>
          </w:tcPr>
          <w:p w14:paraId="223CADB0" w14:textId="77777777" w:rsidR="00AF1559" w:rsidRPr="009515D2" w:rsidRDefault="00AF1559"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0CDFF76E"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0723FD2C"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0AB43C08"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3F6FB77A"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3BDEA27B"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670C1662"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55C3954D"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4B4393CC"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7A89D75E" w14:textId="77777777" w:rsidR="00AF1559" w:rsidRPr="009515D2" w:rsidRDefault="00AF1559" w:rsidP="00A85036">
            <w:pPr>
              <w:spacing w:line="276" w:lineRule="auto"/>
              <w:jc w:val="right"/>
              <w:rPr>
                <w:i/>
                <w:iCs/>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15181E52" w14:textId="77777777" w:rsidR="00AF1559" w:rsidRPr="009515D2" w:rsidRDefault="00AF1559" w:rsidP="00A85036">
            <w:pPr>
              <w:spacing w:line="276" w:lineRule="auto"/>
              <w:jc w:val="right"/>
              <w:rPr>
                <w:i/>
                <w:iCs/>
                <w:sz w:val="22"/>
                <w:szCs w:val="22"/>
              </w:rPr>
            </w:pPr>
            <w:r w:rsidRPr="009515D2">
              <w:rPr>
                <w:i/>
                <w:iCs/>
                <w:sz w:val="22"/>
                <w:szCs w:val="22"/>
              </w:rPr>
              <w:t>p</w:t>
            </w:r>
          </w:p>
        </w:tc>
      </w:tr>
      <w:tr w:rsidR="00AF1559" w:rsidRPr="009515D2" w14:paraId="450ED581" w14:textId="77777777" w:rsidTr="002C4FBE">
        <w:tc>
          <w:tcPr>
            <w:tcW w:w="1980" w:type="dxa"/>
            <w:tcBorders>
              <w:top w:val="single" w:sz="4" w:space="0" w:color="auto"/>
            </w:tcBorders>
          </w:tcPr>
          <w:p w14:paraId="6C8E8E2D" w14:textId="77777777" w:rsidR="00AF1559" w:rsidRPr="009515D2" w:rsidRDefault="00AF1559"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33F158BF" w14:textId="77777777" w:rsidR="00AF1559" w:rsidRPr="009515D2" w:rsidRDefault="00AF1559"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4CE66FBA" w14:textId="068854E6" w:rsidR="00AF1559" w:rsidRPr="009515D2" w:rsidRDefault="00754725" w:rsidP="00A85036">
            <w:pPr>
              <w:spacing w:line="276" w:lineRule="auto"/>
              <w:jc w:val="right"/>
              <w:rPr>
                <w:sz w:val="22"/>
                <w:szCs w:val="22"/>
              </w:rPr>
            </w:pPr>
            <w:r w:rsidRPr="009515D2">
              <w:rPr>
                <w:sz w:val="22"/>
                <w:szCs w:val="22"/>
              </w:rPr>
              <w:t>23.34</w:t>
            </w:r>
          </w:p>
        </w:tc>
        <w:tc>
          <w:tcPr>
            <w:tcW w:w="1012" w:type="dxa"/>
            <w:tcBorders>
              <w:top w:val="single" w:sz="4" w:space="0" w:color="auto"/>
            </w:tcBorders>
          </w:tcPr>
          <w:p w14:paraId="3F591254" w14:textId="165C489B" w:rsidR="00AF1559" w:rsidRPr="009515D2" w:rsidRDefault="00754725"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5720FF99" w14:textId="780E7C26" w:rsidR="00AF1559" w:rsidRPr="009515D2" w:rsidRDefault="00754725" w:rsidP="00A85036">
            <w:pPr>
              <w:spacing w:line="276" w:lineRule="auto"/>
              <w:jc w:val="right"/>
              <w:rPr>
                <w:sz w:val="22"/>
                <w:szCs w:val="22"/>
              </w:rPr>
            </w:pPr>
            <w:r w:rsidRPr="009515D2">
              <w:rPr>
                <w:sz w:val="22"/>
                <w:szCs w:val="22"/>
              </w:rPr>
              <w:t>0.08</w:t>
            </w:r>
          </w:p>
        </w:tc>
        <w:tc>
          <w:tcPr>
            <w:tcW w:w="1013" w:type="dxa"/>
            <w:tcBorders>
              <w:top w:val="single" w:sz="4" w:space="0" w:color="auto"/>
            </w:tcBorders>
          </w:tcPr>
          <w:p w14:paraId="27FA7DAE" w14:textId="2965CCEE" w:rsidR="00AF1559" w:rsidRPr="009515D2" w:rsidRDefault="00754725" w:rsidP="00A85036">
            <w:pPr>
              <w:spacing w:line="276" w:lineRule="auto"/>
              <w:jc w:val="right"/>
              <w:rPr>
                <w:sz w:val="22"/>
                <w:szCs w:val="22"/>
              </w:rPr>
            </w:pPr>
            <w:r w:rsidRPr="009515D2">
              <w:rPr>
                <w:sz w:val="22"/>
                <w:szCs w:val="22"/>
              </w:rPr>
              <w:t>0.782</w:t>
            </w:r>
          </w:p>
        </w:tc>
        <w:tc>
          <w:tcPr>
            <w:tcW w:w="996" w:type="dxa"/>
            <w:tcBorders>
              <w:top w:val="single" w:sz="4" w:space="0" w:color="auto"/>
            </w:tcBorders>
          </w:tcPr>
          <w:p w14:paraId="4FB441AB" w14:textId="0D0EEA2D" w:rsidR="00AF1559" w:rsidRPr="009515D2" w:rsidRDefault="00754725" w:rsidP="00A85036">
            <w:pPr>
              <w:spacing w:line="276" w:lineRule="auto"/>
              <w:jc w:val="right"/>
              <w:rPr>
                <w:sz w:val="22"/>
                <w:szCs w:val="22"/>
              </w:rPr>
            </w:pPr>
            <w:r w:rsidRPr="009515D2">
              <w:rPr>
                <w:sz w:val="22"/>
                <w:szCs w:val="22"/>
              </w:rPr>
              <w:t>358.69</w:t>
            </w:r>
          </w:p>
        </w:tc>
        <w:tc>
          <w:tcPr>
            <w:tcW w:w="1013" w:type="dxa"/>
            <w:tcBorders>
              <w:top w:val="single" w:sz="4" w:space="0" w:color="auto"/>
            </w:tcBorders>
          </w:tcPr>
          <w:p w14:paraId="51482592" w14:textId="55CB682D" w:rsidR="00AF1559" w:rsidRPr="009515D2" w:rsidRDefault="00754725"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57D633D2" w14:textId="12A4EF84" w:rsidR="00AF1559" w:rsidRPr="009515D2" w:rsidRDefault="002C4FBE" w:rsidP="00A85036">
            <w:pPr>
              <w:spacing w:line="276" w:lineRule="auto"/>
              <w:jc w:val="right"/>
              <w:rPr>
                <w:sz w:val="22"/>
                <w:szCs w:val="22"/>
              </w:rPr>
            </w:pPr>
            <w:r w:rsidRPr="009515D2">
              <w:rPr>
                <w:sz w:val="22"/>
                <w:szCs w:val="22"/>
              </w:rPr>
              <w:t>292.46</w:t>
            </w:r>
          </w:p>
        </w:tc>
        <w:tc>
          <w:tcPr>
            <w:tcW w:w="1013" w:type="dxa"/>
            <w:tcBorders>
              <w:top w:val="single" w:sz="4" w:space="0" w:color="auto"/>
            </w:tcBorders>
          </w:tcPr>
          <w:p w14:paraId="4F8EDAB3" w14:textId="669809C2" w:rsidR="00AF1559" w:rsidRPr="009515D2" w:rsidRDefault="002C4FBE"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3668F5F2" w14:textId="20726D7F" w:rsidR="00AF1559" w:rsidRPr="009515D2" w:rsidRDefault="002C4FBE" w:rsidP="00A85036">
            <w:pPr>
              <w:spacing w:line="276" w:lineRule="auto"/>
              <w:jc w:val="right"/>
              <w:rPr>
                <w:sz w:val="22"/>
                <w:szCs w:val="22"/>
              </w:rPr>
            </w:pPr>
            <w:r w:rsidRPr="009515D2">
              <w:rPr>
                <w:sz w:val="22"/>
                <w:szCs w:val="22"/>
              </w:rPr>
              <w:t>52.43</w:t>
            </w:r>
          </w:p>
        </w:tc>
        <w:tc>
          <w:tcPr>
            <w:tcW w:w="1012" w:type="dxa"/>
            <w:tcBorders>
              <w:top w:val="single" w:sz="4" w:space="0" w:color="auto"/>
            </w:tcBorders>
          </w:tcPr>
          <w:p w14:paraId="73B0147C" w14:textId="473FF3AF" w:rsidR="00AF1559" w:rsidRPr="009515D2" w:rsidRDefault="002C4FBE" w:rsidP="00A85036">
            <w:pPr>
              <w:spacing w:line="276" w:lineRule="auto"/>
              <w:jc w:val="right"/>
              <w:rPr>
                <w:b/>
                <w:bCs/>
                <w:sz w:val="22"/>
                <w:szCs w:val="22"/>
              </w:rPr>
            </w:pPr>
            <w:r w:rsidRPr="009515D2">
              <w:rPr>
                <w:b/>
                <w:bCs/>
                <w:sz w:val="22"/>
                <w:szCs w:val="22"/>
              </w:rPr>
              <w:t>&lt;0.001</w:t>
            </w:r>
          </w:p>
        </w:tc>
      </w:tr>
      <w:tr w:rsidR="00AF1559" w:rsidRPr="009515D2" w14:paraId="158EA27A" w14:textId="77777777" w:rsidTr="00EB0C0F">
        <w:tc>
          <w:tcPr>
            <w:tcW w:w="1980" w:type="dxa"/>
          </w:tcPr>
          <w:p w14:paraId="65218476" w14:textId="77777777" w:rsidR="00AF1559" w:rsidRPr="009515D2" w:rsidRDefault="00AF1559" w:rsidP="00A85036">
            <w:pPr>
              <w:spacing w:line="276" w:lineRule="auto"/>
              <w:jc w:val="right"/>
              <w:rPr>
                <w:sz w:val="22"/>
                <w:szCs w:val="22"/>
              </w:rPr>
            </w:pPr>
            <w:r w:rsidRPr="009515D2">
              <w:rPr>
                <w:sz w:val="22"/>
                <w:szCs w:val="22"/>
              </w:rPr>
              <w:t>Inoculation (I)</w:t>
            </w:r>
          </w:p>
        </w:tc>
        <w:tc>
          <w:tcPr>
            <w:tcW w:w="536" w:type="dxa"/>
          </w:tcPr>
          <w:p w14:paraId="51E39176" w14:textId="77777777" w:rsidR="00AF1559" w:rsidRPr="009515D2" w:rsidRDefault="00AF1559" w:rsidP="00A85036">
            <w:pPr>
              <w:spacing w:line="276" w:lineRule="auto"/>
              <w:jc w:val="right"/>
              <w:rPr>
                <w:sz w:val="22"/>
                <w:szCs w:val="22"/>
              </w:rPr>
            </w:pPr>
            <w:r w:rsidRPr="009515D2">
              <w:rPr>
                <w:sz w:val="22"/>
                <w:szCs w:val="22"/>
              </w:rPr>
              <w:t>1</w:t>
            </w:r>
          </w:p>
        </w:tc>
        <w:tc>
          <w:tcPr>
            <w:tcW w:w="996" w:type="dxa"/>
          </w:tcPr>
          <w:p w14:paraId="2250399B" w14:textId="268E8D8E" w:rsidR="00AF1559" w:rsidRPr="009515D2" w:rsidRDefault="00754725" w:rsidP="00A85036">
            <w:pPr>
              <w:spacing w:line="276" w:lineRule="auto"/>
              <w:jc w:val="right"/>
              <w:rPr>
                <w:sz w:val="22"/>
                <w:szCs w:val="22"/>
              </w:rPr>
            </w:pPr>
            <w:r w:rsidRPr="009515D2">
              <w:rPr>
                <w:sz w:val="22"/>
                <w:szCs w:val="22"/>
              </w:rPr>
              <w:t>16.75</w:t>
            </w:r>
          </w:p>
        </w:tc>
        <w:tc>
          <w:tcPr>
            <w:tcW w:w="1012" w:type="dxa"/>
          </w:tcPr>
          <w:p w14:paraId="7ABEABB3" w14:textId="3CC14B08" w:rsidR="00AF1559" w:rsidRPr="009515D2" w:rsidRDefault="00754725" w:rsidP="00A85036">
            <w:pPr>
              <w:spacing w:line="276" w:lineRule="auto"/>
              <w:jc w:val="right"/>
              <w:rPr>
                <w:b/>
                <w:bCs/>
                <w:sz w:val="22"/>
                <w:szCs w:val="22"/>
              </w:rPr>
            </w:pPr>
            <w:r w:rsidRPr="009515D2">
              <w:rPr>
                <w:b/>
                <w:bCs/>
                <w:sz w:val="22"/>
                <w:szCs w:val="22"/>
              </w:rPr>
              <w:t>&lt;0.001</w:t>
            </w:r>
          </w:p>
        </w:tc>
        <w:tc>
          <w:tcPr>
            <w:tcW w:w="996" w:type="dxa"/>
          </w:tcPr>
          <w:p w14:paraId="7FCDDB4C" w14:textId="703EC931" w:rsidR="00AF1559" w:rsidRPr="009515D2" w:rsidRDefault="00754725" w:rsidP="00A85036">
            <w:pPr>
              <w:spacing w:line="276" w:lineRule="auto"/>
              <w:jc w:val="right"/>
              <w:rPr>
                <w:sz w:val="22"/>
                <w:szCs w:val="22"/>
              </w:rPr>
            </w:pPr>
            <w:r w:rsidRPr="009515D2">
              <w:rPr>
                <w:sz w:val="22"/>
                <w:szCs w:val="22"/>
              </w:rPr>
              <w:t>4.17</w:t>
            </w:r>
          </w:p>
        </w:tc>
        <w:tc>
          <w:tcPr>
            <w:tcW w:w="1013" w:type="dxa"/>
          </w:tcPr>
          <w:p w14:paraId="1762FAC2" w14:textId="778B9252" w:rsidR="00AF1559" w:rsidRPr="009515D2" w:rsidRDefault="00754725" w:rsidP="00A85036">
            <w:pPr>
              <w:spacing w:line="276" w:lineRule="auto"/>
              <w:jc w:val="right"/>
              <w:rPr>
                <w:b/>
                <w:bCs/>
                <w:sz w:val="22"/>
                <w:szCs w:val="22"/>
              </w:rPr>
            </w:pPr>
            <w:r w:rsidRPr="009515D2">
              <w:rPr>
                <w:b/>
                <w:bCs/>
                <w:sz w:val="22"/>
                <w:szCs w:val="22"/>
              </w:rPr>
              <w:t>0.041</w:t>
            </w:r>
          </w:p>
        </w:tc>
        <w:tc>
          <w:tcPr>
            <w:tcW w:w="996" w:type="dxa"/>
          </w:tcPr>
          <w:p w14:paraId="4B3A999A" w14:textId="34E968FB" w:rsidR="00AF1559" w:rsidRPr="009515D2" w:rsidRDefault="00754725" w:rsidP="00A85036">
            <w:pPr>
              <w:spacing w:line="276" w:lineRule="auto"/>
              <w:jc w:val="right"/>
              <w:rPr>
                <w:sz w:val="22"/>
                <w:szCs w:val="22"/>
              </w:rPr>
            </w:pPr>
            <w:r w:rsidRPr="009515D2">
              <w:rPr>
                <w:sz w:val="22"/>
                <w:szCs w:val="22"/>
              </w:rPr>
              <w:t>24.11</w:t>
            </w:r>
          </w:p>
        </w:tc>
        <w:tc>
          <w:tcPr>
            <w:tcW w:w="1013" w:type="dxa"/>
          </w:tcPr>
          <w:p w14:paraId="22237A78" w14:textId="19E23714" w:rsidR="00AF1559" w:rsidRPr="009515D2" w:rsidRDefault="00754725" w:rsidP="00A85036">
            <w:pPr>
              <w:spacing w:line="276" w:lineRule="auto"/>
              <w:jc w:val="right"/>
              <w:rPr>
                <w:b/>
                <w:bCs/>
                <w:sz w:val="22"/>
                <w:szCs w:val="22"/>
              </w:rPr>
            </w:pPr>
            <w:r w:rsidRPr="009515D2">
              <w:rPr>
                <w:b/>
                <w:bCs/>
                <w:sz w:val="22"/>
                <w:szCs w:val="22"/>
              </w:rPr>
              <w:t>&lt;0.001</w:t>
            </w:r>
          </w:p>
        </w:tc>
        <w:tc>
          <w:tcPr>
            <w:tcW w:w="996" w:type="dxa"/>
          </w:tcPr>
          <w:p w14:paraId="461E190C" w14:textId="5669DA54" w:rsidR="00AF1559" w:rsidRPr="009515D2" w:rsidRDefault="002C4FBE" w:rsidP="00A85036">
            <w:pPr>
              <w:spacing w:line="276" w:lineRule="auto"/>
              <w:jc w:val="right"/>
              <w:rPr>
                <w:sz w:val="22"/>
                <w:szCs w:val="22"/>
              </w:rPr>
            </w:pPr>
            <w:r w:rsidRPr="009515D2">
              <w:rPr>
                <w:sz w:val="22"/>
                <w:szCs w:val="22"/>
              </w:rPr>
              <w:t>35.09</w:t>
            </w:r>
          </w:p>
        </w:tc>
        <w:tc>
          <w:tcPr>
            <w:tcW w:w="1013" w:type="dxa"/>
          </w:tcPr>
          <w:p w14:paraId="0BB3B7D5" w14:textId="38C648EF" w:rsidR="00AF1559" w:rsidRPr="009515D2" w:rsidRDefault="002C4FBE" w:rsidP="00A85036">
            <w:pPr>
              <w:spacing w:line="276" w:lineRule="auto"/>
              <w:jc w:val="right"/>
              <w:rPr>
                <w:b/>
                <w:bCs/>
                <w:sz w:val="22"/>
                <w:szCs w:val="22"/>
              </w:rPr>
            </w:pPr>
            <w:r w:rsidRPr="009515D2">
              <w:rPr>
                <w:b/>
                <w:bCs/>
                <w:sz w:val="22"/>
                <w:szCs w:val="22"/>
              </w:rPr>
              <w:t>&lt;0.001</w:t>
            </w:r>
          </w:p>
        </w:tc>
        <w:tc>
          <w:tcPr>
            <w:tcW w:w="996" w:type="dxa"/>
          </w:tcPr>
          <w:p w14:paraId="08A00B06" w14:textId="5CC872CD" w:rsidR="00AF1559" w:rsidRPr="009515D2" w:rsidRDefault="002C4FBE" w:rsidP="00A85036">
            <w:pPr>
              <w:spacing w:line="276" w:lineRule="auto"/>
              <w:jc w:val="right"/>
              <w:rPr>
                <w:sz w:val="22"/>
                <w:szCs w:val="22"/>
              </w:rPr>
            </w:pPr>
            <w:r w:rsidRPr="009515D2">
              <w:rPr>
                <w:sz w:val="22"/>
                <w:szCs w:val="22"/>
              </w:rPr>
              <w:t>2.04</w:t>
            </w:r>
          </w:p>
        </w:tc>
        <w:tc>
          <w:tcPr>
            <w:tcW w:w="1012" w:type="dxa"/>
          </w:tcPr>
          <w:p w14:paraId="7ED391D5" w14:textId="08E9180A" w:rsidR="00AF1559" w:rsidRPr="009515D2" w:rsidRDefault="002C4FBE" w:rsidP="00A85036">
            <w:pPr>
              <w:spacing w:line="276" w:lineRule="auto"/>
              <w:jc w:val="right"/>
              <w:rPr>
                <w:sz w:val="22"/>
                <w:szCs w:val="22"/>
              </w:rPr>
            </w:pPr>
            <w:r w:rsidRPr="009515D2">
              <w:rPr>
                <w:sz w:val="22"/>
                <w:szCs w:val="22"/>
              </w:rPr>
              <w:t>0.153</w:t>
            </w:r>
          </w:p>
        </w:tc>
      </w:tr>
      <w:tr w:rsidR="00AF1559" w:rsidRPr="009515D2" w14:paraId="1F21C399" w14:textId="77777777" w:rsidTr="00EB0C0F">
        <w:tc>
          <w:tcPr>
            <w:tcW w:w="1980" w:type="dxa"/>
            <w:tcBorders>
              <w:bottom w:val="single" w:sz="4" w:space="0" w:color="auto"/>
            </w:tcBorders>
          </w:tcPr>
          <w:p w14:paraId="1BFBCCCF" w14:textId="77777777" w:rsidR="00AF1559" w:rsidRPr="009515D2" w:rsidRDefault="00AF1559" w:rsidP="00A85036">
            <w:pPr>
              <w:spacing w:line="276" w:lineRule="auto"/>
              <w:jc w:val="right"/>
              <w:rPr>
                <w:sz w:val="22"/>
                <w:szCs w:val="22"/>
              </w:rPr>
            </w:pPr>
            <w:r w:rsidRPr="009515D2">
              <w:rPr>
                <w:sz w:val="22"/>
                <w:szCs w:val="22"/>
              </w:rPr>
              <w:t>N*I</w:t>
            </w:r>
          </w:p>
        </w:tc>
        <w:tc>
          <w:tcPr>
            <w:tcW w:w="536" w:type="dxa"/>
            <w:tcBorders>
              <w:bottom w:val="single" w:sz="4" w:space="0" w:color="auto"/>
            </w:tcBorders>
          </w:tcPr>
          <w:p w14:paraId="25ECD44D" w14:textId="77777777" w:rsidR="00AF1559" w:rsidRPr="009515D2" w:rsidRDefault="00AF1559" w:rsidP="00A85036">
            <w:pPr>
              <w:spacing w:line="276" w:lineRule="auto"/>
              <w:jc w:val="right"/>
              <w:rPr>
                <w:sz w:val="22"/>
                <w:szCs w:val="22"/>
              </w:rPr>
            </w:pPr>
            <w:r w:rsidRPr="009515D2">
              <w:rPr>
                <w:sz w:val="22"/>
                <w:szCs w:val="22"/>
              </w:rPr>
              <w:t>1</w:t>
            </w:r>
          </w:p>
        </w:tc>
        <w:tc>
          <w:tcPr>
            <w:tcW w:w="996" w:type="dxa"/>
            <w:tcBorders>
              <w:bottom w:val="single" w:sz="4" w:space="0" w:color="auto"/>
            </w:tcBorders>
          </w:tcPr>
          <w:p w14:paraId="0999632B" w14:textId="32A4694C" w:rsidR="00AF1559" w:rsidRPr="009515D2" w:rsidRDefault="00754725" w:rsidP="00A85036">
            <w:pPr>
              <w:spacing w:line="276" w:lineRule="auto"/>
              <w:jc w:val="right"/>
              <w:rPr>
                <w:sz w:val="22"/>
                <w:szCs w:val="22"/>
              </w:rPr>
            </w:pPr>
            <w:r w:rsidRPr="009515D2">
              <w:rPr>
                <w:sz w:val="22"/>
                <w:szCs w:val="22"/>
              </w:rPr>
              <w:t>4.83</w:t>
            </w:r>
          </w:p>
        </w:tc>
        <w:tc>
          <w:tcPr>
            <w:tcW w:w="1012" w:type="dxa"/>
            <w:tcBorders>
              <w:bottom w:val="single" w:sz="4" w:space="0" w:color="auto"/>
            </w:tcBorders>
          </w:tcPr>
          <w:p w14:paraId="5C7E3040" w14:textId="53AE4AFE" w:rsidR="00AF1559" w:rsidRPr="009515D2" w:rsidRDefault="00754725" w:rsidP="00A85036">
            <w:pPr>
              <w:spacing w:line="276" w:lineRule="auto"/>
              <w:jc w:val="right"/>
              <w:rPr>
                <w:b/>
                <w:bCs/>
                <w:sz w:val="22"/>
                <w:szCs w:val="22"/>
              </w:rPr>
            </w:pPr>
            <w:r w:rsidRPr="009515D2">
              <w:rPr>
                <w:b/>
                <w:bCs/>
                <w:sz w:val="22"/>
                <w:szCs w:val="22"/>
              </w:rPr>
              <w:t>0.028</w:t>
            </w:r>
          </w:p>
        </w:tc>
        <w:tc>
          <w:tcPr>
            <w:tcW w:w="996" w:type="dxa"/>
            <w:tcBorders>
              <w:bottom w:val="single" w:sz="4" w:space="0" w:color="auto"/>
            </w:tcBorders>
          </w:tcPr>
          <w:p w14:paraId="700DF9F6" w14:textId="00BCC0BF" w:rsidR="00AF1559" w:rsidRPr="009515D2" w:rsidRDefault="00754725" w:rsidP="00A85036">
            <w:pPr>
              <w:spacing w:line="276" w:lineRule="auto"/>
              <w:jc w:val="right"/>
              <w:rPr>
                <w:sz w:val="22"/>
                <w:szCs w:val="22"/>
              </w:rPr>
            </w:pPr>
            <w:r w:rsidRPr="009515D2">
              <w:rPr>
                <w:sz w:val="22"/>
                <w:szCs w:val="22"/>
              </w:rPr>
              <w:t>0.265</w:t>
            </w:r>
          </w:p>
        </w:tc>
        <w:tc>
          <w:tcPr>
            <w:tcW w:w="1013" w:type="dxa"/>
            <w:tcBorders>
              <w:bottom w:val="single" w:sz="4" w:space="0" w:color="auto"/>
            </w:tcBorders>
          </w:tcPr>
          <w:p w14:paraId="633B5617" w14:textId="6B8688AB" w:rsidR="00AF1559" w:rsidRPr="009515D2" w:rsidRDefault="00754725" w:rsidP="00A85036">
            <w:pPr>
              <w:spacing w:line="276" w:lineRule="auto"/>
              <w:jc w:val="right"/>
              <w:rPr>
                <w:sz w:val="22"/>
                <w:szCs w:val="22"/>
              </w:rPr>
            </w:pPr>
            <w:r w:rsidRPr="009515D2">
              <w:rPr>
                <w:sz w:val="22"/>
                <w:szCs w:val="22"/>
              </w:rPr>
              <w:t>0.607</w:t>
            </w:r>
          </w:p>
        </w:tc>
        <w:tc>
          <w:tcPr>
            <w:tcW w:w="996" w:type="dxa"/>
            <w:tcBorders>
              <w:bottom w:val="single" w:sz="4" w:space="0" w:color="auto"/>
            </w:tcBorders>
          </w:tcPr>
          <w:p w14:paraId="766296C8" w14:textId="43D407BD" w:rsidR="00AF1559" w:rsidRPr="009515D2" w:rsidRDefault="00754725" w:rsidP="00A85036">
            <w:pPr>
              <w:spacing w:line="276" w:lineRule="auto"/>
              <w:jc w:val="right"/>
              <w:rPr>
                <w:sz w:val="22"/>
                <w:szCs w:val="22"/>
              </w:rPr>
            </w:pPr>
            <w:r w:rsidRPr="009515D2">
              <w:rPr>
                <w:sz w:val="22"/>
                <w:szCs w:val="22"/>
              </w:rPr>
              <w:t>13.52</w:t>
            </w:r>
          </w:p>
        </w:tc>
        <w:tc>
          <w:tcPr>
            <w:tcW w:w="1013" w:type="dxa"/>
            <w:tcBorders>
              <w:bottom w:val="single" w:sz="4" w:space="0" w:color="auto"/>
            </w:tcBorders>
          </w:tcPr>
          <w:p w14:paraId="3F3F5C1C" w14:textId="4A50B236" w:rsidR="00AF1559" w:rsidRPr="009515D2" w:rsidRDefault="00754725" w:rsidP="00A85036">
            <w:pPr>
              <w:spacing w:line="276" w:lineRule="auto"/>
              <w:jc w:val="right"/>
              <w:rPr>
                <w:b/>
                <w:bCs/>
                <w:sz w:val="22"/>
                <w:szCs w:val="22"/>
              </w:rPr>
            </w:pPr>
            <w:r w:rsidRPr="009515D2">
              <w:rPr>
                <w:b/>
                <w:bCs/>
                <w:sz w:val="22"/>
                <w:szCs w:val="22"/>
              </w:rPr>
              <w:t>&lt;0.001</w:t>
            </w:r>
          </w:p>
        </w:tc>
        <w:tc>
          <w:tcPr>
            <w:tcW w:w="996" w:type="dxa"/>
            <w:tcBorders>
              <w:bottom w:val="single" w:sz="4" w:space="0" w:color="auto"/>
            </w:tcBorders>
          </w:tcPr>
          <w:p w14:paraId="7CBD75E9" w14:textId="07F374BF" w:rsidR="00AF1559" w:rsidRPr="009515D2" w:rsidRDefault="002C4FBE" w:rsidP="00A85036">
            <w:pPr>
              <w:spacing w:line="276" w:lineRule="auto"/>
              <w:jc w:val="right"/>
              <w:rPr>
                <w:sz w:val="22"/>
                <w:szCs w:val="22"/>
              </w:rPr>
            </w:pPr>
            <w:r w:rsidRPr="009515D2">
              <w:rPr>
                <w:sz w:val="22"/>
                <w:szCs w:val="22"/>
              </w:rPr>
              <w:t>17.90</w:t>
            </w:r>
          </w:p>
        </w:tc>
        <w:tc>
          <w:tcPr>
            <w:tcW w:w="1013" w:type="dxa"/>
            <w:tcBorders>
              <w:bottom w:val="single" w:sz="4" w:space="0" w:color="auto"/>
            </w:tcBorders>
          </w:tcPr>
          <w:p w14:paraId="0B616063" w14:textId="3EF9E5F1" w:rsidR="00AF1559" w:rsidRPr="009515D2" w:rsidRDefault="002C4FBE" w:rsidP="00A85036">
            <w:pPr>
              <w:spacing w:line="276" w:lineRule="auto"/>
              <w:jc w:val="right"/>
              <w:rPr>
                <w:b/>
                <w:bCs/>
                <w:sz w:val="22"/>
                <w:szCs w:val="22"/>
              </w:rPr>
            </w:pPr>
            <w:r w:rsidRPr="009515D2">
              <w:rPr>
                <w:b/>
                <w:bCs/>
                <w:sz w:val="22"/>
                <w:szCs w:val="22"/>
              </w:rPr>
              <w:t>&lt;0.001</w:t>
            </w:r>
          </w:p>
        </w:tc>
        <w:tc>
          <w:tcPr>
            <w:tcW w:w="996" w:type="dxa"/>
            <w:tcBorders>
              <w:bottom w:val="single" w:sz="4" w:space="0" w:color="auto"/>
            </w:tcBorders>
          </w:tcPr>
          <w:p w14:paraId="31BB6971" w14:textId="42C9A750" w:rsidR="00AF1559" w:rsidRPr="009515D2" w:rsidRDefault="002C4FBE" w:rsidP="00A85036">
            <w:pPr>
              <w:spacing w:line="276" w:lineRule="auto"/>
              <w:jc w:val="right"/>
              <w:rPr>
                <w:sz w:val="22"/>
                <w:szCs w:val="22"/>
              </w:rPr>
            </w:pPr>
            <w:r w:rsidRPr="009515D2">
              <w:rPr>
                <w:sz w:val="22"/>
                <w:szCs w:val="22"/>
              </w:rPr>
              <w:t>1.23</w:t>
            </w:r>
          </w:p>
        </w:tc>
        <w:tc>
          <w:tcPr>
            <w:tcW w:w="1012" w:type="dxa"/>
            <w:tcBorders>
              <w:bottom w:val="single" w:sz="4" w:space="0" w:color="auto"/>
            </w:tcBorders>
          </w:tcPr>
          <w:p w14:paraId="7DC8E5B8" w14:textId="61EEAEFF" w:rsidR="00AF1559" w:rsidRPr="009515D2" w:rsidRDefault="002C4FBE" w:rsidP="00A85036">
            <w:pPr>
              <w:spacing w:line="276" w:lineRule="auto"/>
              <w:jc w:val="right"/>
              <w:rPr>
                <w:sz w:val="22"/>
                <w:szCs w:val="22"/>
              </w:rPr>
            </w:pPr>
            <w:r w:rsidRPr="009515D2">
              <w:rPr>
                <w:sz w:val="22"/>
                <w:szCs w:val="22"/>
              </w:rPr>
              <w:t>0.267</w:t>
            </w:r>
          </w:p>
        </w:tc>
      </w:tr>
      <w:tr w:rsidR="006D1951" w:rsidRPr="009515D2" w14:paraId="0811B46C" w14:textId="77777777" w:rsidTr="00EB0C0F">
        <w:tc>
          <w:tcPr>
            <w:tcW w:w="1980" w:type="dxa"/>
            <w:tcBorders>
              <w:top w:val="single" w:sz="4" w:space="0" w:color="auto"/>
            </w:tcBorders>
          </w:tcPr>
          <w:p w14:paraId="43842248" w14:textId="77777777" w:rsidR="006D1951" w:rsidRPr="009515D2" w:rsidRDefault="006D1951" w:rsidP="00A85036">
            <w:pPr>
              <w:spacing w:line="276" w:lineRule="auto"/>
              <w:jc w:val="right"/>
              <w:rPr>
                <w:sz w:val="22"/>
                <w:szCs w:val="22"/>
              </w:rPr>
            </w:pPr>
          </w:p>
        </w:tc>
        <w:tc>
          <w:tcPr>
            <w:tcW w:w="536" w:type="dxa"/>
            <w:tcBorders>
              <w:top w:val="single" w:sz="4" w:space="0" w:color="auto"/>
            </w:tcBorders>
          </w:tcPr>
          <w:p w14:paraId="3F23EEDC" w14:textId="77777777" w:rsidR="006D1951" w:rsidRPr="009515D2" w:rsidRDefault="006D1951" w:rsidP="00A85036">
            <w:pPr>
              <w:spacing w:line="276" w:lineRule="auto"/>
              <w:jc w:val="right"/>
              <w:rPr>
                <w:sz w:val="22"/>
                <w:szCs w:val="22"/>
              </w:rPr>
            </w:pPr>
          </w:p>
        </w:tc>
        <w:tc>
          <w:tcPr>
            <w:tcW w:w="996" w:type="dxa"/>
            <w:tcBorders>
              <w:top w:val="single" w:sz="4" w:space="0" w:color="auto"/>
            </w:tcBorders>
          </w:tcPr>
          <w:p w14:paraId="608F4B6E" w14:textId="77777777" w:rsidR="006D1951" w:rsidRPr="009515D2" w:rsidRDefault="006D1951" w:rsidP="00A85036">
            <w:pPr>
              <w:spacing w:line="276" w:lineRule="auto"/>
              <w:jc w:val="right"/>
              <w:rPr>
                <w:sz w:val="22"/>
                <w:szCs w:val="22"/>
              </w:rPr>
            </w:pPr>
          </w:p>
        </w:tc>
        <w:tc>
          <w:tcPr>
            <w:tcW w:w="1012" w:type="dxa"/>
            <w:tcBorders>
              <w:top w:val="single" w:sz="4" w:space="0" w:color="auto"/>
            </w:tcBorders>
          </w:tcPr>
          <w:p w14:paraId="744DAF2C" w14:textId="77777777" w:rsidR="006D1951" w:rsidRPr="009515D2" w:rsidRDefault="006D1951" w:rsidP="00A85036">
            <w:pPr>
              <w:spacing w:line="276" w:lineRule="auto"/>
              <w:jc w:val="right"/>
              <w:rPr>
                <w:b/>
                <w:bCs/>
                <w:sz w:val="22"/>
                <w:szCs w:val="22"/>
              </w:rPr>
            </w:pPr>
          </w:p>
        </w:tc>
        <w:tc>
          <w:tcPr>
            <w:tcW w:w="996" w:type="dxa"/>
            <w:tcBorders>
              <w:top w:val="single" w:sz="4" w:space="0" w:color="auto"/>
            </w:tcBorders>
          </w:tcPr>
          <w:p w14:paraId="6346209F" w14:textId="77777777" w:rsidR="006D1951" w:rsidRPr="009515D2" w:rsidRDefault="006D1951" w:rsidP="00A85036">
            <w:pPr>
              <w:spacing w:line="276" w:lineRule="auto"/>
              <w:jc w:val="right"/>
              <w:rPr>
                <w:sz w:val="22"/>
                <w:szCs w:val="22"/>
              </w:rPr>
            </w:pPr>
          </w:p>
        </w:tc>
        <w:tc>
          <w:tcPr>
            <w:tcW w:w="1013" w:type="dxa"/>
            <w:tcBorders>
              <w:top w:val="single" w:sz="4" w:space="0" w:color="auto"/>
            </w:tcBorders>
          </w:tcPr>
          <w:p w14:paraId="145E547F" w14:textId="77777777" w:rsidR="006D1951" w:rsidRPr="009515D2" w:rsidRDefault="006D1951" w:rsidP="00A85036">
            <w:pPr>
              <w:spacing w:line="276" w:lineRule="auto"/>
              <w:jc w:val="right"/>
              <w:rPr>
                <w:sz w:val="22"/>
                <w:szCs w:val="22"/>
              </w:rPr>
            </w:pPr>
          </w:p>
        </w:tc>
        <w:tc>
          <w:tcPr>
            <w:tcW w:w="996" w:type="dxa"/>
            <w:tcBorders>
              <w:top w:val="single" w:sz="4" w:space="0" w:color="auto"/>
            </w:tcBorders>
          </w:tcPr>
          <w:p w14:paraId="01DC52B9" w14:textId="77777777" w:rsidR="006D1951" w:rsidRPr="009515D2" w:rsidRDefault="006D1951" w:rsidP="00A85036">
            <w:pPr>
              <w:spacing w:line="276" w:lineRule="auto"/>
              <w:jc w:val="right"/>
              <w:rPr>
                <w:sz w:val="22"/>
                <w:szCs w:val="22"/>
              </w:rPr>
            </w:pPr>
          </w:p>
        </w:tc>
        <w:tc>
          <w:tcPr>
            <w:tcW w:w="1013" w:type="dxa"/>
            <w:tcBorders>
              <w:top w:val="single" w:sz="4" w:space="0" w:color="auto"/>
            </w:tcBorders>
          </w:tcPr>
          <w:p w14:paraId="7C5E3ABA" w14:textId="77777777" w:rsidR="006D1951" w:rsidRPr="009515D2" w:rsidRDefault="006D1951" w:rsidP="00A85036">
            <w:pPr>
              <w:spacing w:line="276" w:lineRule="auto"/>
              <w:jc w:val="right"/>
              <w:rPr>
                <w:b/>
                <w:bCs/>
                <w:sz w:val="22"/>
                <w:szCs w:val="22"/>
              </w:rPr>
            </w:pPr>
          </w:p>
        </w:tc>
        <w:tc>
          <w:tcPr>
            <w:tcW w:w="996" w:type="dxa"/>
            <w:tcBorders>
              <w:top w:val="single" w:sz="4" w:space="0" w:color="auto"/>
            </w:tcBorders>
          </w:tcPr>
          <w:p w14:paraId="45FFE244" w14:textId="77777777" w:rsidR="006D1951" w:rsidRPr="009515D2" w:rsidRDefault="006D1951" w:rsidP="00A85036">
            <w:pPr>
              <w:spacing w:line="276" w:lineRule="auto"/>
              <w:jc w:val="right"/>
              <w:rPr>
                <w:sz w:val="22"/>
                <w:szCs w:val="22"/>
              </w:rPr>
            </w:pPr>
          </w:p>
        </w:tc>
        <w:tc>
          <w:tcPr>
            <w:tcW w:w="1013" w:type="dxa"/>
            <w:tcBorders>
              <w:top w:val="single" w:sz="4" w:space="0" w:color="auto"/>
            </w:tcBorders>
          </w:tcPr>
          <w:p w14:paraId="04981C74" w14:textId="77777777" w:rsidR="006D1951" w:rsidRPr="009515D2" w:rsidRDefault="006D1951" w:rsidP="00A85036">
            <w:pPr>
              <w:spacing w:line="276" w:lineRule="auto"/>
              <w:jc w:val="right"/>
              <w:rPr>
                <w:b/>
                <w:bCs/>
                <w:sz w:val="22"/>
                <w:szCs w:val="22"/>
              </w:rPr>
            </w:pPr>
          </w:p>
        </w:tc>
        <w:tc>
          <w:tcPr>
            <w:tcW w:w="996" w:type="dxa"/>
            <w:tcBorders>
              <w:top w:val="single" w:sz="4" w:space="0" w:color="auto"/>
            </w:tcBorders>
          </w:tcPr>
          <w:p w14:paraId="5A884822" w14:textId="77777777" w:rsidR="006D1951" w:rsidRPr="009515D2" w:rsidRDefault="006D1951" w:rsidP="00A85036">
            <w:pPr>
              <w:spacing w:line="276" w:lineRule="auto"/>
              <w:jc w:val="right"/>
              <w:rPr>
                <w:sz w:val="22"/>
                <w:szCs w:val="22"/>
              </w:rPr>
            </w:pPr>
          </w:p>
        </w:tc>
        <w:tc>
          <w:tcPr>
            <w:tcW w:w="1012" w:type="dxa"/>
            <w:tcBorders>
              <w:top w:val="single" w:sz="4" w:space="0" w:color="auto"/>
            </w:tcBorders>
          </w:tcPr>
          <w:p w14:paraId="394430D2" w14:textId="77777777" w:rsidR="006D1951" w:rsidRPr="009515D2" w:rsidRDefault="006D1951" w:rsidP="00A85036">
            <w:pPr>
              <w:spacing w:line="276" w:lineRule="auto"/>
              <w:jc w:val="right"/>
              <w:rPr>
                <w:sz w:val="22"/>
                <w:szCs w:val="22"/>
              </w:rPr>
            </w:pPr>
          </w:p>
        </w:tc>
      </w:tr>
      <w:tr w:rsidR="006D1951" w:rsidRPr="009515D2" w14:paraId="1577AABF" w14:textId="77777777" w:rsidTr="006D1951">
        <w:tc>
          <w:tcPr>
            <w:tcW w:w="1980" w:type="dxa"/>
            <w:tcBorders>
              <w:bottom w:val="single" w:sz="4" w:space="0" w:color="auto"/>
            </w:tcBorders>
          </w:tcPr>
          <w:p w14:paraId="2988E540" w14:textId="77777777" w:rsidR="006D1951" w:rsidRPr="009515D2" w:rsidRDefault="006D1951" w:rsidP="00A85036">
            <w:pPr>
              <w:spacing w:line="276" w:lineRule="auto"/>
              <w:jc w:val="right"/>
              <w:rPr>
                <w:sz w:val="22"/>
                <w:szCs w:val="22"/>
              </w:rPr>
            </w:pPr>
          </w:p>
        </w:tc>
        <w:tc>
          <w:tcPr>
            <w:tcW w:w="536" w:type="dxa"/>
            <w:tcBorders>
              <w:bottom w:val="single" w:sz="4" w:space="0" w:color="auto"/>
            </w:tcBorders>
          </w:tcPr>
          <w:p w14:paraId="03CF8ACA" w14:textId="77777777" w:rsidR="006D1951" w:rsidRPr="009515D2" w:rsidRDefault="006D1951" w:rsidP="00A85036">
            <w:pPr>
              <w:spacing w:line="276" w:lineRule="auto"/>
              <w:jc w:val="right"/>
              <w:rPr>
                <w:sz w:val="22"/>
                <w:szCs w:val="22"/>
              </w:rPr>
            </w:pPr>
          </w:p>
        </w:tc>
        <w:tc>
          <w:tcPr>
            <w:tcW w:w="2008" w:type="dxa"/>
            <w:gridSpan w:val="2"/>
            <w:tcBorders>
              <w:bottom w:val="single" w:sz="4" w:space="0" w:color="auto"/>
            </w:tcBorders>
          </w:tcPr>
          <w:p w14:paraId="092427F1" w14:textId="726324F5" w:rsidR="006D1951" w:rsidRPr="009515D2" w:rsidRDefault="00E20C33" w:rsidP="00A85036">
            <w:pPr>
              <w:spacing w:line="276" w:lineRule="auto"/>
              <w:jc w:val="right"/>
              <w:rPr>
                <w:b/>
                <w:bCs/>
                <w:sz w:val="22"/>
                <w:szCs w:val="22"/>
                <w:vertAlign w:val="subscript"/>
              </w:rPr>
            </w:pPr>
            <w:r w:rsidRPr="009515D2">
              <w:rPr>
                <w:b/>
                <w:bCs/>
                <w:sz w:val="22"/>
                <w:szCs w:val="22"/>
              </w:rPr>
              <w:t>Nodule biomass: root biomass</w:t>
            </w:r>
          </w:p>
        </w:tc>
        <w:tc>
          <w:tcPr>
            <w:tcW w:w="2009" w:type="dxa"/>
            <w:gridSpan w:val="2"/>
            <w:tcBorders>
              <w:bottom w:val="single" w:sz="4" w:space="0" w:color="auto"/>
            </w:tcBorders>
          </w:tcPr>
          <w:p w14:paraId="570F3480" w14:textId="77777777" w:rsidR="00E20C33" w:rsidRPr="009515D2" w:rsidRDefault="00E20C33" w:rsidP="00A85036">
            <w:pPr>
              <w:spacing w:line="276" w:lineRule="auto"/>
              <w:jc w:val="right"/>
              <w:rPr>
                <w:b/>
                <w:bCs/>
                <w:sz w:val="22"/>
                <w:szCs w:val="22"/>
              </w:rPr>
            </w:pPr>
            <w:r w:rsidRPr="009515D2">
              <w:rPr>
                <w:b/>
                <w:bCs/>
                <w:sz w:val="22"/>
                <w:szCs w:val="22"/>
              </w:rPr>
              <w:t xml:space="preserve">Nodule </w:t>
            </w:r>
          </w:p>
          <w:p w14:paraId="300940B8" w14:textId="2DCAC5B3" w:rsidR="006D1951" w:rsidRPr="009515D2" w:rsidRDefault="00E20C33" w:rsidP="00A85036">
            <w:pPr>
              <w:spacing w:line="276" w:lineRule="auto"/>
              <w:jc w:val="right"/>
              <w:rPr>
                <w:b/>
                <w:bCs/>
                <w:sz w:val="22"/>
                <w:szCs w:val="22"/>
              </w:rPr>
            </w:pPr>
            <w:r w:rsidRPr="009515D2">
              <w:rPr>
                <w:b/>
                <w:bCs/>
                <w:sz w:val="22"/>
                <w:szCs w:val="22"/>
              </w:rPr>
              <w:t>biomass</w:t>
            </w:r>
          </w:p>
        </w:tc>
        <w:tc>
          <w:tcPr>
            <w:tcW w:w="2009" w:type="dxa"/>
            <w:gridSpan w:val="2"/>
            <w:tcBorders>
              <w:bottom w:val="single" w:sz="4" w:space="0" w:color="auto"/>
            </w:tcBorders>
          </w:tcPr>
          <w:p w14:paraId="200EB6D0" w14:textId="77777777" w:rsidR="00E20C33" w:rsidRPr="009515D2" w:rsidRDefault="00E20C33" w:rsidP="00A85036">
            <w:pPr>
              <w:spacing w:line="276" w:lineRule="auto"/>
              <w:jc w:val="right"/>
              <w:rPr>
                <w:b/>
                <w:bCs/>
                <w:sz w:val="22"/>
                <w:szCs w:val="22"/>
              </w:rPr>
            </w:pPr>
            <w:r w:rsidRPr="009515D2">
              <w:rPr>
                <w:b/>
                <w:bCs/>
                <w:sz w:val="22"/>
                <w:szCs w:val="22"/>
              </w:rPr>
              <w:t xml:space="preserve">Root </w:t>
            </w:r>
          </w:p>
          <w:p w14:paraId="428A1C75" w14:textId="6695E8BE" w:rsidR="006D1951" w:rsidRPr="009515D2" w:rsidRDefault="00E20C33" w:rsidP="00A85036">
            <w:pPr>
              <w:spacing w:line="276" w:lineRule="auto"/>
              <w:jc w:val="right"/>
              <w:rPr>
                <w:b/>
                <w:bCs/>
                <w:sz w:val="22"/>
                <w:szCs w:val="22"/>
              </w:rPr>
            </w:pPr>
            <w:r w:rsidRPr="009515D2">
              <w:rPr>
                <w:b/>
                <w:bCs/>
                <w:sz w:val="22"/>
                <w:szCs w:val="22"/>
              </w:rPr>
              <w:t>biomass</w:t>
            </w:r>
          </w:p>
        </w:tc>
        <w:tc>
          <w:tcPr>
            <w:tcW w:w="2009" w:type="dxa"/>
            <w:gridSpan w:val="2"/>
          </w:tcPr>
          <w:p w14:paraId="0E8CB182" w14:textId="77777777" w:rsidR="006D1951" w:rsidRPr="009515D2" w:rsidRDefault="006D1951" w:rsidP="00A85036">
            <w:pPr>
              <w:spacing w:line="276" w:lineRule="auto"/>
              <w:jc w:val="right"/>
              <w:rPr>
                <w:b/>
                <w:bCs/>
                <w:sz w:val="22"/>
                <w:szCs w:val="22"/>
              </w:rPr>
            </w:pPr>
          </w:p>
        </w:tc>
        <w:tc>
          <w:tcPr>
            <w:tcW w:w="2008" w:type="dxa"/>
            <w:gridSpan w:val="2"/>
          </w:tcPr>
          <w:p w14:paraId="19881AC5" w14:textId="77777777" w:rsidR="006D1951" w:rsidRPr="009515D2" w:rsidRDefault="006D1951" w:rsidP="00A85036">
            <w:pPr>
              <w:spacing w:line="276" w:lineRule="auto"/>
              <w:jc w:val="right"/>
              <w:rPr>
                <w:b/>
                <w:bCs/>
                <w:sz w:val="22"/>
                <w:szCs w:val="22"/>
              </w:rPr>
            </w:pPr>
          </w:p>
        </w:tc>
      </w:tr>
      <w:tr w:rsidR="006D1951" w:rsidRPr="009515D2" w14:paraId="387CD196" w14:textId="77777777" w:rsidTr="006D1951">
        <w:tc>
          <w:tcPr>
            <w:tcW w:w="1980" w:type="dxa"/>
            <w:tcBorders>
              <w:top w:val="single" w:sz="4" w:space="0" w:color="auto"/>
              <w:bottom w:val="single" w:sz="4" w:space="0" w:color="auto"/>
            </w:tcBorders>
          </w:tcPr>
          <w:p w14:paraId="38B68098" w14:textId="77777777" w:rsidR="006D1951" w:rsidRPr="009515D2" w:rsidRDefault="006D1951" w:rsidP="00A85036">
            <w:pPr>
              <w:spacing w:line="276" w:lineRule="auto"/>
              <w:jc w:val="right"/>
              <w:rPr>
                <w:sz w:val="22"/>
                <w:szCs w:val="22"/>
              </w:rPr>
            </w:pPr>
          </w:p>
        </w:tc>
        <w:tc>
          <w:tcPr>
            <w:tcW w:w="536" w:type="dxa"/>
            <w:tcBorders>
              <w:top w:val="single" w:sz="4" w:space="0" w:color="auto"/>
              <w:bottom w:val="single" w:sz="4" w:space="0" w:color="auto"/>
            </w:tcBorders>
          </w:tcPr>
          <w:p w14:paraId="4C70204F" w14:textId="0D503351" w:rsidR="006D1951" w:rsidRPr="009515D2" w:rsidRDefault="006D1951"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04944F6B" w14:textId="58CD6B2A" w:rsidR="006D1951" w:rsidRPr="009515D2" w:rsidRDefault="006D1951"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48B771BF" w14:textId="5B9501B3" w:rsidR="006D1951" w:rsidRPr="009515D2" w:rsidRDefault="006D1951" w:rsidP="00A85036">
            <w:pPr>
              <w:spacing w:line="276" w:lineRule="auto"/>
              <w:jc w:val="right"/>
              <w:rPr>
                <w:b/>
                <w:bCs/>
                <w:sz w:val="22"/>
                <w:szCs w:val="22"/>
              </w:rPr>
            </w:pPr>
            <w:r w:rsidRPr="009515D2">
              <w:rPr>
                <w:i/>
                <w:iCs/>
                <w:sz w:val="22"/>
                <w:szCs w:val="22"/>
              </w:rPr>
              <w:t>p</w:t>
            </w:r>
          </w:p>
        </w:tc>
        <w:tc>
          <w:tcPr>
            <w:tcW w:w="996" w:type="dxa"/>
            <w:tcBorders>
              <w:top w:val="single" w:sz="4" w:space="0" w:color="auto"/>
              <w:bottom w:val="single" w:sz="4" w:space="0" w:color="auto"/>
            </w:tcBorders>
          </w:tcPr>
          <w:p w14:paraId="409376DE" w14:textId="7E6F08E4" w:rsidR="006D1951" w:rsidRPr="009515D2" w:rsidRDefault="006D1951"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7443EB40" w14:textId="04B4FD01" w:rsidR="006D1951" w:rsidRPr="009515D2" w:rsidRDefault="006D1951"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6CA4F6D3" w14:textId="2E5AD1AD" w:rsidR="006D1951" w:rsidRPr="009515D2" w:rsidRDefault="006D1951"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0F9DF12B" w14:textId="6D2AAA2B" w:rsidR="006D1951" w:rsidRPr="009515D2" w:rsidRDefault="006D1951" w:rsidP="00A85036">
            <w:pPr>
              <w:spacing w:line="276" w:lineRule="auto"/>
              <w:jc w:val="right"/>
              <w:rPr>
                <w:b/>
                <w:bCs/>
                <w:sz w:val="22"/>
                <w:szCs w:val="22"/>
              </w:rPr>
            </w:pPr>
            <w:r w:rsidRPr="009515D2">
              <w:rPr>
                <w:i/>
                <w:iCs/>
                <w:sz w:val="22"/>
                <w:szCs w:val="22"/>
              </w:rPr>
              <w:t>p</w:t>
            </w:r>
          </w:p>
        </w:tc>
        <w:tc>
          <w:tcPr>
            <w:tcW w:w="996" w:type="dxa"/>
          </w:tcPr>
          <w:p w14:paraId="3939C37B" w14:textId="77777777" w:rsidR="006D1951" w:rsidRPr="009515D2" w:rsidRDefault="006D1951" w:rsidP="00A85036">
            <w:pPr>
              <w:spacing w:line="276" w:lineRule="auto"/>
              <w:jc w:val="right"/>
              <w:rPr>
                <w:sz w:val="22"/>
                <w:szCs w:val="22"/>
              </w:rPr>
            </w:pPr>
          </w:p>
        </w:tc>
        <w:tc>
          <w:tcPr>
            <w:tcW w:w="1013" w:type="dxa"/>
          </w:tcPr>
          <w:p w14:paraId="780D1CBF" w14:textId="77777777" w:rsidR="006D1951" w:rsidRPr="009515D2" w:rsidRDefault="006D1951" w:rsidP="00A85036">
            <w:pPr>
              <w:spacing w:line="276" w:lineRule="auto"/>
              <w:jc w:val="right"/>
              <w:rPr>
                <w:b/>
                <w:bCs/>
                <w:sz w:val="22"/>
                <w:szCs w:val="22"/>
              </w:rPr>
            </w:pPr>
          </w:p>
        </w:tc>
        <w:tc>
          <w:tcPr>
            <w:tcW w:w="996" w:type="dxa"/>
          </w:tcPr>
          <w:p w14:paraId="2A14CE23" w14:textId="77777777" w:rsidR="006D1951" w:rsidRPr="009515D2" w:rsidRDefault="006D1951" w:rsidP="00A85036">
            <w:pPr>
              <w:spacing w:line="276" w:lineRule="auto"/>
              <w:jc w:val="right"/>
              <w:rPr>
                <w:sz w:val="22"/>
                <w:szCs w:val="22"/>
              </w:rPr>
            </w:pPr>
          </w:p>
        </w:tc>
        <w:tc>
          <w:tcPr>
            <w:tcW w:w="1012" w:type="dxa"/>
          </w:tcPr>
          <w:p w14:paraId="7B34ED34" w14:textId="77777777" w:rsidR="006D1951" w:rsidRPr="009515D2" w:rsidRDefault="006D1951" w:rsidP="00A85036">
            <w:pPr>
              <w:spacing w:line="276" w:lineRule="auto"/>
              <w:jc w:val="right"/>
              <w:rPr>
                <w:sz w:val="22"/>
                <w:szCs w:val="22"/>
              </w:rPr>
            </w:pPr>
          </w:p>
        </w:tc>
      </w:tr>
      <w:tr w:rsidR="006D1951" w:rsidRPr="009515D2" w14:paraId="1510FC79" w14:textId="77777777" w:rsidTr="006D1951">
        <w:tc>
          <w:tcPr>
            <w:tcW w:w="1980" w:type="dxa"/>
            <w:tcBorders>
              <w:top w:val="single" w:sz="4" w:space="0" w:color="auto"/>
            </w:tcBorders>
          </w:tcPr>
          <w:p w14:paraId="20BDD5CC" w14:textId="10F60572" w:rsidR="006D1951" w:rsidRPr="009515D2" w:rsidRDefault="006D1951"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2DBFC216" w14:textId="18F3E1C1" w:rsidR="006D1951" w:rsidRPr="009515D2" w:rsidRDefault="00E945AC"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30858AB4" w14:textId="7C261A3F" w:rsidR="006D1951" w:rsidRPr="009515D2" w:rsidRDefault="00E945AC" w:rsidP="00A85036">
            <w:pPr>
              <w:spacing w:line="276" w:lineRule="auto"/>
              <w:jc w:val="right"/>
              <w:rPr>
                <w:sz w:val="22"/>
                <w:szCs w:val="22"/>
              </w:rPr>
            </w:pPr>
            <w:r w:rsidRPr="009515D2">
              <w:rPr>
                <w:sz w:val="22"/>
                <w:szCs w:val="22"/>
              </w:rPr>
              <w:t>0.99</w:t>
            </w:r>
          </w:p>
        </w:tc>
        <w:tc>
          <w:tcPr>
            <w:tcW w:w="1012" w:type="dxa"/>
            <w:tcBorders>
              <w:top w:val="single" w:sz="4" w:space="0" w:color="auto"/>
            </w:tcBorders>
          </w:tcPr>
          <w:p w14:paraId="0E26E486" w14:textId="61710F47" w:rsidR="006D1951" w:rsidRPr="009515D2" w:rsidRDefault="00E945AC" w:rsidP="00A85036">
            <w:pPr>
              <w:spacing w:line="276" w:lineRule="auto"/>
              <w:jc w:val="right"/>
              <w:rPr>
                <w:sz w:val="22"/>
                <w:szCs w:val="22"/>
              </w:rPr>
            </w:pPr>
            <w:r w:rsidRPr="009515D2">
              <w:rPr>
                <w:sz w:val="22"/>
                <w:szCs w:val="22"/>
              </w:rPr>
              <w:t>0.320</w:t>
            </w:r>
          </w:p>
        </w:tc>
        <w:tc>
          <w:tcPr>
            <w:tcW w:w="996" w:type="dxa"/>
            <w:tcBorders>
              <w:top w:val="single" w:sz="4" w:space="0" w:color="auto"/>
            </w:tcBorders>
          </w:tcPr>
          <w:p w14:paraId="0519A6F3" w14:textId="6D80D3E7" w:rsidR="006D1951" w:rsidRPr="009515D2" w:rsidRDefault="00E945AC" w:rsidP="00A85036">
            <w:pPr>
              <w:spacing w:line="276" w:lineRule="auto"/>
              <w:jc w:val="right"/>
              <w:rPr>
                <w:sz w:val="22"/>
                <w:szCs w:val="22"/>
              </w:rPr>
            </w:pPr>
            <w:r w:rsidRPr="009515D2">
              <w:rPr>
                <w:sz w:val="22"/>
                <w:szCs w:val="22"/>
              </w:rPr>
              <w:t>1.36</w:t>
            </w:r>
          </w:p>
        </w:tc>
        <w:tc>
          <w:tcPr>
            <w:tcW w:w="1013" w:type="dxa"/>
            <w:tcBorders>
              <w:top w:val="single" w:sz="4" w:space="0" w:color="auto"/>
            </w:tcBorders>
          </w:tcPr>
          <w:p w14:paraId="44266995" w14:textId="42B816F5" w:rsidR="006D1951" w:rsidRPr="009515D2" w:rsidRDefault="00E945AC" w:rsidP="00A85036">
            <w:pPr>
              <w:spacing w:line="276" w:lineRule="auto"/>
              <w:jc w:val="right"/>
              <w:rPr>
                <w:sz w:val="22"/>
                <w:szCs w:val="22"/>
              </w:rPr>
            </w:pPr>
            <w:r w:rsidRPr="009515D2">
              <w:rPr>
                <w:sz w:val="22"/>
                <w:szCs w:val="22"/>
              </w:rPr>
              <w:t>0.243</w:t>
            </w:r>
          </w:p>
        </w:tc>
        <w:tc>
          <w:tcPr>
            <w:tcW w:w="996" w:type="dxa"/>
            <w:tcBorders>
              <w:top w:val="single" w:sz="4" w:space="0" w:color="auto"/>
            </w:tcBorders>
          </w:tcPr>
          <w:p w14:paraId="10AD408A" w14:textId="4ACFC6A4" w:rsidR="006D1951" w:rsidRPr="009515D2" w:rsidRDefault="00E945AC" w:rsidP="00A85036">
            <w:pPr>
              <w:spacing w:line="276" w:lineRule="auto"/>
              <w:jc w:val="right"/>
              <w:rPr>
                <w:sz w:val="22"/>
                <w:szCs w:val="22"/>
              </w:rPr>
            </w:pPr>
            <w:r w:rsidRPr="009515D2">
              <w:rPr>
                <w:sz w:val="22"/>
                <w:szCs w:val="22"/>
              </w:rPr>
              <w:t>0.01</w:t>
            </w:r>
          </w:p>
        </w:tc>
        <w:tc>
          <w:tcPr>
            <w:tcW w:w="1013" w:type="dxa"/>
            <w:tcBorders>
              <w:top w:val="single" w:sz="4" w:space="0" w:color="auto"/>
            </w:tcBorders>
          </w:tcPr>
          <w:p w14:paraId="6191A594" w14:textId="29CBBD7D" w:rsidR="006D1951" w:rsidRPr="009515D2" w:rsidRDefault="00E945AC" w:rsidP="00A85036">
            <w:pPr>
              <w:spacing w:line="276" w:lineRule="auto"/>
              <w:jc w:val="right"/>
              <w:rPr>
                <w:sz w:val="22"/>
                <w:szCs w:val="22"/>
              </w:rPr>
            </w:pPr>
            <w:r w:rsidRPr="009515D2">
              <w:rPr>
                <w:sz w:val="22"/>
                <w:szCs w:val="22"/>
              </w:rPr>
              <w:t>0.918</w:t>
            </w:r>
          </w:p>
        </w:tc>
        <w:tc>
          <w:tcPr>
            <w:tcW w:w="996" w:type="dxa"/>
          </w:tcPr>
          <w:p w14:paraId="2B8A087E" w14:textId="77777777" w:rsidR="006D1951" w:rsidRPr="009515D2" w:rsidRDefault="006D1951" w:rsidP="00A85036">
            <w:pPr>
              <w:spacing w:line="276" w:lineRule="auto"/>
              <w:jc w:val="right"/>
              <w:rPr>
                <w:sz w:val="22"/>
                <w:szCs w:val="22"/>
              </w:rPr>
            </w:pPr>
          </w:p>
        </w:tc>
        <w:tc>
          <w:tcPr>
            <w:tcW w:w="1013" w:type="dxa"/>
          </w:tcPr>
          <w:p w14:paraId="69748890" w14:textId="77777777" w:rsidR="006D1951" w:rsidRPr="009515D2" w:rsidRDefault="006D1951" w:rsidP="00A85036">
            <w:pPr>
              <w:spacing w:line="276" w:lineRule="auto"/>
              <w:jc w:val="right"/>
              <w:rPr>
                <w:b/>
                <w:bCs/>
                <w:sz w:val="22"/>
                <w:szCs w:val="22"/>
              </w:rPr>
            </w:pPr>
          </w:p>
        </w:tc>
        <w:tc>
          <w:tcPr>
            <w:tcW w:w="996" w:type="dxa"/>
          </w:tcPr>
          <w:p w14:paraId="36A7DE65" w14:textId="77777777" w:rsidR="006D1951" w:rsidRPr="009515D2" w:rsidRDefault="006D1951" w:rsidP="00A85036">
            <w:pPr>
              <w:spacing w:line="276" w:lineRule="auto"/>
              <w:jc w:val="right"/>
              <w:rPr>
                <w:sz w:val="22"/>
                <w:szCs w:val="22"/>
              </w:rPr>
            </w:pPr>
          </w:p>
        </w:tc>
        <w:tc>
          <w:tcPr>
            <w:tcW w:w="1012" w:type="dxa"/>
          </w:tcPr>
          <w:p w14:paraId="610B999D" w14:textId="77777777" w:rsidR="006D1951" w:rsidRPr="009515D2" w:rsidRDefault="006D1951" w:rsidP="00A85036">
            <w:pPr>
              <w:spacing w:line="276" w:lineRule="auto"/>
              <w:jc w:val="right"/>
              <w:rPr>
                <w:sz w:val="22"/>
                <w:szCs w:val="22"/>
              </w:rPr>
            </w:pPr>
          </w:p>
        </w:tc>
      </w:tr>
      <w:tr w:rsidR="006D1951" w:rsidRPr="009515D2" w14:paraId="15DD3BF8" w14:textId="77777777" w:rsidTr="00EB0C0F">
        <w:tc>
          <w:tcPr>
            <w:tcW w:w="1980" w:type="dxa"/>
          </w:tcPr>
          <w:p w14:paraId="47B258AB" w14:textId="493BA8BA" w:rsidR="006D1951" w:rsidRPr="009515D2" w:rsidRDefault="006D1951" w:rsidP="00A85036">
            <w:pPr>
              <w:spacing w:line="276" w:lineRule="auto"/>
              <w:jc w:val="right"/>
              <w:rPr>
                <w:sz w:val="22"/>
                <w:szCs w:val="22"/>
              </w:rPr>
            </w:pPr>
            <w:r w:rsidRPr="009515D2">
              <w:rPr>
                <w:sz w:val="22"/>
                <w:szCs w:val="22"/>
              </w:rPr>
              <w:t>Inoculation (I)</w:t>
            </w:r>
          </w:p>
        </w:tc>
        <w:tc>
          <w:tcPr>
            <w:tcW w:w="536" w:type="dxa"/>
          </w:tcPr>
          <w:p w14:paraId="20006021" w14:textId="5F286727" w:rsidR="006D1951" w:rsidRPr="009515D2" w:rsidRDefault="00E945AC" w:rsidP="00A85036">
            <w:pPr>
              <w:spacing w:line="276" w:lineRule="auto"/>
              <w:jc w:val="right"/>
              <w:rPr>
                <w:sz w:val="22"/>
                <w:szCs w:val="22"/>
              </w:rPr>
            </w:pPr>
            <w:r w:rsidRPr="009515D2">
              <w:rPr>
                <w:sz w:val="22"/>
                <w:szCs w:val="22"/>
              </w:rPr>
              <w:t>1</w:t>
            </w:r>
          </w:p>
        </w:tc>
        <w:tc>
          <w:tcPr>
            <w:tcW w:w="996" w:type="dxa"/>
          </w:tcPr>
          <w:p w14:paraId="49749AD1" w14:textId="2CBCA12D" w:rsidR="006D1951" w:rsidRPr="009515D2" w:rsidRDefault="00E945AC" w:rsidP="00A85036">
            <w:pPr>
              <w:spacing w:line="276" w:lineRule="auto"/>
              <w:jc w:val="right"/>
              <w:rPr>
                <w:sz w:val="22"/>
                <w:szCs w:val="22"/>
              </w:rPr>
            </w:pPr>
            <w:r w:rsidRPr="009515D2">
              <w:rPr>
                <w:sz w:val="22"/>
                <w:szCs w:val="22"/>
              </w:rPr>
              <w:t>31.13</w:t>
            </w:r>
          </w:p>
        </w:tc>
        <w:tc>
          <w:tcPr>
            <w:tcW w:w="1012" w:type="dxa"/>
          </w:tcPr>
          <w:p w14:paraId="1964330C" w14:textId="3272E19E" w:rsidR="006D1951" w:rsidRPr="009515D2" w:rsidRDefault="00E945AC" w:rsidP="00A85036">
            <w:pPr>
              <w:spacing w:line="276" w:lineRule="auto"/>
              <w:jc w:val="right"/>
              <w:rPr>
                <w:b/>
                <w:bCs/>
                <w:sz w:val="22"/>
                <w:szCs w:val="22"/>
              </w:rPr>
            </w:pPr>
            <w:r w:rsidRPr="009515D2">
              <w:rPr>
                <w:b/>
                <w:bCs/>
                <w:sz w:val="22"/>
                <w:szCs w:val="22"/>
              </w:rPr>
              <w:t>&lt;0.001</w:t>
            </w:r>
          </w:p>
        </w:tc>
        <w:tc>
          <w:tcPr>
            <w:tcW w:w="996" w:type="dxa"/>
          </w:tcPr>
          <w:p w14:paraId="34071526" w14:textId="51BF7297" w:rsidR="006D1951" w:rsidRPr="009515D2" w:rsidRDefault="00E945AC" w:rsidP="00A85036">
            <w:pPr>
              <w:spacing w:line="276" w:lineRule="auto"/>
              <w:jc w:val="right"/>
              <w:rPr>
                <w:sz w:val="22"/>
                <w:szCs w:val="22"/>
              </w:rPr>
            </w:pPr>
            <w:r w:rsidRPr="009515D2">
              <w:rPr>
                <w:sz w:val="22"/>
                <w:szCs w:val="22"/>
              </w:rPr>
              <w:t>30.79</w:t>
            </w:r>
          </w:p>
        </w:tc>
        <w:tc>
          <w:tcPr>
            <w:tcW w:w="1013" w:type="dxa"/>
          </w:tcPr>
          <w:p w14:paraId="0EC318B7" w14:textId="7D37E69E" w:rsidR="006D1951" w:rsidRPr="009515D2" w:rsidRDefault="00E945AC" w:rsidP="00A85036">
            <w:pPr>
              <w:spacing w:line="276" w:lineRule="auto"/>
              <w:jc w:val="right"/>
              <w:rPr>
                <w:b/>
                <w:bCs/>
                <w:sz w:val="22"/>
                <w:szCs w:val="22"/>
              </w:rPr>
            </w:pPr>
            <w:r w:rsidRPr="009515D2">
              <w:rPr>
                <w:b/>
                <w:bCs/>
                <w:sz w:val="22"/>
                <w:szCs w:val="22"/>
              </w:rPr>
              <w:t>&lt;0.001</w:t>
            </w:r>
          </w:p>
        </w:tc>
        <w:tc>
          <w:tcPr>
            <w:tcW w:w="996" w:type="dxa"/>
          </w:tcPr>
          <w:p w14:paraId="6D97EA03" w14:textId="6CD8C577" w:rsidR="006D1951" w:rsidRPr="009515D2" w:rsidRDefault="00E945AC" w:rsidP="00A85036">
            <w:pPr>
              <w:spacing w:line="276" w:lineRule="auto"/>
              <w:jc w:val="right"/>
              <w:rPr>
                <w:sz w:val="22"/>
                <w:szCs w:val="22"/>
              </w:rPr>
            </w:pPr>
            <w:r w:rsidRPr="009515D2">
              <w:rPr>
                <w:sz w:val="22"/>
                <w:szCs w:val="22"/>
              </w:rPr>
              <w:t>3.27</w:t>
            </w:r>
          </w:p>
        </w:tc>
        <w:tc>
          <w:tcPr>
            <w:tcW w:w="1013" w:type="dxa"/>
          </w:tcPr>
          <w:p w14:paraId="77F96481" w14:textId="41221339" w:rsidR="006D1951" w:rsidRPr="009515D2" w:rsidRDefault="00E945AC" w:rsidP="00A85036">
            <w:pPr>
              <w:spacing w:line="276" w:lineRule="auto"/>
              <w:jc w:val="right"/>
              <w:rPr>
                <w:i/>
                <w:iCs/>
                <w:sz w:val="22"/>
                <w:szCs w:val="22"/>
              </w:rPr>
            </w:pPr>
            <w:r w:rsidRPr="009515D2">
              <w:rPr>
                <w:i/>
                <w:iCs/>
                <w:sz w:val="22"/>
                <w:szCs w:val="22"/>
              </w:rPr>
              <w:t>0.071</w:t>
            </w:r>
          </w:p>
        </w:tc>
        <w:tc>
          <w:tcPr>
            <w:tcW w:w="996" w:type="dxa"/>
          </w:tcPr>
          <w:p w14:paraId="3591ACF6" w14:textId="77777777" w:rsidR="006D1951" w:rsidRPr="009515D2" w:rsidRDefault="006D1951" w:rsidP="00A85036">
            <w:pPr>
              <w:spacing w:line="276" w:lineRule="auto"/>
              <w:jc w:val="right"/>
              <w:rPr>
                <w:sz w:val="22"/>
                <w:szCs w:val="22"/>
              </w:rPr>
            </w:pPr>
          </w:p>
        </w:tc>
        <w:tc>
          <w:tcPr>
            <w:tcW w:w="1013" w:type="dxa"/>
          </w:tcPr>
          <w:p w14:paraId="30A53C33" w14:textId="77777777" w:rsidR="006D1951" w:rsidRPr="009515D2" w:rsidRDefault="006D1951" w:rsidP="00A85036">
            <w:pPr>
              <w:spacing w:line="276" w:lineRule="auto"/>
              <w:jc w:val="right"/>
              <w:rPr>
                <w:b/>
                <w:bCs/>
                <w:sz w:val="22"/>
                <w:szCs w:val="22"/>
              </w:rPr>
            </w:pPr>
          </w:p>
        </w:tc>
        <w:tc>
          <w:tcPr>
            <w:tcW w:w="996" w:type="dxa"/>
          </w:tcPr>
          <w:p w14:paraId="4E033A68" w14:textId="77777777" w:rsidR="006D1951" w:rsidRPr="009515D2" w:rsidRDefault="006D1951" w:rsidP="00A85036">
            <w:pPr>
              <w:spacing w:line="276" w:lineRule="auto"/>
              <w:jc w:val="right"/>
              <w:rPr>
                <w:sz w:val="22"/>
                <w:szCs w:val="22"/>
              </w:rPr>
            </w:pPr>
          </w:p>
        </w:tc>
        <w:tc>
          <w:tcPr>
            <w:tcW w:w="1012" w:type="dxa"/>
          </w:tcPr>
          <w:p w14:paraId="6CE4855D" w14:textId="77777777" w:rsidR="006D1951" w:rsidRPr="009515D2" w:rsidRDefault="006D1951" w:rsidP="00A85036">
            <w:pPr>
              <w:spacing w:line="276" w:lineRule="auto"/>
              <w:jc w:val="right"/>
              <w:rPr>
                <w:sz w:val="22"/>
                <w:szCs w:val="22"/>
              </w:rPr>
            </w:pPr>
          </w:p>
        </w:tc>
      </w:tr>
      <w:tr w:rsidR="006D1951" w:rsidRPr="009515D2" w14:paraId="029739BC" w14:textId="77777777" w:rsidTr="00EB0C0F">
        <w:tc>
          <w:tcPr>
            <w:tcW w:w="1980" w:type="dxa"/>
            <w:tcBorders>
              <w:bottom w:val="single" w:sz="4" w:space="0" w:color="auto"/>
            </w:tcBorders>
          </w:tcPr>
          <w:p w14:paraId="4D8CE88E" w14:textId="10C4B7E6" w:rsidR="006D1951" w:rsidRPr="009515D2" w:rsidRDefault="006D1951" w:rsidP="00A85036">
            <w:pPr>
              <w:spacing w:line="276" w:lineRule="auto"/>
              <w:jc w:val="right"/>
              <w:rPr>
                <w:sz w:val="22"/>
                <w:szCs w:val="22"/>
              </w:rPr>
            </w:pPr>
            <w:r w:rsidRPr="009515D2">
              <w:rPr>
                <w:sz w:val="22"/>
                <w:szCs w:val="22"/>
              </w:rPr>
              <w:t>N*I</w:t>
            </w:r>
          </w:p>
        </w:tc>
        <w:tc>
          <w:tcPr>
            <w:tcW w:w="536" w:type="dxa"/>
            <w:tcBorders>
              <w:bottom w:val="single" w:sz="4" w:space="0" w:color="auto"/>
            </w:tcBorders>
          </w:tcPr>
          <w:p w14:paraId="31C27664" w14:textId="2C0A2C4B" w:rsidR="006D1951" w:rsidRPr="009515D2" w:rsidRDefault="00E945AC" w:rsidP="00A85036">
            <w:pPr>
              <w:spacing w:line="276" w:lineRule="auto"/>
              <w:jc w:val="right"/>
              <w:rPr>
                <w:sz w:val="22"/>
                <w:szCs w:val="22"/>
              </w:rPr>
            </w:pPr>
            <w:r w:rsidRPr="009515D2">
              <w:rPr>
                <w:sz w:val="22"/>
                <w:szCs w:val="22"/>
              </w:rPr>
              <w:t>1</w:t>
            </w:r>
          </w:p>
        </w:tc>
        <w:tc>
          <w:tcPr>
            <w:tcW w:w="996" w:type="dxa"/>
            <w:tcBorders>
              <w:bottom w:val="single" w:sz="4" w:space="0" w:color="auto"/>
            </w:tcBorders>
          </w:tcPr>
          <w:p w14:paraId="0C4495E6" w14:textId="69339D44" w:rsidR="006D1951" w:rsidRPr="009515D2" w:rsidRDefault="00E945AC" w:rsidP="00A85036">
            <w:pPr>
              <w:spacing w:line="276" w:lineRule="auto"/>
              <w:jc w:val="right"/>
              <w:rPr>
                <w:sz w:val="22"/>
                <w:szCs w:val="22"/>
              </w:rPr>
            </w:pPr>
            <w:r w:rsidRPr="009515D2">
              <w:rPr>
                <w:sz w:val="22"/>
                <w:szCs w:val="22"/>
              </w:rPr>
              <w:t>0.76</w:t>
            </w:r>
          </w:p>
        </w:tc>
        <w:tc>
          <w:tcPr>
            <w:tcW w:w="1012" w:type="dxa"/>
            <w:tcBorders>
              <w:bottom w:val="single" w:sz="4" w:space="0" w:color="auto"/>
            </w:tcBorders>
          </w:tcPr>
          <w:p w14:paraId="3E375B8B" w14:textId="7E3421CF" w:rsidR="006D1951" w:rsidRPr="009515D2" w:rsidRDefault="00E945AC" w:rsidP="00A85036">
            <w:pPr>
              <w:spacing w:line="276" w:lineRule="auto"/>
              <w:jc w:val="right"/>
              <w:rPr>
                <w:sz w:val="22"/>
                <w:szCs w:val="22"/>
              </w:rPr>
            </w:pPr>
            <w:r w:rsidRPr="009515D2">
              <w:rPr>
                <w:sz w:val="22"/>
                <w:szCs w:val="22"/>
              </w:rPr>
              <w:t>0.383</w:t>
            </w:r>
          </w:p>
        </w:tc>
        <w:tc>
          <w:tcPr>
            <w:tcW w:w="996" w:type="dxa"/>
            <w:tcBorders>
              <w:bottom w:val="single" w:sz="4" w:space="0" w:color="auto"/>
            </w:tcBorders>
          </w:tcPr>
          <w:p w14:paraId="6CBFA5CE" w14:textId="60B1CD05" w:rsidR="006D1951" w:rsidRPr="009515D2" w:rsidRDefault="00E945AC" w:rsidP="00A85036">
            <w:pPr>
              <w:spacing w:line="276" w:lineRule="auto"/>
              <w:jc w:val="right"/>
              <w:rPr>
                <w:sz w:val="22"/>
                <w:szCs w:val="22"/>
              </w:rPr>
            </w:pPr>
            <w:r w:rsidRPr="009515D2">
              <w:rPr>
                <w:sz w:val="22"/>
                <w:szCs w:val="22"/>
              </w:rPr>
              <w:t>1.01</w:t>
            </w:r>
          </w:p>
        </w:tc>
        <w:tc>
          <w:tcPr>
            <w:tcW w:w="1013" w:type="dxa"/>
            <w:tcBorders>
              <w:bottom w:val="single" w:sz="4" w:space="0" w:color="auto"/>
            </w:tcBorders>
          </w:tcPr>
          <w:p w14:paraId="0F48C687" w14:textId="1DC9CFBE" w:rsidR="006D1951" w:rsidRPr="009515D2" w:rsidRDefault="00E945AC" w:rsidP="00A85036">
            <w:pPr>
              <w:spacing w:line="276" w:lineRule="auto"/>
              <w:jc w:val="right"/>
              <w:rPr>
                <w:sz w:val="22"/>
                <w:szCs w:val="22"/>
              </w:rPr>
            </w:pPr>
            <w:r w:rsidRPr="009515D2">
              <w:rPr>
                <w:sz w:val="22"/>
                <w:szCs w:val="22"/>
              </w:rPr>
              <w:t>0.316</w:t>
            </w:r>
          </w:p>
        </w:tc>
        <w:tc>
          <w:tcPr>
            <w:tcW w:w="996" w:type="dxa"/>
            <w:tcBorders>
              <w:bottom w:val="single" w:sz="4" w:space="0" w:color="auto"/>
            </w:tcBorders>
          </w:tcPr>
          <w:p w14:paraId="75F4D1BA" w14:textId="2536F6AB" w:rsidR="006D1951" w:rsidRPr="009515D2" w:rsidRDefault="00E945AC" w:rsidP="00A85036">
            <w:pPr>
              <w:spacing w:line="276" w:lineRule="auto"/>
              <w:jc w:val="right"/>
              <w:rPr>
                <w:sz w:val="22"/>
                <w:szCs w:val="22"/>
              </w:rPr>
            </w:pPr>
            <w:r w:rsidRPr="009515D2">
              <w:rPr>
                <w:sz w:val="22"/>
                <w:szCs w:val="22"/>
              </w:rPr>
              <w:t>0.25</w:t>
            </w:r>
          </w:p>
        </w:tc>
        <w:tc>
          <w:tcPr>
            <w:tcW w:w="1013" w:type="dxa"/>
            <w:tcBorders>
              <w:bottom w:val="single" w:sz="4" w:space="0" w:color="auto"/>
            </w:tcBorders>
          </w:tcPr>
          <w:p w14:paraId="4C1EBE9C" w14:textId="615FBF97" w:rsidR="006D1951" w:rsidRPr="009515D2" w:rsidRDefault="00E945AC" w:rsidP="00A85036">
            <w:pPr>
              <w:spacing w:line="276" w:lineRule="auto"/>
              <w:jc w:val="right"/>
              <w:rPr>
                <w:sz w:val="22"/>
                <w:szCs w:val="22"/>
              </w:rPr>
            </w:pPr>
            <w:r w:rsidRPr="009515D2">
              <w:rPr>
                <w:sz w:val="22"/>
                <w:szCs w:val="22"/>
              </w:rPr>
              <w:t>0.614</w:t>
            </w:r>
          </w:p>
        </w:tc>
        <w:tc>
          <w:tcPr>
            <w:tcW w:w="996" w:type="dxa"/>
          </w:tcPr>
          <w:p w14:paraId="52835231" w14:textId="77777777" w:rsidR="006D1951" w:rsidRPr="009515D2" w:rsidRDefault="006D1951" w:rsidP="00A85036">
            <w:pPr>
              <w:spacing w:line="276" w:lineRule="auto"/>
              <w:jc w:val="right"/>
              <w:rPr>
                <w:sz w:val="22"/>
                <w:szCs w:val="22"/>
              </w:rPr>
            </w:pPr>
          </w:p>
        </w:tc>
        <w:tc>
          <w:tcPr>
            <w:tcW w:w="1013" w:type="dxa"/>
          </w:tcPr>
          <w:p w14:paraId="12F514BE" w14:textId="77777777" w:rsidR="006D1951" w:rsidRPr="009515D2" w:rsidRDefault="006D1951" w:rsidP="00A85036">
            <w:pPr>
              <w:spacing w:line="276" w:lineRule="auto"/>
              <w:jc w:val="right"/>
              <w:rPr>
                <w:b/>
                <w:bCs/>
                <w:sz w:val="22"/>
                <w:szCs w:val="22"/>
              </w:rPr>
            </w:pPr>
          </w:p>
        </w:tc>
        <w:tc>
          <w:tcPr>
            <w:tcW w:w="996" w:type="dxa"/>
          </w:tcPr>
          <w:p w14:paraId="5F2988ED" w14:textId="77777777" w:rsidR="006D1951" w:rsidRPr="009515D2" w:rsidRDefault="006D1951" w:rsidP="00A85036">
            <w:pPr>
              <w:spacing w:line="276" w:lineRule="auto"/>
              <w:jc w:val="right"/>
              <w:rPr>
                <w:sz w:val="22"/>
                <w:szCs w:val="22"/>
              </w:rPr>
            </w:pPr>
          </w:p>
        </w:tc>
        <w:tc>
          <w:tcPr>
            <w:tcW w:w="1012" w:type="dxa"/>
          </w:tcPr>
          <w:p w14:paraId="5776C603" w14:textId="77777777" w:rsidR="006D1951" w:rsidRPr="009515D2" w:rsidRDefault="006D1951" w:rsidP="00A85036">
            <w:pPr>
              <w:spacing w:line="276" w:lineRule="auto"/>
              <w:jc w:val="right"/>
              <w:rPr>
                <w:sz w:val="22"/>
                <w:szCs w:val="22"/>
              </w:rPr>
            </w:pPr>
          </w:p>
        </w:tc>
      </w:tr>
    </w:tbl>
    <w:p w14:paraId="76275A83" w14:textId="77777777" w:rsidR="00AF1559" w:rsidRDefault="00AF1559" w:rsidP="00A754EC">
      <w:pPr>
        <w:spacing w:line="360" w:lineRule="auto"/>
      </w:pPr>
    </w:p>
    <w:p w14:paraId="48106999" w14:textId="56CD0B70" w:rsidR="00451ED1" w:rsidRDefault="00AF1559" w:rsidP="00A754EC">
      <w:pPr>
        <w:spacing w:line="360" w:lineRule="auto"/>
        <w:rPr>
          <w:b/>
          <w:bCs/>
        </w:rPr>
      </w:pPr>
      <w:r w:rsidRPr="00E6584D">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 xml:space="preserve">-values less than 0.05 are in bold and </w:t>
      </w:r>
      <w:r>
        <w:rPr>
          <w:i/>
          <w:iCs/>
        </w:rPr>
        <w:t>P</w:t>
      </w:r>
      <w:r>
        <w:t>-values between 0.05 and 0.1 are italicized</w:t>
      </w:r>
      <w:r w:rsidR="00E20C33">
        <w:t>.</w:t>
      </w:r>
    </w:p>
    <w:p w14:paraId="13C8D579" w14:textId="77777777" w:rsidR="006D1951" w:rsidRPr="006D1951" w:rsidRDefault="006D1951" w:rsidP="00A85036">
      <w:pPr>
        <w:spacing w:line="480" w:lineRule="auto"/>
        <w:rPr>
          <w:b/>
          <w:bCs/>
        </w:rPr>
      </w:pPr>
    </w:p>
    <w:p w14:paraId="4E2F8011" w14:textId="77777777" w:rsidR="00E256F3" w:rsidRDefault="00E256F3" w:rsidP="00A85036">
      <w:pPr>
        <w:spacing w:line="480" w:lineRule="auto"/>
        <w:rPr>
          <w:b/>
          <w:bCs/>
        </w:rPr>
        <w:sectPr w:rsidR="00E256F3" w:rsidSect="00451ED1">
          <w:pgSz w:w="15840" w:h="12240" w:orient="landscape"/>
          <w:pgMar w:top="1440" w:right="1440" w:bottom="1440" w:left="1440" w:header="720" w:footer="720" w:gutter="0"/>
          <w:lnNumType w:countBy="1" w:restart="continuous"/>
          <w:cols w:space="720"/>
          <w:docGrid w:linePitch="360"/>
        </w:sectPr>
      </w:pPr>
    </w:p>
    <w:p w14:paraId="7ECFCA98" w14:textId="04A21B63" w:rsidR="006C50B8" w:rsidRDefault="00451ED1" w:rsidP="00A754EC">
      <w:pPr>
        <w:spacing w:line="360" w:lineRule="auto"/>
        <w:rPr>
          <w:b/>
          <w:bCs/>
        </w:rPr>
      </w:pPr>
      <w:r>
        <w:rPr>
          <w:b/>
          <w:bCs/>
        </w:rPr>
        <w:lastRenderedPageBreak/>
        <w:t>F</w:t>
      </w:r>
      <w:r w:rsidR="006C50B8">
        <w:rPr>
          <w:b/>
          <w:bCs/>
        </w:rPr>
        <w:t>igure</w:t>
      </w:r>
      <w:r w:rsidR="00772287">
        <w:rPr>
          <w:b/>
          <w:bCs/>
        </w:rPr>
        <w:t xml:space="preserve"> </w:t>
      </w:r>
      <w:r w:rsidR="002D044D">
        <w:rPr>
          <w:b/>
          <w:bCs/>
        </w:rPr>
        <w:t>4</w:t>
      </w:r>
    </w:p>
    <w:p w14:paraId="5A015EBC" w14:textId="3D5F58D2" w:rsidR="002D044D" w:rsidRDefault="0029276A" w:rsidP="00A754EC">
      <w:pPr>
        <w:spacing w:line="360" w:lineRule="auto"/>
        <w:rPr>
          <w:b/>
          <w:bCs/>
        </w:rPr>
      </w:pPr>
      <w:r>
        <w:rPr>
          <w:b/>
          <w:bCs/>
          <w:noProof/>
        </w:rPr>
        <w:drawing>
          <wp:inline distT="0" distB="0" distL="0" distR="0" wp14:anchorId="0DDF49E8" wp14:editId="77DC05D2">
            <wp:extent cx="5943600" cy="2641600"/>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0D1DB75B" w14:textId="77777777" w:rsidR="002D044D" w:rsidRDefault="002D044D" w:rsidP="00A754EC">
      <w:pPr>
        <w:spacing w:line="360" w:lineRule="auto"/>
        <w:rPr>
          <w:b/>
          <w:bCs/>
        </w:rPr>
      </w:pPr>
    </w:p>
    <w:p w14:paraId="1075F7F5" w14:textId="5A423FD9" w:rsidR="00A13B09" w:rsidRDefault="00451ED1" w:rsidP="00A754EC">
      <w:pPr>
        <w:spacing w:line="360" w:lineRule="auto"/>
      </w:pPr>
      <w:r>
        <w:rPr>
          <w:b/>
          <w:bCs/>
        </w:rPr>
        <w:t>Figure 4</w:t>
      </w:r>
      <w:r>
        <w:t xml:space="preserve"> </w:t>
      </w:r>
      <w:r w:rsidR="00E256F3" w:rsidRPr="001B10F7">
        <w:t>Effects</w:t>
      </w:r>
      <w:r w:rsidR="00E256F3">
        <w:t xml:space="preserve"> of soil nitrogen fertilization and inoculation on </w:t>
      </w:r>
      <w:r w:rsidR="00E256F3">
        <w:rPr>
          <w:i/>
          <w:iCs/>
        </w:rPr>
        <w:t>G. max</w:t>
      </w:r>
      <w:r w:rsidR="00E256F3">
        <w:t xml:space="preserve"> structural carbon costs to acquire nitrogen (</w:t>
      </w:r>
      <w:r w:rsidR="00F073BB">
        <w:t>“</w:t>
      </w:r>
      <w:proofErr w:type="spellStart"/>
      <w:r w:rsidR="00F073BB">
        <w:rPr>
          <w:i/>
          <w:iCs/>
        </w:rPr>
        <w:t>N</w:t>
      </w:r>
      <w:r w:rsidR="00F073BB">
        <w:rPr>
          <w:vertAlign w:val="subscript"/>
        </w:rPr>
        <w:t>cost</w:t>
      </w:r>
      <w:proofErr w:type="spellEnd"/>
      <w:r w:rsidR="00F073BB">
        <w:t xml:space="preserve">”; </w:t>
      </w:r>
      <w:r w:rsidR="00E256F3">
        <w:t>panel A), belowground carbon biomass (</w:t>
      </w:r>
      <w:r w:rsidR="00F073BB">
        <w:t>“</w:t>
      </w:r>
      <w:proofErr w:type="spellStart"/>
      <w:r w:rsidR="00F073BB">
        <w:rPr>
          <w:i/>
          <w:iCs/>
        </w:rPr>
        <w:t>C</w:t>
      </w:r>
      <w:r w:rsidR="00F073BB">
        <w:rPr>
          <w:vertAlign w:val="subscript"/>
        </w:rPr>
        <w:t>bg</w:t>
      </w:r>
      <w:proofErr w:type="spellEnd"/>
      <w:r w:rsidR="00F073BB">
        <w:t xml:space="preserve">”; </w:t>
      </w:r>
      <w:r w:rsidR="00E256F3">
        <w:t>panel B), and whole plant nitrogen biomass (</w:t>
      </w:r>
      <w:r w:rsidR="00F073BB">
        <w:t>“</w:t>
      </w:r>
      <w:proofErr w:type="spellStart"/>
      <w:r w:rsidR="00F073BB">
        <w:rPr>
          <w:i/>
          <w:iCs/>
        </w:rPr>
        <w:t>N</w:t>
      </w:r>
      <w:r w:rsidR="00F073BB">
        <w:rPr>
          <w:vertAlign w:val="subscript"/>
        </w:rPr>
        <w:t>wp</w:t>
      </w:r>
      <w:proofErr w:type="spellEnd"/>
      <w:r w:rsidR="00F073BB">
        <w:t xml:space="preserve">”; </w:t>
      </w:r>
      <w:r w:rsidR="00E256F3">
        <w:t>panel C). Soil nitrogen fertilization is represented categorically on the x-axis, while inoculation</w:t>
      </w:r>
      <w:r w:rsidR="00A433B8">
        <w:t xml:space="preserve"> treatment </w:t>
      </w:r>
      <w:r w:rsidR="00E256F3">
        <w:t>is represented by colored boxplots. Yellow shaded boxplots indicate individuals that were not inoculated</w:t>
      </w:r>
      <w:r w:rsidR="00E256F3" w:rsidRPr="00490BC5">
        <w:t xml:space="preserve"> </w:t>
      </w:r>
      <w:r w:rsidR="00E256F3">
        <w:t xml:space="preserve">with </w:t>
      </w:r>
      <w:r w:rsidR="00E256F3">
        <w:rPr>
          <w:i/>
          <w:iCs/>
        </w:rPr>
        <w:t>B. japonicum</w:t>
      </w:r>
      <w:r w:rsidR="00E256F3">
        <w:t xml:space="preserve">, while red shaded boxplots indicate individuals that were inoculated with </w:t>
      </w:r>
      <w:r w:rsidR="00E256F3">
        <w:rPr>
          <w:i/>
          <w:iCs/>
        </w:rPr>
        <w:t>B. japonicum</w:t>
      </w:r>
      <w:r w:rsidR="00E256F3">
        <w:t xml:space="preserve">. </w:t>
      </w:r>
      <w:r w:rsidR="0079226D"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w:t>
      </w:r>
      <w:r w:rsidR="00602B12">
        <w:rPr>
          <w:rFonts w:eastAsia="Times New Roman" w:cs="Times New Roman"/>
          <w:color w:val="000000" w:themeColor="text1"/>
        </w:rPr>
        <w:t>p</w:t>
      </w:r>
      <w:r w:rsidR="0079226D" w:rsidRPr="6E1ABADC">
        <w:rPr>
          <w:rFonts w:eastAsia="Times New Roman" w:cs="Times New Roman"/>
          <w:color w:val="000000" w:themeColor="text1"/>
        </w:rPr>
        <w:t>&lt;0.05).</w:t>
      </w:r>
    </w:p>
    <w:p w14:paraId="6FA64AC5" w14:textId="144E072D" w:rsidR="00772287" w:rsidRPr="00E256F3" w:rsidRDefault="00772287" w:rsidP="00A85036">
      <w:pPr>
        <w:spacing w:line="480" w:lineRule="auto"/>
      </w:pPr>
      <w:r>
        <w:rPr>
          <w:b/>
          <w:bCs/>
        </w:rPr>
        <w:br w:type="page"/>
      </w:r>
    </w:p>
    <w:p w14:paraId="435C94EC" w14:textId="0B366480" w:rsidR="00322974" w:rsidRPr="00322974" w:rsidRDefault="00322974" w:rsidP="00A754EC">
      <w:pPr>
        <w:spacing w:line="360" w:lineRule="auto"/>
        <w:rPr>
          <w:i/>
          <w:iCs/>
        </w:rPr>
      </w:pPr>
      <w:r w:rsidRPr="00322974">
        <w:rPr>
          <w:i/>
          <w:iCs/>
        </w:rPr>
        <w:lastRenderedPageBreak/>
        <w:t>Whole plant processes</w:t>
      </w:r>
    </w:p>
    <w:p w14:paraId="72440B67" w14:textId="597941C4" w:rsidR="0091473E" w:rsidRDefault="00322974" w:rsidP="00A754EC">
      <w:pPr>
        <w:spacing w:line="360" w:lineRule="auto"/>
        <w:ind w:firstLine="720"/>
      </w:pPr>
      <w:r>
        <w:t>Total leaf area was driven by a strong interaction between nitrogen fertilization and inoculation (Table 5; Fig. 5A). This interaction indicated that inoculated individuals grown under low nitrogen fertilization (</w:t>
      </w:r>
      <w:r w:rsidR="0091473E">
        <w:t xml:space="preserve">829.2 </w:t>
      </w:r>
      <w:r w:rsidRPr="008E75B9">
        <w:sym w:font="Symbol" w:char="F0B1"/>
      </w:r>
      <w:r w:rsidR="0091473E">
        <w:t xml:space="preserve"> 30.5 </w:t>
      </w:r>
      <w:r>
        <w:t>cm</w:t>
      </w:r>
      <w:r>
        <w:rPr>
          <w:vertAlign w:val="superscript"/>
        </w:rPr>
        <w:t>2</w:t>
      </w:r>
      <w:r>
        <w:t xml:space="preserve">) had </w:t>
      </w:r>
      <w:r w:rsidR="0091473E">
        <w:t>59.7</w:t>
      </w:r>
      <w:r>
        <w:t>% higher total leaf area than non-inoculated individuals also grown under low nitrogen fertilization (</w:t>
      </w:r>
      <w:r w:rsidR="0091473E">
        <w:t xml:space="preserve">519.2 </w:t>
      </w:r>
      <w:r w:rsidRPr="008E75B9">
        <w:sym w:font="Symbol" w:char="F0B1"/>
      </w:r>
      <w:r w:rsidR="0091473E">
        <w:t xml:space="preserve"> 30.5</w:t>
      </w:r>
      <w:r>
        <w:t xml:space="preserve"> cm</w:t>
      </w:r>
      <w:r>
        <w:rPr>
          <w:vertAlign w:val="superscript"/>
        </w:rPr>
        <w:t>2</w:t>
      </w:r>
      <w:r>
        <w:t>; Tukey: p&lt;</w:t>
      </w:r>
      <w:r w:rsidR="0091473E">
        <w:t>0.001</w:t>
      </w:r>
      <w:r>
        <w:t>), with no difference between inoculation treatments under high nitrogen fertilization (Tukey: p=</w:t>
      </w:r>
      <w:r w:rsidR="0091473E">
        <w:t>0.631</w:t>
      </w:r>
      <w:r>
        <w:t>). Nitrogen fertilization also increased total leaf area, where individuals grown under high nitrogen fertilization (</w:t>
      </w:r>
      <w:r w:rsidR="0091473E">
        <w:t xml:space="preserve">1196.3 </w:t>
      </w:r>
      <w:r w:rsidRPr="008E75B9">
        <w:sym w:font="Symbol" w:char="F0B1"/>
      </w:r>
      <w:r w:rsidR="0091473E">
        <w:t xml:space="preserve"> 21.6</w:t>
      </w:r>
      <w:r>
        <w:t xml:space="preserve"> cm</w:t>
      </w:r>
      <w:r>
        <w:rPr>
          <w:vertAlign w:val="superscript"/>
        </w:rPr>
        <w:t>2</w:t>
      </w:r>
      <w:r>
        <w:t xml:space="preserve">) had </w:t>
      </w:r>
      <w:r w:rsidR="0091473E">
        <w:t>77.4</w:t>
      </w:r>
      <w:r>
        <w:t xml:space="preserve">% </w:t>
      </w:r>
      <w:r w:rsidR="0091473E">
        <w:t xml:space="preserve">higher </w:t>
      </w:r>
      <w:r>
        <w:t>total leaf area than those grown under low nitrogen fertilization (</w:t>
      </w:r>
      <w:r w:rsidR="0091473E">
        <w:t>674.2</w:t>
      </w:r>
      <w:r>
        <w:t xml:space="preserve"> </w:t>
      </w:r>
      <w:r w:rsidRPr="008E75B9">
        <w:sym w:font="Symbol" w:char="F0B1"/>
      </w:r>
      <w:r>
        <w:t xml:space="preserve"> </w:t>
      </w:r>
      <w:r w:rsidR="0091473E">
        <w:t xml:space="preserve">21.6 </w:t>
      </w:r>
      <w:r>
        <w:t>cm</w:t>
      </w:r>
      <w:r>
        <w:rPr>
          <w:vertAlign w:val="superscript"/>
        </w:rPr>
        <w:t>2</w:t>
      </w:r>
      <w:r>
        <w:t>; Tukey: p&lt;0.001).</w:t>
      </w:r>
      <w:r w:rsidR="0091473E">
        <w:t xml:space="preserve"> Inoculation also increased total leaf area, where inoculated individuals (1025.7 </w:t>
      </w:r>
      <w:r w:rsidR="0091473E" w:rsidRPr="008E75B9">
        <w:sym w:font="Symbol" w:char="F0B1"/>
      </w:r>
      <w:r w:rsidR="0091473E">
        <w:t xml:space="preserve"> 21.6</w:t>
      </w:r>
      <w:r w:rsidR="0091473E" w:rsidRPr="0091473E">
        <w:t xml:space="preserve"> </w:t>
      </w:r>
      <w:r w:rsidR="0091473E">
        <w:t>cm</w:t>
      </w:r>
      <w:r w:rsidR="0091473E">
        <w:rPr>
          <w:vertAlign w:val="superscript"/>
        </w:rPr>
        <w:t>2</w:t>
      </w:r>
      <w:r w:rsidR="0091473E">
        <w:t xml:space="preserve">) had </w:t>
      </w:r>
      <w:r w:rsidR="00AC38E7">
        <w:t xml:space="preserve">21.4 higher total leaf area </w:t>
      </w:r>
      <w:r w:rsidR="0091473E">
        <w:t xml:space="preserve">than non-inoculated individuals (844.8 </w:t>
      </w:r>
      <w:r w:rsidR="0091473E" w:rsidRPr="008E75B9">
        <w:sym w:font="Symbol" w:char="F0B1"/>
      </w:r>
      <w:r w:rsidR="0091473E">
        <w:t xml:space="preserve"> 21.6 g C g</w:t>
      </w:r>
      <w:r w:rsidR="0091473E">
        <w:rPr>
          <w:vertAlign w:val="superscript"/>
        </w:rPr>
        <w:t>-1</w:t>
      </w:r>
      <w:r w:rsidR="0091473E">
        <w:t xml:space="preserve"> N; Tukey: p&lt;0.001).</w:t>
      </w:r>
    </w:p>
    <w:p w14:paraId="78971E0F" w14:textId="22DB1501" w:rsidR="00322974" w:rsidRDefault="00AC38E7" w:rsidP="00A754EC">
      <w:pPr>
        <w:spacing w:line="360" w:lineRule="auto"/>
        <w:ind w:firstLine="720"/>
      </w:pPr>
      <w:r>
        <w:t xml:space="preserve">Whole plant biomass was driven by nitrogen fertilization (Table 5; Fig. 5B), where individuals grown under high nitrogen fertilization (5.24 </w:t>
      </w:r>
      <w:r w:rsidRPr="008E75B9">
        <w:sym w:font="Symbol" w:char="F0B1"/>
      </w:r>
      <w:r>
        <w:t xml:space="preserve"> 0.23 g) had 55.5% higher whole plant biomass than those grown under low nitrogen fertilization (3.37 </w:t>
      </w:r>
      <w:r w:rsidRPr="008E75B9">
        <w:sym w:font="Symbol" w:char="F0B1"/>
      </w:r>
      <w:r>
        <w:t xml:space="preserve"> 0.14 g; Tukey: p&lt;0.001). There was no observable inoculation effect nor was there any interaction between inoculation and nitrogen fertilization</w:t>
      </w:r>
      <w:r w:rsidR="00322974">
        <w:t xml:space="preserve"> (Table 5; Fig. 5B).</w:t>
      </w:r>
    </w:p>
    <w:p w14:paraId="346A2048" w14:textId="77777777" w:rsidR="00322974" w:rsidRDefault="00322974">
      <w:pPr>
        <w:rPr>
          <w:b/>
          <w:bCs/>
        </w:rPr>
      </w:pPr>
      <w:r>
        <w:rPr>
          <w:b/>
          <w:bCs/>
        </w:rPr>
        <w:br w:type="page"/>
      </w:r>
    </w:p>
    <w:p w14:paraId="697BF5A7" w14:textId="4BA5D85C" w:rsidR="00772287" w:rsidRDefault="00772287" w:rsidP="00A754EC">
      <w:pPr>
        <w:spacing w:line="360" w:lineRule="auto"/>
        <w:rPr>
          <w:b/>
          <w:bCs/>
        </w:rPr>
      </w:pPr>
      <w:r>
        <w:rPr>
          <w:b/>
          <w:bCs/>
        </w:rPr>
        <w:lastRenderedPageBreak/>
        <w:t>Figure 5</w:t>
      </w:r>
    </w:p>
    <w:p w14:paraId="3B288970" w14:textId="6B89E95F" w:rsidR="00772287" w:rsidRDefault="0029276A" w:rsidP="00A754EC">
      <w:pPr>
        <w:spacing w:line="360" w:lineRule="auto"/>
        <w:rPr>
          <w:b/>
          <w:bCs/>
        </w:rPr>
      </w:pPr>
      <w:r>
        <w:rPr>
          <w:b/>
          <w:bCs/>
          <w:noProof/>
        </w:rPr>
        <w:drawing>
          <wp:inline distT="0" distB="0" distL="0" distR="0" wp14:anchorId="24CACC23" wp14:editId="4ACC8261">
            <wp:extent cx="5943600" cy="1981200"/>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2751FEE0" w14:textId="0118432A" w:rsidR="00E2103C" w:rsidRDefault="005F0602" w:rsidP="00A754EC">
      <w:pPr>
        <w:spacing w:line="360" w:lineRule="auto"/>
        <w:rPr>
          <w:b/>
          <w:bCs/>
        </w:rPr>
      </w:pPr>
      <w:r>
        <w:rPr>
          <w:b/>
          <w:bCs/>
        </w:rPr>
        <w:t>Figure 5</w:t>
      </w:r>
      <w:r>
        <w:t xml:space="preserve"> </w:t>
      </w:r>
      <w:r w:rsidRPr="001B10F7">
        <w:t>Effects</w:t>
      </w:r>
      <w:r>
        <w:t xml:space="preserve"> of soil nitrogen fertilization and inoculation on </w:t>
      </w:r>
      <w:r>
        <w:rPr>
          <w:i/>
          <w:iCs/>
        </w:rPr>
        <w:t>G. max</w:t>
      </w:r>
      <w:r>
        <w:t xml:space="preserve"> total leaf area (panel A) and whole plant biomass</w:t>
      </w:r>
      <w:r>
        <w:rPr>
          <w:color w:val="000000"/>
        </w:rPr>
        <w:t xml:space="preserve"> (panel B)</w:t>
      </w:r>
      <w:r>
        <w:t xml:space="preserve">. Soil nitrogen fertilization is represented categorically on the x-axis, while inoculation </w:t>
      </w:r>
      <w:r w:rsidR="00A433B8">
        <w:t>treatment</w:t>
      </w:r>
      <w:r>
        <w:t xml:space="preserve">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xml:space="preserve">. </w:t>
      </w:r>
      <w:r w:rsidR="0079226D"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w:t>
      </w:r>
      <w:r w:rsidR="00602B12">
        <w:rPr>
          <w:rFonts w:eastAsia="Times New Roman" w:cs="Times New Roman"/>
          <w:color w:val="000000" w:themeColor="text1"/>
        </w:rPr>
        <w:t>p</w:t>
      </w:r>
      <w:r w:rsidR="0079226D" w:rsidRPr="6E1ABADC">
        <w:rPr>
          <w:rFonts w:eastAsia="Times New Roman" w:cs="Times New Roman"/>
          <w:color w:val="000000" w:themeColor="text1"/>
        </w:rPr>
        <w:t>&lt;0.05).</w:t>
      </w:r>
    </w:p>
    <w:p w14:paraId="771589EE" w14:textId="77777777" w:rsidR="00E2103C" w:rsidRDefault="00E2103C" w:rsidP="00A85036">
      <w:pPr>
        <w:spacing w:line="480" w:lineRule="auto"/>
        <w:rPr>
          <w:b/>
          <w:bCs/>
        </w:rPr>
      </w:pPr>
      <w:r>
        <w:rPr>
          <w:b/>
          <w:bCs/>
        </w:rPr>
        <w:br w:type="page"/>
      </w:r>
    </w:p>
    <w:p w14:paraId="77227CF5" w14:textId="73FA603D" w:rsidR="00E2103C" w:rsidRDefault="00E2103C" w:rsidP="00A754EC">
      <w:pPr>
        <w:spacing w:line="360" w:lineRule="auto"/>
      </w:pPr>
      <w:r>
        <w:rPr>
          <w:i/>
          <w:iCs/>
        </w:rPr>
        <w:lastRenderedPageBreak/>
        <w:t>Plant</w:t>
      </w:r>
      <w:r w:rsidRPr="00E2103C">
        <w:rPr>
          <w:i/>
          <w:iCs/>
        </w:rPr>
        <w:t xml:space="preserve"> investment </w:t>
      </w:r>
      <w:r>
        <w:rPr>
          <w:i/>
          <w:iCs/>
        </w:rPr>
        <w:t>in</w:t>
      </w:r>
      <w:r w:rsidRPr="00E2103C">
        <w:rPr>
          <w:i/>
          <w:iCs/>
        </w:rPr>
        <w:t xml:space="preserve"> nitrogen fixation</w:t>
      </w:r>
    </w:p>
    <w:p w14:paraId="3599353B" w14:textId="5DD918AC" w:rsidR="00AC38E7" w:rsidRDefault="00AC38E7" w:rsidP="00A754EC">
      <w:pPr>
        <w:spacing w:line="360" w:lineRule="auto"/>
      </w:pPr>
      <w:r>
        <w:tab/>
      </w:r>
      <w:r w:rsidR="00D04ECF">
        <w:t xml:space="preserve">Root nodule biomass: root biomass and root nodule biomass were driven by a positive inoculation effect (Table 5; Figs. 6A-B). Specifically, inoculated individuals (root nodule biomass: root biomass: 0.144 </w:t>
      </w:r>
      <w:r w:rsidR="00D04ECF" w:rsidRPr="008E75B9">
        <w:sym w:font="Symbol" w:char="F0B1"/>
      </w:r>
      <w:r w:rsidR="00D04ECF">
        <w:t xml:space="preserve"> 0.023 g; root nodule biomass:</w:t>
      </w:r>
      <w:r w:rsidR="00D04ECF" w:rsidRPr="00D04ECF">
        <w:t xml:space="preserve"> </w:t>
      </w:r>
      <w:r w:rsidR="00CE366A">
        <w:t xml:space="preserve">0.0148 </w:t>
      </w:r>
      <w:r w:rsidR="00D04ECF" w:rsidRPr="008E75B9">
        <w:sym w:font="Symbol" w:char="F0B1"/>
      </w:r>
      <w:r w:rsidR="00CE366A">
        <w:t xml:space="preserve"> 0.0043</w:t>
      </w:r>
      <w:r w:rsidR="00D04ECF">
        <w:t xml:space="preserve"> g) had </w:t>
      </w:r>
      <w:r w:rsidR="00CE366A">
        <w:t>323.5</w:t>
      </w:r>
      <w:r w:rsidR="00D04ECF">
        <w:t xml:space="preserve">% and </w:t>
      </w:r>
      <w:r w:rsidR="00CE366A">
        <w:t>2366.7</w:t>
      </w:r>
      <w:r w:rsidR="00D04ECF">
        <w:t xml:space="preserve">% greater root nodule biomass: root biomass and root nodule biomass than non-inoculated individuals (root nodule biomass: root biomass: 0.034 </w:t>
      </w:r>
      <w:r w:rsidR="00D04ECF" w:rsidRPr="008E75B9">
        <w:sym w:font="Symbol" w:char="F0B1"/>
      </w:r>
      <w:r w:rsidR="00D04ECF">
        <w:t xml:space="preserve"> 0.023 g; root nodule biomass: </w:t>
      </w:r>
      <w:r w:rsidR="00CE366A">
        <w:t xml:space="preserve">0.0006 </w:t>
      </w:r>
      <w:r w:rsidR="00CE366A" w:rsidRPr="008E75B9">
        <w:sym w:font="Symbol" w:char="F0B1"/>
      </w:r>
      <w:r w:rsidR="00CE366A">
        <w:t xml:space="preserve"> 0.0009 </w:t>
      </w:r>
      <w:r w:rsidR="00D04ECF">
        <w:t>g), respectively (Tukey: p&lt;0.001</w:t>
      </w:r>
      <w:r w:rsidR="00CE366A">
        <w:t xml:space="preserve"> in both cases).</w:t>
      </w:r>
      <w:r w:rsidR="00D04ECF">
        <w:t xml:space="preserve"> </w:t>
      </w:r>
      <w:r w:rsidR="00CE366A">
        <w:t xml:space="preserve">There was also a marginal negative effect of inoculation on root biomass, which indicated that inoculated individuals (0.671 </w:t>
      </w:r>
      <w:r w:rsidR="00CE366A" w:rsidRPr="008E75B9">
        <w:sym w:font="Symbol" w:char="F0B1"/>
      </w:r>
      <w:r w:rsidR="00CE366A">
        <w:t xml:space="preserve"> 0.084 g) had 26.9% lower root biomass than non-inoculated individuals (0.918</w:t>
      </w:r>
      <w:r w:rsidR="00CE366A" w:rsidRPr="008E75B9">
        <w:sym w:font="Symbol" w:char="F0B1"/>
      </w:r>
      <w:r w:rsidR="00CE366A">
        <w:t xml:space="preserve">0.114 g; Tukey: p=0.081). </w:t>
      </w:r>
      <w:r w:rsidR="00D04ECF">
        <w:t>There was no observable effect of nitrogen fertilization or interaction between nitrogen fertilization and inoculation on root nodule biomass: root biomass</w:t>
      </w:r>
      <w:r w:rsidR="00CE366A">
        <w:t>,</w:t>
      </w:r>
      <w:r w:rsidR="00D04ECF">
        <w:t xml:space="preserve"> root nodule biomass</w:t>
      </w:r>
      <w:r w:rsidR="00CE366A">
        <w:t>, or root biomass</w:t>
      </w:r>
      <w:r w:rsidR="00D04ECF">
        <w:t xml:space="preserve"> (Table 5).</w:t>
      </w:r>
    </w:p>
    <w:p w14:paraId="72D631D3" w14:textId="77777777" w:rsidR="001B21C7" w:rsidRDefault="001B21C7" w:rsidP="00A754EC">
      <w:pPr>
        <w:spacing w:line="360" w:lineRule="auto"/>
      </w:pPr>
      <w:r>
        <w:br w:type="page"/>
      </w:r>
    </w:p>
    <w:p w14:paraId="072E7CFC" w14:textId="6E5E3711" w:rsidR="008D34FA" w:rsidRDefault="001B21C7" w:rsidP="00A754EC">
      <w:pPr>
        <w:spacing w:line="360" w:lineRule="auto"/>
        <w:rPr>
          <w:b/>
          <w:bCs/>
        </w:rPr>
      </w:pPr>
      <w:r w:rsidRPr="001B21C7">
        <w:rPr>
          <w:b/>
          <w:bCs/>
        </w:rPr>
        <w:lastRenderedPageBreak/>
        <w:t>Figure 6</w:t>
      </w:r>
    </w:p>
    <w:p w14:paraId="2F736942" w14:textId="52941622" w:rsidR="001B21C7" w:rsidRDefault="0029276A" w:rsidP="00A754EC">
      <w:pPr>
        <w:spacing w:line="360" w:lineRule="auto"/>
        <w:rPr>
          <w:b/>
          <w:bCs/>
        </w:rPr>
      </w:pPr>
      <w:r>
        <w:rPr>
          <w:b/>
          <w:bCs/>
          <w:noProof/>
        </w:rPr>
        <w:drawing>
          <wp:inline distT="0" distB="0" distL="0" distR="0" wp14:anchorId="1621EB19" wp14:editId="4FE8A8C2">
            <wp:extent cx="5943600" cy="2641600"/>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63516AF9" w14:textId="77777777" w:rsidR="001B21C7" w:rsidRDefault="001B21C7" w:rsidP="00A754EC">
      <w:pPr>
        <w:spacing w:line="360" w:lineRule="auto"/>
        <w:rPr>
          <w:b/>
          <w:bCs/>
        </w:rPr>
      </w:pPr>
    </w:p>
    <w:p w14:paraId="1DB54CCA" w14:textId="63DC048A" w:rsidR="001B21C7" w:rsidRPr="00FF7DD5" w:rsidRDefault="001B21C7" w:rsidP="00A754EC">
      <w:pPr>
        <w:spacing w:line="360" w:lineRule="auto"/>
      </w:pPr>
      <w:r>
        <w:rPr>
          <w:b/>
          <w:bCs/>
        </w:rPr>
        <w:t xml:space="preserve">Figure 6 </w:t>
      </w:r>
      <w:r w:rsidRPr="001B10F7">
        <w:t>Effects</w:t>
      </w:r>
      <w:r>
        <w:t xml:space="preserve"> of soil nitrogen fertilization and inoculation on the root nodule biomass: root biomass ratio (panel A), root nodule biomass (panel B), and root biomass (panel C). Soil nitrogen fertilization is represented categorically on the x-axis, while inoculation </w:t>
      </w:r>
      <w:r w:rsidR="00A433B8">
        <w:t>treatment</w:t>
      </w:r>
      <w:r>
        <w:t xml:space="preserve">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xml:space="preserve">. </w:t>
      </w:r>
      <w:r w:rsidR="0079226D"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(P&lt;0.05).</w:t>
      </w:r>
    </w:p>
    <w:p w14:paraId="6484937F" w14:textId="39F495C5" w:rsidR="00E2103C" w:rsidRDefault="00E2103C" w:rsidP="00A85036">
      <w:pPr>
        <w:spacing w:line="480" w:lineRule="auto"/>
        <w:rPr>
          <w:b/>
          <w:bCs/>
        </w:rPr>
      </w:pPr>
      <w:r>
        <w:rPr>
          <w:b/>
          <w:bCs/>
        </w:rPr>
        <w:br w:type="page"/>
      </w:r>
    </w:p>
    <w:p w14:paraId="17A662CB" w14:textId="3B9F2CC0" w:rsidR="00772287" w:rsidRDefault="00E2103C" w:rsidP="00A754EC">
      <w:pPr>
        <w:spacing w:line="360" w:lineRule="auto"/>
        <w:rPr>
          <w:b/>
          <w:bCs/>
        </w:rPr>
      </w:pPr>
      <w:r>
        <w:rPr>
          <w:b/>
          <w:bCs/>
        </w:rPr>
        <w:lastRenderedPageBreak/>
        <w:t>D</w:t>
      </w:r>
      <w:r w:rsidR="00754725">
        <w:rPr>
          <w:b/>
          <w:bCs/>
        </w:rPr>
        <w:t>iscussion</w:t>
      </w:r>
    </w:p>
    <w:p w14:paraId="72658BC1" w14:textId="48B8CE19" w:rsidR="004035F7" w:rsidRDefault="004035F7" w:rsidP="00A754EC">
      <w:pPr>
        <w:spacing w:line="360" w:lineRule="auto"/>
        <w:ind w:firstLine="720"/>
      </w:pPr>
      <w:r>
        <w:t xml:space="preserve">Photosynthetic least-cost theory suggests that plants acclimate to growing conditions by </w:t>
      </w:r>
      <w:r w:rsidR="00DA006B">
        <w:t>maximizing photosynthetic carbon gain at the lowest summed c</w:t>
      </w:r>
      <w:r>
        <w:t xml:space="preserve">osts of nitrogen and water use </w:t>
      </w:r>
      <w:r>
        <w:fldChar w:fldCharType="begin" w:fldLock="1"/>
      </w:r>
      <w:r>
        <w:instrText>ADDIN CSL_CITATION {"citationItems":[{"id":"ITEM-1","itemData":{"DOI":"0003-0147/2003/16101-010387","author":[{"dropping-particle":"","family":"Wright","given":"Ian J","non-dropping-particle":"","parse-names":false,"suffix":""},{"dropping-particle":"","family":"Reich","given":"Peter B","non-dropping-particle":"","parse-names":false,"suffix":""},{"dropping-particle":"","family":"Westoby","given":"Mark","non-dropping-particle":"","parse-names":false,"suffix":""}],"container-title":"The American Naturalist","id":"ITEM-1","issue":"1","issued":{"date-parts":[["2003"]]},"page":"98-111","title":"Least-cost input mixtures of water and nitrogen for photosynthesis","type":"article-journal","volume":"161"},"uris":["http://www.mendeley.com/documents/?uuid=e792122e-1fd1-4c1a-9d09-7bd7a13fee68"]},{"id":"ITEM-2","itemData":{"DOI":"10.1111/ele.12211","ISSN":"1461023X","abstract":"A novel framework is presented for the analysis of ecophysiological field measurements and modelling. The hypothesis ‘leaves minimise the summed unit costs of transpiration and carboxylation’ predicts leaf-internal/ambient CO 2 ratios (c i/c a) and slopes of maximum carboxylation rate (Vcmax ) or leaf nitrogen (Narea ) vs. stomatal conductance. Analysis of data on woody species from contrasting climates (cold-hot, dry-wet) yielded steeper slopes and lower mean c i /c a ratios at the dry or cold sites than at the wet or hot sites. High atmospheric vapour pressure deficit implies low c i / c a in dry climates. High water viscosity (more costly transport) and low photorespiration (less costly photosynthesis) imply low c i /ca in cold climates. Observed site-mean c i /c a shifts are pre- dicted quantitatively for temperature contrasts (by photorespiration plus viscosity effects) and approximately for aridity contrasts. The theory explains the dependency of c i /ca ratios on temper- ature and vapour pressure deficit, and observed relationships of leaf d13 C and Narea to aridity","author":[{"dropping-particle":"","family":"Prentice","given":"I Colin","non-dropping-particle":"","parse-names":false,"suffix":""},{"dropping-particle":"","family":"Dong","given":"Ning","non-dropping-particle":"","parse-names":false,"suffix":""},{"dropping-particle":"","family":"Gleason","given":"Sean M","non-dropping-particle":"","parse-names":false,"suffix":""},{"dropping-particle":"","family":"Maire","given":"Vincent","non-dropping-particle":"","parse-names":false,"suffix":""},{"dropping-particle":"","family":"Wright","given":"Ian J","non-dropping-particle":"","parse-names":false,"suffix":""}],"container-title":"Ecology Letters","id":"ITEM-2","issue":"1","issued":{"date-parts":[["2014","1"]]},"page":"82-91","title":"Balancing the costs of carbon gain and water transport: testing a new theoretical framework for plant functional ecology","type":"article-journal","volume":"17"},"uris":["http://www.mendeley.com/documents/?uuid=e847e008-126f-46c3-a215-d3160662c7ab"]}],"mendeley":{"formattedCitation":"(Prentice et al., 2014; Wright et al., 2003)","plainTextFormattedCitation":"(Prentice et al., 2014; Wright et al., 2003)","previouslyFormattedCitation":"(Prentice et al., 2014; Wright et al., 2003)"},"properties":{"noteIndex":0},"schema":"https://github.com/citation-style-language/schema/raw/master/csl-citation.json"}</w:instrText>
      </w:r>
      <w:r>
        <w:fldChar w:fldCharType="separate"/>
      </w:r>
      <w:r w:rsidRPr="00A85036">
        <w:rPr>
          <w:noProof/>
        </w:rPr>
        <w:t>(Prentice et al., 2014; Wright et al., 2003)</w:t>
      </w:r>
      <w:r>
        <w:fldChar w:fldCharType="end"/>
      </w:r>
      <w:r>
        <w:t xml:space="preserve">. All else equal, the theory predicts that an increase in soil nitrogen availability should increase in water use efficiency and decrease in nitrogen use efficiency through an increase in leaf nitrogen allocation per stomatal conductance </w:t>
      </w:r>
      <w:r>
        <w:fldChar w:fldCharType="begin" w:fldLock="1"/>
      </w:r>
      <w:r>
        <w:instrText>ADDIN CSL_CITATION {"citationItems":[{"id":"ITEM-1","itemData":{"DOI":"10.1111/nph.16702","ISSN":"0028-646X","abstract":"\u000f Photosynthetic ‘least-cost’ theory posits that the optimal trait combination for a given envi- ronment is that where the summed costs of photosynthetic water and nutrient acquisition/ use are minimised. The effects of soil water and nutrient availability on photosynthesis should be stronger as climate-related costs for both resources increase. \u000f Two independent datasets of photosynthetic traits, Globamax (1509 species, 288 sites) and Glob13C (3645 species, 594 sites), were used to quantify biophysical and biochemical limita- tions of photosynthesis and the key variable Ci /Ca (CO 2 drawdown during photosynthesis). Climate and soil variables were associated with both datasets. \u000f The biochemical photosynthetic capacity was higher on alkaline soils. This effect was strongest at more arid sites, where water unit-costs are presumably higher. Higher values of soil silt and depth increased Ci /Ca, likely by providing greater H 2O supply, alleviating biophys- ical photosynthetic limitation when soil water is scarce. \u000f Climate is important in controlling the optimal balance of H 2 O and N costs for photosynthe- sis, but soil properties change these costs, both directly and indirectly. In total, soil properties modify the climate-demand driven predictions of Ci /Ca by up to 30% at a global scale.","author":[{"dropping-particle":"","family":"Paillassa","given":"Jennifer","non-dropping-particle":"","parse-names":false,"suffix":""},{"dropping-particle":"","family":"Wright","given":"Ian J","non-dropping-particle":"","parse-names":false,"suffix":""},{"dropping-particle":"","family":"Prentice","given":"I Colin","non-dropping-particle":"","parse-names":false,"suffix":""},{"dropping-particle":"","family":"Pepin","given":"Steeve","non-dropping-particle":"","parse-names":false,"suffix":""},{"dropping-particle":"","family":"Smith","given":"Nicholas G","non-dropping-particle":"","parse-names":false,"suffix":""},{"dropping-particle":"","family":"Ethier","given":"Gilbert","non-dropping-particle":"","parse-names":false,"suffix":""},{"dropping-particle":"","family":"Westerband","given":"Andrea C","non-dropping-particle":"","parse-names":false,"suffix":""},{"dropping-particle":"","family":"Lamarque","given":"Laurent J","non-dropping-particle":"","parse-names":false,"suffix":""},{"dropping-particle":"","family":"Wang","given":"Han","non-dropping-particle":"","parse-names":false,"suffix":""},{"dropping-particle":"","family":"Cornwell","given":"William K","non-dropping-particle":"","parse-names":false,"suffix":""},{"dropping-particle":"","family":"Maire","given":"Vincent","non-dropping-particle":"","parse-names":false,"suffix":""}],"container-title":"New Phytologist","id":"ITEM-1","issue":"1","issued":{"date-parts":[["2020","10","9"]]},"page":"121-135","title":"When and where soil is important to modify the carbon and water economy of leaves","type":"article-journal","volume":"228"},"uris":["http://www.mendeley.com/documents/?uuid=7a979be5-4341-4431-bd38-7ceeeada2df2"]}],"mendeley":{"formattedCitation":"(Paillassa et al., 2020)","plainTextFormattedCitation":"(Paillassa et al., 2020)","previouslyFormattedCitation":"(Paillassa et al., 2020)"},"properties":{"noteIndex":0},"schema":"https://github.com/citation-style-language/schema/raw/master/csl-citation.json"}</w:instrText>
      </w:r>
      <w:r>
        <w:fldChar w:fldCharType="separate"/>
      </w:r>
      <w:r w:rsidRPr="007E5400">
        <w:rPr>
          <w:noProof/>
        </w:rPr>
        <w:t>(Paillassa et al., 2020)</w:t>
      </w:r>
      <w:r>
        <w:fldChar w:fldCharType="end"/>
      </w:r>
      <w:r>
        <w:t xml:space="preserve">. However, the cost of nutrient use, and therefore the magnitude of nitrogen-water use tradeoffs, might vary in species different nutrient acquisition strategies due to differential costs of nutrient acquisition </w:t>
      </w:r>
      <w:r>
        <w:fldChar w:fldCharType="begin" w:fldLock="1"/>
      </w:r>
      <w:r>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strategies","type":"article-journal","volume":"72"},"uris":["http://www.mendeley.com/documents/?uuid=233b0f00-9a30-4c3a-a2bb-5e67ae9c0e5f"]},{"id":"ITEM-2","itemData":{"DOI":"10.1111/nph.14872","ISBN":"7476820487","ISSN":"0028-646X","abstract":"Land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Phytologist","id":"ITEM-2","issue":"2","issued":{"date-parts":[["2018","1","6"]]},"page":"507-522","title":"Ecosystem responses to elevated &lt;scp&gt;CO&lt;/scp&gt; &lt;sub&gt;2&lt;/sub&gt; governed by plant–soil interactions and the cost of nitrogen acquisition","type":"article-journal","volume":"217"},"uris":["http://www.mendeley.com/documents/?uuid=f5a032e4-11bd-468b-88f1-a7a4ce482036"]},{"id":"ITEM-3","itemData":{"DOI":"10.1002/2014JG002660.Received","abstract":"Accurate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sink.","author":[{"dropping-particle":"","family":"Brzostek","given":"Edward R","non-dropping-particle":"","parse-names":false,"suffix":""},{"dropping-particle":"","family":"Fisher","given":"Joshua B","non-dropping-particle":"","parse-names":false,"suffix":""},{"dropping-particle":"","family":"Phillips","given":"Richard P","non-dropping-particle":"","parse-names":false,"suffix":""}],"container-title":"Journal of Geophysical Research: Biogeosciences","id":"ITEM-3","issued":{"date-parts":[["2014"]]},"page":"1684-1697","title":"Modeling the carbon cost of plant nitrogen acquisition: Mycorrhizal trade-offs and multipath resistance uptake improve predictions of retranslocation","type":"article-journal","volume":"119"},"uris":["http://www.mendeley.com/documents/?uuid=d402da8e-476e-48bc-8d9c-7c76f7aa03a4"]}],"mendeley":{"formattedCitation":"(Brzostek et al., 2014; Perkowski et al., 2021; Terrer et al., 2018)","plainTextFormattedCitation":"(Brzostek et al., 2014; Perkowski et al., 2021; Terrer et al., 2018)","previouslyFormattedCitation":"(Brzostek et al., 2014; Perkowski et al., 2021; Terrer et al., 2018)"},"properties":{"noteIndex":0},"schema":"https://github.com/citation-style-language/schema/raw/master/csl-citation.json"}</w:instrText>
      </w:r>
      <w:r>
        <w:fldChar w:fldCharType="separate"/>
      </w:r>
      <w:r w:rsidRPr="00A85036">
        <w:rPr>
          <w:noProof/>
        </w:rPr>
        <w:t>(Brzostek et al., 2014; Perkowski et al., 2021; Terrer et al., 2018)</w:t>
      </w:r>
      <w:r>
        <w:fldChar w:fldCharType="end"/>
      </w:r>
      <w:r>
        <w:t xml:space="preserve"> and may</w:t>
      </w:r>
      <w:r w:rsidR="00CE771F">
        <w:t xml:space="preserve"> also</w:t>
      </w:r>
      <w:r>
        <w:t xml:space="preserve"> depend on whole plant nutrient demand to build and maintain structures that support whole plant growth </w:t>
      </w:r>
      <w:r>
        <w:fldChar w:fldCharType="begin" w:fldLock="1"/>
      </w:r>
      <w:r>
        <w:instrText>ADDIN CSL_CITATION {"citationItems":[{"id":"ITEM-1","itemData":{"DOI":"10.1890/06-2057.1","abstract":"Our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types.","author":[{"dropping-particle":"","family":"LeBauer","given":"David S","non-dropping-particle":"","parse-names":false,"suffix":""},{"dropping-particle":"","family":"Treseder","given":"Kathleen","non-dropping-particle":"","parse-names":false,"suffix":""}],"container-title":"Ecology","id":"ITEM-1","issue":"2","issued":{"date-parts":[["2008"]]},"page":"371-379","title":"Nitrogen limitation of net primary productivity","type":"article-journal","volume":"89"},"uris":["http://www.mendeley.com/documents/?uuid=9a0f3748-3fb9-483a-aeb3-fcaab5fa4acc"]},{"id":"ITEM-2","itemData":{"DOI":"10.1111/gcb.15071","ISSN":"1354-1013","abstract":"A mechanistic understanding of plant photosynthetic response is needed to reliably predict changes in terrestrial carbon (C) gain under conditions of chronically elevated atmospheric nitrogen (N) deposition. Here, using 2,683 observations from 240 jour- nal articles, we conducted a global meta-analysis to reveal effects of N addition on 14 photosynthesis-related traits and affecting moderators. We found that across 320 terrestrial plant species, leaf N was enhanced comparably on mass basis (Nmass , +18.4%) and area basis (Narea, +14.3%), with no changes in specific leaf area or leaf mass per area. Total leaf area (TLA) was increased significantly, as indicated by the in- creases in total leaf biomass (+46.5%), leaf area per plant (+29.7%), and leaf area index (LAI, +24.4%). To a lesser extent than for TLA, N addition significantly enhanced leaf photosynthetic rate per area (Aarea, +12.6%), stomatal conductance (gs, +7.5%), and transpiration rate (E, +10.5%). The responses of Aarea were positively related with that of gs, with no changes in instantaneous water-use efficiency and only slight in- creases in long-term water-use efficiency (+2.5%) inferred from 13C composition. The responses of traits depended on biological, experimental, and environmental moder- ators. As experimental duration and N load increased, the responses of LAI and Aarea diminished while that of E increased significantly. The observed patterns of increases in both TLA and E indicate that N deposition will increase the amount of water used by plants. Taken together, N deposition will enhance gross photosynthetic C gain of the terrestrial plants while increasing their water loss to the atmosphere, but the effects on C gain might diminish over time and that on plant water use would be am- plified if N deposition persists","author":[{"dropping-particle":"","family":"Liang","given":"Xingyun","non-dropping-particle":"","parse-names":false,"suffix":""},{"dropping-particle":"","family":"Zhang","given":"Tong","non-dropping-particle":"","parse-names":false,"suffix":""},{"dropping-particle":"","family":"Lu","given":"Xiankai","non-dropping-particle":"","parse-names":false,"suffix":""},{"dropping-particle":"","family":"Ellsworth","given":"David S","non-dropping-particle":"","parse-names":false,"suffix":""},{"dropping-particle":"","family":"BassiriRad","given":"Hormoz","non-dropping-particle":"","parse-names":false,"suffix":""},{"dropping-particle":"","family":"You","given":"Chengming","non-dropping-particle":"","parse-names":false,"suffix":""},{"dropping-particle":"","family":"Wang","given":"Dong","non-dropping-particle":"","parse-names":false,"suffix":""},{"dropping-particle":"","family":"He","given":"Pengcheng","non-dropping-particle":"","parse-names":false,"suffix":""},{"dropping-particle":"","family":"Deng","given":"Qi","non-dropping-particle":"","parse-names":false,"suffix":""},{"dropping-particle":"","family":"Liu","given":"Hui","non-dropping-particle":"","parse-names":false,"suffix":""},{"dropping-particle":"","family":"Mo","given":"Jiangming","non-dropping-particle":"","parse-names":false,"suffix":""},{"dropping-particle":"","family":"Ye","given":"Qing","non-dropping-particle":"","parse-names":false,"suffix":""}],"container-title":"Global Change Biology","id":"ITEM-2","issue":"6","issued":{"date-parts":[["2020","6","8"]]},"page":"3585-3600","title":"Global response patterns of plant photosynthesis to nitrogen addition: A meta‐analysis","type":"article-journal","volume":"26"},"uris":["http://www.mendeley.com/documents/?uuid=c936a49f-196c-406d-ac18-be1d835be620"]}],"mendeley":{"formattedCitation":"(LeBauer &amp; Treseder, 2008; Liang et al., 2020)","plainTextFormattedCitation":"(LeBauer &amp; Treseder, 2008; Liang et al., 2020)","previouslyFormattedCitation":"(LeBauer &amp; Treseder, 2008; Liang et al., 2020)"},"properties":{"noteIndex":0},"schema":"https://github.com/citation-style-language/schema/raw/master/csl-citation.json"}</w:instrText>
      </w:r>
      <w:r>
        <w:fldChar w:fldCharType="separate"/>
      </w:r>
      <w:r w:rsidRPr="007E5400">
        <w:rPr>
          <w:noProof/>
        </w:rPr>
        <w:t>(LeBauer &amp; Treseder, 2008; Liang et al., 2020)</w:t>
      </w:r>
      <w:r>
        <w:fldChar w:fldCharType="end"/>
      </w:r>
      <w:r>
        <w:t xml:space="preserve">. In this experiment, we grew </w:t>
      </w:r>
      <w:r>
        <w:rPr>
          <w:i/>
          <w:iCs/>
        </w:rPr>
        <w:t>G. max</w:t>
      </w:r>
      <w:r>
        <w:t xml:space="preserve"> under two soil nitrogen fertilization treatments and two inoculation treatments levels in a full factorial greenhouse experiment to better understand how acquisition strategy and whole plant nutrient demand might modify expected photosynthetic least-cost patterns.</w:t>
      </w:r>
    </w:p>
    <w:p w14:paraId="4D12C9DD" w14:textId="77777777" w:rsidR="00F4560A" w:rsidRDefault="00F4560A" w:rsidP="00A754EC">
      <w:pPr>
        <w:spacing w:line="360" w:lineRule="auto"/>
        <w:ind w:firstLine="720"/>
      </w:pPr>
    </w:p>
    <w:p w14:paraId="580720B6" w14:textId="51A8363F" w:rsidR="00DA006B" w:rsidRDefault="00DA006B" w:rsidP="00723F29">
      <w:pPr>
        <w:spacing w:line="360" w:lineRule="auto"/>
        <w:ind w:left="720"/>
      </w:pPr>
      <w:r>
        <w:t>[</w:t>
      </w:r>
      <w:r w:rsidRPr="00723F29">
        <w:rPr>
          <w:b/>
          <w:bCs/>
        </w:rPr>
        <w:t>Main point #1</w:t>
      </w:r>
      <w:r>
        <w:t>: stronger whole plant than leaf level responses to soil N</w:t>
      </w:r>
      <w:r w:rsidR="00D35783">
        <w:t>.</w:t>
      </w:r>
      <w:r w:rsidR="00723F29">
        <w:t xml:space="preserve"> </w:t>
      </w:r>
      <w:r w:rsidR="00D35783">
        <w:t>M</w:t>
      </w:r>
      <w:r w:rsidR="00723F29">
        <w:t xml:space="preserve">ight have </w:t>
      </w:r>
      <w:r w:rsidR="00125358">
        <w:t>diminished</w:t>
      </w:r>
      <w:r w:rsidR="00723F29">
        <w:t xml:space="preserve"> expected PLCT nitrogen-water use tradeoffs</w:t>
      </w:r>
      <w:r w:rsidR="00ED1773">
        <w:t>. Important to consider whole plant responses when leaf acclimation responses deviate from those expected from theory</w:t>
      </w:r>
      <w:r>
        <w:t>]</w:t>
      </w:r>
    </w:p>
    <w:p w14:paraId="16D020B7" w14:textId="2ED06786" w:rsidR="00723F29" w:rsidRDefault="00723F29" w:rsidP="00A754EC">
      <w:pPr>
        <w:spacing w:line="360" w:lineRule="auto"/>
        <w:ind w:firstLine="720"/>
      </w:pPr>
    </w:p>
    <w:p w14:paraId="07A0FCB2" w14:textId="523CD655" w:rsidR="00D35783" w:rsidRDefault="00D35783" w:rsidP="00D35783">
      <w:pPr>
        <w:spacing w:line="360" w:lineRule="auto"/>
        <w:ind w:left="720"/>
      </w:pPr>
      <w:r>
        <w:t>[</w:t>
      </w:r>
      <w:r>
        <w:rPr>
          <w:b/>
          <w:bCs/>
        </w:rPr>
        <w:t>Main point #2</w:t>
      </w:r>
      <w:r>
        <w:t xml:space="preserve">: strong effects of inoculation on whole plant responses under low soil N, no effect of inoculation on nitrogen-water </w:t>
      </w:r>
      <w:proofErr w:type="gramStart"/>
      <w:r>
        <w:t>use</w:t>
      </w:r>
      <w:proofErr w:type="gramEnd"/>
      <w:r>
        <w:t xml:space="preserve"> tradeoffs except for stimulation in leaf N. Hard to tell if this is driven by PLCT-expected strategy or just a pattern of N-fixation strategy. N-fixers usually seem to have higher leaf N than non-fixers</w:t>
      </w:r>
      <w:r w:rsidR="00125358">
        <w:t>. Stimulation in total leaf area with inoculation under low soil N could have exacerbated diminishing nitrogen-water tradeoffs with increasing soil N</w:t>
      </w:r>
      <w:r>
        <w:t>]</w:t>
      </w:r>
    </w:p>
    <w:p w14:paraId="186FD6A0" w14:textId="77777777" w:rsidR="00D35783" w:rsidRDefault="00D35783" w:rsidP="00D35783">
      <w:pPr>
        <w:spacing w:line="360" w:lineRule="auto"/>
        <w:ind w:left="720"/>
      </w:pPr>
    </w:p>
    <w:p w14:paraId="0C205254" w14:textId="73BFFBFE" w:rsidR="00D35783" w:rsidRDefault="00D35783" w:rsidP="00D35783">
      <w:pPr>
        <w:spacing w:line="360" w:lineRule="auto"/>
        <w:ind w:left="720"/>
      </w:pPr>
      <w:r>
        <w:t>[</w:t>
      </w:r>
      <w:r w:rsidRPr="00D35783">
        <w:rPr>
          <w:b/>
          <w:bCs/>
        </w:rPr>
        <w:t>Main point #3</w:t>
      </w:r>
      <w:r>
        <w:t xml:space="preserve">: effects of inoculation </w:t>
      </w:r>
      <w:r w:rsidR="00125358">
        <w:t>on total leaf area/carbon costs to acquire nitrogen/leaf nitrogen allocation</w:t>
      </w:r>
      <w:r>
        <w:t xml:space="preserve"> diminish with increasing N. This could be driven by shift away from N fixation and toward direct uptake with fertilization, as costs to acquire nitrogen become similar between pathways]</w:t>
      </w:r>
    </w:p>
    <w:p w14:paraId="10EA2C96" w14:textId="66E7477E" w:rsidR="00F4560A" w:rsidRDefault="00F4560A" w:rsidP="00D35783">
      <w:pPr>
        <w:spacing w:line="360" w:lineRule="auto"/>
        <w:ind w:left="720"/>
      </w:pPr>
    </w:p>
    <w:p w14:paraId="6EE2234E" w14:textId="3B4D343D" w:rsidR="001D4CE3" w:rsidRDefault="001D4CE3" w:rsidP="00A754EC">
      <w:pPr>
        <w:spacing w:line="360" w:lineRule="auto"/>
      </w:pPr>
      <w:r>
        <w:rPr>
          <w:i/>
          <w:iCs/>
        </w:rPr>
        <w:t>Study limitations</w:t>
      </w:r>
    </w:p>
    <w:p w14:paraId="6A873158" w14:textId="55D21F97" w:rsidR="001B21C7" w:rsidRPr="001D4CE3" w:rsidRDefault="001D4CE3" w:rsidP="00A754EC">
      <w:pPr>
        <w:spacing w:line="360" w:lineRule="auto"/>
        <w:ind w:firstLine="720"/>
      </w:pPr>
      <w:r>
        <w:t xml:space="preserve">This study </w:t>
      </w:r>
      <w:r w:rsidR="00125358">
        <w:t>has</w:t>
      </w:r>
      <w:r>
        <w:t xml:space="preserve"> a few limitations that deserve recognition and limit the generality of our observed responses. First, effects of soil nitrogen fertilization on root nodulation may be nonlinear, as inferred from root nodulation data in</w:t>
      </w:r>
      <w:r w:rsidR="001B21C7">
        <w:t xml:space="preserve"> </w:t>
      </w:r>
      <w:r w:rsidR="001B21C7">
        <w:fldChar w:fldCharType="begin" w:fldLock="1"/>
      </w:r>
      <w:r w:rsidR="00E217B4">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et al., 2021)","manualFormatting":"Perkowski et al. (2021)","plainTextFormattedCitation":"(Perkowski et al., 2021)","previouslyFormattedCitation":"(Perkowski et al., 2021)"},"properties":{"noteIndex":0},"schema":"https://github.com/citation-style-language/schema/raw/master/csl-citation.json"}</w:instrText>
      </w:r>
      <w:r w:rsidR="001B21C7">
        <w:fldChar w:fldCharType="separate"/>
      </w:r>
      <w:r w:rsidR="001B21C7" w:rsidRPr="001B21C7">
        <w:rPr>
          <w:noProof/>
        </w:rPr>
        <w:t>Perkowski et al.</w:t>
      </w:r>
      <w:r w:rsidR="001B21C7">
        <w:rPr>
          <w:noProof/>
        </w:rPr>
        <w:t xml:space="preserve"> (</w:t>
      </w:r>
      <w:r w:rsidR="001B21C7" w:rsidRPr="001B21C7">
        <w:rPr>
          <w:noProof/>
        </w:rPr>
        <w:t>2021)</w:t>
      </w:r>
      <w:r w:rsidR="001B21C7">
        <w:fldChar w:fldCharType="end"/>
      </w:r>
      <w:r w:rsidR="001B21C7">
        <w:t xml:space="preserve">, and a two-point fertilization experiment such as the one done here is </w:t>
      </w:r>
      <w:r w:rsidR="0079226D">
        <w:t>not</w:t>
      </w:r>
      <w:r w:rsidR="001B21C7">
        <w:t xml:space="preserve"> equipped to address </w:t>
      </w:r>
      <w:r w:rsidR="0079226D">
        <w:t xml:space="preserve">possible </w:t>
      </w:r>
      <w:r w:rsidR="001B21C7">
        <w:t xml:space="preserve">nonlinearities </w:t>
      </w:r>
      <w:r w:rsidR="0079226D">
        <w:t>that might explain the interaction between soil nitrogen fertilization and root nodulation.</w:t>
      </w:r>
      <w:r w:rsidR="001B21C7">
        <w:t xml:space="preserve"> Future work should consider conducting similar experiments using a larger suite of nitrogen fertilization treatments than what is presented here. Additionally, this study used a single </w:t>
      </w:r>
      <w:r w:rsidR="00F4560A">
        <w:t xml:space="preserve">plant </w:t>
      </w:r>
      <w:r w:rsidR="001B21C7">
        <w:t xml:space="preserve">species and a single </w:t>
      </w:r>
      <w:r w:rsidR="00F4560A">
        <w:t>bacterial</w:t>
      </w:r>
      <w:r w:rsidR="001B21C7">
        <w:t xml:space="preserve"> species. While this did allow us to isolate mechanisms that</w:t>
      </w:r>
      <w:r w:rsidR="00F4560A">
        <w:t xml:space="preserve"> drove </w:t>
      </w:r>
      <w:r w:rsidR="00F4560A">
        <w:rPr>
          <w:i/>
          <w:iCs/>
        </w:rPr>
        <w:t>G. max</w:t>
      </w:r>
      <w:r w:rsidR="00F4560A">
        <w:t xml:space="preserve"> responses to nitrogen fertilization and inoculation </w:t>
      </w:r>
      <w:r w:rsidR="001B21C7">
        <w:t>independent of phylogeny or genetic diversity, future work should consider conducting similar experiments using a suite of legum</w:t>
      </w:r>
      <w:r w:rsidR="000F1E36">
        <w:t>inous species</w:t>
      </w:r>
      <w:r w:rsidR="001B21C7">
        <w:t xml:space="preserve">, as well as a suite of different </w:t>
      </w:r>
      <w:r w:rsidR="001B21C7">
        <w:rPr>
          <w:i/>
          <w:iCs/>
        </w:rPr>
        <w:t>Rhizobium</w:t>
      </w:r>
      <w:r w:rsidR="001B21C7">
        <w:t xml:space="preserve"> cocktails. Doing so would better allow us to generalize patterns observed here, and better replicate soil microbial communities observed in nature. </w:t>
      </w:r>
    </w:p>
    <w:p w14:paraId="735E4205" w14:textId="671BF499" w:rsidR="00E33726" w:rsidRDefault="00E33726" w:rsidP="00A754EC">
      <w:pPr>
        <w:spacing w:line="360" w:lineRule="auto"/>
        <w:rPr>
          <w:i/>
          <w:iCs/>
        </w:rPr>
      </w:pPr>
    </w:p>
    <w:p w14:paraId="368377DC" w14:textId="7E90BA3E" w:rsidR="00E33726" w:rsidRDefault="00E33726" w:rsidP="00A754EC">
      <w:pPr>
        <w:spacing w:line="360" w:lineRule="auto"/>
        <w:rPr>
          <w:i/>
          <w:iCs/>
        </w:rPr>
      </w:pPr>
      <w:r>
        <w:rPr>
          <w:i/>
          <w:iCs/>
        </w:rPr>
        <w:t>Conclusions</w:t>
      </w:r>
    </w:p>
    <w:p w14:paraId="5DC4AE17" w14:textId="64AD3E0B" w:rsidR="00F4560A" w:rsidRDefault="00125358" w:rsidP="00A754EC">
      <w:pPr>
        <w:spacing w:line="360" w:lineRule="auto"/>
      </w:pPr>
      <w:r w:rsidRPr="00125358">
        <w:rPr>
          <w:highlight w:val="yellow"/>
        </w:rPr>
        <w:t>[add concluding paragraph here]</w:t>
      </w:r>
    </w:p>
    <w:p w14:paraId="58E0F880" w14:textId="77777777" w:rsidR="00F4560A" w:rsidRDefault="00F4560A" w:rsidP="00A754EC">
      <w:pPr>
        <w:spacing w:line="360" w:lineRule="auto"/>
      </w:pPr>
    </w:p>
    <w:p w14:paraId="36658C05" w14:textId="77777777" w:rsidR="00F4560A" w:rsidRDefault="00F4560A" w:rsidP="00A754EC">
      <w:pPr>
        <w:spacing w:line="360" w:lineRule="auto"/>
      </w:pPr>
    </w:p>
    <w:p w14:paraId="7934AA15" w14:textId="77777777" w:rsidR="00F4560A" w:rsidRDefault="00F4560A" w:rsidP="00A754EC">
      <w:pPr>
        <w:spacing w:line="360" w:lineRule="auto"/>
      </w:pPr>
    </w:p>
    <w:p w14:paraId="73395A6C" w14:textId="2CE57134" w:rsidR="001B21C7" w:rsidRDefault="001B21C7" w:rsidP="00A754EC">
      <w:pPr>
        <w:spacing w:line="360" w:lineRule="auto"/>
      </w:pPr>
      <w:r>
        <w:rPr>
          <w:b/>
          <w:bCs/>
        </w:rPr>
        <w:t>Acknowledgements</w:t>
      </w:r>
    </w:p>
    <w:p w14:paraId="287FB464" w14:textId="1729EB30" w:rsidR="004A35A3" w:rsidRDefault="004A35A3" w:rsidP="00A754EC">
      <w:pPr>
        <w:spacing w:line="360" w:lineRule="auto"/>
      </w:pPr>
      <w:r>
        <w:t xml:space="preserve">We would like to thank Jeffrey </w:t>
      </w:r>
      <w:proofErr w:type="spellStart"/>
      <w:r>
        <w:t>Chieppa</w:t>
      </w:r>
      <w:proofErr w:type="spellEnd"/>
      <w:r>
        <w:t xml:space="preserve"> and </w:t>
      </w:r>
      <w:proofErr w:type="spellStart"/>
      <w:r>
        <w:t>Ezinwanne</w:t>
      </w:r>
      <w:proofErr w:type="spellEnd"/>
      <w:r>
        <w:t xml:space="preserve"> </w:t>
      </w:r>
      <w:proofErr w:type="spellStart"/>
      <w:r>
        <w:t>Ezekannagha</w:t>
      </w:r>
      <w:proofErr w:type="spellEnd"/>
      <w:r>
        <w:t xml:space="preserve"> for their extensive help with generating CO</w:t>
      </w:r>
      <w:r>
        <w:rPr>
          <w:vertAlign w:val="subscript"/>
        </w:rPr>
        <w:t>2</w:t>
      </w:r>
      <w:r>
        <w:t xml:space="preserve"> response curves</w:t>
      </w:r>
      <w:r w:rsidR="00451CDF">
        <w:t xml:space="preserve"> and</w:t>
      </w:r>
      <w:r>
        <w:t xml:space="preserve"> dark respiration measurements, and </w:t>
      </w:r>
      <w:r w:rsidR="00451CDF">
        <w:t xml:space="preserve">assistance with the </w:t>
      </w:r>
      <w:r>
        <w:t xml:space="preserve">experiment harvest. We would also like to thank Gwendolyn Wagner and Garrison Garza for their help with </w:t>
      </w:r>
      <w:r w:rsidR="000424C7">
        <w:t xml:space="preserve">the </w:t>
      </w:r>
      <w:r>
        <w:t>experiment harvest</w:t>
      </w:r>
      <w:r w:rsidR="000424C7">
        <w:t xml:space="preserve">, and members of the </w:t>
      </w:r>
      <w:proofErr w:type="spellStart"/>
      <w:r w:rsidR="000424C7">
        <w:t>Schwilk</w:t>
      </w:r>
      <w:proofErr w:type="spellEnd"/>
      <w:r w:rsidR="000424C7">
        <w:t xml:space="preserve"> and van </w:t>
      </w:r>
      <w:proofErr w:type="spellStart"/>
      <w:r w:rsidR="000424C7">
        <w:t>Gestel</w:t>
      </w:r>
      <w:proofErr w:type="spellEnd"/>
      <w:r w:rsidR="000424C7">
        <w:t xml:space="preserve"> lab for analysis feedback</w:t>
      </w:r>
      <w:r>
        <w:t xml:space="preserve">. </w:t>
      </w:r>
      <w:commentRangeStart w:id="2"/>
      <w:r>
        <w:t>NGS acknowledges funding support from the NSF (</w:t>
      </w:r>
      <w:r w:rsidRPr="00F33193">
        <w:t>DEB-2045968</w:t>
      </w:r>
      <w:r>
        <w:t>), Eric and Wendy Schmidt and Schmidt Futures, and Texas Tech University</w:t>
      </w:r>
      <w:commentRangeEnd w:id="2"/>
      <w:r>
        <w:rPr>
          <w:rStyle w:val="CommentReference"/>
          <w:rFonts w:eastAsia="Times New Roman" w:cs="Times New Roman"/>
        </w:rPr>
        <w:commentReference w:id="2"/>
      </w:r>
      <w:r>
        <w:t>.</w:t>
      </w:r>
    </w:p>
    <w:p w14:paraId="0ED32DAC" w14:textId="77777777" w:rsidR="004A35A3" w:rsidRDefault="004A35A3" w:rsidP="00A754EC">
      <w:pPr>
        <w:spacing w:line="360" w:lineRule="auto"/>
      </w:pPr>
    </w:p>
    <w:p w14:paraId="2498C7DF" w14:textId="35A7DBEC" w:rsidR="00774D67" w:rsidRDefault="00774D67" w:rsidP="00A754EC">
      <w:pPr>
        <w:spacing w:line="360" w:lineRule="auto"/>
        <w:rPr>
          <w:b/>
          <w:bCs/>
        </w:rPr>
      </w:pPr>
      <w:r>
        <w:rPr>
          <w:b/>
          <w:bCs/>
        </w:rPr>
        <w:t>Author contributions</w:t>
      </w:r>
    </w:p>
    <w:p w14:paraId="03ACC920" w14:textId="6CEA7B1D" w:rsidR="00774D67" w:rsidRPr="00774D67" w:rsidRDefault="00303F2D" w:rsidP="00A754EC">
      <w:pPr>
        <w:spacing w:line="360" w:lineRule="auto"/>
      </w:pPr>
      <w:r>
        <w:lastRenderedPageBreak/>
        <w:t>EAP coordinated leaf physiological measurements, conducted data analysis, wrote the first draft of the manuscript, and</w:t>
      </w:r>
      <w:r w:rsidR="00BB1D36">
        <w:t xml:space="preserve"> made revisions based on collaborator and reviewer feedback.</w:t>
      </w:r>
      <w:r>
        <w:t xml:space="preserve"> </w:t>
      </w:r>
      <w:r w:rsidR="00BE2568">
        <w:t>JT designed</w:t>
      </w:r>
      <w:r w:rsidR="000424C7">
        <w:t xml:space="preserve"> the experiment</w:t>
      </w:r>
      <w:r w:rsidR="00F008CB">
        <w:t xml:space="preserve"> with NGS and EAP</w:t>
      </w:r>
      <w:r w:rsidR="000424C7">
        <w:t>,</w:t>
      </w:r>
      <w:r w:rsidR="00BE2568">
        <w:t xml:space="preserve"> carried out the experiment, </w:t>
      </w:r>
      <w:r w:rsidR="00BB1D36">
        <w:t xml:space="preserve">and contributed to manuscript revisions. HG assisted with post-experiment harvest </w:t>
      </w:r>
      <w:r w:rsidR="000424C7">
        <w:t>and</w:t>
      </w:r>
      <w:r w:rsidR="00BB1D36">
        <w:t xml:space="preserve"> contributed to manuscript revisions. NGS oversaw experiment progress, assisted with the post-experiment harvest, and contributed to manuscript revisions. All authors support publication of this manuscript to </w:t>
      </w:r>
      <w:r w:rsidR="00BB1D36" w:rsidRPr="00BB1D36">
        <w:rPr>
          <w:highlight w:val="yellow"/>
        </w:rPr>
        <w:t>XX</w:t>
      </w:r>
      <w:r w:rsidR="00BB1D36">
        <w:t>.</w:t>
      </w:r>
    </w:p>
    <w:p w14:paraId="7644E0A0" w14:textId="77777777" w:rsidR="00774D67" w:rsidRPr="00774D67" w:rsidRDefault="00774D67" w:rsidP="00A754EC">
      <w:pPr>
        <w:spacing w:line="360" w:lineRule="auto"/>
      </w:pPr>
    </w:p>
    <w:p w14:paraId="4E523BAD" w14:textId="77777777" w:rsidR="00774D67" w:rsidRDefault="00774D67" w:rsidP="00A754EC">
      <w:pPr>
        <w:spacing w:line="360" w:lineRule="auto"/>
      </w:pPr>
      <w:r>
        <w:rPr>
          <w:b/>
          <w:bCs/>
        </w:rPr>
        <w:t>Data Availability Statement</w:t>
      </w:r>
    </w:p>
    <w:p w14:paraId="6CB735A2" w14:textId="18ADE776" w:rsidR="00774D67" w:rsidRPr="00774D67" w:rsidRDefault="00774D67" w:rsidP="00A754EC">
      <w:pPr>
        <w:spacing w:line="360" w:lineRule="auto"/>
      </w:pPr>
      <w:r>
        <w:t>All statistical analyses and plots were created in R version 4.</w:t>
      </w:r>
      <w:r w:rsidR="00BB1D36">
        <w:t>2</w:t>
      </w:r>
      <w:r>
        <w:t>.</w:t>
      </w:r>
      <w:r w:rsidR="00BB1D36">
        <w:t>0</w:t>
      </w:r>
      <w:r>
        <w:t xml:space="preserve">. All R code and data for this manuscript are available in a GitHub repository at &lt;insert URL here&gt; (&lt;insert DOI from </w:t>
      </w:r>
      <w:proofErr w:type="spellStart"/>
      <w:r>
        <w:t>Zenodo</w:t>
      </w:r>
      <w:proofErr w:type="spellEnd"/>
      <w:r>
        <w:t xml:space="preserve"> here&gt;).</w:t>
      </w:r>
    </w:p>
    <w:p w14:paraId="70D78CE6" w14:textId="6D045050" w:rsidR="00772287" w:rsidRDefault="00772287" w:rsidP="00A754EC">
      <w:pPr>
        <w:spacing w:line="360" w:lineRule="auto"/>
        <w:rPr>
          <w:b/>
          <w:bCs/>
        </w:rPr>
      </w:pPr>
      <w:r>
        <w:rPr>
          <w:b/>
          <w:bCs/>
        </w:rPr>
        <w:br w:type="page"/>
      </w:r>
    </w:p>
    <w:p w14:paraId="3C39CC0B" w14:textId="7129AB24" w:rsidR="007A2F1C" w:rsidRDefault="00772287" w:rsidP="00A754EC">
      <w:pPr>
        <w:spacing w:line="360" w:lineRule="auto"/>
        <w:rPr>
          <w:b/>
          <w:bCs/>
        </w:rPr>
      </w:pPr>
      <w:r>
        <w:rPr>
          <w:b/>
          <w:bCs/>
        </w:rPr>
        <w:lastRenderedPageBreak/>
        <w:t>References</w:t>
      </w:r>
    </w:p>
    <w:p w14:paraId="7343CE92" w14:textId="23FE9BA4" w:rsidR="003032DB" w:rsidRPr="003032DB" w:rsidRDefault="00772287" w:rsidP="003032DB">
      <w:pPr>
        <w:widowControl w:val="0"/>
        <w:autoSpaceDE w:val="0"/>
        <w:autoSpaceDN w:val="0"/>
        <w:adjustRightInd w:val="0"/>
        <w:spacing w:line="360" w:lineRule="auto"/>
        <w:ind w:left="480" w:hanging="480"/>
        <w:rPr>
          <w:rFonts w:cs="Times New Roman"/>
          <w:noProof/>
        </w:rPr>
      </w:pPr>
      <w:r>
        <w:rPr>
          <w:b/>
          <w:bCs/>
        </w:rPr>
        <w:fldChar w:fldCharType="begin" w:fldLock="1"/>
      </w:r>
      <w:r>
        <w:rPr>
          <w:b/>
          <w:bCs/>
        </w:rPr>
        <w:instrText xml:space="preserve">ADDIN Mendeley Bibliography CSL_BIBLIOGRAPHY </w:instrText>
      </w:r>
      <w:r>
        <w:rPr>
          <w:b/>
          <w:bCs/>
        </w:rPr>
        <w:fldChar w:fldCharType="separate"/>
      </w:r>
      <w:r w:rsidR="003032DB" w:rsidRPr="003032DB">
        <w:rPr>
          <w:rFonts w:cs="Times New Roman"/>
          <w:noProof/>
        </w:rPr>
        <w:t xml:space="preserve">Bates, D., Mächler, M., Bolker, B., &amp; Walker, S. (2015). Fitting linear mixed-effects models using lme4. </w:t>
      </w:r>
      <w:r w:rsidR="003032DB" w:rsidRPr="003032DB">
        <w:rPr>
          <w:rFonts w:cs="Times New Roman"/>
          <w:i/>
          <w:iCs/>
          <w:noProof/>
        </w:rPr>
        <w:t>Journal of Statistical Software</w:t>
      </w:r>
      <w:r w:rsidR="003032DB" w:rsidRPr="003032DB">
        <w:rPr>
          <w:rFonts w:cs="Times New Roman"/>
          <w:noProof/>
        </w:rPr>
        <w:t xml:space="preserve">, </w:t>
      </w:r>
      <w:r w:rsidR="003032DB" w:rsidRPr="003032DB">
        <w:rPr>
          <w:rFonts w:cs="Times New Roman"/>
          <w:i/>
          <w:iCs/>
          <w:noProof/>
        </w:rPr>
        <w:t>67</w:t>
      </w:r>
      <w:r w:rsidR="003032DB" w:rsidRPr="003032DB">
        <w:rPr>
          <w:rFonts w:cs="Times New Roman"/>
          <w:noProof/>
        </w:rPr>
        <w:t>(1), 1–48. https://doi.org/10.18637/jss.v067.i01</w:t>
      </w:r>
    </w:p>
    <w:p w14:paraId="0B589E4B"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 xml:space="preserve">Bernacchi, C. J., Singsaas, E. L., Pimentel, C., Portis, A. R., &amp; Long, S. P. (2001). Improved temperature response functions for models of Rubisco-limited photosynthesis. </w:t>
      </w:r>
      <w:r w:rsidRPr="003032DB">
        <w:rPr>
          <w:rFonts w:cs="Times New Roman"/>
          <w:i/>
          <w:iCs/>
          <w:noProof/>
        </w:rPr>
        <w:t>Plant, Cell and Environment</w:t>
      </w:r>
      <w:r w:rsidRPr="003032DB">
        <w:rPr>
          <w:rFonts w:cs="Times New Roman"/>
          <w:noProof/>
        </w:rPr>
        <w:t xml:space="preserve">, </w:t>
      </w:r>
      <w:r w:rsidRPr="003032DB">
        <w:rPr>
          <w:rFonts w:cs="Times New Roman"/>
          <w:i/>
          <w:iCs/>
          <w:noProof/>
        </w:rPr>
        <w:t>24</w:t>
      </w:r>
      <w:r w:rsidRPr="003032DB">
        <w:rPr>
          <w:rFonts w:cs="Times New Roman"/>
          <w:noProof/>
        </w:rPr>
        <w:t>(2), 253–259. https://doi.org/10.1046/j.1365-3040.2001.00668.x</w:t>
      </w:r>
    </w:p>
    <w:p w14:paraId="61BD6269"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 xml:space="preserve">Bialic‐Murphy, L., Smith, N. G., Voothuluru, P., McElderry, R. M., Roche, M. D., Cassidy, S. T., Kivlin, S. N., &amp; Kalisz, S. (2021). Invasion‐induced root–fungal disruptions alter plant water and nitrogen economies. </w:t>
      </w:r>
      <w:r w:rsidRPr="003032DB">
        <w:rPr>
          <w:rFonts w:cs="Times New Roman"/>
          <w:i/>
          <w:iCs/>
          <w:noProof/>
        </w:rPr>
        <w:t>Ecology Letters</w:t>
      </w:r>
      <w:r w:rsidRPr="003032DB">
        <w:rPr>
          <w:rFonts w:cs="Times New Roman"/>
          <w:noProof/>
        </w:rPr>
        <w:t xml:space="preserve">, </w:t>
      </w:r>
      <w:r w:rsidRPr="003032DB">
        <w:rPr>
          <w:rFonts w:cs="Times New Roman"/>
          <w:i/>
          <w:iCs/>
          <w:noProof/>
        </w:rPr>
        <w:t>24</w:t>
      </w:r>
      <w:r w:rsidRPr="003032DB">
        <w:rPr>
          <w:rFonts w:cs="Times New Roman"/>
          <w:noProof/>
        </w:rPr>
        <w:t>(6), 1145–1156. https://doi.org/10.1111/ele.13724</w:t>
      </w:r>
    </w:p>
    <w:p w14:paraId="397534B4"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 xml:space="preserve">Bonan, G. B., Lawrence, P. J., Oleson, K. W., Levis, S., Jung, M., Reichstein, M., Lawrence, D. M., &amp; Swenson, S. C. (2011). Improving canopy processes in the Community Land Model version 4 (CLM4) using global flux fields empirically inferred from FLUXNET data. </w:t>
      </w:r>
      <w:r w:rsidRPr="003032DB">
        <w:rPr>
          <w:rFonts w:cs="Times New Roman"/>
          <w:i/>
          <w:iCs/>
          <w:noProof/>
        </w:rPr>
        <w:t>Journal of Geophysical Research</w:t>
      </w:r>
      <w:r w:rsidRPr="003032DB">
        <w:rPr>
          <w:rFonts w:cs="Times New Roman"/>
          <w:noProof/>
        </w:rPr>
        <w:t xml:space="preserve">, </w:t>
      </w:r>
      <w:r w:rsidRPr="003032DB">
        <w:rPr>
          <w:rFonts w:cs="Times New Roman"/>
          <w:i/>
          <w:iCs/>
          <w:noProof/>
        </w:rPr>
        <w:t>116</w:t>
      </w:r>
      <w:r w:rsidRPr="003032DB">
        <w:rPr>
          <w:rFonts w:cs="Times New Roman"/>
          <w:noProof/>
        </w:rPr>
        <w:t>(G2), G02014. https://doi.org/10.1029/2010JG001593</w:t>
      </w:r>
    </w:p>
    <w:p w14:paraId="6073C012"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 xml:space="preserve">Booth, B. B. B., Jones, C. D., Collins, M., Totterdell, I. J., Cox, P. M., Sitch, S., Huntingford, C., Betts, R. A., Harris, G. R., &amp; Lloyd, J. (2012). High sensitivity of future global warming to land carbon cycle processes. </w:t>
      </w:r>
      <w:r w:rsidRPr="003032DB">
        <w:rPr>
          <w:rFonts w:cs="Times New Roman"/>
          <w:i/>
          <w:iCs/>
          <w:noProof/>
        </w:rPr>
        <w:t>Environmental Research Letters</w:t>
      </w:r>
      <w:r w:rsidRPr="003032DB">
        <w:rPr>
          <w:rFonts w:cs="Times New Roman"/>
          <w:noProof/>
        </w:rPr>
        <w:t xml:space="preserve">, </w:t>
      </w:r>
      <w:r w:rsidRPr="003032DB">
        <w:rPr>
          <w:rFonts w:cs="Times New Roman"/>
          <w:i/>
          <w:iCs/>
          <w:noProof/>
        </w:rPr>
        <w:t>7</w:t>
      </w:r>
      <w:r w:rsidRPr="003032DB">
        <w:rPr>
          <w:rFonts w:cs="Times New Roman"/>
          <w:noProof/>
        </w:rPr>
        <w:t>(2), 024002. https://doi.org/10.1088/1748-9326/7/2/024002</w:t>
      </w:r>
    </w:p>
    <w:p w14:paraId="539C54D8"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 xml:space="preserve">Brix, H. (1971). Effects of nitrogen fertilization on photosynthesis and respiration in Douglas-fir. </w:t>
      </w:r>
      <w:r w:rsidRPr="003032DB">
        <w:rPr>
          <w:rFonts w:cs="Times New Roman"/>
          <w:i/>
          <w:iCs/>
          <w:noProof/>
        </w:rPr>
        <w:t>Forest Science</w:t>
      </w:r>
      <w:r w:rsidRPr="003032DB">
        <w:rPr>
          <w:rFonts w:cs="Times New Roman"/>
          <w:noProof/>
        </w:rPr>
        <w:t xml:space="preserve">, </w:t>
      </w:r>
      <w:r w:rsidRPr="003032DB">
        <w:rPr>
          <w:rFonts w:cs="Times New Roman"/>
          <w:i/>
          <w:iCs/>
          <w:noProof/>
        </w:rPr>
        <w:t>17</w:t>
      </w:r>
      <w:r w:rsidRPr="003032DB">
        <w:rPr>
          <w:rFonts w:cs="Times New Roman"/>
          <w:noProof/>
        </w:rPr>
        <w:t>(4), 407–414.</w:t>
      </w:r>
    </w:p>
    <w:p w14:paraId="2F6FC84C"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 xml:space="preserve">Brzostek, E. R., Fisher, J. B., &amp; Phillips, R. P. (2014). Modeling the carbon cost of plant nitrogen acquisition: Mycorrhizal trade-offs and multipath resistance uptake improve predictions of retranslocation. </w:t>
      </w:r>
      <w:r w:rsidRPr="003032DB">
        <w:rPr>
          <w:rFonts w:cs="Times New Roman"/>
          <w:i/>
          <w:iCs/>
          <w:noProof/>
        </w:rPr>
        <w:t>Journal of Geophysical Research: Biogeosciences</w:t>
      </w:r>
      <w:r w:rsidRPr="003032DB">
        <w:rPr>
          <w:rFonts w:cs="Times New Roman"/>
          <w:noProof/>
        </w:rPr>
        <w:t xml:space="preserve">, </w:t>
      </w:r>
      <w:r w:rsidRPr="003032DB">
        <w:rPr>
          <w:rFonts w:cs="Times New Roman"/>
          <w:i/>
          <w:iCs/>
          <w:noProof/>
        </w:rPr>
        <w:t>119</w:t>
      </w:r>
      <w:r w:rsidRPr="003032DB">
        <w:rPr>
          <w:rFonts w:cs="Times New Roman"/>
          <w:noProof/>
        </w:rPr>
        <w:t>, 1684–1697. https://doi.org/10.1002/2014JG002660.Received</w:t>
      </w:r>
    </w:p>
    <w:p w14:paraId="6E63DFAD"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 xml:space="preserve">Chapin, F. S. (2003). Effects of plant traits on ecosystem and regional processes: A conceptual framework for predicting the consequences of global change. </w:t>
      </w:r>
      <w:r w:rsidRPr="003032DB">
        <w:rPr>
          <w:rFonts w:cs="Times New Roman"/>
          <w:i/>
          <w:iCs/>
          <w:noProof/>
        </w:rPr>
        <w:t>Annals of Botany</w:t>
      </w:r>
      <w:r w:rsidRPr="003032DB">
        <w:rPr>
          <w:rFonts w:cs="Times New Roman"/>
          <w:noProof/>
        </w:rPr>
        <w:t xml:space="preserve">, </w:t>
      </w:r>
      <w:r w:rsidRPr="003032DB">
        <w:rPr>
          <w:rFonts w:cs="Times New Roman"/>
          <w:i/>
          <w:iCs/>
          <w:noProof/>
        </w:rPr>
        <w:t>91</w:t>
      </w:r>
      <w:r w:rsidRPr="003032DB">
        <w:rPr>
          <w:rFonts w:cs="Times New Roman"/>
          <w:noProof/>
        </w:rPr>
        <w:t>(4), 455–463. https://doi.org/10.1093/aob/mcg041</w:t>
      </w:r>
    </w:p>
    <w:p w14:paraId="0888E869"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 xml:space="preserve">Dong, N., Prentice, I. C., Evans, B. J., Caddy-Retalic, S., Lowe, A. J., &amp; Wright, I. J. (2017). Leaf nitrogen from first principles: field evidence for adaptive variation with climate. </w:t>
      </w:r>
      <w:r w:rsidRPr="003032DB">
        <w:rPr>
          <w:rFonts w:cs="Times New Roman"/>
          <w:i/>
          <w:iCs/>
          <w:noProof/>
        </w:rPr>
        <w:lastRenderedPageBreak/>
        <w:t>Biogeosciences</w:t>
      </w:r>
      <w:r w:rsidRPr="003032DB">
        <w:rPr>
          <w:rFonts w:cs="Times New Roman"/>
          <w:noProof/>
        </w:rPr>
        <w:t xml:space="preserve">, </w:t>
      </w:r>
      <w:r w:rsidRPr="003032DB">
        <w:rPr>
          <w:rFonts w:cs="Times New Roman"/>
          <w:i/>
          <w:iCs/>
          <w:noProof/>
        </w:rPr>
        <w:t>14</w:t>
      </w:r>
      <w:r w:rsidRPr="003032DB">
        <w:rPr>
          <w:rFonts w:cs="Times New Roman"/>
          <w:noProof/>
        </w:rPr>
        <w:t>(2), 481–495. https://doi.org/10.5194/bg-14-481-2017</w:t>
      </w:r>
    </w:p>
    <w:p w14:paraId="0748C1AA"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 xml:space="preserve">Dong, N., Prentice, I. C., Wright, I. J., Evans, B. J., Togashi, H. F., Caddy-Retalic, S., McInerney, F. A., Sparrow, B., Leitch, E., &amp; Lowe, A. J. (2020). Components of leaf‐trait variation along environmental gradients. </w:t>
      </w:r>
      <w:r w:rsidRPr="003032DB">
        <w:rPr>
          <w:rFonts w:cs="Times New Roman"/>
          <w:i/>
          <w:iCs/>
          <w:noProof/>
        </w:rPr>
        <w:t>New Phytologist</w:t>
      </w:r>
      <w:r w:rsidRPr="003032DB">
        <w:rPr>
          <w:rFonts w:cs="Times New Roman"/>
          <w:noProof/>
        </w:rPr>
        <w:t xml:space="preserve">, </w:t>
      </w:r>
      <w:r w:rsidRPr="003032DB">
        <w:rPr>
          <w:rFonts w:cs="Times New Roman"/>
          <w:i/>
          <w:iCs/>
          <w:noProof/>
        </w:rPr>
        <w:t>228</w:t>
      </w:r>
      <w:r w:rsidRPr="003032DB">
        <w:rPr>
          <w:rFonts w:cs="Times New Roman"/>
          <w:noProof/>
        </w:rPr>
        <w:t>(1), 82–94. https://doi.org/10.1111/nph.16558</w:t>
      </w:r>
    </w:p>
    <w:p w14:paraId="0D3A4F1B"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 xml:space="preserve">Dong, N., Wright, I. J., Chen, J. M., Luo, X., Wang, H., Keenan, T. F., Smith, N. G., &amp; Prentice, I. C. (2022). Rising CO2 and warming reduce global canopy demand for nitrogen. </w:t>
      </w:r>
      <w:r w:rsidRPr="003032DB">
        <w:rPr>
          <w:rFonts w:cs="Times New Roman"/>
          <w:i/>
          <w:iCs/>
          <w:noProof/>
        </w:rPr>
        <w:t>New Phytologist</w:t>
      </w:r>
      <w:r w:rsidRPr="003032DB">
        <w:rPr>
          <w:rFonts w:cs="Times New Roman"/>
          <w:noProof/>
        </w:rPr>
        <w:t>. https://doi.org/10.1111/nph.18076</w:t>
      </w:r>
    </w:p>
    <w:p w14:paraId="10F98911"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 xml:space="preserve">Duursma, R. (2015). Plantecophys - An R package for analyzing and modelling leaf gas exchange data. </w:t>
      </w:r>
      <w:r w:rsidRPr="003032DB">
        <w:rPr>
          <w:rFonts w:cs="Times New Roman"/>
          <w:i/>
          <w:iCs/>
          <w:noProof/>
        </w:rPr>
        <w:t>PLos ONE</w:t>
      </w:r>
      <w:r w:rsidRPr="003032DB">
        <w:rPr>
          <w:rFonts w:cs="Times New Roman"/>
          <w:noProof/>
        </w:rPr>
        <w:t xml:space="preserve">, </w:t>
      </w:r>
      <w:r w:rsidRPr="003032DB">
        <w:rPr>
          <w:rFonts w:cs="Times New Roman"/>
          <w:i/>
          <w:iCs/>
          <w:noProof/>
        </w:rPr>
        <w:t>10</w:t>
      </w:r>
      <w:r w:rsidRPr="003032DB">
        <w:rPr>
          <w:rFonts w:cs="Times New Roman"/>
          <w:noProof/>
        </w:rPr>
        <w:t>(11), e0143346. https://doi.org/10.1371/journal.pone.0143346&gt;</w:t>
      </w:r>
    </w:p>
    <w:p w14:paraId="500C04E0"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 xml:space="preserve">Evans, J. R. (1989). Photosynthesis and nitrogen relationships in leaves of C3 plants. </w:t>
      </w:r>
      <w:r w:rsidRPr="003032DB">
        <w:rPr>
          <w:rFonts w:cs="Times New Roman"/>
          <w:i/>
          <w:iCs/>
          <w:noProof/>
        </w:rPr>
        <w:t>Oecologia</w:t>
      </w:r>
      <w:r w:rsidRPr="003032DB">
        <w:rPr>
          <w:rFonts w:cs="Times New Roman"/>
          <w:noProof/>
        </w:rPr>
        <w:t xml:space="preserve">, </w:t>
      </w:r>
      <w:r w:rsidRPr="003032DB">
        <w:rPr>
          <w:rFonts w:cs="Times New Roman"/>
          <w:i/>
          <w:iCs/>
          <w:noProof/>
        </w:rPr>
        <w:t>78</w:t>
      </w:r>
      <w:r w:rsidRPr="003032DB">
        <w:rPr>
          <w:rFonts w:cs="Times New Roman"/>
          <w:noProof/>
        </w:rPr>
        <w:t>(1), 9–19. https://doi.org/10.1007/BF00377192</w:t>
      </w:r>
    </w:p>
    <w:p w14:paraId="7823EBF3"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 xml:space="preserve">Evans, J. R., &amp; Seemann, J. R. (1989). The allocation of protein nitrogen in the photosynthetic apparatus: costs, consequences, and control. </w:t>
      </w:r>
      <w:r w:rsidRPr="003032DB">
        <w:rPr>
          <w:rFonts w:cs="Times New Roman"/>
          <w:i/>
          <w:iCs/>
          <w:noProof/>
        </w:rPr>
        <w:t>Photosynthesis</w:t>
      </w:r>
      <w:r w:rsidRPr="003032DB">
        <w:rPr>
          <w:rFonts w:cs="Times New Roman"/>
          <w:noProof/>
        </w:rPr>
        <w:t xml:space="preserve">, </w:t>
      </w:r>
      <w:r w:rsidRPr="003032DB">
        <w:rPr>
          <w:rFonts w:cs="Times New Roman"/>
          <w:i/>
          <w:iCs/>
          <w:noProof/>
        </w:rPr>
        <w:t>8</w:t>
      </w:r>
      <w:r w:rsidRPr="003032DB">
        <w:rPr>
          <w:rFonts w:cs="Times New Roman"/>
          <w:noProof/>
        </w:rPr>
        <w:t>, 183–205.</w:t>
      </w:r>
    </w:p>
    <w:p w14:paraId="151FBCAB"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Farquhar, G. D., von Caemmerer, S., &amp; Berry, J. A. (1980). A biochemical model of photosynthetic CO</w:t>
      </w:r>
      <w:r w:rsidRPr="003032DB">
        <w:rPr>
          <w:rFonts w:cs="Times New Roman"/>
          <w:i/>
          <w:iCs/>
          <w:noProof/>
        </w:rPr>
        <w:t>2</w:t>
      </w:r>
      <w:r w:rsidRPr="003032DB">
        <w:rPr>
          <w:rFonts w:cs="Times New Roman"/>
          <w:noProof/>
        </w:rPr>
        <w:t xml:space="preserve"> assimilation in leaves of C3 species. </w:t>
      </w:r>
      <w:r w:rsidRPr="003032DB">
        <w:rPr>
          <w:rFonts w:cs="Times New Roman"/>
          <w:i/>
          <w:iCs/>
          <w:noProof/>
        </w:rPr>
        <w:t>Planta</w:t>
      </w:r>
      <w:r w:rsidRPr="003032DB">
        <w:rPr>
          <w:rFonts w:cs="Times New Roman"/>
          <w:noProof/>
        </w:rPr>
        <w:t xml:space="preserve">, </w:t>
      </w:r>
      <w:r w:rsidRPr="003032DB">
        <w:rPr>
          <w:rFonts w:cs="Times New Roman"/>
          <w:i/>
          <w:iCs/>
          <w:noProof/>
        </w:rPr>
        <w:t>149</w:t>
      </w:r>
      <w:r w:rsidRPr="003032DB">
        <w:rPr>
          <w:rFonts w:cs="Times New Roman"/>
          <w:noProof/>
        </w:rPr>
        <w:t>(1), 78–90. https://doi.org/10.1007/BF00386231</w:t>
      </w:r>
    </w:p>
    <w:p w14:paraId="7D95BB77"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 xml:space="preserve">Fay, P. A., Prober, S. M., Harpole, W. S., Knops, J. M. H., Bakker, J. D., Borer, E. T., Lind, E. M., MacDougall, A. S., Seabloom, E. W., Wragg, P. D., Adler, P. B., Blumenthal, D. M., Buckley, Y. M., Chu, C., Cleland, E. E., Collins, S. L., Davies, K. F., Du, G., Feng, X., … Yang, L. H. (2015). Grassland productivity limited by multiple nutrients. </w:t>
      </w:r>
      <w:r w:rsidRPr="003032DB">
        <w:rPr>
          <w:rFonts w:cs="Times New Roman"/>
          <w:i/>
          <w:iCs/>
          <w:noProof/>
        </w:rPr>
        <w:t>Nature Plants</w:t>
      </w:r>
      <w:r w:rsidRPr="003032DB">
        <w:rPr>
          <w:rFonts w:cs="Times New Roman"/>
          <w:noProof/>
        </w:rPr>
        <w:t xml:space="preserve">, </w:t>
      </w:r>
      <w:r w:rsidRPr="003032DB">
        <w:rPr>
          <w:rFonts w:cs="Times New Roman"/>
          <w:i/>
          <w:iCs/>
          <w:noProof/>
        </w:rPr>
        <w:t>1</w:t>
      </w:r>
      <w:r w:rsidRPr="003032DB">
        <w:rPr>
          <w:rFonts w:cs="Times New Roman"/>
          <w:noProof/>
        </w:rPr>
        <w:t>(7), 15080. https://doi.org/10.1038/nplants.2015.80</w:t>
      </w:r>
    </w:p>
    <w:p w14:paraId="7445D224"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 xml:space="preserve">Firn, J., McGree, J. M., Harvey, E., Flores-Moreno, H., Schütz, M., Buckley, Y. M., Borer, E. T., Seabloom, E. W., La Pierre, K. J., MacDougall, A. S., Prober, S. M., Stevens, C. J., Sullivan, L. L., Porter, E., Ladouceur, E., Allen, C., Moromizato, K. H., Morgan, J. W., Harpole, W. S., … Risch, A. C. (2019). Leaf nutrients, not specific leaf area, are consistent indicators of elevated nutrient inputs. </w:t>
      </w:r>
      <w:r w:rsidRPr="003032DB">
        <w:rPr>
          <w:rFonts w:cs="Times New Roman"/>
          <w:i/>
          <w:iCs/>
          <w:noProof/>
        </w:rPr>
        <w:t>Nature Ecology &amp; Evolution</w:t>
      </w:r>
      <w:r w:rsidRPr="003032DB">
        <w:rPr>
          <w:rFonts w:cs="Times New Roman"/>
          <w:noProof/>
        </w:rPr>
        <w:t xml:space="preserve">, </w:t>
      </w:r>
      <w:r w:rsidRPr="003032DB">
        <w:rPr>
          <w:rFonts w:cs="Times New Roman"/>
          <w:i/>
          <w:iCs/>
          <w:noProof/>
        </w:rPr>
        <w:t>3</w:t>
      </w:r>
      <w:r w:rsidRPr="003032DB">
        <w:rPr>
          <w:rFonts w:cs="Times New Roman"/>
          <w:noProof/>
        </w:rPr>
        <w:t>(3), 400–406. https://doi.org/10.1038/s41559-018-0790-1</w:t>
      </w:r>
    </w:p>
    <w:p w14:paraId="359BB07B"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 xml:space="preserve">Fox, J., &amp; Weisberg, S. (2019). </w:t>
      </w:r>
      <w:r w:rsidRPr="003032DB">
        <w:rPr>
          <w:rFonts w:cs="Times New Roman"/>
          <w:i/>
          <w:iCs/>
          <w:noProof/>
        </w:rPr>
        <w:t>An R companion to applied regression</w:t>
      </w:r>
      <w:r w:rsidRPr="003032DB">
        <w:rPr>
          <w:rFonts w:cs="Times New Roman"/>
          <w:noProof/>
        </w:rPr>
        <w:t xml:space="preserve"> (Third edit). Sage. https://socialsciences.mcmaster.ca/jfox/Books/Companion/</w:t>
      </w:r>
    </w:p>
    <w:p w14:paraId="30CE2CD6"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lastRenderedPageBreak/>
        <w:t xml:space="preserve">Gutschick, V. P. (1981). Evolved strategies in nitrogen acquisition by plants. </w:t>
      </w:r>
      <w:r w:rsidRPr="003032DB">
        <w:rPr>
          <w:rFonts w:cs="Times New Roman"/>
          <w:i/>
          <w:iCs/>
          <w:noProof/>
        </w:rPr>
        <w:t>The American Naturalist</w:t>
      </w:r>
      <w:r w:rsidRPr="003032DB">
        <w:rPr>
          <w:rFonts w:cs="Times New Roman"/>
          <w:noProof/>
        </w:rPr>
        <w:t xml:space="preserve">, </w:t>
      </w:r>
      <w:r w:rsidRPr="003032DB">
        <w:rPr>
          <w:rFonts w:cs="Times New Roman"/>
          <w:i/>
          <w:iCs/>
          <w:noProof/>
        </w:rPr>
        <w:t>118</w:t>
      </w:r>
      <w:r w:rsidRPr="003032DB">
        <w:rPr>
          <w:rFonts w:cs="Times New Roman"/>
          <w:noProof/>
        </w:rPr>
        <w:t>(5), 607–637. https://doi.org/10.1086/283858</w:t>
      </w:r>
    </w:p>
    <w:p w14:paraId="709AD286"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 xml:space="preserve">Heskel, M. A., O’Sullivan, O. S., Reich, P. B., Tjoelker, M. G., Weerasinghe, K. W. L. K., Penillard, A., Egerton, J. J. G., Creek, D., Bloomfield, K. J., Xiang, J., Sinca, F., Stangl, Z. R., Martinez-de la Torre, A., Griffin, K. L., Huntingford, C., Hurry, V., Meir, P., Turnbull, M. H., &amp; Atkin, O. K. (2016). Convergence in the temperature response of leaf respiration across biomes and plant functional types. </w:t>
      </w:r>
      <w:r w:rsidRPr="003032DB">
        <w:rPr>
          <w:rFonts w:cs="Times New Roman"/>
          <w:i/>
          <w:iCs/>
          <w:noProof/>
        </w:rPr>
        <w:t>Proceedings of the National Academy of Sciences</w:t>
      </w:r>
      <w:r w:rsidRPr="003032DB">
        <w:rPr>
          <w:rFonts w:cs="Times New Roman"/>
          <w:noProof/>
        </w:rPr>
        <w:t xml:space="preserve">, </w:t>
      </w:r>
      <w:r w:rsidRPr="003032DB">
        <w:rPr>
          <w:rFonts w:cs="Times New Roman"/>
          <w:i/>
          <w:iCs/>
          <w:noProof/>
        </w:rPr>
        <w:t>113</w:t>
      </w:r>
      <w:r w:rsidRPr="003032DB">
        <w:rPr>
          <w:rFonts w:cs="Times New Roman"/>
          <w:noProof/>
        </w:rPr>
        <w:t>(14), 3832–3837. https://doi.org/10.1073/pnas.1520282113</w:t>
      </w:r>
    </w:p>
    <w:p w14:paraId="7E8B5523"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 xml:space="preserve">Hoagland, D. R., &amp; Arnon, D. I. (1950). The water-culture method for growing plants without soil. </w:t>
      </w:r>
      <w:r w:rsidRPr="003032DB">
        <w:rPr>
          <w:rFonts w:cs="Times New Roman"/>
          <w:i/>
          <w:iCs/>
          <w:noProof/>
        </w:rPr>
        <w:t>California Agricultural Experiment Station: 347</w:t>
      </w:r>
      <w:r w:rsidRPr="003032DB">
        <w:rPr>
          <w:rFonts w:cs="Times New Roman"/>
          <w:noProof/>
        </w:rPr>
        <w:t xml:space="preserve">, </w:t>
      </w:r>
      <w:r w:rsidRPr="003032DB">
        <w:rPr>
          <w:rFonts w:cs="Times New Roman"/>
          <w:i/>
          <w:iCs/>
          <w:noProof/>
        </w:rPr>
        <w:t>347</w:t>
      </w:r>
      <w:r w:rsidRPr="003032DB">
        <w:rPr>
          <w:rFonts w:cs="Times New Roman"/>
          <w:noProof/>
        </w:rPr>
        <w:t>(2), 1–32.</w:t>
      </w:r>
    </w:p>
    <w:p w14:paraId="424E26A9"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 xml:space="preserve">Hungate, B. A., Dukes, J. S., Shaw, M. R., Luo, Y., &amp; Field, C. B. (2003). Nitrogen and climate change. </w:t>
      </w:r>
      <w:r w:rsidRPr="003032DB">
        <w:rPr>
          <w:rFonts w:cs="Times New Roman"/>
          <w:i/>
          <w:iCs/>
          <w:noProof/>
        </w:rPr>
        <w:t>Science</w:t>
      </w:r>
      <w:r w:rsidRPr="003032DB">
        <w:rPr>
          <w:rFonts w:cs="Times New Roman"/>
          <w:noProof/>
        </w:rPr>
        <w:t xml:space="preserve">, </w:t>
      </w:r>
      <w:r w:rsidRPr="003032DB">
        <w:rPr>
          <w:rFonts w:cs="Times New Roman"/>
          <w:i/>
          <w:iCs/>
          <w:noProof/>
        </w:rPr>
        <w:t>302</w:t>
      </w:r>
      <w:r w:rsidRPr="003032DB">
        <w:rPr>
          <w:rFonts w:cs="Times New Roman"/>
          <w:noProof/>
        </w:rPr>
        <w:t>(5650), 1512–1513. https://doi.org/10.1126/science.1091390</w:t>
      </w:r>
    </w:p>
    <w:p w14:paraId="4B2E007A"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 xml:space="preserve">IPCC. (2013). </w:t>
      </w:r>
      <w:r w:rsidRPr="003032DB">
        <w:rPr>
          <w:rFonts w:cs="Times New Roman"/>
          <w:i/>
          <w:iCs/>
          <w:noProof/>
        </w:rPr>
        <w:t>Climate Change 2013: The Physical Science Basis. Contribution of Working Group I to the Fifth Assessment Report of the Intergovernmental Panel on Climate Change</w:t>
      </w:r>
      <w:r w:rsidRPr="003032DB">
        <w:rPr>
          <w:rFonts w:cs="Times New Roman"/>
          <w:noProof/>
        </w:rPr>
        <w:t>.</w:t>
      </w:r>
    </w:p>
    <w:p w14:paraId="3ED5356B"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 xml:space="preserve">Katabuchi, M. (2015). LeafArea: An R package for rapid digital analysis of leaf area. </w:t>
      </w:r>
      <w:r w:rsidRPr="003032DB">
        <w:rPr>
          <w:rFonts w:cs="Times New Roman"/>
          <w:i/>
          <w:iCs/>
          <w:noProof/>
        </w:rPr>
        <w:t>Ecological Research</w:t>
      </w:r>
      <w:r w:rsidRPr="003032DB">
        <w:rPr>
          <w:rFonts w:cs="Times New Roman"/>
          <w:noProof/>
        </w:rPr>
        <w:t xml:space="preserve">, </w:t>
      </w:r>
      <w:r w:rsidRPr="003032DB">
        <w:rPr>
          <w:rFonts w:cs="Times New Roman"/>
          <w:i/>
          <w:iCs/>
          <w:noProof/>
        </w:rPr>
        <w:t>30</w:t>
      </w:r>
      <w:r w:rsidRPr="003032DB">
        <w:rPr>
          <w:rFonts w:cs="Times New Roman"/>
          <w:noProof/>
        </w:rPr>
        <w:t>(6), 1073–1077.</w:t>
      </w:r>
    </w:p>
    <w:p w14:paraId="146F0F55"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 xml:space="preserve">Kattge, J., &amp; Knorr, W. (2007). Temperature acclimation in a biochemical model of photosynthesis: a reanalysis of data from 36 species. </w:t>
      </w:r>
      <w:r w:rsidRPr="003032DB">
        <w:rPr>
          <w:rFonts w:cs="Times New Roman"/>
          <w:i/>
          <w:iCs/>
          <w:noProof/>
        </w:rPr>
        <w:t>Plant, Cell &amp; Environment</w:t>
      </w:r>
      <w:r w:rsidRPr="003032DB">
        <w:rPr>
          <w:rFonts w:cs="Times New Roman"/>
          <w:noProof/>
        </w:rPr>
        <w:t xml:space="preserve">, </w:t>
      </w:r>
      <w:r w:rsidRPr="003032DB">
        <w:rPr>
          <w:rFonts w:cs="Times New Roman"/>
          <w:i/>
          <w:iCs/>
          <w:noProof/>
        </w:rPr>
        <w:t>30</w:t>
      </w:r>
      <w:r w:rsidRPr="003032DB">
        <w:rPr>
          <w:rFonts w:cs="Times New Roman"/>
          <w:noProof/>
        </w:rPr>
        <w:t>(9), 1176–1190. https://doi.org/10.1111/j.1365-3040.2007.01690.x</w:t>
      </w:r>
    </w:p>
    <w:p w14:paraId="03ABF1F8"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 xml:space="preserve">Kenward, M. G., &amp; Roger, J. H. (1997). Small sample inference for fixed effects from restricted maximum likelihood. </w:t>
      </w:r>
      <w:r w:rsidRPr="003032DB">
        <w:rPr>
          <w:rFonts w:cs="Times New Roman"/>
          <w:i/>
          <w:iCs/>
          <w:noProof/>
        </w:rPr>
        <w:t>Biometrics</w:t>
      </w:r>
      <w:r w:rsidRPr="003032DB">
        <w:rPr>
          <w:rFonts w:cs="Times New Roman"/>
          <w:noProof/>
        </w:rPr>
        <w:t xml:space="preserve">, </w:t>
      </w:r>
      <w:r w:rsidRPr="003032DB">
        <w:rPr>
          <w:rFonts w:cs="Times New Roman"/>
          <w:i/>
          <w:iCs/>
          <w:noProof/>
        </w:rPr>
        <w:t>53</w:t>
      </w:r>
      <w:r w:rsidRPr="003032DB">
        <w:rPr>
          <w:rFonts w:cs="Times New Roman"/>
          <w:noProof/>
        </w:rPr>
        <w:t>(3), 983. https://doi.org/10.2307/2533558</w:t>
      </w:r>
    </w:p>
    <w:p w14:paraId="766E7282"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 xml:space="preserve">LeBauer, D. S., &amp; Treseder, K. (2008). Nitrogen limitation of net primary productivity. </w:t>
      </w:r>
      <w:r w:rsidRPr="003032DB">
        <w:rPr>
          <w:rFonts w:cs="Times New Roman"/>
          <w:i/>
          <w:iCs/>
          <w:noProof/>
        </w:rPr>
        <w:t>Ecology</w:t>
      </w:r>
      <w:r w:rsidRPr="003032DB">
        <w:rPr>
          <w:rFonts w:cs="Times New Roman"/>
          <w:noProof/>
        </w:rPr>
        <w:t xml:space="preserve">, </w:t>
      </w:r>
      <w:r w:rsidRPr="003032DB">
        <w:rPr>
          <w:rFonts w:cs="Times New Roman"/>
          <w:i/>
          <w:iCs/>
          <w:noProof/>
        </w:rPr>
        <w:t>89</w:t>
      </w:r>
      <w:r w:rsidRPr="003032DB">
        <w:rPr>
          <w:rFonts w:cs="Times New Roman"/>
          <w:noProof/>
        </w:rPr>
        <w:t>(2), 371–379. https://doi.org/10.1890/06-2057.1</w:t>
      </w:r>
    </w:p>
    <w:p w14:paraId="062BE702"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 xml:space="preserve">Lenth, R. (2019). </w:t>
      </w:r>
      <w:r w:rsidRPr="003032DB">
        <w:rPr>
          <w:rFonts w:cs="Times New Roman"/>
          <w:i/>
          <w:iCs/>
          <w:noProof/>
        </w:rPr>
        <w:t>emmeans: estimated marginal means, aka least-squares means</w:t>
      </w:r>
      <w:r w:rsidRPr="003032DB">
        <w:rPr>
          <w:rFonts w:cs="Times New Roman"/>
          <w:noProof/>
        </w:rPr>
        <w:t>.</w:t>
      </w:r>
    </w:p>
    <w:p w14:paraId="5D49DBEA"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 xml:space="preserve">Li, W., Zhang, H., Huang, G., Liu, R., Wu, H., Zhao, C., &amp; McDowell, N. G. (2020). Effects of nitrogen enrichment on tree carbon allocation: A global synthesis. </w:t>
      </w:r>
      <w:r w:rsidRPr="003032DB">
        <w:rPr>
          <w:rFonts w:cs="Times New Roman"/>
          <w:i/>
          <w:iCs/>
          <w:noProof/>
        </w:rPr>
        <w:t>Global Ecology and Biogeography</w:t>
      </w:r>
      <w:r w:rsidRPr="003032DB">
        <w:rPr>
          <w:rFonts w:cs="Times New Roman"/>
          <w:noProof/>
        </w:rPr>
        <w:t xml:space="preserve">, </w:t>
      </w:r>
      <w:r w:rsidRPr="003032DB">
        <w:rPr>
          <w:rFonts w:cs="Times New Roman"/>
          <w:i/>
          <w:iCs/>
          <w:noProof/>
        </w:rPr>
        <w:t>29</w:t>
      </w:r>
      <w:r w:rsidRPr="003032DB">
        <w:rPr>
          <w:rFonts w:cs="Times New Roman"/>
          <w:noProof/>
        </w:rPr>
        <w:t>(3), 573–589. https://doi.org/10.1111/geb.13042</w:t>
      </w:r>
    </w:p>
    <w:p w14:paraId="758695F1"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 xml:space="preserve">Liang, X., Zhang, T., Lu, X., Ellsworth, D. S., BassiriRad, H., You, C., Wang, D., He, P., Deng, Q., Liu, H., Mo, J., &amp; Ye, Q. (2020). Global response patterns of plant photosynthesis to nitrogen addition: A meta‐analysis. </w:t>
      </w:r>
      <w:r w:rsidRPr="003032DB">
        <w:rPr>
          <w:rFonts w:cs="Times New Roman"/>
          <w:i/>
          <w:iCs/>
          <w:noProof/>
        </w:rPr>
        <w:t>Global Change Biology</w:t>
      </w:r>
      <w:r w:rsidRPr="003032DB">
        <w:rPr>
          <w:rFonts w:cs="Times New Roman"/>
          <w:noProof/>
        </w:rPr>
        <w:t xml:space="preserve">, </w:t>
      </w:r>
      <w:r w:rsidRPr="003032DB">
        <w:rPr>
          <w:rFonts w:cs="Times New Roman"/>
          <w:i/>
          <w:iCs/>
          <w:noProof/>
        </w:rPr>
        <w:t>26</w:t>
      </w:r>
      <w:r w:rsidRPr="003032DB">
        <w:rPr>
          <w:rFonts w:cs="Times New Roman"/>
          <w:noProof/>
        </w:rPr>
        <w:t>(6), 3585–3600. https://doi.org/10.1111/gcb.15071</w:t>
      </w:r>
    </w:p>
    <w:p w14:paraId="47333B02"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lastRenderedPageBreak/>
        <w:t xml:space="preserve">Maire, V., Wright, I. J., Prentice, I. C., Batjes, N. H., Bhaskar, R., van Bodegom, P. M., Cornwell, W. K., Ellsworth, D., Niinemets, Ü., Ordonez, A., Reich, P. B., &amp; Santiago, L. S. (2015). Global effects of soil and climate on leaf photosynthetic traits and rates. </w:t>
      </w:r>
      <w:r w:rsidRPr="003032DB">
        <w:rPr>
          <w:rFonts w:cs="Times New Roman"/>
          <w:i/>
          <w:iCs/>
          <w:noProof/>
        </w:rPr>
        <w:t>Global Ecology and Biogeography</w:t>
      </w:r>
      <w:r w:rsidRPr="003032DB">
        <w:rPr>
          <w:rFonts w:cs="Times New Roman"/>
          <w:noProof/>
        </w:rPr>
        <w:t xml:space="preserve">, </w:t>
      </w:r>
      <w:r w:rsidRPr="003032DB">
        <w:rPr>
          <w:rFonts w:cs="Times New Roman"/>
          <w:i/>
          <w:iCs/>
          <w:noProof/>
        </w:rPr>
        <w:t>24</w:t>
      </w:r>
      <w:r w:rsidRPr="003032DB">
        <w:rPr>
          <w:rFonts w:cs="Times New Roman"/>
          <w:noProof/>
        </w:rPr>
        <w:t>(6), 706–717. https://doi.org/10.1111/geb.12296</w:t>
      </w:r>
    </w:p>
    <w:p w14:paraId="136B8A54"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 xml:space="preserve">Medlyn, B. E., Dreyer, E., Ellsworth, D. S., Forstreuter, M., Harley, P. C., Kirschbaum, M. U. F., Le Roux, X., Montpied, P., Strassemeyer, J., Walcroft, A., Wang, K., &amp; Loustau, D. (2002). Temperature response of parameters of a biochemically based model of photosynthesis. II. A review of experimental data. </w:t>
      </w:r>
      <w:r w:rsidRPr="003032DB">
        <w:rPr>
          <w:rFonts w:cs="Times New Roman"/>
          <w:i/>
          <w:iCs/>
          <w:noProof/>
        </w:rPr>
        <w:t>Plant, Cell &amp; Environment</w:t>
      </w:r>
      <w:r w:rsidRPr="003032DB">
        <w:rPr>
          <w:rFonts w:cs="Times New Roman"/>
          <w:noProof/>
        </w:rPr>
        <w:t xml:space="preserve">, </w:t>
      </w:r>
      <w:r w:rsidRPr="003032DB">
        <w:rPr>
          <w:rFonts w:cs="Times New Roman"/>
          <w:i/>
          <w:iCs/>
          <w:noProof/>
        </w:rPr>
        <w:t>25</w:t>
      </w:r>
      <w:r w:rsidRPr="003032DB">
        <w:rPr>
          <w:rFonts w:cs="Times New Roman"/>
          <w:noProof/>
        </w:rPr>
        <w:t>(9), 1167–1179. https://doi.org/10.1046/j.1365-3040.2002.00891.x</w:t>
      </w:r>
    </w:p>
    <w:p w14:paraId="1FA680C0"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O’Sullivan, O. S., Weerasinghe, K. W. L. K., Evans, J. R., Egerton, J. J. G., Tjoelker, M. G., &amp; Atkin, O. K. (2013). High-resolution temperature responses of leaf respiration in snow gum (</w:t>
      </w:r>
      <w:r w:rsidRPr="003032DB">
        <w:rPr>
          <w:rFonts w:cs="Times New Roman"/>
          <w:i/>
          <w:iCs/>
          <w:noProof/>
        </w:rPr>
        <w:t>Eucalyptus pauciflora</w:t>
      </w:r>
      <w:r w:rsidRPr="003032DB">
        <w:rPr>
          <w:rFonts w:cs="Times New Roman"/>
          <w:noProof/>
        </w:rPr>
        <w:t xml:space="preserve">) reveal high-temperature limits to respiratory function. </w:t>
      </w:r>
      <w:r w:rsidRPr="003032DB">
        <w:rPr>
          <w:rFonts w:cs="Times New Roman"/>
          <w:i/>
          <w:iCs/>
          <w:noProof/>
        </w:rPr>
        <w:t>Plant, Cell &amp; Environment</w:t>
      </w:r>
      <w:r w:rsidRPr="003032DB">
        <w:rPr>
          <w:rFonts w:cs="Times New Roman"/>
          <w:noProof/>
        </w:rPr>
        <w:t xml:space="preserve">, </w:t>
      </w:r>
      <w:r w:rsidRPr="003032DB">
        <w:rPr>
          <w:rFonts w:cs="Times New Roman"/>
          <w:i/>
          <w:iCs/>
          <w:noProof/>
        </w:rPr>
        <w:t>36</w:t>
      </w:r>
      <w:r w:rsidRPr="003032DB">
        <w:rPr>
          <w:rFonts w:cs="Times New Roman"/>
          <w:noProof/>
        </w:rPr>
        <w:t>(7), 1268–1284. https://doi.org/10.1111/pce.12057</w:t>
      </w:r>
    </w:p>
    <w:p w14:paraId="51A5FD1F"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 xml:space="preserve">Onoda, Y., Hikosaka, K., &amp; Hirose, T. (2004). Allocation of nitrogen to cell walls decreases photosynthetic nitrogen-use efficiency. </w:t>
      </w:r>
      <w:r w:rsidRPr="003032DB">
        <w:rPr>
          <w:rFonts w:cs="Times New Roman"/>
          <w:i/>
          <w:iCs/>
          <w:noProof/>
        </w:rPr>
        <w:t>Functional Ecology</w:t>
      </w:r>
      <w:r w:rsidRPr="003032DB">
        <w:rPr>
          <w:rFonts w:cs="Times New Roman"/>
          <w:noProof/>
        </w:rPr>
        <w:t xml:space="preserve">, </w:t>
      </w:r>
      <w:r w:rsidRPr="003032DB">
        <w:rPr>
          <w:rFonts w:cs="Times New Roman"/>
          <w:i/>
          <w:iCs/>
          <w:noProof/>
        </w:rPr>
        <w:t>18</w:t>
      </w:r>
      <w:r w:rsidRPr="003032DB">
        <w:rPr>
          <w:rFonts w:cs="Times New Roman"/>
          <w:noProof/>
        </w:rPr>
        <w:t>(3), 419–425. https://doi.org/10.1111/j.0269-8463.2004.00847.x</w:t>
      </w:r>
    </w:p>
    <w:p w14:paraId="67EC7104"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 xml:space="preserve">Onoda, Y., Wright, I. J., Evans, J. R., Hikosaka, K., Kitajima, K., Niinemets, Ü., Poorter, H., Tosens, T., &amp; Westoby, M. (2017). Physiological and structural tradeoffs underlying the leaf economics spectrum. </w:t>
      </w:r>
      <w:r w:rsidRPr="003032DB">
        <w:rPr>
          <w:rFonts w:cs="Times New Roman"/>
          <w:i/>
          <w:iCs/>
          <w:noProof/>
        </w:rPr>
        <w:t>New Phytologist</w:t>
      </w:r>
      <w:r w:rsidRPr="003032DB">
        <w:rPr>
          <w:rFonts w:cs="Times New Roman"/>
          <w:noProof/>
        </w:rPr>
        <w:t xml:space="preserve">, </w:t>
      </w:r>
      <w:r w:rsidRPr="003032DB">
        <w:rPr>
          <w:rFonts w:cs="Times New Roman"/>
          <w:i/>
          <w:iCs/>
          <w:noProof/>
        </w:rPr>
        <w:t>214</w:t>
      </w:r>
      <w:r w:rsidRPr="003032DB">
        <w:rPr>
          <w:rFonts w:cs="Times New Roman"/>
          <w:noProof/>
        </w:rPr>
        <w:t>(4), 1447–1463. https://doi.org/10.1111/nph.14496</w:t>
      </w:r>
    </w:p>
    <w:p w14:paraId="74B88FB9"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 xml:space="preserve">Paillassa, J., Wright, I. J., Prentice, I. C., Pepin, S., Smith, N. G., Ethier, G., Westerband, A. C., Lamarque, L. J., Wang, H., Cornwell, W. K., &amp; Maire, V. (2020). When and where soil is important to modify the carbon and water economy of leaves. </w:t>
      </w:r>
      <w:r w:rsidRPr="003032DB">
        <w:rPr>
          <w:rFonts w:cs="Times New Roman"/>
          <w:i/>
          <w:iCs/>
          <w:noProof/>
        </w:rPr>
        <w:t>New Phytologist</w:t>
      </w:r>
      <w:r w:rsidRPr="003032DB">
        <w:rPr>
          <w:rFonts w:cs="Times New Roman"/>
          <w:noProof/>
        </w:rPr>
        <w:t xml:space="preserve">, </w:t>
      </w:r>
      <w:r w:rsidRPr="003032DB">
        <w:rPr>
          <w:rFonts w:cs="Times New Roman"/>
          <w:i/>
          <w:iCs/>
          <w:noProof/>
        </w:rPr>
        <w:t>228</w:t>
      </w:r>
      <w:r w:rsidRPr="003032DB">
        <w:rPr>
          <w:rFonts w:cs="Times New Roman"/>
          <w:noProof/>
        </w:rPr>
        <w:t>(1), 121–135. https://doi.org/10.1111/nph.16702</w:t>
      </w:r>
    </w:p>
    <w:p w14:paraId="676EB446"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 xml:space="preserve">Perkowski, E. A., Waring, E. F., &amp; Smith, N. G. (2021). Root mass carbon costs to acquire nitrogen are determined by nitrogen and light availability in two species with different nitrogen acquisition strategies. </w:t>
      </w:r>
      <w:r w:rsidRPr="003032DB">
        <w:rPr>
          <w:rFonts w:cs="Times New Roman"/>
          <w:i/>
          <w:iCs/>
          <w:noProof/>
        </w:rPr>
        <w:t>Journal of Experimental Botany</w:t>
      </w:r>
      <w:r w:rsidRPr="003032DB">
        <w:rPr>
          <w:rFonts w:cs="Times New Roman"/>
          <w:noProof/>
        </w:rPr>
        <w:t xml:space="preserve">, </w:t>
      </w:r>
      <w:r w:rsidRPr="003032DB">
        <w:rPr>
          <w:rFonts w:cs="Times New Roman"/>
          <w:i/>
          <w:iCs/>
          <w:noProof/>
        </w:rPr>
        <w:t>72</w:t>
      </w:r>
      <w:r w:rsidRPr="003032DB">
        <w:rPr>
          <w:rFonts w:cs="Times New Roman"/>
          <w:noProof/>
        </w:rPr>
        <w:t>(15), 5766–5776. https://doi.org/10.1093/jxb/erab253</w:t>
      </w:r>
    </w:p>
    <w:p w14:paraId="1D06DC3D"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 xml:space="preserve">Poorter, H., Bühler, J., Van Dusschoten, D., Climent, J., &amp; Postma, J. A. (2012). Pot size matters: A meta-analysis of the effects of rooting volume on plant growth. </w:t>
      </w:r>
      <w:r w:rsidRPr="003032DB">
        <w:rPr>
          <w:rFonts w:cs="Times New Roman"/>
          <w:i/>
          <w:iCs/>
          <w:noProof/>
        </w:rPr>
        <w:t>Functional Plant Biology</w:t>
      </w:r>
      <w:r w:rsidRPr="003032DB">
        <w:rPr>
          <w:rFonts w:cs="Times New Roman"/>
          <w:noProof/>
        </w:rPr>
        <w:t xml:space="preserve">, </w:t>
      </w:r>
      <w:r w:rsidRPr="003032DB">
        <w:rPr>
          <w:rFonts w:cs="Times New Roman"/>
          <w:i/>
          <w:iCs/>
          <w:noProof/>
        </w:rPr>
        <w:t>39</w:t>
      </w:r>
      <w:r w:rsidRPr="003032DB">
        <w:rPr>
          <w:rFonts w:cs="Times New Roman"/>
          <w:noProof/>
        </w:rPr>
        <w:t>(11), 839–850. https://doi.org/10.1071/FP12049</w:t>
      </w:r>
    </w:p>
    <w:p w14:paraId="2B3BDED6"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lastRenderedPageBreak/>
        <w:t xml:space="preserve">Prentice, I. C., Dong, N., Gleason, S. M., Maire, V., &amp; Wright, I. J. (2014). Balancing the costs of carbon gain and water transport: testing a new theoretical framework for plant functional ecology. </w:t>
      </w:r>
      <w:r w:rsidRPr="003032DB">
        <w:rPr>
          <w:rFonts w:cs="Times New Roman"/>
          <w:i/>
          <w:iCs/>
          <w:noProof/>
        </w:rPr>
        <w:t>Ecology Letters</w:t>
      </w:r>
      <w:r w:rsidRPr="003032DB">
        <w:rPr>
          <w:rFonts w:cs="Times New Roman"/>
          <w:noProof/>
        </w:rPr>
        <w:t xml:space="preserve">, </w:t>
      </w:r>
      <w:r w:rsidRPr="003032DB">
        <w:rPr>
          <w:rFonts w:cs="Times New Roman"/>
          <w:i/>
          <w:iCs/>
          <w:noProof/>
        </w:rPr>
        <w:t>17</w:t>
      </w:r>
      <w:r w:rsidRPr="003032DB">
        <w:rPr>
          <w:rFonts w:cs="Times New Roman"/>
          <w:noProof/>
        </w:rPr>
        <w:t>(1), 82–91. https://doi.org/10.1111/ele.12211</w:t>
      </w:r>
    </w:p>
    <w:p w14:paraId="32E086F1"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 xml:space="preserve">R Core Team. (2021). </w:t>
      </w:r>
      <w:r w:rsidRPr="003032DB">
        <w:rPr>
          <w:rFonts w:cs="Times New Roman"/>
          <w:i/>
          <w:iCs/>
          <w:noProof/>
        </w:rPr>
        <w:t>R: A language and environment for statistical computing</w:t>
      </w:r>
      <w:r w:rsidRPr="003032DB">
        <w:rPr>
          <w:rFonts w:cs="Times New Roman"/>
          <w:noProof/>
        </w:rPr>
        <w:t xml:space="preserve"> (4.1.1). R Foundation for Statistical Computing. https://www.r-project.org/</w:t>
      </w:r>
    </w:p>
    <w:p w14:paraId="6AA5A52A"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 xml:space="preserve">Rastetter, E. B., Vitousek, P. M., Field, C. B., Shaver, G. R., Herbert, D., &amp; Ågren, G. I. (2001). Resource optimization and symbiotic nitrogen fixation. </w:t>
      </w:r>
      <w:r w:rsidRPr="003032DB">
        <w:rPr>
          <w:rFonts w:cs="Times New Roman"/>
          <w:i/>
          <w:iCs/>
          <w:noProof/>
        </w:rPr>
        <w:t>Ecosystems</w:t>
      </w:r>
      <w:r w:rsidRPr="003032DB">
        <w:rPr>
          <w:rFonts w:cs="Times New Roman"/>
          <w:noProof/>
        </w:rPr>
        <w:t xml:space="preserve">, </w:t>
      </w:r>
      <w:r w:rsidRPr="003032DB">
        <w:rPr>
          <w:rFonts w:cs="Times New Roman"/>
          <w:i/>
          <w:iCs/>
          <w:noProof/>
        </w:rPr>
        <w:t>4</w:t>
      </w:r>
      <w:r w:rsidRPr="003032DB">
        <w:rPr>
          <w:rFonts w:cs="Times New Roman"/>
          <w:noProof/>
        </w:rPr>
        <w:t>(4), 369–388. https://doi.org/10.1007/s10021-001-0018-z</w:t>
      </w:r>
    </w:p>
    <w:p w14:paraId="6FBE1F63"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Rogers, A. (2014). The use and misuse of V</w:t>
      </w:r>
      <w:r w:rsidRPr="003032DB">
        <w:rPr>
          <w:rFonts w:cs="Times New Roman"/>
          <w:noProof/>
          <w:vertAlign w:val="subscript"/>
        </w:rPr>
        <w:t>c,max</w:t>
      </w:r>
      <w:r w:rsidRPr="003032DB">
        <w:rPr>
          <w:rFonts w:cs="Times New Roman"/>
          <w:noProof/>
        </w:rPr>
        <w:t xml:space="preserve"> in Earth System Models. </w:t>
      </w:r>
      <w:r w:rsidRPr="003032DB">
        <w:rPr>
          <w:rFonts w:cs="Times New Roman"/>
          <w:i/>
          <w:iCs/>
          <w:noProof/>
        </w:rPr>
        <w:t>Photosynthesis Research</w:t>
      </w:r>
      <w:r w:rsidRPr="003032DB">
        <w:rPr>
          <w:rFonts w:cs="Times New Roman"/>
          <w:noProof/>
        </w:rPr>
        <w:t xml:space="preserve">, </w:t>
      </w:r>
      <w:r w:rsidRPr="003032DB">
        <w:rPr>
          <w:rFonts w:cs="Times New Roman"/>
          <w:i/>
          <w:iCs/>
          <w:noProof/>
        </w:rPr>
        <w:t>119</w:t>
      </w:r>
      <w:r w:rsidRPr="003032DB">
        <w:rPr>
          <w:rFonts w:cs="Times New Roman"/>
          <w:noProof/>
        </w:rPr>
        <w:t>(1–2), 15–29. https://doi.org/10.1007/s11120-013-9818-1</w:t>
      </w:r>
    </w:p>
    <w:p w14:paraId="6BC6FEB7"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 xml:space="preserve">Rogers, A., Medlyn, B. E., Dukes, J. S., Bonan, G., von Caemmerer, S., Dietze, M. C., Kattge, J., Leakey, A. D. B., Mercado, L. M., Niinemets, Ü., Prentice, I. C., Serbin, S. P., Sitch, S., Way, D. A., &amp; Zaehle, S. (2017). A roadmap for improving the representation of photosynthesis in Earth system models. </w:t>
      </w:r>
      <w:r w:rsidRPr="003032DB">
        <w:rPr>
          <w:rFonts w:cs="Times New Roman"/>
          <w:i/>
          <w:iCs/>
          <w:noProof/>
        </w:rPr>
        <w:t>New Phytologist</w:t>
      </w:r>
      <w:r w:rsidRPr="003032DB">
        <w:rPr>
          <w:rFonts w:cs="Times New Roman"/>
          <w:noProof/>
        </w:rPr>
        <w:t xml:space="preserve">, </w:t>
      </w:r>
      <w:r w:rsidRPr="003032DB">
        <w:rPr>
          <w:rFonts w:cs="Times New Roman"/>
          <w:i/>
          <w:iCs/>
          <w:noProof/>
        </w:rPr>
        <w:t>213</w:t>
      </w:r>
      <w:r w:rsidRPr="003032DB">
        <w:rPr>
          <w:rFonts w:cs="Times New Roman"/>
          <w:noProof/>
        </w:rPr>
        <w:t>(1), 22–42. https://doi.org/10.1111/nph.14283</w:t>
      </w:r>
    </w:p>
    <w:p w14:paraId="4C26A618"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 xml:space="preserve">Schneider, C. A., Rasband, W. S., &amp; Eliceiri, K. W. (2012). NIH Image to ImageJ: 25 years of image analysis. </w:t>
      </w:r>
      <w:r w:rsidRPr="003032DB">
        <w:rPr>
          <w:rFonts w:cs="Times New Roman"/>
          <w:i/>
          <w:iCs/>
          <w:noProof/>
        </w:rPr>
        <w:t>Nature Methods</w:t>
      </w:r>
      <w:r w:rsidRPr="003032DB">
        <w:rPr>
          <w:rFonts w:cs="Times New Roman"/>
          <w:noProof/>
        </w:rPr>
        <w:t xml:space="preserve">, </w:t>
      </w:r>
      <w:r w:rsidRPr="003032DB">
        <w:rPr>
          <w:rFonts w:cs="Times New Roman"/>
          <w:i/>
          <w:iCs/>
          <w:noProof/>
        </w:rPr>
        <w:t>9</w:t>
      </w:r>
      <w:r w:rsidRPr="003032DB">
        <w:rPr>
          <w:rFonts w:cs="Times New Roman"/>
          <w:noProof/>
        </w:rPr>
        <w:t>(7), 671–675. https://doi.org/10.1038/nmeth.2089</w:t>
      </w:r>
    </w:p>
    <w:p w14:paraId="01BECB0D"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Smith, N. G., &amp; Dukes, J. S. (2013). Plant respiration and photosynthesis in global-scale models: Incorporating acclimation to temperature and CO</w:t>
      </w:r>
      <w:r w:rsidRPr="003032DB">
        <w:rPr>
          <w:rFonts w:cs="Times New Roman"/>
          <w:noProof/>
          <w:vertAlign w:val="subscript"/>
        </w:rPr>
        <w:t>2</w:t>
      </w:r>
      <w:r w:rsidRPr="003032DB">
        <w:rPr>
          <w:rFonts w:cs="Times New Roman"/>
          <w:noProof/>
        </w:rPr>
        <w:t xml:space="preserve">. </w:t>
      </w:r>
      <w:r w:rsidRPr="003032DB">
        <w:rPr>
          <w:rFonts w:cs="Times New Roman"/>
          <w:i/>
          <w:iCs/>
          <w:noProof/>
        </w:rPr>
        <w:t>Global Change Biology</w:t>
      </w:r>
      <w:r w:rsidRPr="003032DB">
        <w:rPr>
          <w:rFonts w:cs="Times New Roman"/>
          <w:noProof/>
        </w:rPr>
        <w:t xml:space="preserve">, </w:t>
      </w:r>
      <w:r w:rsidRPr="003032DB">
        <w:rPr>
          <w:rFonts w:cs="Times New Roman"/>
          <w:i/>
          <w:iCs/>
          <w:noProof/>
        </w:rPr>
        <w:t>19</w:t>
      </w:r>
      <w:r w:rsidRPr="003032DB">
        <w:rPr>
          <w:rFonts w:cs="Times New Roman"/>
          <w:noProof/>
        </w:rPr>
        <w:t>(1), 45–63. https://doi.org/10.1111/j.1365-2486.2012.02797.x</w:t>
      </w:r>
    </w:p>
    <w:p w14:paraId="0F806D85"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 xml:space="preserve">Smith, N. G., Keenan, T. F., Prentice, I. C., Wang, H., Wright, I. J., Niinemets, Ü., Crous, K. Y., Domingues, T. F., Guerrieri, R., Ishida, F. oko, Kattge, J., Kruger, E. L., Maire, V., Rogers, A., Serbin, S. P., Tarvainen, L., Togashi, H. F., Townsend, P. A., Wang, M., … Zhou, S.-X. (2019). Global photosynthetic capacity is optimized to the environment. </w:t>
      </w:r>
      <w:r w:rsidRPr="003032DB">
        <w:rPr>
          <w:rFonts w:cs="Times New Roman"/>
          <w:i/>
          <w:iCs/>
          <w:noProof/>
        </w:rPr>
        <w:t>Ecology Letters</w:t>
      </w:r>
      <w:r w:rsidRPr="003032DB">
        <w:rPr>
          <w:rFonts w:cs="Times New Roman"/>
          <w:noProof/>
        </w:rPr>
        <w:t xml:space="preserve">, </w:t>
      </w:r>
      <w:r w:rsidRPr="003032DB">
        <w:rPr>
          <w:rFonts w:cs="Times New Roman"/>
          <w:i/>
          <w:iCs/>
          <w:noProof/>
        </w:rPr>
        <w:t>22</w:t>
      </w:r>
      <w:r w:rsidRPr="003032DB">
        <w:rPr>
          <w:rFonts w:cs="Times New Roman"/>
          <w:noProof/>
        </w:rPr>
        <w:t>(3), 506–517. https://doi.org/10.1111/ele.13210</w:t>
      </w:r>
    </w:p>
    <w:p w14:paraId="4CF638D9"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 xml:space="preserve">Smith, N. G., Lombardozzi, D. L., Tawfik, A., Bonan, G., &amp; Dukes, J. S. (2017). Biophysical consequences of photosynthetic temperature acclimation for climate. </w:t>
      </w:r>
      <w:r w:rsidRPr="003032DB">
        <w:rPr>
          <w:rFonts w:cs="Times New Roman"/>
          <w:i/>
          <w:iCs/>
          <w:noProof/>
        </w:rPr>
        <w:t>Journal of Advances in Modeling Earth Systems</w:t>
      </w:r>
      <w:r w:rsidRPr="003032DB">
        <w:rPr>
          <w:rFonts w:cs="Times New Roman"/>
          <w:noProof/>
        </w:rPr>
        <w:t xml:space="preserve">, </w:t>
      </w:r>
      <w:r w:rsidRPr="003032DB">
        <w:rPr>
          <w:rFonts w:cs="Times New Roman"/>
          <w:i/>
          <w:iCs/>
          <w:noProof/>
        </w:rPr>
        <w:t>9</w:t>
      </w:r>
      <w:r w:rsidRPr="003032DB">
        <w:rPr>
          <w:rFonts w:cs="Times New Roman"/>
          <w:noProof/>
        </w:rPr>
        <w:t>(1), 536–547. https://doi.org/10.1002/2016MS000732</w:t>
      </w:r>
    </w:p>
    <w:p w14:paraId="1CEFA9C9"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 xml:space="preserve">Smith, N. G., Malyshev, S. L., Shevliakova, E., Kattge, J., &amp; Dukes, J. S. (2016). Foliar temperature acclimation reduces simulated carbon sensitivity to climate. </w:t>
      </w:r>
      <w:r w:rsidRPr="003032DB">
        <w:rPr>
          <w:rFonts w:cs="Times New Roman"/>
          <w:i/>
          <w:iCs/>
          <w:noProof/>
        </w:rPr>
        <w:t>Nature Climate Change</w:t>
      </w:r>
      <w:r w:rsidRPr="003032DB">
        <w:rPr>
          <w:rFonts w:cs="Times New Roman"/>
          <w:noProof/>
        </w:rPr>
        <w:t xml:space="preserve">, </w:t>
      </w:r>
      <w:r w:rsidRPr="003032DB">
        <w:rPr>
          <w:rFonts w:cs="Times New Roman"/>
          <w:i/>
          <w:iCs/>
          <w:noProof/>
        </w:rPr>
        <w:t>6</w:t>
      </w:r>
      <w:r w:rsidRPr="003032DB">
        <w:rPr>
          <w:rFonts w:cs="Times New Roman"/>
          <w:noProof/>
        </w:rPr>
        <w:t>(4), 407–411. https://doi.org/10.1038/nclimate2878</w:t>
      </w:r>
    </w:p>
    <w:p w14:paraId="31514C67"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lastRenderedPageBreak/>
        <w:t xml:space="preserve">Smith, S. E., &amp; Read, D. J. (2008). </w:t>
      </w:r>
      <w:r w:rsidRPr="003032DB">
        <w:rPr>
          <w:rFonts w:cs="Times New Roman"/>
          <w:i/>
          <w:iCs/>
          <w:noProof/>
        </w:rPr>
        <w:t>Mycorrhizal Symbiosis</w:t>
      </w:r>
      <w:r w:rsidRPr="003032DB">
        <w:rPr>
          <w:rFonts w:cs="Times New Roman"/>
          <w:noProof/>
        </w:rPr>
        <w:t>.</w:t>
      </w:r>
    </w:p>
    <w:p w14:paraId="16ECD0BB"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 xml:space="preserve">Taiz, L., &amp; Zeiger, E. (2010). </w:t>
      </w:r>
      <w:r w:rsidRPr="003032DB">
        <w:rPr>
          <w:rFonts w:cs="Times New Roman"/>
          <w:i/>
          <w:iCs/>
          <w:noProof/>
        </w:rPr>
        <w:t>Plant physiology</w:t>
      </w:r>
      <w:r w:rsidRPr="003032DB">
        <w:rPr>
          <w:rFonts w:cs="Times New Roman"/>
          <w:noProof/>
        </w:rPr>
        <w:t xml:space="preserve"> (Fifth). Sinauer.</w:t>
      </w:r>
    </w:p>
    <w:p w14:paraId="16104A16"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 xml:space="preserve">Terrer, C., Vicca, S., Stocker, B. D., Hungate, B. A., Phillips, R. P., Reich, P. B., Finzi, A. C., &amp; Prentice, I. C. (2018). Ecosystem responses to elevated &lt;scp&gt;CO&lt;/scp&gt; </w:t>
      </w:r>
      <w:r w:rsidRPr="003032DB">
        <w:rPr>
          <w:rFonts w:cs="Times New Roman"/>
          <w:noProof/>
          <w:vertAlign w:val="subscript"/>
        </w:rPr>
        <w:t>2</w:t>
      </w:r>
      <w:r w:rsidRPr="003032DB">
        <w:rPr>
          <w:rFonts w:cs="Times New Roman"/>
          <w:noProof/>
        </w:rPr>
        <w:t xml:space="preserve"> governed by plant–soil interactions and the cost of nitrogen acquisition. </w:t>
      </w:r>
      <w:r w:rsidRPr="003032DB">
        <w:rPr>
          <w:rFonts w:cs="Times New Roman"/>
          <w:i/>
          <w:iCs/>
          <w:noProof/>
        </w:rPr>
        <w:t>New Phytologist</w:t>
      </w:r>
      <w:r w:rsidRPr="003032DB">
        <w:rPr>
          <w:rFonts w:cs="Times New Roman"/>
          <w:noProof/>
        </w:rPr>
        <w:t xml:space="preserve">, </w:t>
      </w:r>
      <w:r w:rsidRPr="003032DB">
        <w:rPr>
          <w:rFonts w:cs="Times New Roman"/>
          <w:i/>
          <w:iCs/>
          <w:noProof/>
        </w:rPr>
        <w:t>217</w:t>
      </w:r>
      <w:r w:rsidRPr="003032DB">
        <w:rPr>
          <w:rFonts w:cs="Times New Roman"/>
          <w:noProof/>
        </w:rPr>
        <w:t>(2), 507–522. https://doi.org/10.1111/nph.14872</w:t>
      </w:r>
    </w:p>
    <w:p w14:paraId="09F6F1A8"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 xml:space="preserve">Walker, A. P., Beckerman, A. P., Gu, L., Kattge, J., Cernusak, L. A., Domingues, T. F., Scales, J. C., Wohlfahrt, G., Wullschleger, S. D., &amp; Woodward, F. I. (2014). The relationship of leaf photosynthetic traits - Vcmax and Jmax - to leaf nitrogen, leaf phosphorus, and specific leaf area: a meta-analysis and modeling study. </w:t>
      </w:r>
      <w:r w:rsidRPr="003032DB">
        <w:rPr>
          <w:rFonts w:cs="Times New Roman"/>
          <w:i/>
          <w:iCs/>
          <w:noProof/>
        </w:rPr>
        <w:t>Ecology and Evolution</w:t>
      </w:r>
      <w:r w:rsidRPr="003032DB">
        <w:rPr>
          <w:rFonts w:cs="Times New Roman"/>
          <w:noProof/>
        </w:rPr>
        <w:t xml:space="preserve">, </w:t>
      </w:r>
      <w:r w:rsidRPr="003032DB">
        <w:rPr>
          <w:rFonts w:cs="Times New Roman"/>
          <w:i/>
          <w:iCs/>
          <w:noProof/>
        </w:rPr>
        <w:t>4</w:t>
      </w:r>
      <w:r w:rsidRPr="003032DB">
        <w:rPr>
          <w:rFonts w:cs="Times New Roman"/>
          <w:noProof/>
        </w:rPr>
        <w:t>(16), 3218–3235. https://doi.org/10.1002/ece3.1173</w:t>
      </w:r>
    </w:p>
    <w:p w14:paraId="61A16E54"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 xml:space="preserve">Wieder, W. R., Cleveland, C. C., Smith, W. K., &amp; Todd-Brown, K. (2015). Future productivity and carbon storage limited by terrestrial nutrient availability. </w:t>
      </w:r>
      <w:r w:rsidRPr="003032DB">
        <w:rPr>
          <w:rFonts w:cs="Times New Roman"/>
          <w:i/>
          <w:iCs/>
          <w:noProof/>
        </w:rPr>
        <w:t>Nature Geoscience</w:t>
      </w:r>
      <w:r w:rsidRPr="003032DB">
        <w:rPr>
          <w:rFonts w:cs="Times New Roman"/>
          <w:noProof/>
        </w:rPr>
        <w:t xml:space="preserve">, </w:t>
      </w:r>
      <w:r w:rsidRPr="003032DB">
        <w:rPr>
          <w:rFonts w:cs="Times New Roman"/>
          <w:i/>
          <w:iCs/>
          <w:noProof/>
        </w:rPr>
        <w:t>8</w:t>
      </w:r>
      <w:r w:rsidRPr="003032DB">
        <w:rPr>
          <w:rFonts w:cs="Times New Roman"/>
          <w:noProof/>
        </w:rPr>
        <w:t>(6), 441–444. https://doi.org/10.1038/ngeo2413</w:t>
      </w:r>
    </w:p>
    <w:p w14:paraId="0912847B"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 xml:space="preserve">Wieder, W. R., Lawrence, D. M., Fisher, R. A., Bonan, G. B., Cheng, S. J., Goodale, C. L., Grandy, A. S., Koven, C. D., Lombardozzi, D. L., Oleson, K. W., &amp; Thomas, R. Q. (2019). Beyond static benchmarking: using experimental manipulations to evaluate land model assumptions. </w:t>
      </w:r>
      <w:r w:rsidRPr="003032DB">
        <w:rPr>
          <w:rFonts w:cs="Times New Roman"/>
          <w:i/>
          <w:iCs/>
          <w:noProof/>
        </w:rPr>
        <w:t>Global Biogeochemical Cycles</w:t>
      </w:r>
      <w:r w:rsidRPr="003032DB">
        <w:rPr>
          <w:rFonts w:cs="Times New Roman"/>
          <w:noProof/>
        </w:rPr>
        <w:t xml:space="preserve">, </w:t>
      </w:r>
      <w:r w:rsidRPr="003032DB">
        <w:rPr>
          <w:rFonts w:cs="Times New Roman"/>
          <w:i/>
          <w:iCs/>
          <w:noProof/>
        </w:rPr>
        <w:t>33</w:t>
      </w:r>
      <w:r w:rsidRPr="003032DB">
        <w:rPr>
          <w:rFonts w:cs="Times New Roman"/>
          <w:noProof/>
        </w:rPr>
        <w:t>(10), 1289–1309. https://doi.org/10.1029/2018GB006141</w:t>
      </w:r>
    </w:p>
    <w:p w14:paraId="26710EBE"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 xml:space="preserve">Wright, I. J., Reich, P. B., &amp; Westoby, M. (2003). Least-cost input mixtures of water and nitrogen for photosynthesis. </w:t>
      </w:r>
      <w:r w:rsidRPr="003032DB">
        <w:rPr>
          <w:rFonts w:cs="Times New Roman"/>
          <w:i/>
          <w:iCs/>
          <w:noProof/>
        </w:rPr>
        <w:t>The American Naturalist</w:t>
      </w:r>
      <w:r w:rsidRPr="003032DB">
        <w:rPr>
          <w:rFonts w:cs="Times New Roman"/>
          <w:noProof/>
        </w:rPr>
        <w:t xml:space="preserve">, </w:t>
      </w:r>
      <w:r w:rsidRPr="003032DB">
        <w:rPr>
          <w:rFonts w:cs="Times New Roman"/>
          <w:i/>
          <w:iCs/>
          <w:noProof/>
        </w:rPr>
        <w:t>161</w:t>
      </w:r>
      <w:r w:rsidRPr="003032DB">
        <w:rPr>
          <w:rFonts w:cs="Times New Roman"/>
          <w:noProof/>
        </w:rPr>
        <w:t>(1), 98–111. https://doi.org/0003-0147/2003/16101-010387</w:t>
      </w:r>
    </w:p>
    <w:p w14:paraId="5A4F615E" w14:textId="77777777" w:rsidR="003032DB" w:rsidRPr="003032DB" w:rsidRDefault="003032DB" w:rsidP="003032DB">
      <w:pPr>
        <w:widowControl w:val="0"/>
        <w:autoSpaceDE w:val="0"/>
        <w:autoSpaceDN w:val="0"/>
        <w:adjustRightInd w:val="0"/>
        <w:spacing w:line="360" w:lineRule="auto"/>
        <w:ind w:left="480" w:hanging="480"/>
        <w:rPr>
          <w:rFonts w:cs="Times New Roman"/>
          <w:noProof/>
        </w:rPr>
      </w:pPr>
      <w:r w:rsidRPr="003032DB">
        <w:rPr>
          <w:rFonts w:cs="Times New Roman"/>
          <w:noProof/>
        </w:rPr>
        <w:t xml:space="preserve">Ziehn, T., Kattge, J., Knorr, W., &amp; Scholze, M. (2011). Improving the predictability of global CO2 assimilation rates under climate change. </w:t>
      </w:r>
      <w:r w:rsidRPr="003032DB">
        <w:rPr>
          <w:rFonts w:cs="Times New Roman"/>
          <w:i/>
          <w:iCs/>
          <w:noProof/>
        </w:rPr>
        <w:t>Geophysical Research Letters</w:t>
      </w:r>
      <w:r w:rsidRPr="003032DB">
        <w:rPr>
          <w:rFonts w:cs="Times New Roman"/>
          <w:noProof/>
        </w:rPr>
        <w:t xml:space="preserve">, </w:t>
      </w:r>
      <w:r w:rsidRPr="003032DB">
        <w:rPr>
          <w:rFonts w:cs="Times New Roman"/>
          <w:i/>
          <w:iCs/>
          <w:noProof/>
        </w:rPr>
        <w:t>38</w:t>
      </w:r>
      <w:r w:rsidRPr="003032DB">
        <w:rPr>
          <w:rFonts w:cs="Times New Roman"/>
          <w:noProof/>
        </w:rPr>
        <w:t>(10), L10404. https://doi.org/10.1029/2011GL047182</w:t>
      </w:r>
    </w:p>
    <w:p w14:paraId="66976A81" w14:textId="325744E4" w:rsidR="00772287" w:rsidRPr="00754725" w:rsidRDefault="00772287" w:rsidP="003032DB">
      <w:pPr>
        <w:widowControl w:val="0"/>
        <w:autoSpaceDE w:val="0"/>
        <w:autoSpaceDN w:val="0"/>
        <w:adjustRightInd w:val="0"/>
        <w:spacing w:line="360" w:lineRule="auto"/>
        <w:ind w:left="480" w:hanging="480"/>
        <w:rPr>
          <w:b/>
          <w:bCs/>
        </w:rPr>
      </w:pPr>
      <w:r>
        <w:rPr>
          <w:b/>
          <w:bCs/>
        </w:rPr>
        <w:fldChar w:fldCharType="end"/>
      </w:r>
    </w:p>
    <w:sectPr w:rsidR="00772287" w:rsidRPr="00754725" w:rsidSect="00E256F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rkowski, Evan A" w:date="2022-05-17T09:45:00Z" w:initials="PEA">
    <w:p w14:paraId="1B0AB548" w14:textId="14CD3FE1" w:rsidR="00524F9C" w:rsidRDefault="00524F9C" w:rsidP="007320E5">
      <w:pPr>
        <w:pStyle w:val="CommentText"/>
      </w:pPr>
      <w:r>
        <w:rPr>
          <w:rStyle w:val="CommentReference"/>
        </w:rPr>
        <w:annotationRef/>
      </w:r>
      <w:r w:rsidR="007320E5">
        <w:t>Open to suggestions!</w:t>
      </w:r>
    </w:p>
  </w:comment>
  <w:comment w:id="1" w:author="Perkowski, Evan A" w:date="2022-05-13T13:42:00Z" w:initials="PEA">
    <w:p w14:paraId="003F850E" w14:textId="476E9931" w:rsidR="00DA425E" w:rsidRDefault="00BC7961">
      <w:pPr>
        <w:pStyle w:val="CommentText"/>
      </w:pPr>
      <w:r>
        <w:rPr>
          <w:rStyle w:val="CommentReference"/>
        </w:rPr>
        <w:annotationRef/>
      </w:r>
      <w:r w:rsidR="00534BFA">
        <w:t>Joseph, is this correct? I took a stab at a number, but couldn’t</w:t>
      </w:r>
      <w:r w:rsidR="000443A6">
        <w:t xml:space="preserve"> remember how long you had </w:t>
      </w:r>
      <w:r w:rsidR="00217A2E">
        <w:t>put the soil in the</w:t>
      </w:r>
      <w:r w:rsidR="006D3E93">
        <w:t xml:space="preserve"> steam</w:t>
      </w:r>
      <w:r w:rsidR="00217A2E">
        <w:t xml:space="preserve"> sterilizer</w:t>
      </w:r>
    </w:p>
  </w:comment>
  <w:comment w:id="2" w:author="Perkowski, Evan A" w:date="2022-05-26T16:05:00Z" w:initials="PEA">
    <w:p w14:paraId="61B5E931" w14:textId="7E49BE3F" w:rsidR="004A35A3" w:rsidRDefault="004A35A3">
      <w:pPr>
        <w:pStyle w:val="CommentText"/>
      </w:pPr>
      <w:r>
        <w:rPr>
          <w:rStyle w:val="CommentReference"/>
        </w:rPr>
        <w:annotationRef/>
      </w:r>
      <w:r w:rsidR="000424C7">
        <w:t>I</w:t>
      </w:r>
      <w:r>
        <w:t xml:space="preserve"> copied funding acknowledgement </w:t>
      </w:r>
      <w:r w:rsidR="000424C7">
        <w:t xml:space="preserve">from the </w:t>
      </w:r>
      <w:proofErr w:type="spellStart"/>
      <w:r w:rsidR="000424C7">
        <w:t>NutNet</w:t>
      </w:r>
      <w:proofErr w:type="spellEnd"/>
      <w:r w:rsidR="000424C7">
        <w:t xml:space="preserve"> </w:t>
      </w:r>
      <w:proofErr w:type="spellStart"/>
      <w:r w:rsidR="000424C7">
        <w:t>ms.</w:t>
      </w:r>
      <w:proofErr w:type="spellEnd"/>
      <w:r w:rsidR="000424C7">
        <w:t xml:space="preserve"> </w:t>
      </w:r>
      <w:r w:rsidR="00125358">
        <w:t>F</w:t>
      </w:r>
      <w:r w:rsidR="000424C7">
        <w:t>eel free to correct as needed (not sure if NSF funds were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0AB548" w15:done="0"/>
  <w15:commentEx w15:paraId="003F850E" w15:done="0"/>
  <w15:commentEx w15:paraId="61B5E9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DED54" w16cex:dateUtc="2022-05-17T14:45:00Z"/>
  <w16cex:commentExtensible w16cex:durableId="2628DEDC" w16cex:dateUtc="2022-05-13T18:42:00Z"/>
  <w16cex:commentExtensible w16cex:durableId="263A23D8" w16cex:dateUtc="2022-05-26T2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0AB548" w16cid:durableId="262DED54"/>
  <w16cid:commentId w16cid:paraId="003F850E" w16cid:durableId="2628DEDC"/>
  <w16cid:commentId w16cid:paraId="61B5E931" w16cid:durableId="263A23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10B5"/>
    <w:multiLevelType w:val="hybridMultilevel"/>
    <w:tmpl w:val="69BEFF9C"/>
    <w:lvl w:ilvl="0" w:tplc="C554C5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E91627"/>
    <w:multiLevelType w:val="hybridMultilevel"/>
    <w:tmpl w:val="32F066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1330F9"/>
    <w:multiLevelType w:val="hybridMultilevel"/>
    <w:tmpl w:val="B2EC833E"/>
    <w:lvl w:ilvl="0" w:tplc="83F0087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51141A"/>
    <w:multiLevelType w:val="hybridMultilevel"/>
    <w:tmpl w:val="5FF47F3C"/>
    <w:lvl w:ilvl="0" w:tplc="F600017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8837072">
    <w:abstractNumId w:val="3"/>
  </w:num>
  <w:num w:numId="2" w16cid:durableId="908728602">
    <w:abstractNumId w:val="2"/>
  </w:num>
  <w:num w:numId="3" w16cid:durableId="601375841">
    <w:abstractNumId w:val="1"/>
  </w:num>
  <w:num w:numId="4" w16cid:durableId="14260734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rkowski, Evan A">
    <w15:presenceInfo w15:providerId="AD" w15:userId="S::evan.a.perkowski@ttu.edu::60f99932-1f8b-47fd-ae71-548bdb6d48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D74"/>
    <w:rsid w:val="00006440"/>
    <w:rsid w:val="000137B5"/>
    <w:rsid w:val="00013F5C"/>
    <w:rsid w:val="00015827"/>
    <w:rsid w:val="00021BEB"/>
    <w:rsid w:val="000424C7"/>
    <w:rsid w:val="000443A6"/>
    <w:rsid w:val="00047FF3"/>
    <w:rsid w:val="00055528"/>
    <w:rsid w:val="00061330"/>
    <w:rsid w:val="00071365"/>
    <w:rsid w:val="0007680C"/>
    <w:rsid w:val="00080882"/>
    <w:rsid w:val="000846E5"/>
    <w:rsid w:val="00086E13"/>
    <w:rsid w:val="00091EA0"/>
    <w:rsid w:val="00096CD6"/>
    <w:rsid w:val="00097A1D"/>
    <w:rsid w:val="000A15F3"/>
    <w:rsid w:val="000A24B2"/>
    <w:rsid w:val="000B0465"/>
    <w:rsid w:val="000C5833"/>
    <w:rsid w:val="000D2FE4"/>
    <w:rsid w:val="000D5B61"/>
    <w:rsid w:val="000E1A24"/>
    <w:rsid w:val="000E40BD"/>
    <w:rsid w:val="000F0314"/>
    <w:rsid w:val="000F1E36"/>
    <w:rsid w:val="00106FCE"/>
    <w:rsid w:val="0011017D"/>
    <w:rsid w:val="00114DDF"/>
    <w:rsid w:val="00115F98"/>
    <w:rsid w:val="00125358"/>
    <w:rsid w:val="00131777"/>
    <w:rsid w:val="00140846"/>
    <w:rsid w:val="00140BC4"/>
    <w:rsid w:val="001438DB"/>
    <w:rsid w:val="001500C2"/>
    <w:rsid w:val="00150CFB"/>
    <w:rsid w:val="00166B47"/>
    <w:rsid w:val="0017601E"/>
    <w:rsid w:val="00181F29"/>
    <w:rsid w:val="00182295"/>
    <w:rsid w:val="00192404"/>
    <w:rsid w:val="001A4127"/>
    <w:rsid w:val="001A5F2D"/>
    <w:rsid w:val="001A743B"/>
    <w:rsid w:val="001B21C7"/>
    <w:rsid w:val="001B3B2A"/>
    <w:rsid w:val="001C1F9E"/>
    <w:rsid w:val="001D0903"/>
    <w:rsid w:val="001D15E4"/>
    <w:rsid w:val="001D4CE3"/>
    <w:rsid w:val="001D541B"/>
    <w:rsid w:val="001D79F3"/>
    <w:rsid w:val="001E4DC0"/>
    <w:rsid w:val="001F09BC"/>
    <w:rsid w:val="001F254A"/>
    <w:rsid w:val="001F2D5E"/>
    <w:rsid w:val="001F5FF5"/>
    <w:rsid w:val="002177ED"/>
    <w:rsid w:val="00217A2E"/>
    <w:rsid w:val="0022275C"/>
    <w:rsid w:val="00231617"/>
    <w:rsid w:val="00235EDC"/>
    <w:rsid w:val="0025668C"/>
    <w:rsid w:val="00262143"/>
    <w:rsid w:val="00264E17"/>
    <w:rsid w:val="00266AD9"/>
    <w:rsid w:val="00266FA1"/>
    <w:rsid w:val="00270350"/>
    <w:rsid w:val="00271F6C"/>
    <w:rsid w:val="00272DB1"/>
    <w:rsid w:val="00272E59"/>
    <w:rsid w:val="00283F06"/>
    <w:rsid w:val="0029276A"/>
    <w:rsid w:val="00293580"/>
    <w:rsid w:val="002948B1"/>
    <w:rsid w:val="002948E0"/>
    <w:rsid w:val="002A0FC6"/>
    <w:rsid w:val="002A5009"/>
    <w:rsid w:val="002C2B2A"/>
    <w:rsid w:val="002C360E"/>
    <w:rsid w:val="002C4FBE"/>
    <w:rsid w:val="002C5045"/>
    <w:rsid w:val="002D044D"/>
    <w:rsid w:val="002D150D"/>
    <w:rsid w:val="002D7F0E"/>
    <w:rsid w:val="002F0BBB"/>
    <w:rsid w:val="002F24D6"/>
    <w:rsid w:val="002F57B0"/>
    <w:rsid w:val="003003F0"/>
    <w:rsid w:val="003032DB"/>
    <w:rsid w:val="00303814"/>
    <w:rsid w:val="00303F2D"/>
    <w:rsid w:val="0030516D"/>
    <w:rsid w:val="0030650A"/>
    <w:rsid w:val="00310558"/>
    <w:rsid w:val="00322974"/>
    <w:rsid w:val="0033651D"/>
    <w:rsid w:val="00340D31"/>
    <w:rsid w:val="00350162"/>
    <w:rsid w:val="00351491"/>
    <w:rsid w:val="00351A75"/>
    <w:rsid w:val="00360D30"/>
    <w:rsid w:val="00371C20"/>
    <w:rsid w:val="00376DE0"/>
    <w:rsid w:val="0038171F"/>
    <w:rsid w:val="0038539A"/>
    <w:rsid w:val="003873F0"/>
    <w:rsid w:val="003A7574"/>
    <w:rsid w:val="003B410D"/>
    <w:rsid w:val="003B4F23"/>
    <w:rsid w:val="003B6FAA"/>
    <w:rsid w:val="003B782E"/>
    <w:rsid w:val="003C51C9"/>
    <w:rsid w:val="003D3439"/>
    <w:rsid w:val="003D74E1"/>
    <w:rsid w:val="003E1FC7"/>
    <w:rsid w:val="003E355C"/>
    <w:rsid w:val="003F2A85"/>
    <w:rsid w:val="00400618"/>
    <w:rsid w:val="004035F7"/>
    <w:rsid w:val="004039EE"/>
    <w:rsid w:val="00403BBD"/>
    <w:rsid w:val="004111A1"/>
    <w:rsid w:val="00412BAB"/>
    <w:rsid w:val="00417C57"/>
    <w:rsid w:val="00421AE0"/>
    <w:rsid w:val="00421BAA"/>
    <w:rsid w:val="00430044"/>
    <w:rsid w:val="00431B7D"/>
    <w:rsid w:val="00433868"/>
    <w:rsid w:val="00437175"/>
    <w:rsid w:val="00440CFF"/>
    <w:rsid w:val="00447752"/>
    <w:rsid w:val="0045096E"/>
    <w:rsid w:val="00451CDF"/>
    <w:rsid w:val="00451ED1"/>
    <w:rsid w:val="00460EB9"/>
    <w:rsid w:val="00462729"/>
    <w:rsid w:val="0046396A"/>
    <w:rsid w:val="00464BF7"/>
    <w:rsid w:val="0046524E"/>
    <w:rsid w:val="004654D8"/>
    <w:rsid w:val="00467321"/>
    <w:rsid w:val="00477955"/>
    <w:rsid w:val="0048004A"/>
    <w:rsid w:val="0048753D"/>
    <w:rsid w:val="00490BC5"/>
    <w:rsid w:val="0049190E"/>
    <w:rsid w:val="00492888"/>
    <w:rsid w:val="004940A0"/>
    <w:rsid w:val="00497794"/>
    <w:rsid w:val="004A35A3"/>
    <w:rsid w:val="004A3DE5"/>
    <w:rsid w:val="004A6C35"/>
    <w:rsid w:val="004A6E69"/>
    <w:rsid w:val="004B1EA4"/>
    <w:rsid w:val="004B5E0F"/>
    <w:rsid w:val="004C0BD2"/>
    <w:rsid w:val="004C3C71"/>
    <w:rsid w:val="004C7C69"/>
    <w:rsid w:val="004F4C11"/>
    <w:rsid w:val="00502BC6"/>
    <w:rsid w:val="0051142F"/>
    <w:rsid w:val="00515D2D"/>
    <w:rsid w:val="005214CF"/>
    <w:rsid w:val="00524F9C"/>
    <w:rsid w:val="00526968"/>
    <w:rsid w:val="00532E28"/>
    <w:rsid w:val="00534BFA"/>
    <w:rsid w:val="0053745F"/>
    <w:rsid w:val="005379AB"/>
    <w:rsid w:val="00547EA6"/>
    <w:rsid w:val="00565C0A"/>
    <w:rsid w:val="005942F6"/>
    <w:rsid w:val="00594F9B"/>
    <w:rsid w:val="005968A5"/>
    <w:rsid w:val="005A3AD9"/>
    <w:rsid w:val="005A73E0"/>
    <w:rsid w:val="005A7A45"/>
    <w:rsid w:val="005B21F4"/>
    <w:rsid w:val="005B6DED"/>
    <w:rsid w:val="005C40DF"/>
    <w:rsid w:val="005D3C45"/>
    <w:rsid w:val="005E3C64"/>
    <w:rsid w:val="005E752C"/>
    <w:rsid w:val="005F0602"/>
    <w:rsid w:val="005F1477"/>
    <w:rsid w:val="005F5455"/>
    <w:rsid w:val="00601827"/>
    <w:rsid w:val="00602B12"/>
    <w:rsid w:val="00607987"/>
    <w:rsid w:val="00613A93"/>
    <w:rsid w:val="006157EC"/>
    <w:rsid w:val="006160E5"/>
    <w:rsid w:val="00621781"/>
    <w:rsid w:val="00621CDE"/>
    <w:rsid w:val="00651708"/>
    <w:rsid w:val="006569E0"/>
    <w:rsid w:val="0066049F"/>
    <w:rsid w:val="00674BF3"/>
    <w:rsid w:val="00675662"/>
    <w:rsid w:val="00696F09"/>
    <w:rsid w:val="006A394B"/>
    <w:rsid w:val="006A5366"/>
    <w:rsid w:val="006B734B"/>
    <w:rsid w:val="006C0352"/>
    <w:rsid w:val="006C060E"/>
    <w:rsid w:val="006C50B8"/>
    <w:rsid w:val="006C759F"/>
    <w:rsid w:val="006D1951"/>
    <w:rsid w:val="006D3E93"/>
    <w:rsid w:val="006D7E2D"/>
    <w:rsid w:val="006E0881"/>
    <w:rsid w:val="006E3A3D"/>
    <w:rsid w:val="006E7608"/>
    <w:rsid w:val="007022D1"/>
    <w:rsid w:val="0072033E"/>
    <w:rsid w:val="00723F29"/>
    <w:rsid w:val="007320E5"/>
    <w:rsid w:val="00746CCB"/>
    <w:rsid w:val="00751149"/>
    <w:rsid w:val="00754725"/>
    <w:rsid w:val="00763DFE"/>
    <w:rsid w:val="00772287"/>
    <w:rsid w:val="00772D20"/>
    <w:rsid w:val="00774D67"/>
    <w:rsid w:val="007755C4"/>
    <w:rsid w:val="00786D44"/>
    <w:rsid w:val="0079226D"/>
    <w:rsid w:val="00792D5B"/>
    <w:rsid w:val="007A082A"/>
    <w:rsid w:val="007A2F1C"/>
    <w:rsid w:val="007A7928"/>
    <w:rsid w:val="007B12CC"/>
    <w:rsid w:val="007B13FC"/>
    <w:rsid w:val="007B192C"/>
    <w:rsid w:val="007B1AFE"/>
    <w:rsid w:val="007B3063"/>
    <w:rsid w:val="007B6BD6"/>
    <w:rsid w:val="007C1C57"/>
    <w:rsid w:val="007C2F39"/>
    <w:rsid w:val="007D0701"/>
    <w:rsid w:val="007D2877"/>
    <w:rsid w:val="007E5400"/>
    <w:rsid w:val="007F426D"/>
    <w:rsid w:val="007F4329"/>
    <w:rsid w:val="0081139F"/>
    <w:rsid w:val="00817E03"/>
    <w:rsid w:val="00831D90"/>
    <w:rsid w:val="00847557"/>
    <w:rsid w:val="0084793A"/>
    <w:rsid w:val="00850627"/>
    <w:rsid w:val="00850723"/>
    <w:rsid w:val="00852AF7"/>
    <w:rsid w:val="0085460C"/>
    <w:rsid w:val="0087300A"/>
    <w:rsid w:val="00884550"/>
    <w:rsid w:val="00885391"/>
    <w:rsid w:val="008854FF"/>
    <w:rsid w:val="008873DD"/>
    <w:rsid w:val="00887478"/>
    <w:rsid w:val="00895284"/>
    <w:rsid w:val="0089764A"/>
    <w:rsid w:val="008C398A"/>
    <w:rsid w:val="008C4F5B"/>
    <w:rsid w:val="008C56B6"/>
    <w:rsid w:val="008D34FA"/>
    <w:rsid w:val="008D46B4"/>
    <w:rsid w:val="008D6E2F"/>
    <w:rsid w:val="008E2BDE"/>
    <w:rsid w:val="008E75B9"/>
    <w:rsid w:val="008E7FEB"/>
    <w:rsid w:val="008F26FA"/>
    <w:rsid w:val="008F457A"/>
    <w:rsid w:val="008F6058"/>
    <w:rsid w:val="00902FD9"/>
    <w:rsid w:val="00912680"/>
    <w:rsid w:val="0091473E"/>
    <w:rsid w:val="00916FB5"/>
    <w:rsid w:val="009214F3"/>
    <w:rsid w:val="00926F7B"/>
    <w:rsid w:val="009273E2"/>
    <w:rsid w:val="0093380B"/>
    <w:rsid w:val="00947B9C"/>
    <w:rsid w:val="00947C65"/>
    <w:rsid w:val="009515D2"/>
    <w:rsid w:val="00956882"/>
    <w:rsid w:val="00957D32"/>
    <w:rsid w:val="00973FA7"/>
    <w:rsid w:val="00984B84"/>
    <w:rsid w:val="00987F23"/>
    <w:rsid w:val="00993546"/>
    <w:rsid w:val="00996C9F"/>
    <w:rsid w:val="009A5542"/>
    <w:rsid w:val="009A60BD"/>
    <w:rsid w:val="009B1682"/>
    <w:rsid w:val="009C62F2"/>
    <w:rsid w:val="009C63FC"/>
    <w:rsid w:val="009C6E53"/>
    <w:rsid w:val="009D2C98"/>
    <w:rsid w:val="009D3874"/>
    <w:rsid w:val="009D7ED8"/>
    <w:rsid w:val="009E304C"/>
    <w:rsid w:val="009E31F0"/>
    <w:rsid w:val="009E6ED3"/>
    <w:rsid w:val="009F0F34"/>
    <w:rsid w:val="009F14D5"/>
    <w:rsid w:val="00A03A1B"/>
    <w:rsid w:val="00A138D0"/>
    <w:rsid w:val="00A13B09"/>
    <w:rsid w:val="00A1612D"/>
    <w:rsid w:val="00A30C53"/>
    <w:rsid w:val="00A3337F"/>
    <w:rsid w:val="00A33E81"/>
    <w:rsid w:val="00A33FE7"/>
    <w:rsid w:val="00A433B8"/>
    <w:rsid w:val="00A44260"/>
    <w:rsid w:val="00A46FE6"/>
    <w:rsid w:val="00A57BBF"/>
    <w:rsid w:val="00A73883"/>
    <w:rsid w:val="00A747FF"/>
    <w:rsid w:val="00A754EC"/>
    <w:rsid w:val="00A85036"/>
    <w:rsid w:val="00A97B6C"/>
    <w:rsid w:val="00A97E81"/>
    <w:rsid w:val="00AA5502"/>
    <w:rsid w:val="00AA6BAB"/>
    <w:rsid w:val="00AB17F0"/>
    <w:rsid w:val="00AB654B"/>
    <w:rsid w:val="00AC38E7"/>
    <w:rsid w:val="00AD6759"/>
    <w:rsid w:val="00AF1559"/>
    <w:rsid w:val="00AF17C1"/>
    <w:rsid w:val="00AF426E"/>
    <w:rsid w:val="00B035D5"/>
    <w:rsid w:val="00B11CB2"/>
    <w:rsid w:val="00B20D1B"/>
    <w:rsid w:val="00B346E3"/>
    <w:rsid w:val="00B452E0"/>
    <w:rsid w:val="00B62938"/>
    <w:rsid w:val="00B84938"/>
    <w:rsid w:val="00B86B96"/>
    <w:rsid w:val="00B877FE"/>
    <w:rsid w:val="00BA5B53"/>
    <w:rsid w:val="00BA75F3"/>
    <w:rsid w:val="00BB1D36"/>
    <w:rsid w:val="00BC0551"/>
    <w:rsid w:val="00BC7961"/>
    <w:rsid w:val="00BD310E"/>
    <w:rsid w:val="00BD4037"/>
    <w:rsid w:val="00BE2568"/>
    <w:rsid w:val="00BF7930"/>
    <w:rsid w:val="00C074CA"/>
    <w:rsid w:val="00C07F2A"/>
    <w:rsid w:val="00C15F8B"/>
    <w:rsid w:val="00C24060"/>
    <w:rsid w:val="00C32E51"/>
    <w:rsid w:val="00C377A1"/>
    <w:rsid w:val="00C4037A"/>
    <w:rsid w:val="00C41A80"/>
    <w:rsid w:val="00C4618D"/>
    <w:rsid w:val="00C57242"/>
    <w:rsid w:val="00C6042C"/>
    <w:rsid w:val="00C64309"/>
    <w:rsid w:val="00C66EFD"/>
    <w:rsid w:val="00C70352"/>
    <w:rsid w:val="00C70400"/>
    <w:rsid w:val="00C72B7A"/>
    <w:rsid w:val="00C7318F"/>
    <w:rsid w:val="00C8325C"/>
    <w:rsid w:val="00C859D6"/>
    <w:rsid w:val="00CB446B"/>
    <w:rsid w:val="00CC06E6"/>
    <w:rsid w:val="00CC5E7B"/>
    <w:rsid w:val="00CE366A"/>
    <w:rsid w:val="00CE771F"/>
    <w:rsid w:val="00CF0D09"/>
    <w:rsid w:val="00CF48BE"/>
    <w:rsid w:val="00D0019D"/>
    <w:rsid w:val="00D01503"/>
    <w:rsid w:val="00D04ECF"/>
    <w:rsid w:val="00D16FB9"/>
    <w:rsid w:val="00D17106"/>
    <w:rsid w:val="00D272B1"/>
    <w:rsid w:val="00D3527E"/>
    <w:rsid w:val="00D35783"/>
    <w:rsid w:val="00D373FB"/>
    <w:rsid w:val="00D45E15"/>
    <w:rsid w:val="00D6220B"/>
    <w:rsid w:val="00D634C4"/>
    <w:rsid w:val="00D64D0D"/>
    <w:rsid w:val="00D660CD"/>
    <w:rsid w:val="00D66A72"/>
    <w:rsid w:val="00D67D74"/>
    <w:rsid w:val="00D80427"/>
    <w:rsid w:val="00D86784"/>
    <w:rsid w:val="00D87519"/>
    <w:rsid w:val="00D9075F"/>
    <w:rsid w:val="00D90888"/>
    <w:rsid w:val="00D9618B"/>
    <w:rsid w:val="00DA006B"/>
    <w:rsid w:val="00DA425E"/>
    <w:rsid w:val="00DB3A79"/>
    <w:rsid w:val="00DC3DBA"/>
    <w:rsid w:val="00DC4961"/>
    <w:rsid w:val="00DD0878"/>
    <w:rsid w:val="00DE2FE3"/>
    <w:rsid w:val="00DE33E1"/>
    <w:rsid w:val="00E0208C"/>
    <w:rsid w:val="00E20C33"/>
    <w:rsid w:val="00E2103C"/>
    <w:rsid w:val="00E217B4"/>
    <w:rsid w:val="00E23DE1"/>
    <w:rsid w:val="00E256F3"/>
    <w:rsid w:val="00E26AC6"/>
    <w:rsid w:val="00E27650"/>
    <w:rsid w:val="00E33726"/>
    <w:rsid w:val="00E353CB"/>
    <w:rsid w:val="00E372EE"/>
    <w:rsid w:val="00E44BFE"/>
    <w:rsid w:val="00E74A6D"/>
    <w:rsid w:val="00E83939"/>
    <w:rsid w:val="00E8768C"/>
    <w:rsid w:val="00E945AC"/>
    <w:rsid w:val="00EA4E30"/>
    <w:rsid w:val="00EA5D43"/>
    <w:rsid w:val="00EB0C0F"/>
    <w:rsid w:val="00EB2706"/>
    <w:rsid w:val="00EB5CA3"/>
    <w:rsid w:val="00EC11A8"/>
    <w:rsid w:val="00EC6B47"/>
    <w:rsid w:val="00ED1628"/>
    <w:rsid w:val="00ED1773"/>
    <w:rsid w:val="00ED2735"/>
    <w:rsid w:val="00EE5B74"/>
    <w:rsid w:val="00EE796F"/>
    <w:rsid w:val="00EF1D97"/>
    <w:rsid w:val="00EF3C3C"/>
    <w:rsid w:val="00F00703"/>
    <w:rsid w:val="00F008CB"/>
    <w:rsid w:val="00F073BB"/>
    <w:rsid w:val="00F07852"/>
    <w:rsid w:val="00F2556B"/>
    <w:rsid w:val="00F4560A"/>
    <w:rsid w:val="00F57D74"/>
    <w:rsid w:val="00F633C1"/>
    <w:rsid w:val="00F75EB7"/>
    <w:rsid w:val="00F76F37"/>
    <w:rsid w:val="00F83744"/>
    <w:rsid w:val="00F87256"/>
    <w:rsid w:val="00F9445D"/>
    <w:rsid w:val="00FC0900"/>
    <w:rsid w:val="00FD777D"/>
    <w:rsid w:val="00FE31B0"/>
    <w:rsid w:val="00FE5E18"/>
    <w:rsid w:val="00FE6DAB"/>
    <w:rsid w:val="00FF0D02"/>
    <w:rsid w:val="00FF2F22"/>
    <w:rsid w:val="00FF5B3D"/>
    <w:rsid w:val="00FF6F53"/>
    <w:rsid w:val="00FF7948"/>
    <w:rsid w:val="00FF7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9BC5"/>
  <w15:chartTrackingRefBased/>
  <w15:docId w15:val="{17DADD4F-3688-8347-9AF7-D44EF6255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46E5"/>
    <w:rPr>
      <w:color w:val="808080"/>
    </w:rPr>
  </w:style>
  <w:style w:type="table" w:styleId="TableGrid">
    <w:name w:val="Table Grid"/>
    <w:basedOn w:val="TableNormal"/>
    <w:uiPriority w:val="39"/>
    <w:rsid w:val="00BA75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75F3"/>
    <w:rPr>
      <w:rFonts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754725"/>
    <w:rPr>
      <w:sz w:val="16"/>
      <w:szCs w:val="16"/>
    </w:rPr>
  </w:style>
  <w:style w:type="paragraph" w:styleId="CommentText">
    <w:name w:val="annotation text"/>
    <w:basedOn w:val="Normal"/>
    <w:link w:val="CommentTextChar"/>
    <w:uiPriority w:val="99"/>
    <w:unhideWhenUsed/>
    <w:rsid w:val="00754725"/>
    <w:rPr>
      <w:rFonts w:eastAsia="Times New Roman" w:cs="Times New Roman"/>
      <w:sz w:val="20"/>
      <w:szCs w:val="20"/>
    </w:rPr>
  </w:style>
  <w:style w:type="character" w:customStyle="1" w:styleId="CommentTextChar">
    <w:name w:val="Comment Text Char"/>
    <w:basedOn w:val="DefaultParagraphFont"/>
    <w:link w:val="CommentText"/>
    <w:uiPriority w:val="99"/>
    <w:rsid w:val="00754725"/>
    <w:rPr>
      <w:rFonts w:eastAsia="Times New Roman" w:cs="Times New Roman"/>
      <w:sz w:val="20"/>
      <w:szCs w:val="20"/>
    </w:rPr>
  </w:style>
  <w:style w:type="character" w:styleId="LineNumber">
    <w:name w:val="line number"/>
    <w:basedOn w:val="DefaultParagraphFont"/>
    <w:uiPriority w:val="99"/>
    <w:semiHidden/>
    <w:unhideWhenUsed/>
    <w:rsid w:val="00DD0878"/>
  </w:style>
  <w:style w:type="paragraph" w:styleId="CommentSubject">
    <w:name w:val="annotation subject"/>
    <w:basedOn w:val="CommentText"/>
    <w:next w:val="CommentText"/>
    <w:link w:val="CommentSubjectChar"/>
    <w:uiPriority w:val="99"/>
    <w:semiHidden/>
    <w:unhideWhenUsed/>
    <w:rsid w:val="00E256F3"/>
    <w:rPr>
      <w:rFonts w:eastAsiaTheme="minorHAnsi" w:cs="Times New Roman (Body CS)"/>
      <w:b/>
      <w:bCs/>
    </w:rPr>
  </w:style>
  <w:style w:type="character" w:customStyle="1" w:styleId="CommentSubjectChar">
    <w:name w:val="Comment Subject Char"/>
    <w:basedOn w:val="CommentTextChar"/>
    <w:link w:val="CommentSubject"/>
    <w:uiPriority w:val="99"/>
    <w:semiHidden/>
    <w:rsid w:val="00E256F3"/>
    <w:rPr>
      <w:rFonts w:eastAsia="Times New Roman" w:cs="Times New Roman"/>
      <w:b/>
      <w:bCs/>
      <w:sz w:val="20"/>
      <w:szCs w:val="20"/>
    </w:rPr>
  </w:style>
  <w:style w:type="paragraph" w:styleId="ListParagraph">
    <w:name w:val="List Paragraph"/>
    <w:basedOn w:val="Normal"/>
    <w:uiPriority w:val="34"/>
    <w:qFormat/>
    <w:rsid w:val="001D4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00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9CE28-A914-DC4F-86AB-1B8A22537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38</Pages>
  <Words>41493</Words>
  <Characters>236511</Characters>
  <Application>Microsoft Office Word</Application>
  <DocSecurity>0</DocSecurity>
  <Lines>1970</Lines>
  <Paragraphs>554</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277450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20</cp:revision>
  <dcterms:created xsi:type="dcterms:W3CDTF">2022-05-17T18:00:00Z</dcterms:created>
  <dcterms:modified xsi:type="dcterms:W3CDTF">2022-06-01T21:38:00Z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http://www.zotero.org/styles/global-change-biology</vt:lpwstr>
  </property>
  <property fmtid="{D5CDD505-2E9C-101B-9397-08002B2CF9AE}" pid="15" name="Mendeley Recent Style Name 6_1">
    <vt:lpwstr>Global Change Biology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http://www.zotero.org/styles/new-phytologist</vt:lpwstr>
  </property>
  <property fmtid="{D5CDD505-2E9C-101B-9397-08002B2CF9AE}" pid="21" name="Mendeley Recent Style Name 9_1">
    <vt:lpwstr>New Phytologist</vt:lpwstr>
  </property>
  <property fmtid="{D5CDD505-2E9C-101B-9397-08002B2CF9AE}" pid="22" name="Mendeley Document_1">
    <vt:lpwstr>True</vt:lpwstr>
  </property>
  <property fmtid="{D5CDD505-2E9C-101B-9397-08002B2CF9AE}" pid="23" name="Mendeley Unique User Id_1">
    <vt:lpwstr>d318f89c-753e-37fb-ba10-399a36a20455</vt:lpwstr>
  </property>
  <property fmtid="{D5CDD505-2E9C-101B-9397-08002B2CF9AE}" pid="24" name="Mendeley Citation Style_1">
    <vt:lpwstr>http://www.zotero.org/styles/global-change-biology</vt:lpwstr>
  </property>
</Properties>
</file>