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CF0C" w14:textId="2AA1312F" w:rsidR="00115F98" w:rsidRPr="00DA72DC" w:rsidRDefault="00754725" w:rsidP="00DA72DC">
      <w:pPr>
        <w:spacing w:line="480" w:lineRule="auto"/>
      </w:pPr>
      <w:commentRangeStart w:id="0"/>
      <w:commentRangeStart w:id="1"/>
      <w:r>
        <w:rPr>
          <w:b/>
          <w:bCs/>
        </w:rPr>
        <w:t>T</w:t>
      </w:r>
      <w:commentRangeEnd w:id="0"/>
      <w:r w:rsidR="00524F9C">
        <w:rPr>
          <w:rStyle w:val="CommentReference"/>
          <w:rFonts w:eastAsia="Times New Roman" w:cs="Times New Roman"/>
        </w:rPr>
        <w:commentReference w:id="0"/>
      </w:r>
      <w:commentRangeEnd w:id="1"/>
      <w:r w:rsidR="00867812">
        <w:rPr>
          <w:rStyle w:val="CommentReference"/>
          <w:rFonts w:eastAsia="Times New Roman" w:cs="Times New Roman"/>
        </w:rPr>
        <w:commentReference w:id="1"/>
      </w:r>
      <w:r w:rsidRPr="0070582B">
        <w:rPr>
          <w:b/>
          <w:bCs/>
        </w:rPr>
        <w:t>itle</w:t>
      </w:r>
      <w:r>
        <w:t xml:space="preserve">: </w:t>
      </w:r>
      <w:r w:rsidR="00115F98">
        <w:t xml:space="preserve">Soil nitrogen fertilization and inoculation with </w:t>
      </w:r>
      <w:proofErr w:type="spellStart"/>
      <w:r w:rsidR="00115F98">
        <w:rPr>
          <w:i/>
          <w:iCs/>
        </w:rPr>
        <w:t>Bradyrhizobium</w:t>
      </w:r>
      <w:proofErr w:type="spellEnd"/>
      <w:r w:rsidR="00115F98">
        <w:rPr>
          <w:i/>
          <w:iCs/>
        </w:rPr>
        <w:t xml:space="preserve"> japonicum</w:t>
      </w:r>
      <w:r w:rsidR="00115F98">
        <w:t xml:space="preserve"> shape</w:t>
      </w:r>
      <w:r w:rsidR="00ED2735">
        <w:t>s</w:t>
      </w:r>
      <w:r w:rsidR="00115F98">
        <w:t xml:space="preserve"> tradeoffs between whole plant growth and leaf </w:t>
      </w:r>
      <w:r w:rsidR="00867812">
        <w:t>resource us</w:t>
      </w:r>
      <w:r w:rsidR="00F5091C">
        <w:t>e</w:t>
      </w:r>
      <w:r w:rsidR="00867812">
        <w:t xml:space="preserve"> </w:t>
      </w:r>
      <w:r w:rsidR="00115F98" w:rsidRPr="00115F98">
        <w:t xml:space="preserve">in </w:t>
      </w:r>
      <w:r w:rsidR="00115F98">
        <w:rPr>
          <w:i/>
          <w:iCs/>
        </w:rPr>
        <w:t>Glycine max</w:t>
      </w:r>
      <w:r w:rsidR="00115F98">
        <w:t xml:space="preserve"> L.</w:t>
      </w:r>
    </w:p>
    <w:p w14:paraId="296CE4EA" w14:textId="77777777" w:rsidR="00A754EC" w:rsidRDefault="00A754EC" w:rsidP="00DA72DC">
      <w:pPr>
        <w:spacing w:line="480" w:lineRule="auto"/>
        <w:rPr>
          <w:b/>
          <w:bCs/>
        </w:rPr>
      </w:pPr>
    </w:p>
    <w:p w14:paraId="63C189C5" w14:textId="549ACCDA" w:rsidR="00754725" w:rsidRPr="00DA72DC" w:rsidRDefault="00754725" w:rsidP="00DA72DC">
      <w:pPr>
        <w:spacing w:line="480" w:lineRule="auto"/>
      </w:pPr>
      <w:r>
        <w:rPr>
          <w:b/>
          <w:bCs/>
        </w:rPr>
        <w:t>Running Head:</w:t>
      </w:r>
    </w:p>
    <w:p w14:paraId="31C9A709" w14:textId="77777777" w:rsidR="00A754EC" w:rsidRDefault="00A754EC" w:rsidP="00DA72DC">
      <w:pPr>
        <w:spacing w:line="480" w:lineRule="auto"/>
        <w:rPr>
          <w:b/>
          <w:bCs/>
        </w:rPr>
      </w:pPr>
    </w:p>
    <w:p w14:paraId="12CF4620" w14:textId="38000088" w:rsidR="00754725" w:rsidRPr="00AA5310" w:rsidRDefault="00754725" w:rsidP="00DA72DC">
      <w:pPr>
        <w:spacing w:line="48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11B70D55" w14:textId="0826716B" w:rsidR="00754725" w:rsidRPr="00DA72DC" w:rsidRDefault="00754725" w:rsidP="00DA72DC">
      <w:pPr>
        <w:spacing w:line="480" w:lineRule="auto"/>
      </w:pPr>
      <w:r>
        <w:rPr>
          <w:b/>
          <w:bCs/>
        </w:rPr>
        <w:t>Author Affiliations:</w:t>
      </w:r>
      <w:r>
        <w:t xml:space="preserve"> </w:t>
      </w:r>
      <w:r>
        <w:rPr>
          <w:vertAlign w:val="superscript"/>
        </w:rPr>
        <w:t>1</w:t>
      </w:r>
      <w:r>
        <w:t>Department of Biological Sciences, Texas Tech University, Lubbock, TX USA</w:t>
      </w:r>
    </w:p>
    <w:p w14:paraId="7F555C51" w14:textId="77777777" w:rsidR="00A754EC" w:rsidRDefault="00A754EC" w:rsidP="00DA72DC">
      <w:pPr>
        <w:spacing w:line="480" w:lineRule="auto"/>
        <w:rPr>
          <w:b/>
        </w:rPr>
      </w:pPr>
    </w:p>
    <w:p w14:paraId="36872CE1" w14:textId="7125BE74" w:rsidR="00754725" w:rsidRPr="002F526D" w:rsidRDefault="00754725" w:rsidP="00DA72DC">
      <w:pPr>
        <w:spacing w:line="480" w:lineRule="auto"/>
        <w:rPr>
          <w:b/>
        </w:rPr>
      </w:pPr>
      <w:r>
        <w:rPr>
          <w:b/>
        </w:rPr>
        <w:t>Manuscript details</w:t>
      </w:r>
    </w:p>
    <w:p w14:paraId="7AD173A6" w14:textId="16E53DEC" w:rsidR="00754725" w:rsidRDefault="00754725" w:rsidP="00DA72DC">
      <w:pPr>
        <w:spacing w:line="480" w:lineRule="auto"/>
        <w:rPr>
          <w:bCs/>
        </w:rPr>
      </w:pPr>
      <w:r w:rsidRPr="00895468">
        <w:rPr>
          <w:b/>
        </w:rPr>
        <w:t>Abstract:</w:t>
      </w:r>
      <w:r w:rsidR="00DA72DC" w:rsidRPr="00DA72DC">
        <w:rPr>
          <w:bCs/>
        </w:rPr>
        <w:t xml:space="preserve"> </w:t>
      </w:r>
      <w:r w:rsidR="00DA72DC">
        <w:rPr>
          <w:bCs/>
        </w:rPr>
        <w:t xml:space="preserve">XX </w:t>
      </w:r>
      <w:r w:rsidR="006569E0">
        <w:rPr>
          <w:bCs/>
        </w:rPr>
        <w:t>words</w:t>
      </w:r>
    </w:p>
    <w:p w14:paraId="504EA52F" w14:textId="73DC40BB" w:rsidR="00754725" w:rsidRDefault="00754725" w:rsidP="00DA72DC">
      <w:pPr>
        <w:spacing w:line="480" w:lineRule="auto"/>
        <w:rPr>
          <w:bCs/>
        </w:rPr>
      </w:pPr>
      <w:r w:rsidRPr="00006BDD">
        <w:rPr>
          <w:b/>
        </w:rPr>
        <w:t>Main text word count</w:t>
      </w:r>
      <w:r>
        <w:rPr>
          <w:bCs/>
        </w:rPr>
        <w:t>:</w:t>
      </w:r>
    </w:p>
    <w:p w14:paraId="7423DBE8" w14:textId="78AFD42E" w:rsidR="00754725" w:rsidRDefault="00754725" w:rsidP="00DA72DC">
      <w:pPr>
        <w:spacing w:line="480" w:lineRule="auto"/>
        <w:ind w:firstLine="720"/>
        <w:rPr>
          <w:bCs/>
        </w:rPr>
      </w:pPr>
      <w:r>
        <w:rPr>
          <w:bCs/>
        </w:rPr>
        <w:t xml:space="preserve">Introduction: </w:t>
      </w:r>
      <w:r w:rsidR="00DA72DC">
        <w:rPr>
          <w:bCs/>
        </w:rPr>
        <w:t xml:space="preserve">XX </w:t>
      </w:r>
      <w:r>
        <w:rPr>
          <w:bCs/>
        </w:rPr>
        <w:t>words</w:t>
      </w:r>
    </w:p>
    <w:p w14:paraId="1EB83956" w14:textId="5DA3D35B" w:rsidR="00754725" w:rsidRDefault="00754725" w:rsidP="00DA72DC">
      <w:pPr>
        <w:spacing w:line="480" w:lineRule="auto"/>
        <w:ind w:firstLine="720"/>
        <w:rPr>
          <w:bCs/>
        </w:rPr>
      </w:pPr>
      <w:r>
        <w:rPr>
          <w:bCs/>
        </w:rPr>
        <w:t xml:space="preserve">Methods: </w:t>
      </w:r>
      <w:r w:rsidR="00DA72DC">
        <w:rPr>
          <w:bCs/>
        </w:rPr>
        <w:t xml:space="preserve">XX </w:t>
      </w:r>
      <w:r>
        <w:rPr>
          <w:bCs/>
        </w:rPr>
        <w:t>words</w:t>
      </w:r>
    </w:p>
    <w:p w14:paraId="1C7C5B01" w14:textId="01CBEC84" w:rsidR="00754725" w:rsidRDefault="00754725" w:rsidP="00DA72DC">
      <w:pPr>
        <w:spacing w:line="480" w:lineRule="auto"/>
        <w:ind w:firstLine="720"/>
        <w:rPr>
          <w:bCs/>
        </w:rPr>
      </w:pPr>
      <w:r>
        <w:rPr>
          <w:bCs/>
        </w:rPr>
        <w:t xml:space="preserve">Results: </w:t>
      </w:r>
      <w:r w:rsidR="00DA72DC">
        <w:rPr>
          <w:bCs/>
        </w:rPr>
        <w:t xml:space="preserve">XX </w:t>
      </w:r>
      <w:r>
        <w:rPr>
          <w:bCs/>
        </w:rPr>
        <w:t>words (not including text in figures or tables)</w:t>
      </w:r>
    </w:p>
    <w:p w14:paraId="69BC0922" w14:textId="7C6ED460" w:rsidR="00754725" w:rsidRDefault="00754725" w:rsidP="00DA72DC">
      <w:pPr>
        <w:spacing w:line="480" w:lineRule="auto"/>
        <w:ind w:firstLine="720"/>
        <w:rPr>
          <w:bCs/>
        </w:rPr>
      </w:pPr>
      <w:r>
        <w:rPr>
          <w:bCs/>
        </w:rPr>
        <w:t>Discussion: XX words (XX % of total word count)</w:t>
      </w:r>
    </w:p>
    <w:p w14:paraId="6DB73A09" w14:textId="37B8AAF1" w:rsidR="00754725" w:rsidRDefault="00754725" w:rsidP="00DA72DC">
      <w:pPr>
        <w:spacing w:line="480" w:lineRule="auto"/>
        <w:rPr>
          <w:bCs/>
        </w:rPr>
      </w:pPr>
      <w:r w:rsidRPr="00006BDD">
        <w:rPr>
          <w:b/>
        </w:rPr>
        <w:t>References</w:t>
      </w:r>
      <w:r>
        <w:rPr>
          <w:bCs/>
        </w:rPr>
        <w:t>: XX</w:t>
      </w:r>
    </w:p>
    <w:p w14:paraId="293A5F8F" w14:textId="73C1F3CE" w:rsidR="00754725" w:rsidRDefault="00754725" w:rsidP="00DA72DC">
      <w:pPr>
        <w:spacing w:line="480" w:lineRule="auto"/>
        <w:rPr>
          <w:bCs/>
        </w:rPr>
      </w:pPr>
      <w:r>
        <w:rPr>
          <w:b/>
        </w:rPr>
        <w:t>Tables and Figures</w:t>
      </w:r>
      <w:r>
        <w:rPr>
          <w:bCs/>
        </w:rPr>
        <w:t xml:space="preserve">: </w:t>
      </w:r>
      <w:r w:rsidR="006B734B">
        <w:rPr>
          <w:bCs/>
        </w:rPr>
        <w:t>5</w:t>
      </w:r>
      <w:r>
        <w:rPr>
          <w:bCs/>
        </w:rPr>
        <w:t xml:space="preserve"> tables, </w:t>
      </w:r>
      <w:r w:rsidR="006B734B">
        <w:rPr>
          <w:bCs/>
        </w:rPr>
        <w:t>6</w:t>
      </w:r>
      <w:r>
        <w:rPr>
          <w:bCs/>
        </w:rPr>
        <w:t xml:space="preserve"> figures</w:t>
      </w:r>
    </w:p>
    <w:p w14:paraId="3F70C731" w14:textId="6490DDFE" w:rsidR="00754725" w:rsidRPr="00F73BB7" w:rsidRDefault="00754725" w:rsidP="00DA72DC">
      <w:pPr>
        <w:spacing w:line="48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BB5F98">
      <w:pPr>
        <w:spacing w:line="480" w:lineRule="auto"/>
        <w:rPr>
          <w:b/>
          <w:bCs/>
        </w:rPr>
      </w:pPr>
      <w:r>
        <w:rPr>
          <w:b/>
          <w:bCs/>
        </w:rPr>
        <w:lastRenderedPageBreak/>
        <w:t>Abstract</w:t>
      </w:r>
    </w:p>
    <w:p w14:paraId="76E1A42A" w14:textId="77777777" w:rsidR="001A31D4" w:rsidRDefault="001A31D4" w:rsidP="00BB5F98">
      <w:pPr>
        <w:spacing w:line="480" w:lineRule="auto"/>
      </w:pPr>
    </w:p>
    <w:p w14:paraId="19D3D00A" w14:textId="77777777" w:rsidR="001A31D4" w:rsidRDefault="001A31D4" w:rsidP="00BB5F98">
      <w:pPr>
        <w:spacing w:line="480" w:lineRule="auto"/>
      </w:pPr>
    </w:p>
    <w:p w14:paraId="18C32CF4" w14:textId="11ECE3EE" w:rsidR="001A31D4" w:rsidRDefault="0085460C" w:rsidP="00BB5F98">
      <w:pPr>
        <w:spacing w:line="480" w:lineRule="auto"/>
      </w:pPr>
      <w:r>
        <w:t xml:space="preserve">In this study, we measured leaf and </w:t>
      </w:r>
      <w:r w:rsidR="00C07F2A">
        <w:t xml:space="preserve">whole plant traits in </w:t>
      </w:r>
      <w:r w:rsidR="003B410D">
        <w:rPr>
          <w:i/>
          <w:iCs/>
        </w:rPr>
        <w:t xml:space="preserve">Glycine max </w:t>
      </w:r>
      <w:r w:rsidR="003B410D" w:rsidRPr="00462729">
        <w:t>L. (</w:t>
      </w:r>
      <w:proofErr w:type="spellStart"/>
      <w:r w:rsidR="003B410D" w:rsidRPr="00462729">
        <w:t>Merr</w:t>
      </w:r>
      <w:proofErr w:type="spellEnd"/>
      <w:r w:rsidR="003B410D" w:rsidRPr="00462729">
        <w:t>.)</w:t>
      </w:r>
      <w:r w:rsidR="003B410D">
        <w:t xml:space="preserve"> grown under two soil nitrogen fertilization treatments both with and without</w:t>
      </w:r>
      <w:r w:rsidR="001A31D4">
        <w:t xml:space="preserve"> inoculation </w:t>
      </w:r>
      <w:proofErr w:type="spellStart"/>
      <w:r w:rsidR="001A31D4">
        <w:t>with</w:t>
      </w:r>
      <w:r w:rsidR="003B410D">
        <w:t xml:space="preserve"> </w:t>
      </w:r>
      <w:r w:rsidR="003B410D">
        <w:rPr>
          <w:i/>
          <w:iCs/>
        </w:rPr>
        <w:t>Bradyrhizobium</w:t>
      </w:r>
      <w:proofErr w:type="spellEnd"/>
      <w:r w:rsidR="003B410D">
        <w:rPr>
          <w:i/>
          <w:iCs/>
        </w:rPr>
        <w:t xml:space="preserve"> japonicum</w:t>
      </w:r>
      <w:r w:rsidR="003B410D">
        <w:t xml:space="preserve"> </w:t>
      </w:r>
      <w:r w:rsidR="001A31D4">
        <w:t>in</w:t>
      </w:r>
      <w:r w:rsidR="003B410D">
        <w:t xml:space="preserve"> a full</w:t>
      </w:r>
      <w:r w:rsidR="001A31D4">
        <w:t>-</w:t>
      </w:r>
      <w:r w:rsidR="003B410D">
        <w:t>factorial greenhouse experiment</w:t>
      </w:r>
      <w:r w:rsidR="00C07F2A">
        <w:t xml:space="preserve">. </w:t>
      </w:r>
      <w:r w:rsidR="001A31D4">
        <w:t xml:space="preserve">We found that increasing </w:t>
      </w:r>
    </w:p>
    <w:p w14:paraId="1D49131E" w14:textId="3E01A71F" w:rsidR="001A31D4" w:rsidRDefault="001A31D4" w:rsidP="00BB5F98">
      <w:pPr>
        <w:spacing w:line="480" w:lineRule="auto"/>
      </w:pPr>
    </w:p>
    <w:p w14:paraId="6C178996" w14:textId="77777777" w:rsidR="003B6FAA" w:rsidRDefault="003B6FAA" w:rsidP="00BB5F98">
      <w:pPr>
        <w:spacing w:line="480" w:lineRule="auto"/>
        <w:rPr>
          <w:b/>
          <w:bCs/>
        </w:rPr>
      </w:pPr>
    </w:p>
    <w:p w14:paraId="5679DE14" w14:textId="44358146" w:rsidR="00754725" w:rsidRDefault="003B6FAA" w:rsidP="00BB5F98">
      <w:pPr>
        <w:spacing w:line="480" w:lineRule="auto"/>
        <w:rPr>
          <w:b/>
          <w:bCs/>
        </w:rPr>
      </w:pPr>
      <w:r>
        <w:rPr>
          <w:b/>
          <w:bCs/>
        </w:rPr>
        <w:t>Keywords</w:t>
      </w:r>
    </w:p>
    <w:p w14:paraId="60F62E0F" w14:textId="1BD42533" w:rsidR="003B6FAA" w:rsidRPr="00091EA0" w:rsidRDefault="00B62938" w:rsidP="00BB5F98">
      <w:pPr>
        <w:spacing w:line="480" w:lineRule="auto"/>
      </w:pPr>
      <w:r>
        <w:t>n</w:t>
      </w:r>
      <w:r w:rsidR="00091EA0" w:rsidRPr="00091EA0">
        <w:t>itrogen fixation</w:t>
      </w:r>
      <w:r w:rsidR="00091EA0">
        <w:t>; whole plant growth; greenhouse; crops; nutrient acquisition strategy</w:t>
      </w:r>
      <w:r w:rsidR="003B6FAA" w:rsidRPr="00091EA0">
        <w:br w:type="page"/>
      </w:r>
    </w:p>
    <w:p w14:paraId="71A9F274" w14:textId="38991947" w:rsidR="00C654B2" w:rsidRDefault="003B6FAA" w:rsidP="00642465">
      <w:pPr>
        <w:spacing w:line="480" w:lineRule="auto"/>
      </w:pPr>
      <w:r>
        <w:rPr>
          <w:b/>
          <w:bCs/>
        </w:rPr>
        <w:lastRenderedPageBreak/>
        <w:t>Introduction</w:t>
      </w:r>
    </w:p>
    <w:p w14:paraId="3BB49AEA" w14:textId="34DAAFFB" w:rsidR="002E7D85" w:rsidRDefault="00521B92" w:rsidP="00443328">
      <w:pPr>
        <w:spacing w:line="480" w:lineRule="auto"/>
        <w:ind w:firstLine="720"/>
      </w:pPr>
      <w:r>
        <w:t xml:space="preserve">Terrestrial </w:t>
      </w:r>
      <w:r w:rsidR="00C654B2">
        <w:t>eco</w:t>
      </w:r>
      <w:r>
        <w:t>systems are regulated by complex carbon and nitrogen biogeochemical cycles</w:t>
      </w:r>
      <w:r w:rsidR="009A02EE">
        <w:t>. As a result, terrestrial biosphere models</w:t>
      </w:r>
      <w:r w:rsidR="00DA72DC">
        <w:t>, which are</w:t>
      </w:r>
      <w:r w:rsidR="00F01DF2">
        <w:t xml:space="preserve"> beginning to include coupled carbon and nitrogen cycle</w:t>
      </w:r>
      <w:r w:rsidR="00EE601F">
        <w:t>s</w:t>
      </w:r>
      <w:r w:rsidR="00F01DF2">
        <w:t>,</w:t>
      </w:r>
      <w:r w:rsidR="009A02EE">
        <w:t xml:space="preserve"> </w:t>
      </w:r>
      <w:r w:rsidR="00F01DF2">
        <w:t>must accurately represent these cycles under different environmental scenarios if they are to</w:t>
      </w:r>
      <w:r w:rsidR="00EE601F">
        <w:t xml:space="preserve"> reliably</w:t>
      </w:r>
      <w:r w:rsidR="00F01DF2">
        <w:t xml:space="preserve"> simulate past, present, and future carbon and nutrient </w:t>
      </w:r>
      <w:r w:rsidR="00813CB8">
        <w:t xml:space="preserve">atmosphere-biosphere </w:t>
      </w:r>
      <w:r w:rsidR="00F01DF2">
        <w:t xml:space="preserve">fluxes </w:t>
      </w:r>
      <w:r w:rsidR="009A02EE">
        <w:fldChar w:fldCharType="begin" w:fldLock="1"/>
      </w:r>
      <w:r w:rsidR="001A5E20">
        <w:instrText>ADDIN CSL_CITATION {"citationItems":[{"id":"ITEM-1","itemData":{"author":[{"dropping-particle":"","family":"Oreskes","given":"Naomi","non-dropping-particle":"","parse-names":false,"suffix":""},{"dropping-particle":"","family":"Shrader-Frechette","given":"Kristin","non-dropping-particle":"","parse-names":false,"suffix":""},{"dropping-particle":"","family":"Belitz","given":"Kenneth","non-dropping-particle":"","parse-names":false,"suffix":""}],"container-title":"Science","id":"ITEM-1","issue":"5147","issued":{"date-parts":[["1994"]]},"page":"641-646","title":"Verification , Validation , and Confirmation of Numerical Models in the Earth Sciences","type":"article-journal","volume":"263"},"uris":["http://www.mendeley.com/documents/?uuid=530c7891-debc-430a-985c-fd6877ad0617"]},{"id":"ITEM-2","itemData":{"DOI":"10.5194/acp-15-5987-2015","ISSN":"16807324","abstract":"Land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\"third-generation\"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domains.","author":[{"dropping-particle":"","family":"Prentice","given":"I Colin","non-dropping-particle":"","parse-names":false,"suffix":""},{"dropping-particle":"","family":"Liang","given":"Xu","non-dropping-particle":"","parse-names":false,"suffix":""},{"dropping-particle":"","family":"Medlyn","given":"Belinda E","non-dropping-particle":"","parse-names":false,"suffix":""},{"dropping-particle":"","family":"Wang","given":"Ying-Ping","non-dropping-particle":"","parse-names":false,"suffix":""}],"container-title":"Atmospheric Chemistry and Physics","id":"ITEM-2","issued":{"date-parts":[["2015"]]},"page":"5987-6005","title":"Reliable, robust and realistic: The three R's of next-generation land-surface modelling","type":"article-journal","volume":"15"},"uris":["http://www.mendeley.com/documents/?uuid=4c863f36-0f41-4a37-8b69-328cc4526cd9"]},{"id":"ITEM-3","itemData":{"DOI":"10.1126/science.1091390","ISSN":"0036-8075","abstract":"To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B","non-dropping-particle":"","parse-names":false,"suffix":""}],"container-title":"Science","id":"ITEM-3","issue":"5650","issued":{"date-parts":[["2003","11","28"]]},"note":"Models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change","type":"article-journal","volume":"302"},"uris":["http://www.mendeley.com/documents/?uuid=27d5f9a2-ef0f-4622-8624-6b2e99d109bc"]}],"mendeley":{"formattedCitation":"(Oreskes &lt;i&gt;et al.&lt;/i&gt;, 1994; Hungate &lt;i&gt;et al.&lt;/i&gt;, 2003; Prentice &lt;i&gt;et al.&lt;/i&gt;, 2015)","plainTextFormattedCitation":"(Oreskes et al., 1994; Hungate et al., 2003; Prentice et al., 2015)","previouslyFormattedCitation":"(Oreskes &lt;i&gt;et al.&lt;/i&gt;, 1994; Hungate &lt;i&gt;et al.&lt;/i&gt;, 2003; Prentice &lt;i&gt;et al.&lt;/i&gt;, 2015)"},"properties":{"noteIndex":0},"schema":"https://github.com/citation-style-language/schema/raw/master/csl-citation.json"}</w:instrText>
      </w:r>
      <w:r w:rsidR="009A02EE">
        <w:fldChar w:fldCharType="separate"/>
      </w:r>
      <w:r w:rsidR="00F13EBD" w:rsidRPr="00F13EBD">
        <w:rPr>
          <w:noProof/>
        </w:rPr>
        <w:t xml:space="preserve">(Oreskes </w:t>
      </w:r>
      <w:r w:rsidR="00F13EBD" w:rsidRPr="00F13EBD">
        <w:rPr>
          <w:i/>
          <w:noProof/>
        </w:rPr>
        <w:t>et al.</w:t>
      </w:r>
      <w:r w:rsidR="00F13EBD" w:rsidRPr="00F13EBD">
        <w:rPr>
          <w:noProof/>
        </w:rPr>
        <w:t xml:space="preserve">, 1994; Hungate </w:t>
      </w:r>
      <w:r w:rsidR="00F13EBD" w:rsidRPr="00F13EBD">
        <w:rPr>
          <w:i/>
          <w:noProof/>
        </w:rPr>
        <w:t>et al.</w:t>
      </w:r>
      <w:r w:rsidR="00F13EBD" w:rsidRPr="00F13EBD">
        <w:rPr>
          <w:noProof/>
        </w:rPr>
        <w:t xml:space="preserve">, 2003; Prentice </w:t>
      </w:r>
      <w:r w:rsidR="00F13EBD" w:rsidRPr="00F13EBD">
        <w:rPr>
          <w:i/>
          <w:noProof/>
        </w:rPr>
        <w:t>et al.</w:t>
      </w:r>
      <w:r w:rsidR="00F13EBD" w:rsidRPr="00F13EBD">
        <w:rPr>
          <w:noProof/>
        </w:rPr>
        <w:t>, 2015)</w:t>
      </w:r>
      <w:r w:rsidR="009A02EE">
        <w:fldChar w:fldCharType="end"/>
      </w:r>
      <w:r w:rsidR="009A02EE">
        <w:t xml:space="preserve">. </w:t>
      </w:r>
      <w:r w:rsidR="00EE601F">
        <w:t xml:space="preserve">Carbon and nutrient flux simulations </w:t>
      </w:r>
      <w:r w:rsidR="00B310D2">
        <w:t xml:space="preserve">often </w:t>
      </w:r>
      <w:r w:rsidR="00EE601F">
        <w:t xml:space="preserve">converge across terrestrial biosphere model products using past and present climate scenarios; however, </w:t>
      </w:r>
      <w:r w:rsidR="00B310D2">
        <w:t xml:space="preserve">tend to </w:t>
      </w:r>
      <w:r w:rsidR="00EE601F">
        <w:t>diverge</w:t>
      </w:r>
      <w:r w:rsidR="00806371">
        <w:t xml:space="preserve"> </w:t>
      </w:r>
      <w:r w:rsidR="00EE601F">
        <w:t xml:space="preserve">under future environmental change scenarios </w:t>
      </w:r>
      <w:r w:rsidR="00D73281">
        <w:fldChar w:fldCharType="begin" w:fldLock="1"/>
      </w:r>
      <w:r w:rsidR="001A5E20">
        <w:instrText>ADDIN CSL_CITATION {"citationItems":[{"id":"ITEM-1","itemData":{"DOI":"10.1175/JCLI-D-12-00579.1","ISSN":"08948755","abstract":"In the context of phase 5 of the Coupled Model Intercomparison Project, most climate simulations use prescribed atmospheric CO2 concentration and therefore do not interactively include the effect of carbon cycle feedbacks. However, the representative concentration pathway 8.5 (RCP8.5) scenario has additionally been run by earth system models with prescribed CO2 emissions. This paper analyzes the climate projections of 11 earth system models (ESMs) that performed both emission-driven and concentration-driven RCP8.5 simulations.When forced by RCP8.5 CO2 emissions, models simulate a large spread in atmospheric CO2; the simulated 2100 concentrations range between 795 and 1145 ppm. Seven out of the 11 ESMs simulate a larger CO2 (on average by 44 ppm, 985 ± 97ppm by 2100) and hence higher radiative forcing (by 0.25Wm-2) when driven by CO2 emissions than for the concentration-driven scenarios (941 ppm). However, most of these models already overestimate the present-day CO2, with the present-day biases reasonably well correlated with future atmospheric concentrations' departure from the prescribed concentration. The uncertainty in CO2 projections is mainly attributable to uncertainties in the response of the land carbon cycle. As a result of simulated higher CO2 concentrations than in the concentration-driven simulations, temperature projections are generally higher when ESMs are driven with CO2 emissions. Global surface temperature change by 2100 (relative to present day) increased by 3.9° ± 0.9°C for the emission-driven simulations compared to 3.7° ± 0.7°C in the concentration-driven simulations. Although the lower ends are comparable in both sets of simulations, the highest climate projections are significantly warmer in the emission-driven simulations because of stronger carbon cycle feedbacks. © 2014 American Meteorological Society.","author":[{"dropping-particle":"","family":"Friedlingstein","given":"Pierre","non-dropping-particle":"","parse-names":false,"suffix":""},{"dropping-particle":"","family":"Meinshausen","given":"Malte","non-dropping-particle":"","parse-names":false,"suffix":""},{"dropping-particle":"","family":"Arora","given":"Vivek K","non-dropping-particle":"","parse-names":false,"suffix":""},{"dropping-particle":"","family":"Jones","given":"Chris D","non-dropping-particle":"","parse-names":false,"suffix":""},{"dropping-particle":"","family":"Anav","given":"Alessandro","non-dropping-particle":"","parse-names":false,"suffix":""},{"dropping-particle":"","family":"Liddicoat","given":"Spencer K","non-dropping-particle":"","parse-names":false,"suffix":""},{"dropping-particle":"","family":"Knutti","given":"Reto","non-dropping-particle":"","parse-names":false,"suffix":""}],"container-title":"Journal of Climate","id":"ITEM-1","issue":"2","issued":{"date-parts":[["2014"]]},"page":"511-526","title":"Uncertainties in CMIP5 climate projections due to carbon cycle feedbacks","type":"article-journal","volume":"27"},"uris":["http://www.mendeley.com/documents/?uuid=f76674cd-7d72-4223-b90c-11753b09878b"]},{"id":"ITEM-2","itemData":{"DOI":"10.5194/bg-17-5129-2020","ISSN":"1726-4189","abstract":"The nitrogen cycle and its effect on carbon uptake in the terrestrial biosphere is a recent progression in earth system models. As with any new component of a model, it is important to understand the behaviour, strengths, and limitations of the various process representations. Here we assess and compare five land surface models with nitro- gen cycles that are used as the terrestrial components of some of the earth system models in CMIP6. The land sur- face models were run offline with a common spin-up and forcing protocol. We use a historical control simulation and two perturbations to assess the model nitrogen-related per- formances: a simulation with atmospheric carbon dioxide increased by 200 ppm and one with nitrogen deposition in- creased by 50 kgN ha−1 yr−1. There is generally greater vari- ability in productivity response between models to increased nitrogen than to carbon dioxide. Across the five models the response to carbon dioxide globally was 5 % to 20 % and the response to nitrogen was 2 % to 24 %. The models are not evenly distributed within the ensemble range, with two of the models having low productivity response to nitrogen and another one with low response to elevated atmospheric car- bon dioxide, compared to the other models. In all five mod- els individual grid cells tend to exhibit bimodality, with ei- ther a strong response to increased nitrogen or atmospheric carbon dioxide but rarely to both to an equal extent. How- ever, this local effect does not scale to either the regional or global level. The global and tropical responses are gen- erally more accurately modelled than boreal, tundra, or other high-latitude areas compared to observations. These results are due to divergent choices in the representation of key nitrogen cycle processes. They show the need for more obser- vational studies to enhance understanding of nitrogen cycle processes, especially nitrogen-use efficiency and biological nitrogen fixation.","author":[{"dropping-particle":"","family":"Davies-Barnard","given":"Taraka","non-dropping-particle":"","parse-names":false,"suffix":""},{"dropping-particle":"","family":"Meyerholt","given":"Johannes","non-dropping-particle":"","parse-names":false,"suffix":""},{"dropping-particle":"","family":"Zaehle","given":"Sönke","non-dropping-particle":"","parse-names":false,"suffix":""},{"dropping-particle":"","family":"Friedlingstein","given":"Pierre","non-dropping-particle":"","parse-names":false,"suffix":""},{"dropping-particle":"","family":"Brovkin","given":"Victor","non-dropping-particle":"","parse-names":false,"suffix":""},{"dropping-particle":"","family":"Fan","given":"Yuanchao","non-dropping-particle":"","parse-names":false,"suffix":""},{"dropping-particle":"","family":"Fisher","given":"Rosie A","non-dropping-particle":"","parse-names":false,"suffix":""},{"dropping-particle":"","family":"Jones","given":"Chris D","non-dropping-particle":"","parse-names":false,"suffix":""},{"dropping-particle":"","family":"Lee","given":"Hanna","non-dropping-particle":"","parse-names":false,"suffix":""},{"dropping-particle":"","family":"Peano","given":"Daniele","non-dropping-particle":"","parse-names":false,"suffix":""},{"dropping-particle":"","family":"Smith","given":"Benjamin","non-dropping-particle":"","parse-names":false,"suffix":""},{"dropping-particle":"","family":"Wårlind","given":"David","non-dropping-particle":"","parse-names":false,"suffix":""},{"dropping-particle":"","family":"Wiltshire","given":"Andy J","non-dropping-particle":"","parse-names":false,"suffix":""}],"container-title":"Biogeosciences","id":"ITEM-2","issue":"20","issued":{"date-parts":[["2020","10","23"]]},"page":"5129-5148","title":"Nitrogen cycling in CMIP6 land surface models: progress and limitations","type":"article-journal","volume":"17"},"uris":["http://www.mendeley.com/documents/?uuid=43d491c9-cd44-49f7-b593-8d040e1f230f"]}],"mendeley":{"formattedCitation":"(Friedlingstein &lt;i&gt;et al.&lt;/i&gt;, 2014; Davies-Barnard &lt;i&gt;et al.&lt;/i&gt;, 2020)","plainTextFormattedCitation":"(Friedlingstein et al., 2014; Davies-Barnard et al., 2020)","previouslyFormattedCitation":"(Friedlingstein &lt;i&gt;et al.&lt;/i&gt;, 2014; Davies-Barnard &lt;i&gt;et al.&lt;/i&gt;, 2020)"},"properties":{"noteIndex":0},"schema":"https://github.com/citation-style-language/schema/raw/master/csl-citation.json"}</w:instrText>
      </w:r>
      <w:r w:rsidR="00D73281">
        <w:fldChar w:fldCharType="separate"/>
      </w:r>
      <w:r w:rsidR="00F13EBD" w:rsidRPr="00F13EBD">
        <w:rPr>
          <w:noProof/>
        </w:rPr>
        <w:t xml:space="preserve">(Friedlingstein </w:t>
      </w:r>
      <w:r w:rsidR="00F13EBD" w:rsidRPr="00F13EBD">
        <w:rPr>
          <w:i/>
          <w:noProof/>
        </w:rPr>
        <w:t>et al.</w:t>
      </w:r>
      <w:r w:rsidR="00F13EBD" w:rsidRPr="00F13EBD">
        <w:rPr>
          <w:noProof/>
        </w:rPr>
        <w:t xml:space="preserve">, 2014; Davies-Barnard </w:t>
      </w:r>
      <w:r w:rsidR="00F13EBD" w:rsidRPr="00F13EBD">
        <w:rPr>
          <w:i/>
          <w:noProof/>
        </w:rPr>
        <w:t>et al.</w:t>
      </w:r>
      <w:r w:rsidR="00F13EBD" w:rsidRPr="00F13EBD">
        <w:rPr>
          <w:noProof/>
        </w:rPr>
        <w:t>, 2020)</w:t>
      </w:r>
      <w:r w:rsidR="00D73281">
        <w:fldChar w:fldCharType="end"/>
      </w:r>
      <w:r w:rsidR="009A02EE">
        <w:t xml:space="preserve">. </w:t>
      </w:r>
      <w:r w:rsidR="00EE601F">
        <w:t>This</w:t>
      </w:r>
      <w:r w:rsidR="00573C0E">
        <w:t xml:space="preserve"> </w:t>
      </w:r>
      <w:r w:rsidR="00EE601F">
        <w:t xml:space="preserve">could be due to an incomplete understanding of how changing environments modify processes </w:t>
      </w:r>
      <w:r w:rsidR="00443328">
        <w:t xml:space="preserve">that </w:t>
      </w:r>
      <w:r w:rsidR="007E743D">
        <w:t>link</w:t>
      </w:r>
      <w:r w:rsidR="00EE601F">
        <w:t xml:space="preserve"> </w:t>
      </w:r>
      <w:r w:rsidR="00443328">
        <w:t>ecosystem carbon and nitrogen biogeochemical cycles</w:t>
      </w:r>
      <w:r w:rsidR="00391A1D">
        <w:t xml:space="preserve">, </w:t>
      </w:r>
      <w:r w:rsidR="00EE601F">
        <w:t xml:space="preserve">such as </w:t>
      </w:r>
      <w:r w:rsidR="00391A1D">
        <w:t>plant n</w:t>
      </w:r>
      <w:r w:rsidR="00B310D2">
        <w:t>itrogen</w:t>
      </w:r>
      <w:r w:rsidR="00391A1D">
        <w:t xml:space="preserve"> acquisition (</w:t>
      </w:r>
      <w:r w:rsidR="00B310D2" w:rsidRPr="00B310D2">
        <w:rPr>
          <w:highlight w:val="yellow"/>
        </w:rPr>
        <w:t>cite</w:t>
      </w:r>
      <w:r w:rsidR="00391A1D">
        <w:t xml:space="preserve">) and </w:t>
      </w:r>
      <w:r w:rsidR="000103A6">
        <w:t xml:space="preserve"> photosynthesis</w:t>
      </w:r>
      <w:r w:rsidR="00D21DBD">
        <w:t xml:space="preserve"> </w:t>
      </w:r>
      <w:r w:rsidR="001227FA">
        <w:fldChar w:fldCharType="begin" w:fldLock="1"/>
      </w:r>
      <w:r w:rsidR="001A5E20">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models","type":"article-journal","volume":"213"},"uris":["http://www.mendeley.com/documents/?uuid=2b8771ac-5f1d-4259-ab38-c0c6999be44d"]}],"mendeley":{"formattedCitation":"(Smith &amp; Dukes, 2013; Rogers &lt;i&gt;et al.&lt;/i&gt;, 2017)","plainTextFormattedCitation":"(Smith &amp; Dukes, 2013; Rogers et al., 2017)","previouslyFormattedCitation":"(Smith &amp; Dukes, 2013; Rogers &lt;i&gt;et al.&lt;/i&gt;, 2017)"},"properties":{"noteIndex":0},"schema":"https://github.com/citation-style-language/schema/raw/master/csl-citation.json"}</w:instrText>
      </w:r>
      <w:r w:rsidR="001227FA">
        <w:fldChar w:fldCharType="separate"/>
      </w:r>
      <w:r w:rsidR="00F13EBD" w:rsidRPr="00F13EBD">
        <w:rPr>
          <w:noProof/>
        </w:rPr>
        <w:t xml:space="preserve">(Smith &amp; Dukes, 2013; Rogers </w:t>
      </w:r>
      <w:r w:rsidR="00F13EBD" w:rsidRPr="00F13EBD">
        <w:rPr>
          <w:i/>
          <w:noProof/>
        </w:rPr>
        <w:t>et al.</w:t>
      </w:r>
      <w:r w:rsidR="00F13EBD" w:rsidRPr="00F13EBD">
        <w:rPr>
          <w:noProof/>
        </w:rPr>
        <w:t>, 2017)</w:t>
      </w:r>
      <w:r w:rsidR="001227FA">
        <w:fldChar w:fldCharType="end"/>
      </w:r>
      <w:r w:rsidR="00E12B46">
        <w:t>.</w:t>
      </w:r>
    </w:p>
    <w:p w14:paraId="3703C3FA" w14:textId="19B0E3F5" w:rsidR="005D006F" w:rsidRDefault="00391A1D" w:rsidP="009D6499">
      <w:pPr>
        <w:spacing w:line="480" w:lineRule="auto"/>
        <w:ind w:firstLine="720"/>
      </w:pPr>
      <w:r>
        <w:t>Plant nitrogen acquisition is one process in terrestrial systems where carbon and nitrogen cycles are linked. Plants acquire nitrogen by allocating carbon belowground in exchange for nitrogen via</w:t>
      </w:r>
      <w:r w:rsidR="00E16CA5">
        <w:t xml:space="preserve"> different nitrogen acquisition strategies, including</w:t>
      </w:r>
      <w:r>
        <w:t xml:space="preserve"> direct uptake pathways</w:t>
      </w:r>
      <w:r w:rsidR="00E16CA5">
        <w:t xml:space="preserve"> such as mass flow</w:t>
      </w:r>
      <w:r w:rsidR="009D6499">
        <w:t xml:space="preserve"> or diffusion </w:t>
      </w:r>
      <w:r w:rsidR="001C6743">
        <w:fldChar w:fldCharType="begin" w:fldLock="1"/>
      </w:r>
      <w:r w:rsidR="001C6743">
        <w:instrText>ADDIN CSL_CITATION {"citationItems":[{"id":"ITEM-1","itemData":{"author":[{"dropping-particle":"","family":"Barber","given":"Stanley A","non-dropping-particle":"","parse-names":false,"suffix":""}],"container-title":"Soil Science","id":"ITEM-1","issue":"1","issued":{"date-parts":[["1962"]]},"page":"39-49","title":"A diffusion and mass-flow concept of soil nutrient availability","type":"article-journal","volume":"93"},"uris":["http://www.mendeley.com/documents/?uuid=e7ef8ab5-a3cf-4529-9757-68153540e065"]}],"mendeley":{"formattedCitation":"(Barber, 1962)","plainTextFormattedCitation":"(Barber, 1962)","previouslyFormattedCitation":"(Barber, 1962)"},"properties":{"noteIndex":0},"schema":"https://github.com/citation-style-language/schema/raw/master/csl-citation.json"}</w:instrText>
      </w:r>
      <w:r w:rsidR="001C6743">
        <w:fldChar w:fldCharType="separate"/>
      </w:r>
      <w:r w:rsidR="001C6743" w:rsidRPr="001C6743">
        <w:rPr>
          <w:noProof/>
        </w:rPr>
        <w:t>(Barber, 1962)</w:t>
      </w:r>
      <w:r w:rsidR="001C6743">
        <w:fldChar w:fldCharType="end"/>
      </w:r>
      <w:commentRangeStart w:id="2"/>
      <w:r>
        <w:t>,</w:t>
      </w:r>
      <w:commentRangeEnd w:id="2"/>
      <w:r w:rsidR="00237528">
        <w:rPr>
          <w:rStyle w:val="CommentReference"/>
          <w:rFonts w:eastAsia="Times New Roman" w:cs="Times New Roman"/>
        </w:rPr>
        <w:commentReference w:id="2"/>
      </w:r>
      <w:r>
        <w:t xml:space="preserve"> </w:t>
      </w:r>
      <w:r w:rsidR="00E16CA5">
        <w:t xml:space="preserve">carbon-for-nitrogen exchange via symbioses with </w:t>
      </w:r>
      <w:r>
        <w:t>mycorrhizal fungi</w:t>
      </w:r>
      <w:r w:rsidR="009D6499">
        <w:t xml:space="preserve"> </w:t>
      </w:r>
      <w:r w:rsidR="009D6499">
        <w:fldChar w:fldCharType="begin" w:fldLock="1"/>
      </w:r>
      <w:r w:rsidR="00237528">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Symbiosis","type":"book"},"uris":["http://www.mendeley.com/documents/?uuid=7de52699-7fb0-461b-b0db-02c8da38a432"]},{"id":"ITEM-2","itemData":{"DOI":"10.1007/BF00000098","ISSN":"0032079X","abstract":"The role of mycorrhizal fungi in acquisition of mineral nutrients by host plants is examined for three groups of mycorrhizas. These are; the ectomycorrhizas (ECM), the ericoid mycorrhizas (EM), and the vesicular-arbuscular mycorrhizas (VAM). Mycorrhizal infection may affect the mineral nutrition of the host plant directly by enhancing plant growth through nutrient acquisition by the fungus, or indirectly by modifying transpiration rates and the composition of rhizosphere microflora. A capacity for the external hyphae to take up and deliver nutrients to the plant has been demonstrated for the following nutrients and mycorrhizas; P (VAM, EM, ECM), NH4+ (VAM, EM, ECM), NO3- (ECM), K (VAM, ECM), Ca (VAM, EM), SO42- (VAM), Cu (VAM), Zn (VAM) and Fe (EM). In experimental chambers, the external hyphae of VAM can deliver up to 80% of plant P, 25% of plant N, 10% of plant K, 25% of plant Zn and 60% of plant Cu. Knowledge of the role of mycorrhiza in the uptake of nutrients other than P and N is limited because definitive studies are few, especially for the ECM. Although further quantification is required, it is feasible that the external hyphae may provide a significant delivery system for N, K, Cu and Zn in addition to P in many soils. Proposals that ECM and VAM fungi contribute substantially to the Mg, B and Fe nutrition of the host plant have not been substantiated. ECM and EM fungi produce ectoenzymes which provide host plants with the potential to access organic N and P forms that are normally unavailable to VAM fungi or to non mycorrhizal roots. The relative contribution of these nutrient sources requires quantification in the field. Further basic research, including the quantification of nutrient uptake and transport by fungal hyphae in soil and regulation at the fungal-plant interface, is essential to support the selection and utilization of mycorrhizal fungi on a commercial scale. © 1993 Kluwer Academic Publishers.","author":[{"dropping-particle":"","family":"Marschner","given":"Horst","non-dropping-particle":"","parse-names":false,"suffix":""},{"dropping-particle":"","family":"Dell","given":"B","non-dropping-particle":"","parse-names":false,"suffix":""}],"container-title":"Plant and Soil","id":"ITEM-2","issue":"1","issued":{"date-parts":[["1994"]]},"page":"89-102","title":"Nutrient uptake in mycorrhizal symbiosis","type":"article-journal","volume":"159"},"uris":["http://www.mendeley.com/documents/?uuid=dff89f71-2a39-4c7a-866e-2a3c8ad22d5f"]}],"mendeley":{"formattedCitation":"(Marschner &amp; Dell, 1994; Smith &amp; Read, 2008)","plainTextFormattedCitation":"(Marschner &amp; Dell, 1994; Smith &amp; Read, 2008)","previouslyFormattedCitation":"(Marschner &amp; Dell, 1994; Smith &amp; Read, 2008)"},"properties":{"noteIndex":0},"schema":"https://github.com/citation-style-language/schema/raw/master/csl-citation.json"}</w:instrText>
      </w:r>
      <w:r w:rsidR="009D6499">
        <w:fldChar w:fldCharType="separate"/>
      </w:r>
      <w:r w:rsidR="00B92FF2" w:rsidRPr="00B92FF2">
        <w:rPr>
          <w:noProof/>
        </w:rPr>
        <w:t>(Marschner &amp; Dell, 1994; Smith &amp; Read, 2008)</w:t>
      </w:r>
      <w:r w:rsidR="009D6499">
        <w:fldChar w:fldCharType="end"/>
      </w:r>
      <w:r w:rsidR="00E16CA5">
        <w:t xml:space="preserve">, carbon-for-nitrogen exchange </w:t>
      </w:r>
      <w:r w:rsidR="00ED4CFC">
        <w:t>via symbioses with</w:t>
      </w:r>
      <w:r w:rsidR="00E16CA5">
        <w:t xml:space="preserve"> symbiotic nitrogen-fixing bacteria</w:t>
      </w:r>
      <w:r w:rsidR="00EA15F8">
        <w:t xml:space="preserve"> </w:t>
      </w:r>
      <w:r w:rsidR="00EA15F8">
        <w:fldChar w:fldCharType="begin" w:fldLock="1"/>
      </w:r>
      <w:r w:rsidR="00237528">
        <w:instrText>ADDIN CSL_CITATION {"citationItems":[{"id":"ITEM-1","itemData":{"DOI":"10.1146/annurev-arplant-050312-120235","ISSN":"15435008","PMID":"23451778","abstract":"Symbiotic nitrogen fixation by rhizobia in legume root nodules injects approximately 40 million tonnes of nitrogen into agricultural systems each year. In exchange for reduced nitrogen from the bacteria, the plant provides rhizobia with reduced carbon and all the essential nutrients required for bacterial metabolism. Symbiotic nitrogen fixation requires exquisite integration of plant and bacterial metabolism. Central to this integration are transporters of both the plant and the rhizobia, which transfer elements and compounds across various plant membranes and the two bacterial membranes. Here we review current knowledge of legume and rhizobial transport and metabolism as they relate to symbiotic nitrogen fixation. Although all legume-rhizobia symbioses have many metabolic features in common, there are also interesting differences between them, which show that evolution has solved metabolic problems in different ways to achieve effective symbiosis in different systems. © Copyright ©2013 by Annual Reviews. All rights reserved.","author":[{"dropping-particle":"","family":"Udvardi","given":"Michael","non-dropping-particle":"","parse-names":false,"suffix":""},{"dropping-particle":"","family":"Poole","given":"Philip S","non-dropping-particle":"","parse-names":false,"suffix":""}],"container-title":"Annual Review of Plant Biology","id":"ITEM-1","issued":{"date-parts":[["2013"]]},"page":"781-805","title":"Transport and metabolism in legume-rhizobia symbioses","type":"article-journal","volume":"64"},"uris":["http://www.mendeley.com/documents/?uuid=57ffd0b8-bd14-4c07-8d99-a513aed36ee6"]},{"id":"ITEM-2","itemData":{"DOI":"10.1146/annurev.arplant.42.1.373","ISSN":"10402519","author":[{"dropping-particle":"","family":"Vance","given":"C P","non-dropping-particle":"","parse-names":false,"suffix":""},{"dropping-particle":"","family":"Heichel","given":"G H","non-dropping-particle":"","parse-names":false,"suffix":""}],"container-title":"Annual Review of Plant Physiology and Plant Molecular Biology","id":"ITEM-2","issue":"1","issued":{"date-parts":[["1991"]]},"page":"373-392","title":"Carbon in N2 fixation: Limitation or exquisite adaptation","type":"article-journal","volume":"42"},"uris":["http://www.mendeley.com/documents/?uuid=36558238-2378-4a2c-8e53-61020c7abe7e"]}],"mendeley":{"formattedCitation":"(Vance &amp; Heichel, 1991; Udvardi &amp; Poole, 2013)","plainTextFormattedCitation":"(Vance &amp; Heichel, 1991; Udvardi &amp; Poole, 2013)","previouslyFormattedCitation":"(Vance &amp; Heichel, 1991; Udvardi &amp; Poole, 2013)"},"properties":{"noteIndex":0},"schema":"https://github.com/citation-style-language/schema/raw/master/csl-citation.json"}</w:instrText>
      </w:r>
      <w:r w:rsidR="00EA15F8">
        <w:fldChar w:fldCharType="separate"/>
      </w:r>
      <w:r w:rsidR="00CA0627" w:rsidRPr="00CA0627">
        <w:rPr>
          <w:noProof/>
        </w:rPr>
        <w:t>(Vance &amp; Heichel, 1991; Udvardi &amp; Poole, 2013)</w:t>
      </w:r>
      <w:r w:rsidR="00EA15F8">
        <w:fldChar w:fldCharType="end"/>
      </w:r>
      <w:r w:rsidR="00E16CA5">
        <w:t xml:space="preserve">, or through the release of root exudates that prime free-living microbial communities in the rhizosphere </w:t>
      </w:r>
      <w:r w:rsidR="00E16CA5">
        <w:fldChar w:fldCharType="begin" w:fldLock="1"/>
      </w:r>
      <w:r w:rsidR="00E16CA5">
        <w:instrText>ADDIN CSL_CITATION {"citationItems":[{"id":"ITEM-1","itemData":{"DOI":"10.1111/nph.17854","ISSN":"14698137","PMID":"34761404","abstract":"The concept of a root economics space (RES) is increasingly adopted to explore root trait variation and belowground resource-acquisition strategies. Much progress has been made on interactions of root morphology and mycorrhizal symbioses. However, root exudation, with a significant carbon (C) cost (c. 5–21% of total photosynthetically fixed C) to enhance resource acquisition, remains a missing link in this RES. Here, we argue that incorporating root exudation into the structure of RES is key to a holistic understanding of soil nutrient acquisition. We highlight the different functional roles of root exudates in soil phosphorus (P) and nitrogen (N) acquisition. Thereafter, we synthesize emerging evidence that illustrates how root exudation interacts with root morphology and mycorrhizal symbioses at the level of species and individual plant and argue contrasting patterns in species evolved in P-impoverished vs N-limited environments. Finally, we propose a new conceptual framework, integrating three groups of root functional traits to better capture the complexity of belowground resource-acquisition strategies. Such a deeper understanding of the integrated and dynamic interactions of root morphology, root exudation, and mycorrhizal symbioses will provide valuable insights into the mechanisms underlying species coexistence and how to explore belowground interactions for sustainable managed systems.","author":[{"dropping-particle":"","family":"Wen","given":"Zhihui","non-dropping-particle":"","parse-names":false,"suffix":""},{"dropping-particle":"","family":"White","given":"Philip J.","non-dropping-particle":"","parse-names":false,"suffix":""},{"dropping-particle":"","family":"Shen","given":"Jianbo","non-dropping-particle":"","parse-names":false,"suffix":""},{"dropping-particle":"","family":"Lambers","given":"Hans","non-dropping-particle":"","parse-names":false,"suffix":""}],"container-title":"New Phytologist","id":"ITEM-1","issue":"4","issued":{"date-parts":[["2022"]]},"page":"1620-1635","title":"Linking root exudation to belowground economic traits for resource acquisition","type":"article-journal","volume":"233"},"uris":["http://www.mendeley.com/documents/?uuid=44933fd6-77ca-43c4-9bd5-32fd612d06ef"]},{"id":"ITEM-2","itemData":{"DOI":"10.1111/j.1461-0248.2010.01570.x","ISSN":"1461023X","abstract":"Ecology Letters (2011) 14: 187-194 The degree to which rising atmospheric CO2 will be offset by carbon (C) sequestration in forests depends in part on the capacity of trees and soil microbes to make physiological adjustments that can alleviate resource limitation. Here, we show for the first time that mature trees exposed to CO2 enrichment increase the release of soluble C from roots to soil, and that such increases are coupled to the accelerated turnover of nitrogen (N) pools in the rhizosphere. Over the course of 3years, we measured in situ rates of root exudation from 420 intact loblolly pine (Pinus taeda L.) roots. Trees fumigated with elevated CO2 (200 p.p.m.v. over background) increased exudation rates (μgCcm-1rooth-1) by 55% during the primary growing season, leading to a 50% annual increase in dissolved organic inputs to fumigated forest soils. These increases in root-derived C were positively correlated with microbial release of extracellular enzymes involved in breakdown of organic N (R2=0.66; P=0.006) in the rhizosphere, indicating that exudation stimulated microbial activity and accelerated the rate of soil organic matter (SOM) turnover. In support of this conclusion, trees exposed to both elevated CO2 and N fertilization did not increase exudation rates and had reduced enzyme activities in the rhizosphere. Collectively, our results provide field-based empirical support suggesting that sustained growth responses of forests to elevated CO2 in low fertility soils are maintained by enhanced rates of microbial activity and N cycling fuelled by inputs of root-derived C. To the extent that increases in exudation also stimulate SOM decomposition, such changes may prevent soil C accumulation in forest ecosystems. © 2010 Blackwell Publishing Ltd/CNRS.","author":[{"dropping-particle":"","family":"Phillips","given":"Richard P","non-dropping-particle":"","parse-names":false,"suffix":""},{"dropping-particle":"","family":"Finzi","given":"Adrien C","non-dropping-particle":"","parse-names":false,"suffix":""},{"dropping-particle":"","family":"Bernhardt","given":"Emily S","non-dropping-particle":"","parse-names":false,"suffix":""}],"container-title":"Ecology Letters","id":"ITEM-2","issue":"2","issued":{"date-parts":[["2011","2"]]},"page":"187-194","title":"Enhanced root exudation induces microbial feedbacks to N cycling in a pine forest under long-term CO2 fumigation","type":"article-journal","volume":"14"},"uris":["http://www.mendeley.com/documents/?uuid=883f7f1a-27ac-4ba0-9eff-04c3a1e4ef3b"]}],"mendeley":{"formattedCitation":"(Phillips &lt;i&gt;et al.&lt;/i&gt;, 2011; Wen &lt;i&gt;et al.&lt;/i&gt;, 2022)","plainTextFormattedCitation":"(Phillips et al., 2011; Wen et al., 2022)","previouslyFormattedCitation":"(Phillips &lt;i&gt;et al.&lt;/i&gt;, 2011; Wen &lt;i&gt;et al.&lt;/i&gt;, 2022)"},"properties":{"noteIndex":0},"schema":"https://github.com/citation-style-language/schema/raw/master/csl-citation.json"}</w:instrText>
      </w:r>
      <w:r w:rsidR="00E16CA5">
        <w:fldChar w:fldCharType="separate"/>
      </w:r>
      <w:r w:rsidR="00E16CA5" w:rsidRPr="00F13EBD">
        <w:rPr>
          <w:noProof/>
        </w:rPr>
        <w:t xml:space="preserve">(Phillips </w:t>
      </w:r>
      <w:r w:rsidR="00E16CA5" w:rsidRPr="00F13EBD">
        <w:rPr>
          <w:i/>
          <w:noProof/>
        </w:rPr>
        <w:t>et al.</w:t>
      </w:r>
      <w:r w:rsidR="00E16CA5" w:rsidRPr="00F13EBD">
        <w:rPr>
          <w:noProof/>
        </w:rPr>
        <w:t xml:space="preserve">, 2011; Wen </w:t>
      </w:r>
      <w:r w:rsidR="00E16CA5" w:rsidRPr="00F13EBD">
        <w:rPr>
          <w:i/>
          <w:noProof/>
        </w:rPr>
        <w:t>et al.</w:t>
      </w:r>
      <w:r w:rsidR="00E16CA5" w:rsidRPr="00F13EBD">
        <w:rPr>
          <w:noProof/>
        </w:rPr>
        <w:t>, 2022)</w:t>
      </w:r>
      <w:r w:rsidR="00E16CA5">
        <w:fldChar w:fldCharType="end"/>
      </w:r>
      <w:r w:rsidR="00E16CA5">
        <w:t>.</w:t>
      </w:r>
      <w:r w:rsidR="00ED4CFC">
        <w:t xml:space="preserve"> Importantly, a</w:t>
      </w:r>
      <w:r w:rsidR="00E16CA5">
        <w:t>ll nitrogen acquisition strategies require plants to allocate carbon belowground</w:t>
      </w:r>
      <w:r w:rsidR="009D6499">
        <w:t xml:space="preserve"> to acquire nitrogen</w:t>
      </w:r>
      <w:r w:rsidR="00E16CA5">
        <w:t xml:space="preserve">, </w:t>
      </w:r>
      <w:r w:rsidR="00ED4CFC">
        <w:t xml:space="preserve">which </w:t>
      </w:r>
      <w:r w:rsidR="00E16CA5">
        <w:t>impl</w:t>
      </w:r>
      <w:r w:rsidR="00ED4CFC">
        <w:t>ies</w:t>
      </w:r>
      <w:r w:rsidR="00E16CA5">
        <w:t xml:space="preserve"> </w:t>
      </w:r>
      <w:r w:rsidR="009D6499">
        <w:t>that there are</w:t>
      </w:r>
      <w:r w:rsidR="00E16CA5">
        <w:t xml:space="preserve"> carbon cost</w:t>
      </w:r>
      <w:r w:rsidR="009D6499">
        <w:t>s associated with</w:t>
      </w:r>
      <w:r w:rsidR="00E16CA5">
        <w:t xml:space="preserve"> plant nitrogen acquisition</w:t>
      </w:r>
      <w:r w:rsidR="00237528">
        <w:t xml:space="preserve"> regardless of acquisition strategy</w:t>
      </w:r>
      <w:r w:rsidR="00E16CA5">
        <w:t>.</w:t>
      </w:r>
      <w:r w:rsidR="00ED4CFC">
        <w:t xml:space="preserve"> Carbon costs to acquire nitrogen </w:t>
      </w:r>
      <w:r w:rsidR="001A31D4">
        <w:t xml:space="preserve">generally </w:t>
      </w:r>
      <w:r w:rsidR="00ED4CFC">
        <w:t xml:space="preserve">vary in species with different </w:t>
      </w:r>
      <w:r w:rsidR="00ED4CFC">
        <w:lastRenderedPageBreak/>
        <w:t>nitrogen acquisition strategies</w:t>
      </w:r>
      <w:r w:rsidR="005D006F">
        <w:t xml:space="preserve"> </w:t>
      </w:r>
      <w:r w:rsidR="005D006F">
        <w:fldChar w:fldCharType="begin" w:fldLock="1"/>
      </w:r>
      <w:r w:rsidR="009D6499">
        <w:instrText xml:space="preserve">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acquisition","type":"article-journal","volume":"217"},"uris":["http://www.mendeley.com/documents/?uuid=f5a032e4-11bd-468b-88f1-a7a4ce482036"]},{"id":"ITEM-3","itemData":{"DOI":"10.3389/ffgc.2020.00043","ISSN":"2624893X","abstract":"Nutrient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Change","id":"ITEM-3","issue":"May","issued":{"date-parts":[["2020"]]},"page":"1-12","title":"Modeling the carbon cost of plant nitrogen and phosphorus uptake across temperate and tropical forests","type":"article-journal","volume":"3"},"uris":["http://www.mendeley.com/documents/?uuid=480420f1-268a-43c9-915f-67afb003b56a"]},{"id":"ITEM-4","itemData":{"DOI":"10.1029/2009gb003621","abstract":"Nitrogen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w:instrText>
      </w:r>
      <w:r w:rsidR="009D6499">
        <w:rPr>
          <w:rFonts w:ascii="Cambria Math" w:hAnsi="Cambria Math" w:cs="Cambria Math"/>
        </w:rPr>
        <w:instrText>∼</w:instrText>
      </w:r>
      <w:r w:rsidR="009D6499">
        <w:instrText>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cycle.","author":[{"dropping-particle":"","family":"Fisher","given":"Joshua B","non-dropping-particle":"","parse-names":false,"suffix":""},{"dropping-particle":"","family":"Sitch","given":"S","non-dropping-particle":"","parse-names":false,"suffix":""},{"dropping-particle":"","family":"Malhi","given":"Yadvinder","non-dropping-particle":"","parse-names":false,"suffix":""},{"dropping-particle":"","family":"Fisher","given":"Rosie A","non-dropping-particle":"","parse-names":false,"suffix":""},{"dropping-particle":"","family":"Huntingford","given":"Chris","non-dropping-particle":"","parse-names":false,"suffix":""},{"dropping-particle":"","family":"Tan","given":"S-Y","non-dropping-particle":"","parse-names":false,"suffix":""}],"container-title":"Global Biogeochemical Cycles","id":"ITEM-4","issue":"1","issued":{"date-parts":[["2010"]]},"page":"1-17","title":"Carbon cost of plant nitrogen acquisition: A mechanistic, globally applicable model of plant nitrogen uptake, retranslocation, and fixation","type":"article-journal","volume":"24"},"uris":["http://www.mendeley.com/documents/?uuid=f2a4ae03-d445-47b6-9512-280f5efd13fa"]}],"mendeley":{"formattedCitation":"(Fisher &lt;i&gt;et al.&lt;/i&gt;, 2010; Brzostek &lt;i&gt;et al.&lt;/i&gt;, 2014; Terrer &lt;i&gt;et al.&lt;/i&gt;, 2018; Allen &lt;i&gt;et al.&lt;/i&gt;, 2020)","plainTextFormattedCitation":"(Fisher et al., 2010; Brzostek et al., 2014; Terrer et al., 2018; Allen et al., 2020)","previouslyFormattedCitation":"(Fisher &lt;i&gt;et al.&lt;/i&gt;, 2010; Brzostek &lt;i&gt;et al.&lt;/i&gt;, 2014; Terrer &lt;i&gt;et al.&lt;/i&gt;, 2018; Allen &lt;i&gt;et al.&lt;/i&gt;, 2020)"},"properties":{"noteIndex":0},"schema":"https://github.com/citation-style-language/schema/raw/master/csl-citation.json"}</w:instrText>
      </w:r>
      <w:r w:rsidR="005D006F">
        <w:fldChar w:fldCharType="separate"/>
      </w:r>
      <w:r w:rsidR="005D006F" w:rsidRPr="005D006F">
        <w:rPr>
          <w:noProof/>
        </w:rPr>
        <w:t xml:space="preserve">(Fisher </w:t>
      </w:r>
      <w:r w:rsidR="005D006F" w:rsidRPr="005D006F">
        <w:rPr>
          <w:i/>
          <w:noProof/>
        </w:rPr>
        <w:t>et al.</w:t>
      </w:r>
      <w:r w:rsidR="005D006F" w:rsidRPr="005D006F">
        <w:rPr>
          <w:noProof/>
        </w:rPr>
        <w:t xml:space="preserve">, 2010; Brzostek </w:t>
      </w:r>
      <w:r w:rsidR="005D006F" w:rsidRPr="005D006F">
        <w:rPr>
          <w:i/>
          <w:noProof/>
        </w:rPr>
        <w:t>et al.</w:t>
      </w:r>
      <w:r w:rsidR="005D006F" w:rsidRPr="005D006F">
        <w:rPr>
          <w:noProof/>
        </w:rPr>
        <w:t xml:space="preserve">, 2014; Terrer </w:t>
      </w:r>
      <w:r w:rsidR="005D006F" w:rsidRPr="005D006F">
        <w:rPr>
          <w:i/>
          <w:noProof/>
        </w:rPr>
        <w:t>et al.</w:t>
      </w:r>
      <w:r w:rsidR="005D006F" w:rsidRPr="005D006F">
        <w:rPr>
          <w:noProof/>
        </w:rPr>
        <w:t xml:space="preserve">, 2018; Allen </w:t>
      </w:r>
      <w:r w:rsidR="005D006F" w:rsidRPr="005D006F">
        <w:rPr>
          <w:i/>
          <w:noProof/>
        </w:rPr>
        <w:t>et al.</w:t>
      </w:r>
      <w:r w:rsidR="005D006F" w:rsidRPr="005D006F">
        <w:rPr>
          <w:noProof/>
        </w:rPr>
        <w:t>, 2020)</w:t>
      </w:r>
      <w:r w:rsidR="005D006F">
        <w:fldChar w:fldCharType="end"/>
      </w:r>
      <w:r w:rsidR="00ED4CFC">
        <w:t xml:space="preserve">, </w:t>
      </w:r>
      <w:r w:rsidR="00EA15F8">
        <w:t xml:space="preserve">and </w:t>
      </w:r>
      <w:r w:rsidR="00237528">
        <w:t>have been shown to be context</w:t>
      </w:r>
      <w:r w:rsidR="009D6499">
        <w:t xml:space="preserve"> dependent on environmental factors such as atmospheric CO</w:t>
      </w:r>
      <w:r w:rsidR="009D6499">
        <w:rPr>
          <w:vertAlign w:val="subscript"/>
        </w:rPr>
        <w:t>2</w:t>
      </w:r>
      <w:r w:rsidR="009D6499">
        <w:t xml:space="preserve">, light availability, and soil nutrient availability </w:t>
      </w:r>
      <w:r w:rsidR="009D6499">
        <w:fldChar w:fldCharType="begin" w:fldLock="1"/>
      </w:r>
      <w:r w:rsidR="00237528">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retranslocation","type":"article-journal","volume":"119"},"uris":["http://www.mendeley.com/documents/?uuid=d402da8e-476e-48bc-8d9c-7c76f7aa03a4"]},{"id":"ITEM-2","itemData":{"DOI":"10.3389/ffgc.2020.00043","ISSN":"2624893X","abstract":"Nutrient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Change","id":"ITEM-2","issue":"May","issued":{"date-parts":[["2020"]]},"page":"1-12","title":"Modeling the carbon cost of plant nitrogen and phosphorus uptake across temperate and tropical forests","type":"article-journal","volume":"3"},"uris":["http://www.mendeley.com/documents/?uuid=480420f1-268a-43c9-915f-67afb003b56a"]},{"id":"ITEM-3","itemData":{"DOI":"10.1093/jxb/erab253","ISSN":"0022-0957","abstract":"Plant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strategies","type":"article-journal","volume":"72"},"uris":["http://www.mendeley.com/documents/?uuid=233b0f00-9a30-4c3a-a2bb-5e67ae9c0e5f"]},{"id":"ITEM-4","itemData":{"DOI":"10.3389/fpls.2022.927435","abstract":"Photosynthetically derived carbon (C) is allocated belowground, allowing plants to obtain nutrients. However, less is known about the amount of nutrients acquired relative to the C allocated belowground, which is referred to as C efficiency for nutrient acquisition (CENA). Here, we examined how C efficiency for nitrogen (N) and phosphorus (P) acquisition varied between ryegrass ( Lolium perenne ) and clover ( Trifolium repens ) with and without P fertilization. A continuous 13 C-labeling method was applied to track belowground C allocation. Both species allocated nearly half of belowground C to rhizosphere respiration (49%), followed by root biomass (37%), and rhizodeposition (14%). With regard to N and P, CENA was higher for clover than for ryegrass, which remained higher after accounting for relatively low C costs associated with biological N 2 fixation. Phosphorus fertilization increased the C efficiency for P acquisition but decreased the C efficiency for N acquisition. A higher CENA for N and P in clover may be attributed to the greater rhizosphere priming on soil organic matter decomposition. Increased P availability with P fertilization could induce lower C allocation for P uptake but exacerbate soil N limitation, thereby making N uptake less C efficient. Overall, our study revealed that species-specific belowground C allocation and nutrient uptake efficiency depend on which nutrient is limited.","author":[{"dropping-particle":"","family":"Lu","given":"Jiayu","non-dropping-particle":"","parse-names":false,"suffix":""},{"dropping-particle":"","family":"Yang","given":"Jinfeng","non-dropping-particle":"","parse-names":false,"suffix":""},{"dropping-particle":"","family":"Keitel","given":"Claudia","non-dropping-particle":"","parse-names":false,"suffix":""},{"dropping-particle":"","family":"Yin","given":"Liming","non-dropping-particle":"","parse-names":false,"suffix":""},{"dropping-particle":"","family":"Wang","given":"Peng","non-dropping-particle":"","parse-names":false,"suffix":""},{"dropping-particle":"","family":"Cheng","given":"Weixin","non-dropping-particle":"","parse-names":false,"suffix":""},{"dropping-particle":"","family":"Dijkstra","given":"Feike A","non-dropping-particle":"","parse-names":false,"suffix":""}],"container-title":"Frontiers in Plant Science","id":"ITEM-4","issue":"June","issued":{"date-parts":[["2022"]]},"page":"1-9","title":"Belowground Carbon Efficiency for Nitrogen and Phosphorus Acquisition Varies Between Lolium perenne and Trifolium repens and Depends on Phosphorus Fertilization","type":"article-journal","volume":"13"},"uris":["http://www.mendeley.com/documents/?uuid=dfc9e40d-3479-48b7-8b2e-9c95537b5843"]},{"id":"ITEM-5","itemData":{"DOI":"10.1111/nph.14872","ISBN":"7476820487","ISSN":"0028-646X","abstract":"Land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Phytologist","id":"ITEM-5","issue":"2","issued":{"date-parts":[["2018","1","6"]]},"page":"507-522","title":"Ecosystem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acquisition","type":"article-journal","volume":"217"},"uris":["http://www.mendeley.com/documents/?uuid=f5a032e4-11bd-468b-88f1-a7a4ce482036"]}],"mendeley":{"formattedCitation":"(Brzostek &lt;i&gt;et al.&lt;/i&gt;, 2014; Terrer &lt;i&gt;et al.&lt;/i&gt;, 2018; Allen &lt;i&gt;et al.&lt;/i&gt;, 2020; Perkowski &lt;i&gt;et al.&lt;/i&gt;, 2021; Lu &lt;i&gt;et al.&lt;/i&gt;, 2022)","plainTextFormattedCitation":"(Brzostek et al., 2014; Terrer et al., 2018; Allen et al., 2020; Perkowski et al., 2021; Lu et al., 2022)","previouslyFormattedCitation":"(Brzostek &lt;i&gt;et al.&lt;/i&gt;, 2014; Terrer &lt;i&gt;et al.&lt;/i&gt;, 2018; Allen &lt;i&gt;et al.&lt;/i&gt;, 2020; Perkowski &lt;i&gt;et al.&lt;/i&gt;, 2021; Lu &lt;i&gt;et al.&lt;/i&gt;, 2022)"},"properties":{"noteIndex":0},"schema":"https://github.com/citation-style-language/schema/raw/master/csl-citation.json"}</w:instrText>
      </w:r>
      <w:r w:rsidR="009D6499">
        <w:fldChar w:fldCharType="separate"/>
      </w:r>
      <w:r w:rsidR="009D6499" w:rsidRPr="00DC1821">
        <w:rPr>
          <w:noProof/>
        </w:rPr>
        <w:t xml:space="preserve">(Brzostek </w:t>
      </w:r>
      <w:r w:rsidR="009D6499" w:rsidRPr="00DC1821">
        <w:rPr>
          <w:i/>
          <w:noProof/>
        </w:rPr>
        <w:t>et al.</w:t>
      </w:r>
      <w:r w:rsidR="009D6499" w:rsidRPr="00DC1821">
        <w:rPr>
          <w:noProof/>
        </w:rPr>
        <w:t xml:space="preserve">, 2014; Terrer </w:t>
      </w:r>
      <w:r w:rsidR="009D6499" w:rsidRPr="00DC1821">
        <w:rPr>
          <w:i/>
          <w:noProof/>
        </w:rPr>
        <w:t>et al.</w:t>
      </w:r>
      <w:r w:rsidR="009D6499" w:rsidRPr="00DC1821">
        <w:rPr>
          <w:noProof/>
        </w:rPr>
        <w:t xml:space="preserve">, 2018; Allen </w:t>
      </w:r>
      <w:r w:rsidR="009D6499" w:rsidRPr="00DC1821">
        <w:rPr>
          <w:i/>
          <w:noProof/>
        </w:rPr>
        <w:t>et al.</w:t>
      </w:r>
      <w:r w:rsidR="009D6499" w:rsidRPr="00DC1821">
        <w:rPr>
          <w:noProof/>
        </w:rPr>
        <w:t xml:space="preserve">, 2020; Perkowski </w:t>
      </w:r>
      <w:r w:rsidR="009D6499" w:rsidRPr="00DC1821">
        <w:rPr>
          <w:i/>
          <w:noProof/>
        </w:rPr>
        <w:t>et al.</w:t>
      </w:r>
      <w:r w:rsidR="009D6499" w:rsidRPr="00DC1821">
        <w:rPr>
          <w:noProof/>
        </w:rPr>
        <w:t xml:space="preserve">, 2021; Lu </w:t>
      </w:r>
      <w:r w:rsidR="009D6499" w:rsidRPr="00DC1821">
        <w:rPr>
          <w:i/>
          <w:noProof/>
        </w:rPr>
        <w:t>et al.</w:t>
      </w:r>
      <w:r w:rsidR="009D6499" w:rsidRPr="00DC1821">
        <w:rPr>
          <w:noProof/>
        </w:rPr>
        <w:t>, 2022)</w:t>
      </w:r>
      <w:r w:rsidR="009D6499">
        <w:fldChar w:fldCharType="end"/>
      </w:r>
      <w:r w:rsidR="009D6499">
        <w:t>.</w:t>
      </w:r>
    </w:p>
    <w:p w14:paraId="12EEDE45" w14:textId="74E41881" w:rsidR="003918A1" w:rsidRDefault="00237528" w:rsidP="001A31D4">
      <w:pPr>
        <w:spacing w:line="480" w:lineRule="auto"/>
        <w:ind w:firstLine="720"/>
      </w:pPr>
      <w:r>
        <w:t xml:space="preserve">Photosynthesis is a second process in terrestrial systems where carbon and nitrogen cycles are linked. </w:t>
      </w:r>
      <w:r w:rsidR="005D006F">
        <w:t xml:space="preserve">Photosynthesis links carbon and nitrogen cycles by fixing carbon dioxide drawn in from the atmosphere to simple sugars through a series of light dependent and independent reactions using enzymes that have high nitrogen requirements to build and maintain </w:t>
      </w:r>
      <w:r w:rsidR="005D006F">
        <w:fldChar w:fldCharType="begin" w:fldLock="1"/>
      </w:r>
      <w:r w:rsidR="005D006F">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plants","type":"article-journal","volume":"78"},"uris":["http://www.mendeley.com/documents/?uuid=20ca2eec-0707-46d9-b95a-10c6371d8aab"]},{"id":"ITEM-2","itemData":{"author":[{"dropping-particle":"","family":"Evans","given":"John R","non-dropping-particle":"","parse-names":false,"suffix":""},{"dropping-particle":"","family":"Seemann","given":"Jeffrey R","non-dropping-particle":"","parse-names":false,"suffix":""}],"container-title":"Photosynthesis","id":"ITEM-2","issued":{"date-parts":[["1989"]]},"page":"183-205","title":"The allocation of protein nitrogen in the photosynthetic apparatus: costs, consequences, and control","type":"article-journal","volume":"8"},"uris":["http://www.mendeley.com/documents/?uuid=b85d6cb6-b3cb-471b-9b1b-d018e804566a"]}],"mendeley":{"formattedCitation":"(Evans &amp; Seemann, 1989; Evans, 1989)","plainTextFormattedCitation":"(Evans &amp; Seemann, 1989; Evans, 1989)","previouslyFormattedCitation":"(Evans &amp; Seemann, 1989; Evans, 1989)"},"properties":{"noteIndex":0},"schema":"https://github.com/citation-style-language/schema/raw/master/csl-citation.json"}</w:instrText>
      </w:r>
      <w:r w:rsidR="005D006F">
        <w:fldChar w:fldCharType="separate"/>
      </w:r>
      <w:r w:rsidR="005D006F" w:rsidRPr="00F13EBD">
        <w:rPr>
          <w:noProof/>
        </w:rPr>
        <w:t>(Evans &amp; Seemann, 1989; Evans, 1989)</w:t>
      </w:r>
      <w:r w:rsidR="005D006F">
        <w:fldChar w:fldCharType="end"/>
      </w:r>
      <w:r w:rsidR="005D006F">
        <w:t>. Simple sugars can be used as substrate for respiration, allocated to structures that support growth and storage, or can be allocated belowground to acquire nutrients.</w:t>
      </w:r>
    </w:p>
    <w:p w14:paraId="02147581" w14:textId="1AF53373" w:rsidR="005052B7" w:rsidRDefault="001A5E20" w:rsidP="001A31D4">
      <w:pPr>
        <w:spacing w:line="480" w:lineRule="auto"/>
        <w:ind w:firstLine="720"/>
      </w:pPr>
      <w:r>
        <w:t>Increas</w:t>
      </w:r>
      <w:r w:rsidR="00F645DB">
        <w:t>ing</w:t>
      </w:r>
      <w:r>
        <w:t xml:space="preserve"> soil nitrogen availability </w:t>
      </w:r>
      <w:r w:rsidR="00E16C50">
        <w:t>generally increases plant nitrogen uptake</w:t>
      </w:r>
      <w:r>
        <w:t xml:space="preserve"> (), a pattern that </w:t>
      </w:r>
      <w:r w:rsidR="00E16C50">
        <w:t xml:space="preserve">usually corresponds with an increase in </w:t>
      </w:r>
      <w:r>
        <w:t xml:space="preserve">leaf nitrogen allocation </w:t>
      </w:r>
      <w:r w:rsidR="00F645DB">
        <w:fldChar w:fldCharType="begin" w:fldLock="1"/>
      </w:r>
      <w:r w:rsidR="00F645DB">
        <w:instrText>ADDIN CSL_CITATION {"citationItems":[{"id":"ITEM-1","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Evolution","id":"ITEM-1","issue":"3","issued":{"date-parts":[["2019","3","4"]]},"page":"400-406","title":"Leaf nutrients, not specific leaf area, are consistent indicators of elevated nutrient inputs","type":"article-journal","volume":"3"},"uris":["http://www.mendeley.com/documents/?uuid=aa4fd087-f2a3-4dc4-b20c-8e5dbc931ba3"]}],"mendeley":{"formattedCitation":"(Firn &lt;i&gt;et al.&lt;/i&gt;, 2019)","plainTextFormattedCitation":"(Firn et al., 2019)","previouslyFormattedCitation":"(Firn &lt;i&gt;et al.&lt;/i&gt;, 2019)"},"properties":{"noteIndex":0},"schema":"https://github.com/citation-style-language/schema/raw/master/csl-citation.json"}</w:instrText>
      </w:r>
      <w:r w:rsidR="00F645DB">
        <w:fldChar w:fldCharType="separate"/>
      </w:r>
      <w:r w:rsidR="00F645DB" w:rsidRPr="00F645DB">
        <w:rPr>
          <w:noProof/>
        </w:rPr>
        <w:t xml:space="preserve">(Firn </w:t>
      </w:r>
      <w:r w:rsidR="00F645DB" w:rsidRPr="00F645DB">
        <w:rPr>
          <w:i/>
          <w:noProof/>
        </w:rPr>
        <w:t>et al.</w:t>
      </w:r>
      <w:r w:rsidR="00F645DB" w:rsidRPr="00F645DB">
        <w:rPr>
          <w:noProof/>
        </w:rPr>
        <w:t>, 2019)</w:t>
      </w:r>
      <w:r w:rsidR="00F645DB">
        <w:fldChar w:fldCharType="end"/>
      </w:r>
      <w:r>
        <w:t xml:space="preserve">, photosynthetic capacity (), net primary productivity </w:t>
      </w:r>
      <w:r>
        <w:fldChar w:fldCharType="begin" w:fldLock="1"/>
      </w:r>
      <w:r w:rsidR="001B143E">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productivity","type":"article-journal","volume":"89"},"uris":["http://www.mendeley.com/documents/?uuid=9a0f3748-3fb9-483a-aeb3-fcaab5fa4acc"]}],"mendeley":{"formattedCitation":"(LeBauer &amp; Treseder, 2008)","plainTextFormattedCitation":"(LeBauer &amp; Treseder, 2008)","previouslyFormattedCitation":"(LeBauer &amp; Treseder, 2008)"},"properties":{"noteIndex":0},"schema":"https://github.com/citation-style-language/schema/raw/master/csl-citation.json"}</w:instrText>
      </w:r>
      <w:r>
        <w:fldChar w:fldCharType="separate"/>
      </w:r>
      <w:r w:rsidRPr="001A5E20">
        <w:rPr>
          <w:noProof/>
        </w:rPr>
        <w:t>(LeBauer &amp; Treseder, 2008)</w:t>
      </w:r>
      <w:r>
        <w:fldChar w:fldCharType="end"/>
      </w:r>
      <w:r>
        <w:t xml:space="preserve">, and whole plant growth </w:t>
      </w:r>
      <w:r w:rsidR="00F645DB">
        <w:fldChar w:fldCharType="begin" w:fldLock="1"/>
      </w:r>
      <w:r w:rsidR="00E16C50">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meta‐analysis","type":"article-journal","volume":"26"},"uris":["http://www.mendeley.com/documents/?uuid=c936a49f-196c-406d-ac18-be1d835be620"]}],"mendeley":{"formattedCitation":"(Liang &lt;i&gt;et al.&lt;/i&gt;, 2020)","plainTextFormattedCitation":"(Liang et al., 2020)","previouslyFormattedCitation":"(Liang &lt;i&gt;et al.&lt;/i&gt;, 2020)"},"properties":{"noteIndex":0},"schema":"https://github.com/citation-style-language/schema/raw/master/csl-citation.json"}</w:instrText>
      </w:r>
      <w:r w:rsidR="00F645DB">
        <w:fldChar w:fldCharType="separate"/>
      </w:r>
      <w:r w:rsidR="00F645DB" w:rsidRPr="00F645DB">
        <w:rPr>
          <w:noProof/>
        </w:rPr>
        <w:t xml:space="preserve">(Liang </w:t>
      </w:r>
      <w:r w:rsidR="00F645DB" w:rsidRPr="00F645DB">
        <w:rPr>
          <w:i/>
          <w:noProof/>
        </w:rPr>
        <w:t>et al.</w:t>
      </w:r>
      <w:r w:rsidR="00F645DB" w:rsidRPr="00F645DB">
        <w:rPr>
          <w:noProof/>
        </w:rPr>
        <w:t>, 2020)</w:t>
      </w:r>
      <w:r w:rsidR="00F645DB">
        <w:fldChar w:fldCharType="end"/>
      </w:r>
      <w:r>
        <w:t xml:space="preserve">. </w:t>
      </w:r>
      <w:r w:rsidR="00E16C50">
        <w:t>The common positive relationships</w:t>
      </w:r>
      <w:r>
        <w:t xml:space="preserve"> between soil nitrogen availability, leaf nitrogen allocation, and photosynthetic capacity serves as the basis for how many terrestrial biosphere models estimate photosynthetic capacity within plant functional groups </w:t>
      </w:r>
      <w:r>
        <w:fldChar w:fldCharType="begin" w:fldLock="1"/>
      </w:r>
      <w:r>
        <w:instrText>ADDIN CSL_CITATION {"citationItems":[{"id":"ITEM-1","itemData":{"DOI":"10.1111/nph.14283","ISSN":"0028646X","author":[{"dropping-particle":"","family":"Rogers","given":"Alistair","non-dropping-particle":"","parse-names":false,"suffix":""},{"dropping-particle":"","family":"Medlyn","given":"Belinda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Phytologist","id":"ITEM-1","issue":"1","issued":{"date-parts":[["2017","1"]]},"page":"22-42","title":"A roadmap for improving the representation of photosynthesis in Earth system models","type":"article-journal","volume":"213"},"uris":["http://www.mendeley.com/documents/?uuid=2b8771ac-5f1d-4259-ab38-c0c6999be44d"]},{"id":"ITEM-2","itemData":{"DOI":"10.1111/j.1365-2486.2012.02797.x","ISSN":"13541013","PMID":"23504720","abstract":"To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Biology","id":"ITEM-2","issue":"1","issued":{"date-parts":[["2013"]]},"page":"45-63","title":"Plant respiration and photosynthesis in global-scale models: Incorporating acclimation to temperature and CO&lt;sub&gt;2&lt;/sub&gt;","type":"article-journal","volume":"19"},"uris":["http://www.mendeley.com/documents/?uuid=b45ebbbe-9cfa-41ef-9337-8bc2bfdfb16b"]}],"mendeley":{"formattedCitation":"(Smith &amp; Dukes, 2013; Rogers &lt;i&gt;et al.&lt;/i&gt;, 2017)","plainTextFormattedCitation":"(Smith &amp; Dukes, 2013; Rogers et al., 2017)","previouslyFormattedCitation":"(Smith &amp; Dukes, 2013; Rogers &lt;i&gt;et al.&lt;/i&gt;, 2017)"},"properties":{"noteIndex":0},"schema":"https://github.com/citation-style-language/schema/raw/master/csl-citation.json"}</w:instrText>
      </w:r>
      <w:r>
        <w:fldChar w:fldCharType="separate"/>
      </w:r>
      <w:r w:rsidRPr="00F13EBD">
        <w:rPr>
          <w:noProof/>
        </w:rPr>
        <w:t xml:space="preserve">(Smith &amp; Dukes, 2013; Rogers </w:t>
      </w:r>
      <w:r w:rsidRPr="00F13EBD">
        <w:rPr>
          <w:i/>
          <w:noProof/>
        </w:rPr>
        <w:t>et al.</w:t>
      </w:r>
      <w:r w:rsidRPr="00F13EBD">
        <w:rPr>
          <w:noProof/>
        </w:rPr>
        <w:t>, 2017)</w:t>
      </w:r>
      <w:r>
        <w:fldChar w:fldCharType="end"/>
      </w:r>
      <w:r>
        <w:t xml:space="preserve">. However, recent work calls the generality of these relationships into question, </w:t>
      </w:r>
      <w:r w:rsidR="00FD1C5A">
        <w:t xml:space="preserve">and </w:t>
      </w:r>
      <w:r w:rsidR="002C2D4C">
        <w:t xml:space="preserve">suggests that </w:t>
      </w:r>
      <w:r w:rsidR="00E16C50">
        <w:t>these relationships</w:t>
      </w:r>
      <w:r w:rsidR="002C2D4C">
        <w:t xml:space="preserve"> depend on climatic factors that modify photosynthetic demand to build and maintain photosynthetic enzymes </w:t>
      </w:r>
      <w:r w:rsidR="002C2D4C">
        <w:fldChar w:fldCharType="begin" w:fldLock="1"/>
      </w:r>
      <w:r w:rsidR="00F871BB">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leaves","type":"article-journal","volume":"228"},"uris":["http://www.mendeley.com/documents/?uuid=7a979be5-4341-4431-bd38-7ceeeada2df2"]},{"id":"ITEM-4","itemData":{"DOI":"10.1111/ele.13210","ISSN":"1461-023X","abstract":"Earth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Letters","editor":[{"dropping-particle":"","family":"Niu","given":"Shuli","non-dropping-particle":"","parse-names":false,"suffix":""}],"id":"ITEM-4","issue":"3","issued":{"date-parts":[["2019","3","4"]]},"page":"506-517","title":"Global photosynthetic capacity is optimized to the environment","type":"article-journal","volume":"22"},"uris":["http://www.mendeley.com/documents/?uuid=de810a7b-b01e-4be3-a228-03946531e91d"]}],"mendeley":{"formattedCitation":"(Dong &lt;i&gt;et al.&lt;/i&gt;, 2017, 2020; Smith &lt;i&gt;et al.&lt;/i&gt;, 2019; Paillassa &lt;i&gt;et al.&lt;/i&gt;, 2020)","plainTextFormattedCitation":"(Dong et al., 2017, 2020; Smith et al., 2019; Paillassa et al., 2020)","previouslyFormattedCitation":"(Dong &lt;i&gt;et al.&lt;/i&gt;, 2017, 2020; Smith &lt;i&gt;et al.&lt;/i&gt;, 2019; Paillassa &lt;i&gt;et al.&lt;/i&gt;, 2020)"},"properties":{"noteIndex":0},"schema":"https://github.com/citation-style-language/schema/raw/master/csl-citation.json"}</w:instrText>
      </w:r>
      <w:r w:rsidR="002C2D4C">
        <w:fldChar w:fldCharType="separate"/>
      </w:r>
      <w:r w:rsidR="00F871BB" w:rsidRPr="00F871BB">
        <w:rPr>
          <w:noProof/>
        </w:rPr>
        <w:t xml:space="preserve">(Dong </w:t>
      </w:r>
      <w:r w:rsidR="00F871BB" w:rsidRPr="00F871BB">
        <w:rPr>
          <w:i/>
          <w:noProof/>
        </w:rPr>
        <w:t>et al.</w:t>
      </w:r>
      <w:r w:rsidR="00F871BB" w:rsidRPr="00F871BB">
        <w:rPr>
          <w:noProof/>
        </w:rPr>
        <w:t xml:space="preserve">, 2017, 2020; Smith </w:t>
      </w:r>
      <w:r w:rsidR="00F871BB" w:rsidRPr="00F871BB">
        <w:rPr>
          <w:i/>
          <w:noProof/>
        </w:rPr>
        <w:t>et al.</w:t>
      </w:r>
      <w:r w:rsidR="00F871BB" w:rsidRPr="00F871BB">
        <w:rPr>
          <w:noProof/>
        </w:rPr>
        <w:t xml:space="preserve">, 2019; Paillassa </w:t>
      </w:r>
      <w:r w:rsidR="00F871BB" w:rsidRPr="00F871BB">
        <w:rPr>
          <w:i/>
          <w:noProof/>
        </w:rPr>
        <w:t>et al.</w:t>
      </w:r>
      <w:r w:rsidR="00F871BB" w:rsidRPr="00F871BB">
        <w:rPr>
          <w:noProof/>
        </w:rPr>
        <w:t>, 2020)</w:t>
      </w:r>
      <w:r w:rsidR="002C2D4C">
        <w:fldChar w:fldCharType="end"/>
      </w:r>
      <w:r w:rsidR="002C2D4C">
        <w:t>.</w:t>
      </w:r>
      <w:r w:rsidR="005052B7">
        <w:t xml:space="preserve"> </w:t>
      </w:r>
    </w:p>
    <w:p w14:paraId="4BC37C19" w14:textId="1B525DD8" w:rsidR="001A31D4" w:rsidRDefault="001A31D4" w:rsidP="001A31D4">
      <w:pPr>
        <w:spacing w:line="480" w:lineRule="auto"/>
        <w:ind w:firstLine="720"/>
      </w:pPr>
      <w:r>
        <w:t>Recent theory provides a solution</w:t>
      </w:r>
    </w:p>
    <w:p w14:paraId="32FCA316" w14:textId="45626AC2" w:rsidR="00287D42" w:rsidRDefault="001A5E20" w:rsidP="00E16C50">
      <w:pPr>
        <w:spacing w:line="480" w:lineRule="auto"/>
        <w:ind w:firstLine="720"/>
      </w:pPr>
      <w:r>
        <w:lastRenderedPageBreak/>
        <w:t>Additionally, studies suggest that whole plant responses to soil nitrogen availability may be greater than leaf responses to soil nitrogen availability</w:t>
      </w:r>
      <w:r w:rsidR="007935E9">
        <w:t xml:space="preserve"> </w:t>
      </w:r>
      <w:r w:rsidR="007935E9">
        <w:fldChar w:fldCharType="begin" w:fldLock="1"/>
      </w:r>
      <w:r w:rsidR="000B69B8">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meta‐analysis","type":"article-journal","volume":"26"},"uris":["http://www.mendeley.com/documents/?uuid=c936a49f-196c-406d-ac18-be1d835be620"]}],"mendeley":{"formattedCitation":"(Liang &lt;i&gt;et al.&lt;/i&gt;, 2020)","plainTextFormattedCitation":"(Liang et al., 2020)","previouslyFormattedCitation":"(Liang &lt;i&gt;et al.&lt;/i&gt;, 2020)"},"properties":{"noteIndex":0},"schema":"https://github.com/citation-style-language/schema/raw/master/csl-citation.json"}</w:instrText>
      </w:r>
      <w:r w:rsidR="007935E9">
        <w:fldChar w:fldCharType="separate"/>
      </w:r>
      <w:r w:rsidR="007935E9" w:rsidRPr="007935E9">
        <w:rPr>
          <w:noProof/>
        </w:rPr>
        <w:t xml:space="preserve">(Liang </w:t>
      </w:r>
      <w:r w:rsidR="007935E9" w:rsidRPr="007935E9">
        <w:rPr>
          <w:i/>
          <w:noProof/>
        </w:rPr>
        <w:t>et al.</w:t>
      </w:r>
      <w:r w:rsidR="007935E9" w:rsidRPr="007935E9">
        <w:rPr>
          <w:noProof/>
        </w:rPr>
        <w:t>, 2020)</w:t>
      </w:r>
      <w:r w:rsidR="007935E9">
        <w:fldChar w:fldCharType="end"/>
      </w:r>
      <w:r>
        <w:t xml:space="preserve">, and that </w:t>
      </w:r>
      <w:r w:rsidR="001B143E">
        <w:t>increases in soil nitrogen availability may reduce the proportion of leaf nitrogen that gets allocated to photosynthetic apparatuses</w:t>
      </w:r>
      <w:r w:rsidR="00FD1C5A">
        <w:t xml:space="preserve"> </w:t>
      </w:r>
      <w:r w:rsidR="001B143E">
        <w:fldChar w:fldCharType="begin" w:fldLock="1"/>
      </w:r>
      <w:r w:rsidR="007935E9">
        <w:instrText>ADDIN CSL_CITATION {"citationItems":[{"id":"ITEM-1","itemData":{"DOI":"10.1111/gcb.15071","ISSN":"1354-1013","abstract":"A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Biology","id":"ITEM-1","issue":"6","issued":{"date-parts":[["2020","6","8"]]},"page":"3585-3600","title":"Global response patterns of plant photosynthesis to nitrogen addition: A meta‐analysis","type":"article-journal","volume":"26"},"uris":["http://www.mendeley.com/documents/?uuid=c936a49f-196c-406d-ac18-be1d835be620"]}],"mendeley":{"formattedCitation":"(Liang &lt;i&gt;et al.&lt;/i&gt;, 2020)","manualFormatting":"(Liang et al., 2020","plainTextFormattedCitation":"(Liang et al., 2020)","previouslyFormattedCitation":"(Liang &lt;i&gt;et al.&lt;/i&gt;, 2020)"},"properties":{"noteIndex":0},"schema":"https://github.com/citation-style-language/schema/raw/master/csl-citation.json"}</w:instrText>
      </w:r>
      <w:r w:rsidR="001B143E">
        <w:fldChar w:fldCharType="separate"/>
      </w:r>
      <w:r w:rsidR="001B143E" w:rsidRPr="001B143E">
        <w:rPr>
          <w:noProof/>
        </w:rPr>
        <w:t xml:space="preserve">(Liang </w:t>
      </w:r>
      <w:r w:rsidR="001B143E" w:rsidRPr="001B143E">
        <w:rPr>
          <w:i/>
          <w:noProof/>
        </w:rPr>
        <w:t>et al.</w:t>
      </w:r>
      <w:r w:rsidR="001B143E" w:rsidRPr="001B143E">
        <w:rPr>
          <w:noProof/>
        </w:rPr>
        <w:t>, 2020</w:t>
      </w:r>
      <w:r w:rsidR="001B143E">
        <w:fldChar w:fldCharType="end"/>
      </w:r>
      <w:r w:rsidR="001B143E">
        <w:t xml:space="preserve">; </w:t>
      </w:r>
      <w:r w:rsidR="00FD1C5A">
        <w:t xml:space="preserve">Waring et al., </w:t>
      </w:r>
      <w:r w:rsidR="00FD1C5A">
        <w:rPr>
          <w:i/>
          <w:iCs/>
        </w:rPr>
        <w:t>in prep</w:t>
      </w:r>
      <w:r w:rsidR="00FD1C5A">
        <w:t>)</w:t>
      </w:r>
      <w:r w:rsidR="00287D42">
        <w:t>.</w:t>
      </w:r>
      <w:r w:rsidR="00F645DB">
        <w:t xml:space="preserve"> </w:t>
      </w:r>
    </w:p>
    <w:p w14:paraId="1DB1B39F" w14:textId="5D01182A" w:rsidR="00F645DB" w:rsidRDefault="001B143E" w:rsidP="00E16C50">
      <w:pPr>
        <w:spacing w:line="480" w:lineRule="auto"/>
        <w:ind w:firstLine="720"/>
      </w:pPr>
      <w:r>
        <w:t xml:space="preserve">Nutrient acquisition strategy may also alter linkages between carbon and nitrogen cycle dynamics and could modify the net effect of soil nitrogen availability on such cycle dynamics. </w:t>
      </w:r>
    </w:p>
    <w:p w14:paraId="3E784CAC" w14:textId="661A71C4" w:rsidR="00EC2C0C" w:rsidRDefault="00EC2C0C" w:rsidP="00E16C50">
      <w:pPr>
        <w:spacing w:line="480" w:lineRule="auto"/>
        <w:ind w:firstLine="720"/>
      </w:pPr>
    </w:p>
    <w:p w14:paraId="1F8B4EF6" w14:textId="69E42B52" w:rsidR="00EC2C0C" w:rsidRDefault="00EC2C0C" w:rsidP="00E16C50">
      <w:pPr>
        <w:spacing w:line="480" w:lineRule="auto"/>
        <w:ind w:firstLine="720"/>
      </w:pPr>
    </w:p>
    <w:p w14:paraId="09563798" w14:textId="102C75A1" w:rsidR="00146410" w:rsidRDefault="00EC2C0C" w:rsidP="00E16C50">
      <w:pPr>
        <w:spacing w:line="480" w:lineRule="auto"/>
        <w:ind w:firstLine="720"/>
      </w:pPr>
      <w:r>
        <w:t xml:space="preserve">Previous attempts to disentangle interactions between nutrient acquisition strategy and carbon costs to acquire nitrogen have been limited, as species selections have differed by more than their nutrient acquisition strategy. For example, Perkowski et al. (2021) used cotton and soybean to detect differences in structural carbon costs to acquire nitrogen </w:t>
      </w:r>
      <w:r w:rsidR="00146410">
        <w:t xml:space="preserve">due to light availability and nitrogen fertilization. Cotton is a woody perennial species that can acquire nutrients via direct uptake or through symbioses with arbuscular mycorrhizal fungi, while soybean is </w:t>
      </w:r>
      <w:proofErr w:type="gramStart"/>
      <w:r w:rsidR="00146410">
        <w:t>a</w:t>
      </w:r>
      <w:proofErr w:type="gramEnd"/>
      <w:r w:rsidR="00146410">
        <w:t xml:space="preserve"> herbaceous annual species that can acquire nutrients via direct uptake, through </w:t>
      </w:r>
      <w:proofErr w:type="spellStart"/>
      <w:r w:rsidR="00146410">
        <w:t>sy</w:t>
      </w:r>
      <w:proofErr w:type="spellEnd"/>
      <w:r w:rsidR="00146410">
        <w:t xml:space="preserve"> </w:t>
      </w:r>
      <w:proofErr w:type="spellStart"/>
      <w:r w:rsidR="00146410">
        <w:t>mbioses</w:t>
      </w:r>
      <w:proofErr w:type="spellEnd"/>
      <w:r w:rsidR="00146410">
        <w:t xml:space="preserve"> with arbuscular mycorrhizal fungi, or through symbioses with symbiotic nitrogen fixing bacteria. Lu et al. (2022) used a similar paired species design, quantifying a similar metric in ryegrass and clover. Ryegrass is a perennial grass capable of acquiring nutrients through direct uptake pathways or via associations with arbuscular mycorrhizal fungi, while clover is an annual </w:t>
      </w:r>
    </w:p>
    <w:p w14:paraId="0A7C1CD2" w14:textId="77777777" w:rsidR="00146410" w:rsidRDefault="00146410" w:rsidP="00E16C50">
      <w:pPr>
        <w:spacing w:line="480" w:lineRule="auto"/>
        <w:ind w:firstLine="720"/>
      </w:pPr>
    </w:p>
    <w:p w14:paraId="0ECB577C" w14:textId="77777777" w:rsidR="00146410" w:rsidRDefault="00146410" w:rsidP="00E16C50">
      <w:pPr>
        <w:spacing w:line="480" w:lineRule="auto"/>
        <w:ind w:firstLine="720"/>
      </w:pPr>
    </w:p>
    <w:p w14:paraId="715ECC97" w14:textId="1E99EA3E" w:rsidR="00EC2C0C" w:rsidRDefault="00EC2C0C" w:rsidP="00E16C50">
      <w:pPr>
        <w:spacing w:line="480" w:lineRule="auto"/>
        <w:ind w:firstLine="720"/>
      </w:pPr>
      <w:r>
        <w:fldChar w:fldCharType="begin" w:fldLock="1"/>
      </w:r>
      <w:r w:rsidR="00237528">
        <w:instrText>ADDIN CSL_CITATION {"citationItems":[{"id":"ITEM-1","itemData":{"DOI":"10.3389/fpls.2022.927435","abstract":"Photosynthetically derived carbon (C) is allocated belowground, allowing plants to obtain nutrients. However, less is known about the amount of nutrients acquired relative to the C allocated belowground, which is referred to as C efficiency for nutrient acquisition (CENA). Here, we examined how C efficiency for nitrogen (N) and phosphorus (P) acquisition varied between ryegrass ( Lolium perenne ) and clover ( Trifolium repens ) with and without P fertilization. A continuous 13 C-labeling method was applied to track belowground C allocation. Both species allocated nearly half of belowground C to rhizosphere respiration (49%), followed by root biomass (37%), and rhizodeposition (14%). With regard to N and P, CENA was higher for clover than for ryegrass, which remained higher after accounting for relatively low C costs associated with biological N 2 fixation. Phosphorus fertilization increased the C efficiency for P acquisition but decreased the C efficiency for N acquisition. A higher CENA for N and P in clover may be attributed to the greater rhizosphere priming on soil organic matter decomposition. Increased P availability with P fertilization could induce lower C allocation for P uptake but exacerbate soil N limitation, thereby making N uptake less C efficient. Overall, our study revealed that species-specific belowground C allocation and nutrient uptake efficiency depend on which nutrient is limited.","author":[{"dropping-particle":"","family":"Lu","given":"Jiayu","non-dropping-particle":"","parse-names":false,"suffix":""},{"dropping-particle":"","family":"Yang","given":"Jinfeng","non-dropping-particle":"","parse-names":false,"suffix":""},{"dropping-particle":"","family":"Keitel","given":"Claudia","non-dropping-particle":"","parse-names":false,"suffix":""},{"dropping-particle":"","family":"Yin","given":"Liming","non-dropping-particle":"","parse-names":false,"suffix":""},{"dropping-particle":"","family":"Wang","given":"Peng","non-dropping-particle":"","parse-names":false,"suffix":""},{"dropping-particle":"","family":"Cheng","given":"Weixin","non-dropping-particle":"","parse-names":false,"suffix":""},{"dropping-particle":"","family":"Dijkstra","given":"Feike A","non-dropping-particle":"","parse-names":false,"suffix":""}],"container-title":"Frontiers in Plant Science","id":"ITEM-1","issue":"June","issued":{"date-parts":[["2022"]]},"page":"1-9","title":"Belowground Carbon Efficiency for Nitrogen and Phosphorus Acquisition Varies Between Lolium perenne and Trifolium repens and Depends on Phosphorus Fertilization","type":"article-journal","volume":"13"},"uris":["http://www.mendeley.com/documents/?uuid=dfc9e40d-3479-48b7-8b2e-9c95537b5843"]},{"id":"ITEM-2","itemData":{"DOI":"10.1093/jxb/erab253","ISSN":"0022-0957","abstract":"Plant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Botany","editor":[{"dropping-particle":"","family":"Rogers","given":"Alistair","non-dropping-particle":"","parse-names":false,"suffix":""}],"id":"ITEM-2","issue":"15","issued":{"date-parts":[["2021","7","28"]]},"page":"5766-5776","title":"Root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 Lu &lt;i&gt;et al.&lt;/i&gt;, 2022)","plainTextFormattedCitation":"(Perkowski et al., 2021; Lu et al., 2022)","previouslyFormattedCitation":"(Perkowski &lt;i&gt;et al.&lt;/i&gt;, 2021; Lu &lt;i&gt;et al.&lt;/i&gt;, 2022)"},"properties":{"noteIndex":0},"schema":"https://github.com/citation-style-language/schema/raw/master/csl-citation.json"}</w:instrText>
      </w:r>
      <w:r>
        <w:fldChar w:fldCharType="separate"/>
      </w:r>
      <w:r w:rsidRPr="00EC2C0C">
        <w:rPr>
          <w:noProof/>
        </w:rPr>
        <w:t xml:space="preserve">(Perkowski </w:t>
      </w:r>
      <w:r w:rsidRPr="00EC2C0C">
        <w:rPr>
          <w:i/>
          <w:noProof/>
        </w:rPr>
        <w:t>et al.</w:t>
      </w:r>
      <w:r w:rsidRPr="00EC2C0C">
        <w:rPr>
          <w:noProof/>
        </w:rPr>
        <w:t xml:space="preserve">, 2021; Lu </w:t>
      </w:r>
      <w:r w:rsidRPr="00EC2C0C">
        <w:rPr>
          <w:i/>
          <w:noProof/>
        </w:rPr>
        <w:t>et al.</w:t>
      </w:r>
      <w:r w:rsidRPr="00EC2C0C">
        <w:rPr>
          <w:noProof/>
        </w:rPr>
        <w:t>, 2022)</w:t>
      </w:r>
      <w:r>
        <w:fldChar w:fldCharType="end"/>
      </w:r>
    </w:p>
    <w:p w14:paraId="444BEBFD" w14:textId="77777777" w:rsidR="00A461D6" w:rsidRDefault="00FF7948" w:rsidP="00642465">
      <w:pPr>
        <w:spacing w:line="480" w:lineRule="auto"/>
        <w:ind w:firstLine="720"/>
      </w:pPr>
      <w:r>
        <w:lastRenderedPageBreak/>
        <w:t xml:space="preserve">In this study, </w:t>
      </w:r>
      <w:r w:rsidR="00FD777D">
        <w:t xml:space="preserve">we </w:t>
      </w:r>
      <w:r>
        <w:t>grew</w:t>
      </w:r>
      <w:r w:rsidR="00C70400">
        <w:t xml:space="preserve"> </w:t>
      </w:r>
      <w:r w:rsidR="00C70400">
        <w:rPr>
          <w:i/>
          <w:iCs/>
        </w:rPr>
        <w:t>Glycine max</w:t>
      </w:r>
      <w:r w:rsidR="00C70400">
        <w:t xml:space="preserve"> L. (</w:t>
      </w:r>
      <w:proofErr w:type="spellStart"/>
      <w:r w:rsidR="00C70400">
        <w:t>Merr</w:t>
      </w:r>
      <w:proofErr w:type="spellEnd"/>
      <w:r w:rsidR="00C70400">
        <w:t>.) under two soil nitrogen fertilization treatments and two inoculation treatments in a full factorial greenhouse experiment. We used this experiment to test the following hypotheses:</w:t>
      </w:r>
    </w:p>
    <w:p w14:paraId="2265ECA5" w14:textId="558D98A8" w:rsidR="00A461D6" w:rsidRDefault="00E8768C" w:rsidP="00642465">
      <w:pPr>
        <w:pStyle w:val="ListParagraph"/>
        <w:numPr>
          <w:ilvl w:val="0"/>
          <w:numId w:val="6"/>
        </w:numPr>
        <w:spacing w:line="480" w:lineRule="auto"/>
        <w:ind w:left="1080"/>
      </w:pPr>
      <w:r>
        <w:t>S</w:t>
      </w:r>
      <w:r w:rsidR="00FF7948">
        <w:t>oil nitrogen fertilization w</w:t>
      </w:r>
      <w:r>
        <w:t xml:space="preserve">ill </w:t>
      </w:r>
      <w:r w:rsidR="00FF7948">
        <w:t xml:space="preserve">increase whole plant growth </w:t>
      </w:r>
      <w:r w:rsidR="007935E9">
        <w:t>because of</w:t>
      </w:r>
      <w:r w:rsidR="00A07AF4">
        <w:t xml:space="preserve"> lower carbon cost</w:t>
      </w:r>
      <w:r w:rsidR="007935E9">
        <w:t>s of nitrogen acquisition. This will increase the amount of nitrogen acquired per belowground carbon investment, which will maximize both nitrogen and carbon allocation to growth and storage</w:t>
      </w:r>
    </w:p>
    <w:p w14:paraId="643926A3" w14:textId="0C956BE4" w:rsidR="007935E9" w:rsidRDefault="007935E9" w:rsidP="00642465">
      <w:pPr>
        <w:pStyle w:val="ListParagraph"/>
        <w:numPr>
          <w:ilvl w:val="0"/>
          <w:numId w:val="6"/>
        </w:numPr>
        <w:spacing w:line="480" w:lineRule="auto"/>
        <w:ind w:left="1080"/>
      </w:pPr>
      <w:r>
        <w:t xml:space="preserve">Inoculation with nitrogen-fixing bacteria will decrease </w:t>
      </w:r>
      <w:r w:rsidR="00E16C50">
        <w:t xml:space="preserve">carbon costs to acquire nitrogen under low soil nitrogen availability, as carbon costs to acquire nitrogen will be less than the carbon cost to acquire nitrogen via direct uptake. This will result in a positive effect of inoculation on whole plant growth and total leaf </w:t>
      </w:r>
      <w:proofErr w:type="gramStart"/>
      <w:r w:rsidR="00E16C50">
        <w:t>area, but</w:t>
      </w:r>
      <w:proofErr w:type="gramEnd"/>
      <w:r w:rsidR="00E16C50">
        <w:t xml:space="preserve"> will only be apparent under low soil nitrogen availability.</w:t>
      </w:r>
    </w:p>
    <w:p w14:paraId="5224E321" w14:textId="77777777" w:rsidR="00A461D6" w:rsidRDefault="00A07AF4" w:rsidP="00642465">
      <w:pPr>
        <w:pStyle w:val="ListParagraph"/>
        <w:numPr>
          <w:ilvl w:val="0"/>
          <w:numId w:val="6"/>
        </w:numPr>
        <w:spacing w:line="480" w:lineRule="auto"/>
        <w:ind w:left="1080"/>
      </w:pPr>
      <w:r>
        <w:t xml:space="preserve">There will be a decrease in nodulation with increasing soil nitrogen availability due to a reduction in carbon costs to obtain nitrogen from direct uptake with </w:t>
      </w:r>
      <w:r w:rsidR="00D01503">
        <w:t xml:space="preserve">increasing </w:t>
      </w:r>
      <w:r>
        <w:t xml:space="preserve">soil nitrogen </w:t>
      </w:r>
      <w:r w:rsidR="00D01503">
        <w:t>fertilization</w:t>
      </w:r>
      <w:r w:rsidR="0038171F">
        <w:t>.</w:t>
      </w:r>
    </w:p>
    <w:p w14:paraId="00B89F88" w14:textId="77777777" w:rsidR="00A461D6" w:rsidRDefault="00E8768C" w:rsidP="00642465">
      <w:pPr>
        <w:pStyle w:val="ListParagraph"/>
        <w:numPr>
          <w:ilvl w:val="0"/>
          <w:numId w:val="6"/>
        </w:numPr>
        <w:spacing w:line="480" w:lineRule="auto"/>
        <w:ind w:left="1080"/>
      </w:pPr>
      <w:r>
        <w:t>S</w:t>
      </w:r>
      <w:r w:rsidR="008F6058">
        <w:t>oil nitrogen fertilization w</w:t>
      </w:r>
      <w:r>
        <w:t>ill</w:t>
      </w:r>
      <w:r w:rsidR="008F6058">
        <w:t xml:space="preserve"> increase </w:t>
      </w:r>
      <w:r w:rsidR="00FF7948">
        <w:t xml:space="preserve">leaf nitrogen per stomatal conductance through an increase in leaf nitrogen allocation </w:t>
      </w:r>
      <w:r w:rsidR="00231617">
        <w:t xml:space="preserve">and reduction in stomatal conductance. </w:t>
      </w:r>
      <w:r w:rsidR="00C41A80">
        <w:t>T</w:t>
      </w:r>
      <w:r w:rsidR="00231617">
        <w:t xml:space="preserve">his response </w:t>
      </w:r>
      <w:r>
        <w:t>will</w:t>
      </w:r>
      <w:r w:rsidR="00231617">
        <w:t xml:space="preserve"> be driven by a reduction in the carbon cost of acquiring nitrogen versus water, causing individuals to sacrifice inefficient nitrogen</w:t>
      </w:r>
      <w:r>
        <w:t xml:space="preserve"> use</w:t>
      </w:r>
      <w:r w:rsidR="00231617">
        <w:t xml:space="preserve"> for more efficient</w:t>
      </w:r>
      <w:r>
        <w:t xml:space="preserve"> water</w:t>
      </w:r>
      <w:r w:rsidR="00231617">
        <w:t xml:space="preserve"> use.</w:t>
      </w:r>
      <w:r w:rsidR="00D01503">
        <w:t xml:space="preserve"> We </w:t>
      </w:r>
      <w:r w:rsidR="00C41A80">
        <w:t>expect</w:t>
      </w:r>
      <w:r w:rsidR="00D01503">
        <w:t xml:space="preserve"> that inoculation w</w:t>
      </w:r>
      <w:r>
        <w:t>ill</w:t>
      </w:r>
      <w:r w:rsidR="00D01503">
        <w:t xml:space="preserve"> increase the magnitude of nitrogen-water </w:t>
      </w:r>
      <w:r w:rsidR="00DA425E">
        <w:t>tradeoffs but</w:t>
      </w:r>
      <w:r w:rsidR="00D01503">
        <w:t xml:space="preserve"> w</w:t>
      </w:r>
      <w:r>
        <w:t>ill</w:t>
      </w:r>
      <w:r w:rsidR="00D01503">
        <w:t xml:space="preserve"> only be observed </w:t>
      </w:r>
      <w:r>
        <w:t>in</w:t>
      </w:r>
      <w:r w:rsidR="00D01503">
        <w:t xml:space="preserve"> the low soil nitrogen treatment</w:t>
      </w:r>
      <w:r w:rsidR="0038171F">
        <w:t xml:space="preserve"> due </w:t>
      </w:r>
      <w:r w:rsidR="00DA425E">
        <w:t>to shifts away from nitrogen fixation with increasing fertilization</w:t>
      </w:r>
      <w:r w:rsidR="00D01503">
        <w:t>.</w:t>
      </w:r>
      <w:r w:rsidR="008E2BDE">
        <w:t xml:space="preserve"> </w:t>
      </w:r>
    </w:p>
    <w:p w14:paraId="63C57384" w14:textId="1533D680" w:rsidR="008E2BDE" w:rsidRPr="00192404" w:rsidRDefault="00E8768C" w:rsidP="009D6E5B">
      <w:pPr>
        <w:pStyle w:val="ListParagraph"/>
        <w:numPr>
          <w:ilvl w:val="0"/>
          <w:numId w:val="6"/>
        </w:numPr>
        <w:spacing w:line="480" w:lineRule="auto"/>
        <w:ind w:left="1080"/>
      </w:pPr>
      <w:r>
        <w:lastRenderedPageBreak/>
        <w:t>E</w:t>
      </w:r>
      <w:r w:rsidR="008E2BDE">
        <w:t>ffects of soil nitrogen fertilization and inoculation on leaf nitrogen-water use tradeoffs w</w:t>
      </w:r>
      <w:r>
        <w:t>ill</w:t>
      </w:r>
      <w:r w:rsidR="008E2BDE">
        <w:t xml:space="preserve"> depend on whole plant </w:t>
      </w:r>
      <w:r w:rsidR="0038171F">
        <w:t xml:space="preserve">acclimation </w:t>
      </w:r>
      <w:r w:rsidR="00C41A80">
        <w:t>responses</w:t>
      </w:r>
      <w:r w:rsidR="0038171F">
        <w:t xml:space="preserve"> to soil nitrogen availability</w:t>
      </w:r>
      <w:r>
        <w:t xml:space="preserve">. </w:t>
      </w:r>
      <w:r w:rsidR="00C41A80">
        <w:t>W</w:t>
      </w:r>
      <w:r w:rsidR="008E2BDE">
        <w:t>eak</w:t>
      </w:r>
      <w:r w:rsidR="00C41A80">
        <w:t xml:space="preserve"> or null whole plant</w:t>
      </w:r>
      <w:r w:rsidR="008E2BDE">
        <w:t xml:space="preserve"> responses to either soil nitrogen fertilization or inoculation w</w:t>
      </w:r>
      <w:r>
        <w:t>ill</w:t>
      </w:r>
      <w:r w:rsidR="008E2BDE">
        <w:t xml:space="preserve"> enhance leaf nitrogen-water use tradeoffs. However, if soil nitrogen fertilization or inoculation elicit</w:t>
      </w:r>
      <w:r>
        <w:t xml:space="preserve"> </w:t>
      </w:r>
      <w:r w:rsidR="008E2BDE">
        <w:t>strong whole plant growth response</w:t>
      </w:r>
      <w:r>
        <w:t>s</w:t>
      </w:r>
      <w:r w:rsidR="008E2BDE">
        <w:t xml:space="preserve">, then we </w:t>
      </w:r>
      <w:r w:rsidR="0038171F">
        <w:t>expect</w:t>
      </w:r>
      <w:r>
        <w:t xml:space="preserve"> either weak or no effect of these treatments </w:t>
      </w:r>
      <w:r w:rsidR="008E2BDE">
        <w:t>on leaf nitrogen-water use tradeoffs</w:t>
      </w:r>
    </w:p>
    <w:p w14:paraId="5FBCABC9" w14:textId="77777777" w:rsidR="008E2BDE" w:rsidRDefault="008E2BDE" w:rsidP="009D6E5B">
      <w:pPr>
        <w:spacing w:line="480" w:lineRule="auto"/>
        <w:rPr>
          <w:b/>
          <w:bCs/>
        </w:rPr>
      </w:pPr>
    </w:p>
    <w:p w14:paraId="3CF5076B" w14:textId="66B59908" w:rsidR="00D67D74" w:rsidRDefault="00D67D74" w:rsidP="009D6E5B">
      <w:pPr>
        <w:spacing w:line="480" w:lineRule="auto"/>
      </w:pPr>
      <w:r>
        <w:rPr>
          <w:b/>
          <w:bCs/>
        </w:rPr>
        <w:t>Methods</w:t>
      </w:r>
    </w:p>
    <w:p w14:paraId="382A6306" w14:textId="21CCA58D" w:rsidR="00D67D74" w:rsidRDefault="00D67D74" w:rsidP="009D6E5B">
      <w:pPr>
        <w:spacing w:line="480" w:lineRule="auto"/>
      </w:pPr>
      <w:r>
        <w:rPr>
          <w:i/>
          <w:iCs/>
        </w:rPr>
        <w:t>Experimental Design</w:t>
      </w:r>
    </w:p>
    <w:p w14:paraId="1D16EEDF" w14:textId="4D4DD807" w:rsidR="00FF6F53" w:rsidRDefault="0011017D" w:rsidP="009D6E5B">
      <w:pPr>
        <w:spacing w:line="480" w:lineRule="auto"/>
        <w:ind w:firstLine="720"/>
        <w:rPr>
          <w:rFonts w:cs="Times New Roman"/>
        </w:rPr>
      </w:pPr>
      <w:r>
        <w:rPr>
          <w:i/>
          <w:iCs/>
        </w:rPr>
        <w:t>Glycine max</w:t>
      </w:r>
      <w:r>
        <w:t xml:space="preserve"> </w:t>
      </w:r>
      <w:r w:rsidR="00ED1628">
        <w:t xml:space="preserve">seeds </w:t>
      </w:r>
      <w:r>
        <w:t xml:space="preserve">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w:t>
      </w:r>
      <w:r w:rsidR="00534BFA">
        <w:t>95</w:t>
      </w:r>
      <w:r w:rsidR="0089764A" w:rsidRPr="00863849">
        <w:rPr>
          <w:rFonts w:ascii="Symbol" w:eastAsia="Symbol" w:hAnsi="Symbol" w:cs="Symbol"/>
          <w:color w:val="000000"/>
        </w:rPr>
        <w:t></w:t>
      </w:r>
      <w:r w:rsidR="0089764A" w:rsidRPr="00863849">
        <w:rPr>
          <w:color w:val="000000"/>
        </w:rPr>
        <w:t>C</w:t>
      </w:r>
      <w:r w:rsidR="0089764A">
        <w:t xml:space="preserve"> for </w:t>
      </w:r>
      <w:commentRangeStart w:id="3"/>
      <w:r w:rsidR="00BC7961">
        <w:t>4</w:t>
      </w:r>
      <w:commentRangeEnd w:id="3"/>
      <w:r w:rsidR="00BC7961">
        <w:rPr>
          <w:rStyle w:val="CommentReference"/>
          <w:rFonts w:eastAsia="Times New Roman" w:cs="Times New Roman"/>
        </w:rPr>
        <w:commentReference w:id="3"/>
      </w:r>
      <w:r w:rsidR="0089764A">
        <w:t xml:space="preserve"> hours to eliminate any bacterial or fungal growth. Thirty-two randomly selected pots were</w:t>
      </w:r>
      <w:r w:rsidR="00D373FB">
        <w:t xml:space="preserve"> planted with seeds</w:t>
      </w:r>
      <w:r w:rsidR="0089764A">
        <w:t xml:space="preserv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675662">
        <w:rPr>
          <w:rFonts w:cs="Times New Roman"/>
        </w:rPr>
        <w:t xml:space="preserve"> following a brief surface sterilization in </w:t>
      </w:r>
      <w:r w:rsidR="005A7A45" w:rsidRPr="0038171F">
        <w:rPr>
          <w:rFonts w:cs="Times New Roman"/>
          <w:highlight w:val="yellow"/>
        </w:rPr>
        <w:t>XX</w:t>
      </w:r>
      <w:r w:rsidR="00675662">
        <w:rPr>
          <w:rFonts w:cs="Times New Roman"/>
        </w:rPr>
        <w:t xml:space="preserve">% </w:t>
      </w:r>
      <w:r w:rsidR="00534BFA">
        <w:rPr>
          <w:rFonts w:cs="Times New Roman"/>
        </w:rPr>
        <w:t>sodium hypochlorite</w:t>
      </w:r>
      <w:r w:rsidR="0038171F">
        <w:rPr>
          <w:rFonts w:cs="Times New Roman"/>
        </w:rPr>
        <w:t xml:space="preserve"> for </w:t>
      </w:r>
      <w:r w:rsidR="0038171F" w:rsidRPr="0038171F">
        <w:rPr>
          <w:rFonts w:cs="Times New Roman"/>
          <w:highlight w:val="yellow"/>
        </w:rPr>
        <w:t>XX</w:t>
      </w:r>
      <w:r w:rsidR="0038171F">
        <w:rPr>
          <w:rFonts w:cs="Times New Roman"/>
        </w:rPr>
        <w:t xml:space="preserve"> minutes followed three (</w:t>
      </w:r>
      <w:r w:rsidR="0038171F" w:rsidRPr="0038171F">
        <w:rPr>
          <w:rFonts w:cs="Times New Roman"/>
          <w:highlight w:val="yellow"/>
        </w:rPr>
        <w:t>?</w:t>
      </w:r>
      <w:r w:rsidR="0038171F">
        <w:rPr>
          <w:rFonts w:cs="Times New Roman"/>
        </w:rPr>
        <w:t>)</w:t>
      </w:r>
      <w:r w:rsidR="00DA425E">
        <w:rPr>
          <w:rFonts w:cs="Times New Roman"/>
        </w:rPr>
        <w:t xml:space="preserve"> washes in</w:t>
      </w:r>
      <w:r w:rsidR="0038171F">
        <w:rPr>
          <w:rFonts w:cs="Times New Roman"/>
        </w:rPr>
        <w:t xml:space="preserve"> ultrapure water</w:t>
      </w:r>
      <w:r w:rsidR="00D373FB">
        <w:rPr>
          <w:rFonts w:cs="Times New Roman"/>
        </w:rPr>
        <w:t xml:space="preserve">. </w:t>
      </w:r>
      <w:r w:rsidR="0089764A">
        <w:rPr>
          <w:rFonts w:cs="Times New Roman"/>
        </w:rPr>
        <w:t xml:space="preserve">The remaining </w:t>
      </w:r>
      <w:r w:rsidR="00912680">
        <w:rPr>
          <w:rFonts w:cs="Times New Roman"/>
        </w:rPr>
        <w:t xml:space="preserve">32 </w:t>
      </w:r>
      <w:r w:rsidR="0089764A">
        <w:rPr>
          <w:rFonts w:cs="Times New Roman"/>
        </w:rPr>
        <w:t xml:space="preserve">pots </w:t>
      </w:r>
      <w:r w:rsidR="00651708">
        <w:rPr>
          <w:rFonts w:cs="Times New Roman"/>
        </w:rPr>
        <w:t xml:space="preserve">were planted with seeds that did not receive </w:t>
      </w:r>
      <w:r w:rsidR="0089764A">
        <w:rPr>
          <w:rFonts w:cs="Times New Roman"/>
        </w:rPr>
        <w:t>any inoculation</w:t>
      </w:r>
      <w:r w:rsidR="00912680">
        <w:rPr>
          <w:rFonts w:cs="Times New Roman"/>
        </w:rPr>
        <w:t xml:space="preserve"> treatment</w:t>
      </w:r>
      <w:r w:rsidR="00ED1628">
        <w:rPr>
          <w:rFonts w:cs="Times New Roman"/>
        </w:rPr>
        <w:t xml:space="preserve">. Uninoculated seeds were also surface sterilized in </w:t>
      </w:r>
      <w:r w:rsidR="005A7A45" w:rsidRPr="0038171F">
        <w:rPr>
          <w:rFonts w:cs="Times New Roman"/>
          <w:highlight w:val="yellow"/>
        </w:rPr>
        <w:t>XX</w:t>
      </w:r>
      <w:r w:rsidR="00ED1628">
        <w:rPr>
          <w:rFonts w:cs="Times New Roman"/>
        </w:rPr>
        <w:t xml:space="preserve">% </w:t>
      </w:r>
      <w:r w:rsidR="00534BFA">
        <w:rPr>
          <w:rFonts w:cs="Times New Roman"/>
        </w:rPr>
        <w:t>sodium hypochlorit</w:t>
      </w:r>
      <w:r w:rsidR="0038171F">
        <w:rPr>
          <w:rFonts w:cs="Times New Roman"/>
        </w:rPr>
        <w:t xml:space="preserve">e for </w:t>
      </w:r>
      <w:r w:rsidR="0038171F" w:rsidRPr="007F426D">
        <w:rPr>
          <w:rFonts w:cs="Times New Roman"/>
          <w:highlight w:val="yellow"/>
        </w:rPr>
        <w:t>XX</w:t>
      </w:r>
      <w:r w:rsidR="0038171F">
        <w:rPr>
          <w:rFonts w:cs="Times New Roman"/>
        </w:rPr>
        <w:t xml:space="preserve"> minutes followed by three ultrapure water washes</w:t>
      </w:r>
      <w:r w:rsidR="00C41A80">
        <w:rPr>
          <w:rFonts w:cs="Times New Roman"/>
        </w:rPr>
        <w:t xml:space="preserve"> to ensure that the only difference between seed treatments was the inoculation treatment</w:t>
      </w:r>
      <w:r w:rsidR="0038171F">
        <w:rPr>
          <w:rFonts w:cs="Times New Roman"/>
        </w:rPr>
        <w:t>.</w:t>
      </w:r>
    </w:p>
    <w:p w14:paraId="42F7CA6B" w14:textId="5AF6B42D" w:rsidR="00D67D74" w:rsidRPr="00412BAB" w:rsidRDefault="00912680" w:rsidP="009D6E5B">
      <w:pPr>
        <w:autoSpaceDE w:val="0"/>
        <w:autoSpaceDN w:val="0"/>
        <w:adjustRightInd w:val="0"/>
        <w:spacing w:line="480" w:lineRule="auto"/>
        <w:ind w:firstLine="720"/>
        <w:rPr>
          <w:rFonts w:cs="Times New Roman"/>
        </w:rPr>
      </w:pPr>
      <w:r>
        <w:rPr>
          <w:rFonts w:cs="Times New Roman"/>
        </w:rPr>
        <w:t xml:space="preserve">Upon planting, </w:t>
      </w:r>
      <w:r w:rsidR="00675662">
        <w:rPr>
          <w:rFonts w:cs="Times New Roman"/>
        </w:rPr>
        <w:t xml:space="preserve">all </w:t>
      </w:r>
      <w:r>
        <w:rPr>
          <w:rFonts w:cs="Times New Roman"/>
        </w:rPr>
        <w:t>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813CB8">
        <w:rPr>
          <w:rFonts w:cs="Times New Roman"/>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813CB8" w:rsidRPr="00813CB8">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w:t>
      </w:r>
      <w:r w:rsidR="0089764A" w:rsidRPr="00EE5B74">
        <w:rPr>
          <w:rFonts w:cs="Times New Roman"/>
          <w:highlight w:val="yellow"/>
        </w:rPr>
        <w:t>s</w:t>
      </w:r>
      <w:r w:rsidR="00150CFB">
        <w:rPr>
          <w:rFonts w:cs="Times New Roman"/>
          <w:highlight w:val="yellow"/>
        </w:rPr>
        <w:t>even</w:t>
      </w:r>
      <w:r w:rsidR="0089764A" w:rsidRPr="00EE5B74">
        <w:rPr>
          <w:rFonts w:cs="Times New Roman"/>
          <w:highlight w:val="yellow"/>
        </w:rPr>
        <w:t xml:space="preserve"> weeks</w:t>
      </w:r>
      <w:r w:rsidR="007B6BD6">
        <w:rPr>
          <w:rFonts w:cs="Times New Roman"/>
        </w:rPr>
        <w:t xml:space="preserve">. Nitrogen fertilization doses were received as topical agents to </w:t>
      </w:r>
      <w:r w:rsidR="007B6BD6">
        <w:rPr>
          <w:rFonts w:cs="Times New Roman"/>
        </w:rPr>
        <w:lastRenderedPageBreak/>
        <w:t>the soil surface and were modified to keep concentrations of other macro</w:t>
      </w:r>
      <w:r w:rsidR="007B12CC">
        <w:rPr>
          <w:rFonts w:cs="Times New Roman"/>
        </w:rPr>
        <w:t>nutrients</w:t>
      </w:r>
      <w:r w:rsidR="007B6BD6">
        <w:rPr>
          <w:rFonts w:cs="Times New Roman"/>
        </w:rPr>
        <w:t xml:space="preserve"> and micronutrients equivalent</w:t>
      </w:r>
      <w:r w:rsidR="0089764A">
        <w:rPr>
          <w:rFonts w:cs="Times New Roman"/>
        </w:rPr>
        <w:t xml:space="preserve"> (</w:t>
      </w:r>
      <w:r w:rsidR="0089764A" w:rsidRPr="00080882">
        <w:rPr>
          <w:rFonts w:cs="Times New Roman"/>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 xml:space="preserve">lants were routinely well-watered to </w:t>
      </w:r>
      <w:r w:rsidR="007B12CC">
        <w:rPr>
          <w:rFonts w:cs="Times New Roman"/>
        </w:rPr>
        <w:t>minimize any chance of</w:t>
      </w:r>
      <w:r w:rsidR="007B6BD6">
        <w:rPr>
          <w:rFonts w:cs="Times New Roman"/>
        </w:rPr>
        <w:t xml:space="preserve"> water stress</w:t>
      </w:r>
      <w:r>
        <w:rPr>
          <w:rFonts w:cs="Times New Roman"/>
        </w:rPr>
        <w:t>.</w:t>
      </w:r>
      <w:r w:rsidR="00412BAB">
        <w:rPr>
          <w:rFonts w:cs="Times New Roman"/>
        </w:rPr>
        <w:t xml:space="preserve"> There was no evidence of pot size induced growth limitation at the time of biomass harvest, indicated by marginal mean whole plant biomass: pot volume ratios less than 1 g L</w:t>
      </w:r>
      <w:r w:rsidR="00412BAB">
        <w:rPr>
          <w:rFonts w:cs="Times New Roman"/>
          <w:vertAlign w:val="superscript"/>
        </w:rPr>
        <w:t>-1</w:t>
      </w:r>
      <w:r w:rsidR="00412BAB">
        <w:rPr>
          <w:rFonts w:cs="Times New Roman"/>
        </w:rPr>
        <w:t xml:space="preserve"> within each treatment combination (</w:t>
      </w:r>
      <w:r w:rsidR="00412BAB" w:rsidRPr="00433868">
        <w:rPr>
          <w:rFonts w:cs="Times New Roman"/>
        </w:rPr>
        <w:t>Table S2; Fig. S1</w:t>
      </w:r>
      <w:r w:rsidR="00412BAB">
        <w:rPr>
          <w:rFonts w:cs="Times New Roman"/>
        </w:rPr>
        <w:t xml:space="preserve">; </w:t>
      </w:r>
      <w:r w:rsidR="00412BAB">
        <w:rPr>
          <w:rFonts w:cs="Times New Roman"/>
        </w:rPr>
        <w:fldChar w:fldCharType="begin" w:fldLock="1"/>
      </w:r>
      <w:r w:rsidR="001A5E20">
        <w:rPr>
          <w:rFonts w:cs="Times New Roman"/>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1A5E20">
        <w:rPr>
          <w:rFonts w:ascii="Cambria Math" w:hAnsi="Cambria Math" w:cs="Cambria Math"/>
        </w:rPr>
        <w:instrText>∼</w:instrText>
      </w:r>
      <w:r w:rsidR="001A5E20">
        <w:rPr>
          <w:rFonts w:cs="Times New Roman"/>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&lt;i&gt;et al.&lt;/i&gt;, 2012)","manualFormatting":"Poorter et al., 2012)","plainTextFormattedCitation":"(Poorter et al., 2012)","previouslyFormattedCitation":"(Poorter &lt;i&gt;et al.&lt;/i&gt;, 2012)"},"properties":{"noteIndex":0},"schema":"https://github.com/citation-style-language/schema/raw/master/csl-citation.json"}</w:instrText>
      </w:r>
      <w:r w:rsidR="00412BAB">
        <w:rPr>
          <w:rFonts w:cs="Times New Roman"/>
        </w:rPr>
        <w:fldChar w:fldCharType="separate"/>
      </w:r>
      <w:r w:rsidR="00412BAB" w:rsidRPr="00CF48BE">
        <w:rPr>
          <w:rFonts w:cs="Times New Roman"/>
          <w:noProof/>
        </w:rPr>
        <w:t>Poorte</w:t>
      </w:r>
      <w:r w:rsidR="00412BAB" w:rsidRPr="00412BAB">
        <w:rPr>
          <w:rFonts w:cs="Times New Roman"/>
          <w:noProof/>
        </w:rPr>
        <w:t>r et al., 20</w:t>
      </w:r>
      <w:r w:rsidR="00412BAB" w:rsidRPr="00CF48BE">
        <w:rPr>
          <w:rFonts w:cs="Times New Roman"/>
          <w:noProof/>
        </w:rPr>
        <w:t>12)</w:t>
      </w:r>
      <w:r w:rsidR="00412BAB">
        <w:rPr>
          <w:rFonts w:cs="Times New Roman"/>
        </w:rPr>
        <w:fldChar w:fldCharType="end"/>
      </w:r>
      <w:r w:rsidR="00412BAB">
        <w:rPr>
          <w:rFonts w:cs="Times New Roman"/>
        </w:rPr>
        <w:t>.</w:t>
      </w:r>
    </w:p>
    <w:p w14:paraId="7A34FC86" w14:textId="5DC8ACDE" w:rsidR="00D67D74" w:rsidRDefault="00D67D74" w:rsidP="009D6E5B">
      <w:pPr>
        <w:spacing w:line="480" w:lineRule="auto"/>
      </w:pPr>
    </w:p>
    <w:p w14:paraId="20C86C76" w14:textId="171776F8" w:rsidR="00D67D74" w:rsidRPr="00863849" w:rsidRDefault="00D67D74" w:rsidP="009D6E5B">
      <w:pPr>
        <w:tabs>
          <w:tab w:val="left" w:pos="593"/>
        </w:tabs>
        <w:autoSpaceDE w:val="0"/>
        <w:autoSpaceDN w:val="0"/>
        <w:adjustRightInd w:val="0"/>
        <w:spacing w:line="480" w:lineRule="auto"/>
        <w:rPr>
          <w:color w:val="000000"/>
        </w:rPr>
      </w:pPr>
      <w:r w:rsidRPr="00863849">
        <w:rPr>
          <w:i/>
          <w:iCs/>
          <w:color w:val="000000"/>
        </w:rPr>
        <w:t xml:space="preserve">Leaf </w:t>
      </w:r>
      <w:r>
        <w:rPr>
          <w:i/>
          <w:iCs/>
          <w:color w:val="000000"/>
        </w:rPr>
        <w:t>gas exchange</w:t>
      </w:r>
      <w:r w:rsidR="00DD0878">
        <w:rPr>
          <w:i/>
          <w:iCs/>
          <w:color w:val="000000"/>
        </w:rPr>
        <w:t xml:space="preserve"> and leaf </w:t>
      </w:r>
      <w:r>
        <w:rPr>
          <w:i/>
          <w:iCs/>
          <w:color w:val="000000"/>
        </w:rPr>
        <w:t>trait measurements</w:t>
      </w:r>
    </w:p>
    <w:p w14:paraId="175181CA" w14:textId="7F8AEC58" w:rsidR="0022275C" w:rsidRPr="00C57242" w:rsidRDefault="00F83744" w:rsidP="009D6E5B">
      <w:pPr>
        <w:autoSpaceDE w:val="0"/>
        <w:autoSpaceDN w:val="0"/>
        <w:adjustRightInd w:val="0"/>
        <w:spacing w:line="48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w:t>
      </w:r>
      <w:r w:rsidR="00412BAB">
        <w:rPr>
          <w:color w:val="000000"/>
        </w:rPr>
        <w:t>s</w:t>
      </w:r>
      <w:r w:rsidR="00D67D74" w:rsidRPr="00863849">
        <w:rPr>
          <w:color w:val="000000"/>
        </w:rPr>
        <w:t>,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µmol 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w:t>
      </w:r>
      <w:r w:rsidR="0038171F">
        <w:rPr>
          <w:color w:val="000000"/>
        </w:rPr>
        <w:t xml:space="preserve"> with the</w:t>
      </w:r>
      <w:r w:rsidR="00006440">
        <w:rPr>
          <w:color w:val="000000"/>
        </w:rPr>
        <w:t xml:space="preserve">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150CFB">
        <w:rPr>
          <w:color w:val="000000"/>
          <w:vertAlign w:val="subscript"/>
        </w:rPr>
        <w:t>net</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417C57">
        <w:rPr>
          <w:color w:val="000000"/>
        </w:rPr>
        <w:t>,</w:t>
      </w:r>
      <w:r w:rsidR="00D67D74" w:rsidRPr="00863849">
        <w:rPr>
          <w:color w:val="000000"/>
        </w:rPr>
        <w:t xml:space="preserve"> 50, 400, 400, 600, 800, 1000, 1200,</w:t>
      </w:r>
      <w:r w:rsidR="008F6058">
        <w:rPr>
          <w:color w:val="000000"/>
        </w:rPr>
        <w:t xml:space="preserve"> and</w:t>
      </w:r>
      <w:r w:rsidR="00D67D74" w:rsidRPr="00863849">
        <w:rPr>
          <w:color w:val="000000"/>
        </w:rPr>
        <w:t xml:space="preserve"> 1500</w:t>
      </w:r>
      <w:r w:rsidR="00006440">
        <w:rPr>
          <w:color w:val="000000"/>
        </w:rPr>
        <w:t xml:space="preserve">. </w:t>
      </w:r>
      <w:r w:rsidR="00C57242">
        <w:rPr>
          <w:color w:val="000000"/>
        </w:rPr>
        <w:t xml:space="preserve">Finally, we subjected individuals to at least a 30-minute </w:t>
      </w:r>
      <w:r w:rsidR="00A461D6">
        <w:rPr>
          <w:color w:val="000000"/>
        </w:rPr>
        <w:t xml:space="preserve">dark </w:t>
      </w:r>
      <w:r w:rsidR="00C57242">
        <w:rPr>
          <w:color w:val="000000"/>
        </w:rPr>
        <w:t>period</w:t>
      </w:r>
      <w:r w:rsidR="00A30C53">
        <w:rPr>
          <w:color w:val="000000"/>
        </w:rPr>
        <w:t xml:space="preserve">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9F0F34">
        <w:rPr>
          <w:color w:val="000000"/>
        </w:rPr>
        <w:t xml:space="preserve">with </w:t>
      </w:r>
      <w:r w:rsidR="008F6058">
        <w:rPr>
          <w:color w:val="000000"/>
        </w:rPr>
        <w:t>relative humidity</w:t>
      </w:r>
      <w:r w:rsidR="009F0F34">
        <w:rPr>
          <w:color w:val="000000"/>
        </w:rPr>
        <w:t xml:space="preserve"> set to 50% and</w:t>
      </w:r>
      <w:r w:rsidR="008F6058">
        <w:rPr>
          <w:color w:val="000000"/>
        </w:rPr>
        <w:t xml:space="preserve"> </w:t>
      </w:r>
      <w:r w:rsidR="00150CFB">
        <w:rPr>
          <w:color w:val="000000"/>
        </w:rPr>
        <w:t>cuvette</w:t>
      </w:r>
      <w:r w:rsidR="008F6058">
        <w:rPr>
          <w:color w:val="000000"/>
        </w:rPr>
        <w:t xml:space="preserve"> temperature set to </w:t>
      </w:r>
      <w:r w:rsidR="009F0F34">
        <w:rPr>
          <w:color w:val="000000"/>
        </w:rPr>
        <w:t>25</w:t>
      </w:r>
      <w:r w:rsidR="009F0F34">
        <w:rPr>
          <w:color w:val="000000"/>
        </w:rPr>
        <w:sym w:font="Symbol" w:char="F0B0"/>
      </w:r>
      <w:r w:rsidR="009F0F34">
        <w:rPr>
          <w:color w:val="000000"/>
        </w:rPr>
        <w:t xml:space="preserve">C, with incoming </w:t>
      </w:r>
      <w:r>
        <w:rPr>
          <w:color w:val="000000"/>
        </w:rPr>
        <w:t xml:space="preserve">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9F0F34">
        <w:rPr>
          <w:color w:val="000000"/>
          <w:vertAlign w:val="superscript"/>
        </w:rPr>
        <w:t xml:space="preserve"> </w:t>
      </w:r>
      <w:r w:rsidR="009F0F34" w:rsidRPr="009F0F34">
        <w:rPr>
          <w:color w:val="000000"/>
        </w:rPr>
        <w:t>and</w:t>
      </w:r>
      <w:r w:rsidR="009F0F34">
        <w:rPr>
          <w:color w:val="000000"/>
          <w:vertAlign w:val="superscript"/>
        </w:rPr>
        <w:t xml:space="preserve"> </w:t>
      </w:r>
      <w:r w:rsidR="009F0F34" w:rsidRPr="00F848A9">
        <w:rPr>
          <w:i/>
          <w:iCs/>
          <w:color w:val="000000"/>
        </w:rPr>
        <w:t>C</w:t>
      </w:r>
      <w:r w:rsidR="009F0F34">
        <w:rPr>
          <w:color w:val="000000"/>
          <w:vertAlign w:val="subscript"/>
        </w:rPr>
        <w:t>a</w:t>
      </w:r>
      <w:r w:rsidR="009F0F34">
        <w:rPr>
          <w:color w:val="000000"/>
        </w:rPr>
        <w:t xml:space="preserve"> set to 400 </w:t>
      </w:r>
      <w:r w:rsidR="009F0F34" w:rsidRPr="00863849">
        <w:rPr>
          <w:color w:val="000000"/>
          <w:lang w:val="el-GR"/>
        </w:rPr>
        <w:t>μ</w:t>
      </w:r>
      <w:r w:rsidR="009F0F34" w:rsidRPr="00863849">
        <w:rPr>
          <w:color w:val="000000"/>
        </w:rPr>
        <w:t>mol mol</w:t>
      </w:r>
      <w:r w:rsidR="009F0F34" w:rsidRPr="00863849">
        <w:rPr>
          <w:color w:val="000000"/>
          <w:vertAlign w:val="superscript"/>
        </w:rPr>
        <w:t>-1</w:t>
      </w:r>
      <w:r w:rsidR="00C57242">
        <w:rPr>
          <w:color w:val="000000"/>
        </w:rPr>
        <w:t>.</w:t>
      </w:r>
    </w:p>
    <w:p w14:paraId="264D1F52" w14:textId="61C9DA22" w:rsidR="00D67D74" w:rsidRDefault="00D67D74" w:rsidP="009D6E5B">
      <w:pPr>
        <w:autoSpaceDE w:val="0"/>
        <w:autoSpaceDN w:val="0"/>
        <w:adjustRightInd w:val="0"/>
        <w:spacing w:line="48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 xml:space="preserve">canner to determine wet leaf </w:t>
      </w:r>
      <w:r w:rsidRPr="00863849">
        <w:rPr>
          <w:color w:val="000000"/>
        </w:rPr>
        <w:lastRenderedPageBreak/>
        <w:t>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00813CB8">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00813CB8" w:rsidRPr="00813CB8">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1A5E20">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00F13EBD" w:rsidRPr="00F13EBD">
        <w:rPr>
          <w:noProof/>
          <w:color w:val="000000"/>
        </w:rPr>
        <w:t xml:space="preserve">(Schneider </w:t>
      </w:r>
      <w:r w:rsidR="00F13EBD" w:rsidRPr="00F13EBD">
        <w:rPr>
          <w:i/>
          <w:noProof/>
          <w:color w:val="000000"/>
        </w:rPr>
        <w:t>et al.</w:t>
      </w:r>
      <w:r w:rsidR="00F13EBD" w:rsidRPr="00F13EBD">
        <w:rPr>
          <w:noProof/>
          <w:color w:val="000000"/>
        </w:rPr>
        <w:t>,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w:t>
      </w:r>
      <w:r w:rsidR="00895284">
        <w:rPr>
          <w:color w:val="000000"/>
        </w:rPr>
        <w:t>s</w:t>
      </w:r>
      <w:r w:rsidR="008F6058">
        <w:rPr>
          <w:color w:val="000000"/>
        </w:rPr>
        <w:t xml:space="preserve"> and subsequently</w:t>
      </w:r>
      <w:r w:rsidRPr="00863849">
        <w:rPr>
          <w:color w:val="000000"/>
        </w:rPr>
        <w:t xml:space="preserve"> weighed and ground until homogenized. Specific leaf area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proofErr w:type="spellStart"/>
      <w:r w:rsidRPr="00863849">
        <w:t>g</w:t>
      </w:r>
      <w:r w:rsidR="00A461D6">
        <w:t>N</w:t>
      </w:r>
      <w:proofErr w:type="spellEnd"/>
      <w:r w:rsidRPr="00863849">
        <w:t xml:space="preserve">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xml:space="preserve">; </w:t>
      </w:r>
      <w:proofErr w:type="spellStart"/>
      <w:r w:rsidRPr="00863849">
        <w:rPr>
          <w:color w:val="000000"/>
        </w:rPr>
        <w:t>g</w:t>
      </w:r>
      <w:r w:rsidR="00A461D6">
        <w:rPr>
          <w:color w:val="000000"/>
        </w:rPr>
        <w:t>N</w:t>
      </w:r>
      <w:proofErr w:type="spellEnd"/>
      <w:r w:rsidRPr="00863849">
        <w:rPr>
          <w:color w:val="000000"/>
        </w:rPr>
        <w:t xml:space="preserve">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00150CFB">
        <w:rPr>
          <w:iCs/>
          <w:color w:val="000000"/>
        </w:rPr>
        <w:t>specific leaf area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9D6E5B">
      <w:pPr>
        <w:autoSpaceDE w:val="0"/>
        <w:autoSpaceDN w:val="0"/>
        <w:adjustRightInd w:val="0"/>
        <w:spacing w:line="480" w:lineRule="auto"/>
        <w:rPr>
          <w:color w:val="000000"/>
        </w:rPr>
      </w:pPr>
    </w:p>
    <w:p w14:paraId="69D28324" w14:textId="77777777" w:rsidR="00DD0878" w:rsidRDefault="00DD0878" w:rsidP="009D6E5B">
      <w:pPr>
        <w:spacing w:line="480" w:lineRule="auto"/>
        <w:rPr>
          <w:i/>
          <w:iCs/>
        </w:rPr>
      </w:pPr>
      <w:r>
        <w:rPr>
          <w:i/>
          <w:iCs/>
        </w:rPr>
        <w:t>Curve fitting and parameter estimation</w:t>
      </w:r>
    </w:p>
    <w:p w14:paraId="11AAD9FA" w14:textId="53EDA903" w:rsidR="006D3E93" w:rsidRDefault="00DD0878" w:rsidP="009D6E5B">
      <w:pPr>
        <w:spacing w:line="480" w:lineRule="auto"/>
        <w:ind w:firstLine="720"/>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00813CB8">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00813CB8" w:rsidRPr="00813CB8">
        <w:rPr>
          <w:noProof/>
          <w:color w:val="000000"/>
        </w:rPr>
        <w:t>(Duursma, 2015)</w:t>
      </w:r>
      <w:r w:rsidRPr="00863849">
        <w:rPr>
          <w:color w:val="000000"/>
        </w:rPr>
        <w:fldChar w:fldCharType="end"/>
      </w:r>
      <w:r w:rsidRPr="00863849">
        <w:rPr>
          <w:color w:val="000000"/>
        </w:rPr>
        <w:t>. This function estimates the maximum rate of Rubisco carboxylation (</w:t>
      </w:r>
      <w:r w:rsidRPr="00DB6582">
        <w:rPr>
          <w:i/>
          <w:iCs/>
          <w:color w:val="000000"/>
        </w:rPr>
        <w:t>V</w:t>
      </w:r>
      <w:r w:rsidRPr="00275258">
        <w:rPr>
          <w:color w:val="000000"/>
          <w:vertAlign w:val="subscript"/>
        </w:rPr>
        <w:t>cmax</w:t>
      </w:r>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r w:rsidRPr="00DB6582">
        <w:rPr>
          <w:i/>
          <w:iCs/>
        </w:rPr>
        <w:t>J</w:t>
      </w:r>
      <w:r w:rsidRPr="00275258">
        <w:rPr>
          <w:vertAlign w:val="subscript"/>
        </w:rPr>
        <w:t>max</w:t>
      </w:r>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sidR="001A5E20">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&lt;i&gt;et al.&lt;/i&gt;, 1980)","plainTextFormattedCitation":"(Farquhar et al., 1980)","previouslyFormattedCitation":"(Farquhar &lt;i&gt;et al.&lt;/i&gt;, 1980)"},"properties":{"noteIndex":0},"schema":"https://github.com/citation-style-language/schema/raw/master/csl-citation.json"}</w:instrText>
      </w:r>
      <w:r>
        <w:rPr>
          <w:color w:val="000000"/>
        </w:rPr>
        <w:fldChar w:fldCharType="separate"/>
      </w:r>
      <w:r w:rsidR="00F13EBD" w:rsidRPr="00F13EBD">
        <w:rPr>
          <w:noProof/>
          <w:color w:val="000000"/>
        </w:rPr>
        <w:t xml:space="preserve">(Farquhar </w:t>
      </w:r>
      <w:r w:rsidR="00F13EBD" w:rsidRPr="00F13EBD">
        <w:rPr>
          <w:i/>
          <w:noProof/>
          <w:color w:val="000000"/>
        </w:rPr>
        <w:t>et al.</w:t>
      </w:r>
      <w:r w:rsidR="00F13EBD" w:rsidRPr="00F13EBD">
        <w:rPr>
          <w:noProof/>
          <w:color w:val="000000"/>
        </w:rPr>
        <w:t>, 1980)</w:t>
      </w:r>
      <w:r>
        <w:rPr>
          <w:color w:val="000000"/>
        </w:rPr>
        <w:fldChar w:fldCharType="end"/>
      </w:r>
      <w:r w:rsidRPr="00863849">
        <w:rPr>
          <w:color w:val="000000"/>
        </w:rPr>
        <w:t>.</w:t>
      </w:r>
      <w:r w:rsidR="009F0F34">
        <w:rPr>
          <w:color w:val="000000"/>
        </w:rPr>
        <w:t xml:space="preserve"> We removed all data points that </w:t>
      </w:r>
      <w:r w:rsidR="00FF6F53">
        <w:rPr>
          <w:color w:val="000000"/>
        </w:rPr>
        <w:t xml:space="preserve">were likely to </w:t>
      </w:r>
      <w:r w:rsidR="009F0F34">
        <w:rPr>
          <w:color w:val="000000"/>
        </w:rPr>
        <w:t>confer TPU limitation</w:t>
      </w:r>
      <w:r w:rsidR="00D9075F">
        <w:rPr>
          <w:color w:val="000000"/>
        </w:rPr>
        <w:t xml:space="preserve"> </w:t>
      </w:r>
      <w:r w:rsidR="009F0F34">
        <w:rPr>
          <w:color w:val="000000"/>
        </w:rPr>
        <w:t xml:space="preserve">and fit each curve without imposing TPU limitation as </w:t>
      </w:r>
      <w:r w:rsidR="00FF6F53">
        <w:rPr>
          <w:color w:val="000000"/>
        </w:rPr>
        <w:t>a</w:t>
      </w:r>
      <w:r w:rsidR="009F0F34">
        <w:rPr>
          <w:color w:val="000000"/>
        </w:rPr>
        <w:t xml:space="preserve"> rate-limiting step</w:t>
      </w:r>
      <w:r w:rsidR="00D9075F">
        <w:rPr>
          <w:color w:val="000000"/>
        </w:rPr>
        <w:t>.</w:t>
      </w:r>
      <w:r w:rsidR="009F0F34">
        <w:rPr>
          <w:color w:val="000000"/>
        </w:rPr>
        <w:t xml:space="preserve"> </w:t>
      </w:r>
      <w:r>
        <w:t>We also determined kinetic parameters and CO</w:t>
      </w:r>
      <w:r>
        <w:rPr>
          <w:vertAlign w:val="subscript"/>
        </w:rPr>
        <w:t>2</w:t>
      </w:r>
      <w:r>
        <w:t xml:space="preserve"> compensation points using leaf temperature and equations derived in</w:t>
      </w:r>
      <w:r w:rsidR="007F426D">
        <w:t xml:space="preserve"> </w:t>
      </w:r>
      <w:r w:rsidR="007F426D">
        <w:fldChar w:fldCharType="begin" w:fldLock="1"/>
      </w:r>
      <w:r w:rsidR="001A5E20">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&lt;i&gt;et al.&lt;/i&gt;, 2001)","manualFormatting":"Bernacchi et al. (2001)","plainTextFormattedCitation":"(Bernacchi et al., 2001)","previouslyFormattedCitation":"(Bernacchi &lt;i&gt;et al.&lt;/i&gt;, 2001)"},"properties":{"noteIndex":0},"schema":"https://github.com/citation-style-language/schema/raw/master/csl-citation.json"}</w:instrText>
      </w:r>
      <w:r w:rsidR="007F426D">
        <w:fldChar w:fldCharType="separate"/>
      </w:r>
      <w:r w:rsidR="007F426D" w:rsidRPr="007F426D">
        <w:rPr>
          <w:noProof/>
        </w:rPr>
        <w:t>Bernacchi et al.</w:t>
      </w:r>
      <w:r w:rsidR="007F426D">
        <w:rPr>
          <w:noProof/>
        </w:rPr>
        <w:t xml:space="preserve"> (</w:t>
      </w:r>
      <w:r w:rsidR="007F426D" w:rsidRPr="007F426D">
        <w:rPr>
          <w:noProof/>
        </w:rPr>
        <w:t>2001)</w:t>
      </w:r>
      <w:r w:rsidR="007F426D">
        <w:fldChar w:fldCharType="end"/>
      </w:r>
      <w:r w:rsidR="007F426D">
        <w:t xml:space="preserve"> and</w:t>
      </w:r>
      <w:r w:rsidR="00AA6BAB">
        <w:t xml:space="preserve"> described in</w:t>
      </w:r>
      <w:r>
        <w:t xml:space="preserve"> </w:t>
      </w:r>
      <w:r>
        <w:fldChar w:fldCharType="begin" w:fldLock="1"/>
      </w:r>
      <w:r w:rsidR="001A5E20">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fldChar w:fldCharType="separate"/>
      </w:r>
      <w:r w:rsidRPr="001672BA">
        <w:rPr>
          <w:noProof/>
        </w:rPr>
        <w:t xml:space="preserve">Medlyn </w:t>
      </w:r>
      <w:r w:rsidRPr="007F426D">
        <w:rPr>
          <w:iCs/>
          <w:noProof/>
        </w:rPr>
        <w:t>et al.</w:t>
      </w:r>
      <w:r w:rsidRPr="001672BA">
        <w:rPr>
          <w:noProof/>
        </w:rPr>
        <w:t xml:space="preserve"> </w:t>
      </w:r>
      <w:r>
        <w:rPr>
          <w:noProof/>
        </w:rPr>
        <w:t>(</w:t>
      </w:r>
      <w:r w:rsidRPr="001672BA">
        <w:rPr>
          <w:noProof/>
        </w:rPr>
        <w:t>2002)</w:t>
      </w:r>
      <w:r>
        <w:fldChar w:fldCharType="end"/>
      </w:r>
      <w:r w:rsidR="00125358">
        <w:t>.</w:t>
      </w:r>
    </w:p>
    <w:p w14:paraId="7DDFC1AC" w14:textId="69D6AC02" w:rsidR="00DD0878" w:rsidRPr="001725BB" w:rsidRDefault="00DD0878" w:rsidP="009D6E5B">
      <w:pPr>
        <w:spacing w:line="48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r w:rsidRPr="00DB6582">
        <w:rPr>
          <w:i/>
          <w:iCs/>
          <w:color w:val="000000"/>
        </w:rPr>
        <w:t>V</w:t>
      </w:r>
      <w:r w:rsidRPr="00275258">
        <w:rPr>
          <w:color w:val="000000"/>
          <w:vertAlign w:val="subscript"/>
        </w:rPr>
        <w:t>cmax</w:t>
      </w:r>
      <w:r>
        <w:rPr>
          <w:color w:val="000000"/>
        </w:rPr>
        <w:t xml:space="preserve"> and </w:t>
      </w:r>
      <w:r w:rsidRPr="00DB6582">
        <w:rPr>
          <w:i/>
          <w:iCs/>
        </w:rPr>
        <w:t>J</w:t>
      </w:r>
      <w:r w:rsidRPr="00275258">
        <w:rPr>
          <w:vertAlign w:val="subscript"/>
        </w:rPr>
        <w:t>max</w:t>
      </w:r>
      <w:r w:rsidRPr="00863849">
        <w:rPr>
          <w:color w:val="000000"/>
        </w:rPr>
        <w:t xml:space="preserve"> </w:t>
      </w:r>
      <w:r w:rsidR="00125358">
        <w:rPr>
          <w:color w:val="000000"/>
        </w:rPr>
        <w:t xml:space="preserve">estimates </w:t>
      </w:r>
      <w:r w:rsidRPr="00863849">
        <w:rPr>
          <w:color w:val="000000"/>
        </w:rPr>
        <w:t>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modified Arrhenius equation </w:t>
      </w:r>
      <w:r>
        <w:rPr>
          <w:color w:val="000000"/>
        </w:rPr>
        <w:t xml:space="preserve">(as in </w:t>
      </w:r>
      <w:r w:rsidRPr="00863849">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9D6E5B">
      <w:pPr>
        <w:tabs>
          <w:tab w:val="left" w:pos="593"/>
        </w:tabs>
        <w:autoSpaceDE w:val="0"/>
        <w:autoSpaceDN w:val="0"/>
        <w:adjustRightInd w:val="0"/>
        <w:spacing w:line="480" w:lineRule="auto"/>
        <w:rPr>
          <w:color w:val="000000"/>
        </w:rPr>
      </w:pPr>
    </w:p>
    <w:p w14:paraId="3D5139C1" w14:textId="211E150B"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t xml:space="preserve">(Eqn. </w:t>
      </w:r>
      <w:r w:rsidR="0022275C">
        <w:rPr>
          <w:color w:val="000000"/>
        </w:rPr>
        <w:t>1</w:t>
      </w:r>
      <w:r w:rsidR="00DD0878">
        <w:rPr>
          <w:color w:val="000000"/>
        </w:rPr>
        <w:t>)</w:t>
      </w:r>
    </w:p>
    <w:p w14:paraId="7021885D" w14:textId="77777777" w:rsidR="00DD0878" w:rsidRDefault="00DD0878" w:rsidP="009D6E5B">
      <w:pPr>
        <w:tabs>
          <w:tab w:val="left" w:pos="593"/>
        </w:tabs>
        <w:autoSpaceDE w:val="0"/>
        <w:autoSpaceDN w:val="0"/>
        <w:adjustRightInd w:val="0"/>
        <w:spacing w:line="480" w:lineRule="auto"/>
        <w:rPr>
          <w:color w:val="000000"/>
        </w:rPr>
      </w:pPr>
    </w:p>
    <w:p w14:paraId="51793D2A" w14:textId="6298A324" w:rsidR="00DD0878" w:rsidRDefault="00DD0878" w:rsidP="009D6E5B">
      <w:pPr>
        <w:tabs>
          <w:tab w:val="left" w:pos="593"/>
        </w:tabs>
        <w:autoSpaceDE w:val="0"/>
        <w:autoSpaceDN w:val="0"/>
        <w:adjustRightInd w:val="0"/>
        <w:spacing w:line="48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r>
        <w:rPr>
          <w:i/>
          <w:iCs/>
          <w:color w:val="000000"/>
        </w:rPr>
        <w:t>V</w:t>
      </w:r>
      <w:r>
        <w:rPr>
          <w:color w:val="000000"/>
          <w:vertAlign w:val="subscript"/>
        </w:rPr>
        <w:t xml:space="preserve">cmax </w:t>
      </w:r>
      <w:r>
        <w:rPr>
          <w:color w:val="000000"/>
        </w:rPr>
        <w:t xml:space="preserve">or </w:t>
      </w:r>
      <w:r>
        <w:rPr>
          <w:i/>
          <w:iCs/>
          <w:color w:val="000000"/>
        </w:rPr>
        <w:t>J</w:t>
      </w:r>
      <w:r>
        <w:rPr>
          <w:color w:val="000000"/>
          <w:vertAlign w:val="subscript"/>
        </w:rPr>
        <w:t>max</w:t>
      </w:r>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r w:rsidRPr="00DB6582">
        <w:rPr>
          <w:i/>
          <w:iCs/>
          <w:color w:val="000000"/>
        </w:rPr>
        <w:t>V</w:t>
      </w:r>
      <w:r w:rsidRPr="00275258">
        <w:rPr>
          <w:color w:val="000000"/>
          <w:vertAlign w:val="subscript"/>
        </w:rPr>
        <w:t>cmax</w:t>
      </w:r>
      <w:r w:rsidRPr="00863849">
        <w:rPr>
          <w:color w:val="000000"/>
        </w:rPr>
        <w:t xml:space="preserve"> or </w:t>
      </w:r>
      <w:r w:rsidRPr="00DB6582">
        <w:rPr>
          <w:i/>
          <w:iCs/>
        </w:rPr>
        <w:t>J</w:t>
      </w:r>
      <w:r w:rsidRPr="00275258">
        <w:rPr>
          <w:vertAlign w:val="subscript"/>
        </w:rPr>
        <w:t>max</w:t>
      </w:r>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r w:rsidRPr="006337C2">
        <w:rPr>
          <w:i/>
          <w:iCs/>
          <w:color w:val="000000"/>
        </w:rPr>
        <w:t>V</w:t>
      </w:r>
      <w:r w:rsidRPr="00275258">
        <w:rPr>
          <w:color w:val="000000"/>
          <w:vertAlign w:val="subscript"/>
        </w:rPr>
        <w:t>cmax</w:t>
      </w:r>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r w:rsidRPr="00DB6582">
        <w:rPr>
          <w:i/>
          <w:iCs/>
        </w:rPr>
        <w:t>J</w:t>
      </w:r>
      <w:r w:rsidRPr="00275258">
        <w:rPr>
          <w:vertAlign w:val="subscript"/>
        </w:rPr>
        <w:t>max</w:t>
      </w:r>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sidR="00813CB8">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r w:rsidRPr="008D17BE">
        <w:rPr>
          <w:i/>
          <w:iCs/>
          <w:color w:val="000000"/>
        </w:rPr>
        <w:t>V</w:t>
      </w:r>
      <w:r w:rsidRPr="00275258">
        <w:rPr>
          <w:color w:val="000000"/>
          <w:vertAlign w:val="subscript"/>
        </w:rPr>
        <w:t>cmax</w:t>
      </w:r>
      <w:r w:rsidRPr="00863849">
        <w:rPr>
          <w:color w:val="000000"/>
        </w:rPr>
        <w:t xml:space="preserve"> and </w:t>
      </w:r>
      <w:r w:rsidRPr="00DB6582">
        <w:rPr>
          <w:i/>
          <w:iCs/>
        </w:rPr>
        <w:t>J</w:t>
      </w:r>
      <w:r w:rsidRPr="00275258">
        <w:rPr>
          <w:vertAlign w:val="subscript"/>
        </w:rPr>
        <w:t>max</w:t>
      </w:r>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sidR="001A5E20">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&lt;i&gt;et al.&lt;/i&gt;, 2002)","manualFormatting":"Medlyn et al., 2002)","plainTextFormattedCitation":"(Medlyn et al., 2002)","previouslyFormattedCitation":"(Medlyn &lt;i&gt;et al.&lt;/i&gt;,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9D6E5B">
      <w:pPr>
        <w:tabs>
          <w:tab w:val="left" w:pos="593"/>
        </w:tabs>
        <w:autoSpaceDE w:val="0"/>
        <w:autoSpaceDN w:val="0"/>
        <w:adjustRightInd w:val="0"/>
        <w:spacing w:line="480" w:lineRule="auto"/>
        <w:rPr>
          <w:color w:val="000000"/>
        </w:rPr>
      </w:pPr>
    </w:p>
    <w:p w14:paraId="445E3688" w14:textId="3E014A2C"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a</w:t>
      </w:r>
      <w:r w:rsidR="00DD0878" w:rsidRPr="00863849">
        <w:rPr>
          <w:color w:val="000000"/>
        </w:rPr>
        <w:t>)</w:t>
      </w:r>
    </w:p>
    <w:p w14:paraId="6D5EDCD7" w14:textId="77777777" w:rsidR="00DD0878" w:rsidRPr="00705A56" w:rsidRDefault="00DD0878" w:rsidP="009D6E5B">
      <w:pPr>
        <w:tabs>
          <w:tab w:val="left" w:pos="593"/>
        </w:tabs>
        <w:autoSpaceDE w:val="0"/>
        <w:autoSpaceDN w:val="0"/>
        <w:adjustRightInd w:val="0"/>
        <w:spacing w:line="480" w:lineRule="auto"/>
        <w:rPr>
          <w:color w:val="000000"/>
        </w:rPr>
      </w:pPr>
      <w:r w:rsidRPr="00863849">
        <w:rPr>
          <w:color w:val="000000"/>
        </w:rPr>
        <w:t>and:</w:t>
      </w:r>
    </w:p>
    <w:p w14:paraId="6B4B1159" w14:textId="3A8F26CD" w:rsidR="00DD0878" w:rsidRDefault="00000000"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b</w:t>
      </w:r>
      <w:r w:rsidR="00DD0878" w:rsidRPr="00863849">
        <w:rPr>
          <w:color w:val="000000"/>
        </w:rPr>
        <w:t>)</w:t>
      </w:r>
    </w:p>
    <w:p w14:paraId="39E57D3E" w14:textId="77777777" w:rsidR="00DD0878" w:rsidRDefault="00DD0878" w:rsidP="009D6E5B">
      <w:pPr>
        <w:tabs>
          <w:tab w:val="left" w:pos="593"/>
        </w:tabs>
        <w:autoSpaceDE w:val="0"/>
        <w:autoSpaceDN w:val="0"/>
        <w:adjustRightInd w:val="0"/>
        <w:spacing w:line="480" w:lineRule="auto"/>
        <w:rPr>
          <w:color w:val="000000"/>
        </w:rPr>
      </w:pPr>
    </w:p>
    <w:p w14:paraId="58037689" w14:textId="197750BD" w:rsidR="0022275C" w:rsidRDefault="00DD0878" w:rsidP="009D6E5B">
      <w:pPr>
        <w:spacing w:line="48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mean air temperature for each block throughout the duration of the experiment. Temperature data were collected using HOBO MX2301 data loggers (</w:t>
      </w:r>
      <w:r w:rsidRPr="0011017D">
        <w:rPr>
          <w:rFonts w:eastAsia="Times New Roman" w:cs="Times New Roman"/>
        </w:rPr>
        <w:t>Onset Computer Corp</w:t>
      </w:r>
      <w:r w:rsidR="00125358">
        <w:rPr>
          <w:rFonts w:eastAsia="Times New Roman" w:cs="Times New Roman"/>
        </w:rPr>
        <w:t>oration</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t>
      </w:r>
      <w:r w:rsidR="0022275C">
        <w:rPr>
          <w:color w:val="000000"/>
        </w:rPr>
        <w:t>W</w:t>
      </w:r>
      <w:r>
        <w:rPr>
          <w:color w:val="000000"/>
        </w:rPr>
        <w:t>e</w:t>
      </w:r>
      <w:r w:rsidR="0022275C">
        <w:rPr>
          <w:color w:val="000000"/>
        </w:rPr>
        <w:t xml:space="preserve"> then</w:t>
      </w:r>
      <w:r>
        <w:rPr>
          <w:color w:val="000000"/>
        </w:rPr>
        <w:t xml:space="preserve">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sidR="004C3C71">
        <w:rPr>
          <w:color w:val="000000"/>
        </w:rPr>
        <w:t>; unitless</w:t>
      </w:r>
      <w:r>
        <w:rPr>
          <w:color w:val="000000"/>
        </w:rPr>
        <w:t>)</w:t>
      </w:r>
      <w:r w:rsidR="00AB654B">
        <w:rPr>
          <w:color w:val="000000"/>
        </w:rPr>
        <w:t>.</w:t>
      </w:r>
    </w:p>
    <w:p w14:paraId="553CCDFA" w14:textId="35CA3C29" w:rsidR="0022275C" w:rsidRDefault="0022275C" w:rsidP="009D6E5B">
      <w:pPr>
        <w:spacing w:line="480" w:lineRule="auto"/>
        <w:ind w:firstLine="720"/>
        <w:rPr>
          <w:color w:val="000000"/>
        </w:rPr>
      </w:pPr>
      <w:r>
        <w:rPr>
          <w:color w:val="000000"/>
        </w:rPr>
        <w:t>Finally, we standardized dark respiration measurements to 25</w:t>
      </w:r>
      <w:r w:rsidRPr="00863849">
        <w:rPr>
          <w:rFonts w:ascii="Symbol" w:eastAsia="Symbol" w:hAnsi="Symbol" w:cs="Symbol"/>
          <w:color w:val="000000"/>
        </w:rPr>
        <w:t></w:t>
      </w:r>
      <w:r w:rsidRPr="00863849">
        <w:rPr>
          <w:color w:val="000000"/>
        </w:rPr>
        <w:t>C</w:t>
      </w:r>
      <w:r>
        <w:rPr>
          <w:color w:val="000000"/>
        </w:rPr>
        <w:t xml:space="preserve"> (</w:t>
      </w:r>
      <w:r>
        <w:rPr>
          <w:i/>
          <w:iCs/>
          <w:color w:val="000000"/>
        </w:rPr>
        <w:t>R</w:t>
      </w:r>
      <w:r>
        <w:rPr>
          <w:color w:val="000000"/>
          <w:vertAlign w:val="subscript"/>
        </w:rPr>
        <w:t>d25</w:t>
      </w:r>
      <w:r>
        <w:rPr>
          <w:color w:val="000000"/>
        </w:rPr>
        <w:t xml:space="preserve">; </w:t>
      </w:r>
      <w:r>
        <w:rPr>
          <w:color w:val="000000"/>
          <w:lang w:val="el-GR"/>
        </w:rPr>
        <w:t>μ</w:t>
      </w:r>
      <w:r>
        <w:rPr>
          <w:color w:val="000000"/>
        </w:rPr>
        <w:t>mol m</w:t>
      </w:r>
      <w:r>
        <w:rPr>
          <w:color w:val="000000"/>
          <w:vertAlign w:val="superscript"/>
        </w:rPr>
        <w:t>-2</w:t>
      </w:r>
      <w:r w:rsidRPr="00E83939">
        <w:rPr>
          <w:color w:val="000000"/>
        </w:rPr>
        <w:t xml:space="preserve"> </w:t>
      </w:r>
      <w:r>
        <w:rPr>
          <w:color w:val="000000"/>
        </w:rPr>
        <w:t>s</w:t>
      </w:r>
      <w:r>
        <w:rPr>
          <w:color w:val="000000"/>
          <w:vertAlign w:val="superscript"/>
        </w:rPr>
        <w:t>-1</w:t>
      </w:r>
      <w:r>
        <w:rPr>
          <w:color w:val="000000"/>
        </w:rPr>
        <w:t xml:space="preserve">) using the log-polynomial approach explained in </w:t>
      </w:r>
      <w:r>
        <w:rPr>
          <w:color w:val="000000"/>
        </w:rPr>
        <w:fldChar w:fldCharType="begin" w:fldLock="1"/>
      </w:r>
      <w:r w:rsidR="001A5E20">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18B6DBDF" w14:textId="77777777" w:rsidR="0022275C" w:rsidRDefault="0022275C" w:rsidP="009D6E5B">
      <w:pPr>
        <w:spacing w:line="480" w:lineRule="auto"/>
        <w:ind w:firstLine="720"/>
        <w:rPr>
          <w:color w:val="000000"/>
        </w:rPr>
      </w:pPr>
    </w:p>
    <w:p w14:paraId="3A1DAAA4" w14:textId="4B129FED" w:rsidR="0022275C" w:rsidRPr="00A46FE6" w:rsidRDefault="00000000" w:rsidP="009D6E5B">
      <w:pPr>
        <w:spacing w:line="48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t>(Eqn. 3)</w:t>
      </w:r>
    </w:p>
    <w:p w14:paraId="1F282B00" w14:textId="77777777" w:rsidR="0022275C" w:rsidRPr="00A46FE6" w:rsidRDefault="0022275C" w:rsidP="009D6E5B">
      <w:pPr>
        <w:spacing w:line="480" w:lineRule="auto"/>
        <w:rPr>
          <w:color w:val="000000"/>
        </w:rPr>
      </w:pPr>
    </w:p>
    <w:p w14:paraId="2CE0ABD1" w14:textId="6A8AF387" w:rsidR="00895284" w:rsidRDefault="0022275C" w:rsidP="009D6E5B">
      <w:pPr>
        <w:spacing w:line="48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w:t>
      </w:r>
      <w:r w:rsidR="00C7318F">
        <w:rPr>
          <w:color w:val="000000"/>
        </w:rPr>
        <w:t>, set to 25</w:t>
      </w:r>
      <w:r w:rsidR="00C7318F" w:rsidRPr="00863849">
        <w:rPr>
          <w:rFonts w:ascii="Symbol" w:eastAsia="Symbol" w:hAnsi="Symbol" w:cs="Symbol"/>
          <w:color w:val="000000"/>
        </w:rPr>
        <w:t></w:t>
      </w:r>
      <w:r w:rsidR="00C7318F"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sidR="001A5E20">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2016)","manualFormatting":"Heskel et al. (2016)","plainTextFormattedCitation":"(Heskel et al., 2016)","previouslyFormattedCitation":"(Heskel &lt;i&gt;et al.&lt;/i&gt;,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sidR="001A5E20">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&lt;i&gt;et al.&lt;/i&gt;, 2013)","manualFormatting":"O’Sullivan et al. (2013)","plainTextFormattedCitation":"(O’Sullivan et al., 2013)","previouslyFormattedCitation":"(O’Sullivan &lt;i&gt;et al.&lt;/i&gt;,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w:t>
      </w:r>
      <w:r>
        <w:rPr>
          <w:color w:val="000000"/>
        </w:rPr>
        <w:t>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00C7318F">
        <w:rPr>
          <w:color w:val="000000"/>
        </w:rPr>
        <w:t xml:space="preserve">   -</w:t>
      </w:r>
      <w:r w:rsidRPr="00CF0D09">
        <w:rPr>
          <w:color w:val="000000"/>
        </w:rPr>
        <w:t>0.00110</w:t>
      </w:r>
      <w:r w:rsidR="00C7318F">
        <w:rPr>
          <w:color w:val="000000"/>
        </w:rPr>
        <w:t xml:space="preserve"> </w:t>
      </w:r>
      <w:r w:rsidR="00C7318F">
        <w:rPr>
          <w:color w:val="000000"/>
        </w:rPr>
        <w:fldChar w:fldCharType="begin" w:fldLock="1"/>
      </w:r>
      <w:r w:rsidR="001A5E20">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&lt;i&gt;et al.&lt;/i&gt;, 2016)","plainTextFormattedCitation":"(Heskel et al., 2016)","previouslyFormattedCitation":"(Heskel &lt;i&gt;et al.&lt;/i&gt;, 2016)"},"properties":{"noteIndex":0},"schema":"https://github.com/citation-style-language/schema/raw/master/csl-citation.json"}</w:instrText>
      </w:r>
      <w:r w:rsidR="00C7318F">
        <w:rPr>
          <w:color w:val="000000"/>
        </w:rPr>
        <w:fldChar w:fldCharType="separate"/>
      </w:r>
      <w:r w:rsidR="00F13EBD" w:rsidRPr="00F13EBD">
        <w:rPr>
          <w:noProof/>
          <w:color w:val="000000"/>
        </w:rPr>
        <w:t xml:space="preserve">(Heskel </w:t>
      </w:r>
      <w:r w:rsidR="00F13EBD" w:rsidRPr="00F13EBD">
        <w:rPr>
          <w:i/>
          <w:noProof/>
          <w:color w:val="000000"/>
        </w:rPr>
        <w:t>et al.</w:t>
      </w:r>
      <w:r w:rsidR="00F13EBD" w:rsidRPr="00F13EBD">
        <w:rPr>
          <w:noProof/>
          <w:color w:val="000000"/>
        </w:rPr>
        <w:t>, 2016)</w:t>
      </w:r>
      <w:r w:rsidR="00C7318F">
        <w:rPr>
          <w:color w:val="000000"/>
        </w:rPr>
        <w:fldChar w:fldCharType="end"/>
      </w:r>
      <w:r>
        <w:rPr>
          <w:color w:val="000000"/>
        </w:rPr>
        <w:t xml:space="preserve">. </w:t>
      </w:r>
      <w:r w:rsidR="00224179">
        <w:rPr>
          <w:color w:val="000000"/>
        </w:rPr>
        <w:t>We also</w:t>
      </w:r>
      <w:r>
        <w:rPr>
          <w:color w:val="000000"/>
        </w:rPr>
        <w:t xml:space="preserve"> calculated the ratio of </w:t>
      </w:r>
      <w:r w:rsidR="00AB654B">
        <w:rPr>
          <w:i/>
          <w:iCs/>
          <w:color w:val="000000"/>
        </w:rPr>
        <w:t>R</w:t>
      </w:r>
      <w:r w:rsidR="00AB654B" w:rsidRPr="0011017D">
        <w:rPr>
          <w:color w:val="000000"/>
          <w:vertAlign w:val="subscript"/>
        </w:rPr>
        <w:t>d25</w:t>
      </w:r>
      <w:r w:rsidR="00AB654B">
        <w:rPr>
          <w:color w:val="000000"/>
        </w:rPr>
        <w:t xml:space="preserve"> to </w:t>
      </w:r>
      <w:r w:rsidR="00AB654B" w:rsidRPr="00DB6582">
        <w:rPr>
          <w:i/>
          <w:iCs/>
          <w:color w:val="000000"/>
        </w:rPr>
        <w:t>V</w:t>
      </w:r>
      <w:r w:rsidR="00AB654B" w:rsidRPr="00275258">
        <w:rPr>
          <w:color w:val="000000"/>
          <w:vertAlign w:val="subscript"/>
        </w:rPr>
        <w:t>cmax25</w:t>
      </w:r>
      <w:r w:rsidR="00AB654B">
        <w:rPr>
          <w:color w:val="000000"/>
        </w:rPr>
        <w:t xml:space="preserve"> (</w:t>
      </w:r>
      <w:r w:rsidR="00AB654B">
        <w:rPr>
          <w:i/>
          <w:iCs/>
          <w:color w:val="000000"/>
        </w:rPr>
        <w:t>R</w:t>
      </w:r>
      <w:r w:rsidR="00AB654B" w:rsidRPr="0011017D">
        <w:rPr>
          <w:color w:val="000000"/>
          <w:vertAlign w:val="subscript"/>
        </w:rPr>
        <w:t>d25</w:t>
      </w:r>
      <w:r w:rsidR="00AB654B">
        <w:rPr>
          <w:color w:val="000000"/>
        </w:rPr>
        <w:t xml:space="preserve">: </w:t>
      </w:r>
      <w:r w:rsidR="00AB654B" w:rsidRPr="00DB6582">
        <w:rPr>
          <w:i/>
          <w:iCs/>
          <w:color w:val="000000"/>
        </w:rPr>
        <w:t>V</w:t>
      </w:r>
      <w:r w:rsidR="00AB654B" w:rsidRPr="00275258">
        <w:rPr>
          <w:color w:val="000000"/>
          <w:vertAlign w:val="subscript"/>
        </w:rPr>
        <w:t>cmax25</w:t>
      </w:r>
      <w:r w:rsidR="00AB654B">
        <w:rPr>
          <w:color w:val="000000"/>
        </w:rPr>
        <w:t>; unitless).</w:t>
      </w:r>
    </w:p>
    <w:p w14:paraId="7F25D7BE" w14:textId="77777777" w:rsidR="00DD0878" w:rsidRDefault="00DD0878" w:rsidP="009D6E5B">
      <w:pPr>
        <w:autoSpaceDE w:val="0"/>
        <w:autoSpaceDN w:val="0"/>
        <w:adjustRightInd w:val="0"/>
        <w:spacing w:line="480" w:lineRule="auto"/>
        <w:rPr>
          <w:color w:val="000000"/>
        </w:rPr>
      </w:pPr>
    </w:p>
    <w:p w14:paraId="35E0668F" w14:textId="77777777" w:rsidR="00DD0878" w:rsidRDefault="00DD0878" w:rsidP="009D6E5B">
      <w:pPr>
        <w:spacing w:line="480" w:lineRule="auto"/>
        <w:rPr>
          <w:color w:val="000000"/>
        </w:rPr>
      </w:pPr>
      <w:r>
        <w:rPr>
          <w:i/>
          <w:iCs/>
          <w:color w:val="000000"/>
        </w:rPr>
        <w:t>Tradeoffs between nitrogen and water usage</w:t>
      </w:r>
    </w:p>
    <w:p w14:paraId="7CCB4168" w14:textId="4E1CA2FA" w:rsidR="00DD0878" w:rsidRDefault="00DD0878" w:rsidP="009D6E5B">
      <w:pPr>
        <w:autoSpaceDE w:val="0"/>
        <w:autoSpaceDN w:val="0"/>
        <w:adjustRightInd w:val="0"/>
        <w:spacing w:line="480" w:lineRule="auto"/>
        <w:ind w:firstLine="720"/>
        <w:rPr>
          <w:color w:val="000000" w:themeColor="text1"/>
        </w:rPr>
      </w:pPr>
      <w:r>
        <w:rPr>
          <w:color w:val="000000"/>
        </w:rPr>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sidR="008F6058" w:rsidRPr="008F6058">
        <w:rPr>
          <w:color w:val="000000" w:themeColor="text1"/>
          <w:vertAlign w:val="superscript"/>
        </w:rPr>
        <w:t>-1</w:t>
      </w:r>
      <w:r w:rsidR="008F6058">
        <w:rPr>
          <w:color w:val="000000" w:themeColor="text1"/>
        </w:rPr>
        <w:t xml:space="preserve"> </w:t>
      </w:r>
      <w:r w:rsidRPr="008F6058">
        <w:rPr>
          <w:color w:val="000000" w:themeColor="text1"/>
        </w:rPr>
        <w:t>N</w:t>
      </w:r>
      <w:r w:rsidRPr="14AB8DC9">
        <w:rPr>
          <w:color w:val="000000" w:themeColor="text1"/>
          <w:vertAlign w:val="superscript"/>
        </w:rPr>
        <w:t xml:space="preserve">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sidRPr="00D9075F">
        <w:rPr>
          <w:i/>
          <w:iCs/>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g</w:t>
      </w:r>
      <w:r w:rsidR="008F6058">
        <w:rPr>
          <w:color w:val="000000" w:themeColor="text1"/>
        </w:rPr>
        <w:t xml:space="preserve"> </w:t>
      </w:r>
      <w:r>
        <w:rPr>
          <w:color w:val="000000" w:themeColor="text1"/>
        </w:rPr>
        <w:t>N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r w:rsidRPr="000048CE">
        <w:rPr>
          <w:i/>
          <w:iCs/>
          <w:color w:val="000000" w:themeColor="text1"/>
        </w:rPr>
        <w:t>V</w:t>
      </w:r>
      <w:r w:rsidRPr="00F15977">
        <w:rPr>
          <w:color w:val="000000" w:themeColor="text1"/>
          <w:vertAlign w:val="subscript"/>
        </w:rPr>
        <w:t>cmax</w:t>
      </w:r>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00310558">
        <w:rPr>
          <w:color w:val="000000" w:themeColor="text1"/>
        </w:rPr>
        <w:t>).</w:t>
      </w:r>
      <w:r>
        <w:rPr>
          <w:color w:val="000000" w:themeColor="text1"/>
        </w:rPr>
        <w:t xml:space="preserve"> We used the temperature unstandardized </w:t>
      </w:r>
      <w:r>
        <w:rPr>
          <w:i/>
          <w:iCs/>
          <w:color w:val="000000" w:themeColor="text1"/>
        </w:rPr>
        <w:t>V</w:t>
      </w:r>
      <w:r>
        <w:rPr>
          <w:color w:val="000000" w:themeColor="text1"/>
          <w:vertAlign w:val="subscript"/>
        </w:rPr>
        <w:t>cmax</w:t>
      </w:r>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9D6E5B">
      <w:pPr>
        <w:spacing w:line="480" w:lineRule="auto"/>
      </w:pPr>
    </w:p>
    <w:p w14:paraId="64D2AC58" w14:textId="79D6C961" w:rsidR="00360D30" w:rsidRDefault="00360D30" w:rsidP="009D6E5B">
      <w:pPr>
        <w:spacing w:line="480" w:lineRule="auto"/>
      </w:pPr>
      <w:r>
        <w:rPr>
          <w:i/>
          <w:iCs/>
        </w:rPr>
        <w:t>Whole plant traits</w:t>
      </w:r>
    </w:p>
    <w:p w14:paraId="14099B94" w14:textId="2A732199" w:rsidR="007755C4" w:rsidRDefault="00F83744" w:rsidP="009D6E5B">
      <w:pPr>
        <w:autoSpaceDE w:val="0"/>
        <w:autoSpaceDN w:val="0"/>
        <w:adjustRightInd w:val="0"/>
        <w:spacing w:line="480" w:lineRule="auto"/>
        <w:ind w:firstLine="720"/>
        <w:rPr>
          <w:rFonts w:cs="Times New Roman"/>
        </w:rPr>
      </w:pPr>
      <w:r>
        <w:t>W</w:t>
      </w:r>
      <w:r w:rsidR="00360D30">
        <w:t xml:space="preserve">e harvested all experimental individuals and separated biomass of </w:t>
      </w:r>
      <w:r w:rsidR="00360D30" w:rsidRPr="00360D30">
        <w:t>each experimental individual into major organ types (leaves, stems, roots</w:t>
      </w:r>
      <w:r w:rsidR="00310558">
        <w:t>, and root nodules when present</w:t>
      </w:r>
      <w:r w:rsidR="00360D30" w:rsidRPr="00360D30">
        <w:t>)</w:t>
      </w:r>
      <w:r>
        <w:t xml:space="preserve"> approximately seven weeks after experiment initiation</w:t>
      </w:r>
      <w:r w:rsidR="00360D30" w:rsidRPr="00360D30">
        <w:t xml:space="preserve">. Leaf areas of all harvested leaves were </w:t>
      </w:r>
      <w:r w:rsidR="00360D30" w:rsidRPr="00360D30">
        <w:lastRenderedPageBreak/>
        <w:t>measured using a</w:t>
      </w:r>
      <w:r w:rsidR="00430044">
        <w:t>n</w:t>
      </w:r>
      <w:r w:rsidR="00360D30" w:rsidRPr="00360D30">
        <w:t xml:space="preserve"> </w:t>
      </w:r>
      <w:r w:rsidR="007755C4">
        <w:t>LI-3100</w:t>
      </w:r>
      <w:r w:rsidR="00412BAB">
        <w:t>C</w:t>
      </w:r>
      <w:r w:rsidR="007755C4">
        <w:t xml:space="preserve"> (</w:t>
      </w:r>
      <w:r w:rsidR="00412BAB" w:rsidRPr="00863849">
        <w:rPr>
          <w:color w:val="000000"/>
        </w:rPr>
        <w:t>Li-COR Bioscience</w:t>
      </w:r>
      <w:r w:rsidR="00412BAB">
        <w:rPr>
          <w:color w:val="000000"/>
        </w:rPr>
        <w:t>s</w:t>
      </w:r>
      <w:r w:rsidR="00412BAB" w:rsidRPr="00863849">
        <w:rPr>
          <w:color w:val="000000"/>
        </w:rPr>
        <w:t>, Lincoln, Nebraska, USA</w:t>
      </w:r>
      <w:r w:rsidR="00412BAB">
        <w:rPr>
          <w:color w:val="000000"/>
        </w:rPr>
        <w:t>)</w:t>
      </w:r>
      <w:r w:rsidR="00926F7B">
        <w:t>. T</w:t>
      </w:r>
      <w:r w:rsidR="00360D30" w:rsidRPr="00360D30">
        <w:t>otal leaf area</w:t>
      </w:r>
      <w:r w:rsidR="00926F7B">
        <w:t xml:space="preserve"> (cm</w:t>
      </w:r>
      <w:r w:rsidR="00926F7B">
        <w:rPr>
          <w:vertAlign w:val="superscript"/>
        </w:rPr>
        <w:t>2</w:t>
      </w:r>
      <w:r w:rsidR="00926F7B">
        <w:t>)</w:t>
      </w:r>
      <w:r w:rsidR="00360D30" w:rsidRPr="00360D30">
        <w:t xml:space="preserve"> was calculated as the sum of all leaf areas, including </w:t>
      </w:r>
      <w:r w:rsidR="00166B47">
        <w:t>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(g)</w:t>
      </w:r>
      <w:r w:rsidR="00360D30">
        <w:rPr>
          <w:rFonts w:cs="Times New Roman"/>
        </w:rPr>
        <w:t xml:space="preserve"> was</w:t>
      </w:r>
      <w:r w:rsidR="005E3C64">
        <w:rPr>
          <w:rFonts w:cs="Times New Roman"/>
        </w:rPr>
        <w:t xml:space="preserve"> </w:t>
      </w:r>
      <w:r w:rsidR="00360D30">
        <w:rPr>
          <w:rFonts w:cs="Times New Roman"/>
        </w:rPr>
        <w:t>calculated as the sum of 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w:t>
      </w:r>
      <w:r w:rsidR="00430044">
        <w:rPr>
          <w:rFonts w:cs="Times New Roman"/>
        </w:rPr>
        <w:t xml:space="preserve">of each respective organ type </w:t>
      </w:r>
      <w:r w:rsidR="00AB654B">
        <w:rPr>
          <w:rFonts w:cs="Times New Roman"/>
        </w:rPr>
        <w:t>through elemental combustion (</w:t>
      </w:r>
      <w:r w:rsidR="00AB654B">
        <w:rPr>
          <w:color w:val="000000"/>
        </w:rPr>
        <w:t xml:space="preserve">Costech-4010, </w:t>
      </w:r>
      <w:proofErr w:type="spellStart"/>
      <w:r w:rsidR="00AB654B">
        <w:rPr>
          <w:color w:val="000000"/>
        </w:rPr>
        <w:t>Costech</w:t>
      </w:r>
      <w:proofErr w:type="spellEnd"/>
      <w:r w:rsidR="00AB654B">
        <w:rPr>
          <w:color w:val="000000"/>
        </w:rPr>
        <w:t>, Inc., Valencia, CA, USA)</w:t>
      </w:r>
      <w:r w:rsidR="00AB654B">
        <w:rPr>
          <w:rFonts w:cs="Times New Roman"/>
        </w:rPr>
        <w:t xml:space="preserve"> </w:t>
      </w:r>
      <w:r w:rsidR="00430044">
        <w:rPr>
          <w:rFonts w:cs="Times New Roman"/>
        </w:rPr>
        <w:t>using subsamples of ground and homogenized organ tissue.</w:t>
      </w:r>
      <w:r w:rsidR="007755C4">
        <w:rPr>
          <w:rFonts w:cs="Times New Roman"/>
        </w:rPr>
        <w:t xml:space="preserve"> </w:t>
      </w:r>
    </w:p>
    <w:p w14:paraId="2C0094A3" w14:textId="23E841FA" w:rsidR="00EC6B47" w:rsidRDefault="00351A75" w:rsidP="009D6E5B">
      <w:pPr>
        <w:autoSpaceDE w:val="0"/>
        <w:autoSpaceDN w:val="0"/>
        <w:adjustRightInd w:val="0"/>
        <w:spacing w:line="480" w:lineRule="auto"/>
        <w:ind w:firstLine="720"/>
        <w:rPr>
          <w:rFonts w:cs="Times New Roman"/>
        </w:rPr>
      </w:pPr>
      <w:r>
        <w:rPr>
          <w:rFonts w:cs="Times New Roman"/>
        </w:rPr>
        <w:t>Following the</w:t>
      </w:r>
      <w:r w:rsidR="000F1E36">
        <w:rPr>
          <w:rFonts w:cs="Times New Roman"/>
        </w:rPr>
        <w:t xml:space="preserve"> </w:t>
      </w:r>
      <w:r>
        <w:rPr>
          <w:rFonts w:cs="Times New Roman"/>
        </w:rPr>
        <w:t xml:space="preserve">approach explained in </w:t>
      </w:r>
      <w:r>
        <w:rPr>
          <w:rFonts w:cs="Times New Roman"/>
        </w:rPr>
        <w:fldChar w:fldCharType="begin" w:fldLock="1"/>
      </w:r>
      <w:r w:rsidR="001A5E20">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12BAB">
        <w:rPr>
          <w:rFonts w:cs="Times New Roman"/>
          <w:iCs/>
          <w:noProof/>
        </w:rPr>
        <w:t>et al. (</w:t>
      </w:r>
      <w:r w:rsidRPr="00430044">
        <w:rPr>
          <w:rFonts w:cs="Times New Roman"/>
          <w:noProof/>
        </w:rPr>
        <w:t>2021)</w:t>
      </w:r>
      <w:r>
        <w:rPr>
          <w:rFonts w:cs="Times New Roman"/>
        </w:rPr>
        <w:fldChar w:fldCharType="end"/>
      </w:r>
      <w:r>
        <w:rPr>
          <w:rFonts w:cs="Times New Roman"/>
        </w:rPr>
        <w:t>, we calculated structural carbon costs to acquire nitrogen as the ratio of total belowground carbon biomass to whole plant nitrogen biomass</w:t>
      </w:r>
      <w:r w:rsidR="00E20C33">
        <w:rPr>
          <w:rFonts w:cs="Times New Roman"/>
        </w:rPr>
        <w:t xml:space="preserve"> (g</w:t>
      </w:r>
      <w:r w:rsidR="00310558">
        <w:rPr>
          <w:rFonts w:cs="Times New Roman"/>
        </w:rPr>
        <w:t xml:space="preserve"> </w:t>
      </w:r>
      <w:r w:rsidR="00E20C33">
        <w:rPr>
          <w:rFonts w:cs="Times New Roman"/>
        </w:rPr>
        <w:t>C g</w:t>
      </w:r>
      <w:r w:rsidR="00E20C33">
        <w:rPr>
          <w:rFonts w:cs="Times New Roman"/>
          <w:vertAlign w:val="superscript"/>
        </w:rPr>
        <w:t>-1</w:t>
      </w:r>
      <w:r w:rsidR="00E20C33">
        <w:rPr>
          <w:rFonts w:cs="Times New Roman"/>
        </w:rPr>
        <w:t xml:space="preserve"> N)</w:t>
      </w:r>
      <w:r>
        <w:rPr>
          <w:rFonts w:cs="Times New Roman"/>
        </w:rPr>
        <w:t xml:space="preserve">. </w:t>
      </w:r>
      <w:r w:rsidR="00430044">
        <w:rPr>
          <w:rFonts w:cs="Times New Roman"/>
        </w:rPr>
        <w:t>Belowground carbon biomass</w:t>
      </w:r>
      <w:r w:rsidR="00E20C33">
        <w:rPr>
          <w:rFonts w:cs="Times New Roman"/>
        </w:rPr>
        <w:t xml:space="preserve"> (g C)</w:t>
      </w:r>
      <w:r w:rsidR="00430044">
        <w:rPr>
          <w:rFonts w:cs="Times New Roman"/>
        </w:rPr>
        <w:t xml:space="preserve"> was </w:t>
      </w:r>
      <w:r w:rsidR="00B84938">
        <w:rPr>
          <w:rFonts w:cs="Times New Roman"/>
        </w:rPr>
        <w:t xml:space="preserve">calculated by multiplying the carbon content of roots and root nodules by total biomass of each respective organ type, then adding root carbon biomass and root nodule carbon biomass. </w:t>
      </w:r>
      <w:r w:rsidR="00310558">
        <w:rPr>
          <w:rFonts w:cs="Times New Roman"/>
        </w:rPr>
        <w:t>W</w:t>
      </w:r>
      <w:r w:rsidR="00B84938">
        <w:rPr>
          <w:rFonts w:cs="Times New Roman"/>
        </w:rPr>
        <w:t>hole plant nitrogen biomass</w:t>
      </w:r>
      <w:r w:rsidR="00E20C33">
        <w:rPr>
          <w:rFonts w:cs="Times New Roman"/>
        </w:rPr>
        <w:t xml:space="preserve"> (g N)</w:t>
      </w:r>
      <w:r w:rsidR="00B84938">
        <w:rPr>
          <w:rFonts w:cs="Times New Roman"/>
        </w:rPr>
        <w:t xml:space="preserve"> was calculated by multiplying the nitrogen content of leaves, stems, roots, and root nodules by biomass of each respective organ type, then </w:t>
      </w:r>
      <w:r w:rsidR="00310558">
        <w:rPr>
          <w:rFonts w:cs="Times New Roman"/>
        </w:rPr>
        <w:t>calculating</w:t>
      </w:r>
      <w:r w:rsidR="00B84938">
        <w:rPr>
          <w:rFonts w:cs="Times New Roman"/>
        </w:rPr>
        <w:t xml:space="preserve"> the sum of nitrogen biomass of each organ type.</w:t>
      </w:r>
      <w:r>
        <w:rPr>
          <w:rFonts w:cs="Times New Roman"/>
        </w:rPr>
        <w:t xml:space="preserve"> This calculation only quantifies plant structural carbon costs to acquire </w:t>
      </w:r>
      <w:r w:rsidR="00310558">
        <w:rPr>
          <w:rFonts w:cs="Times New Roman"/>
        </w:rPr>
        <w:t>nitrogen and</w:t>
      </w:r>
      <w:r>
        <w:rPr>
          <w:rFonts w:cs="Times New Roman"/>
        </w:rPr>
        <w:t xml:space="preserve"> does not include any additional carbon costs of nitrogen acquisition associated with root respiration, root exudation, or root turnover. An explicit explanation of the limitations for interpreting this calculation can be found in </w:t>
      </w:r>
      <w:r w:rsidR="00B84938">
        <w:rPr>
          <w:rFonts w:cs="Times New Roman"/>
        </w:rPr>
        <w:fldChar w:fldCharType="begin" w:fldLock="1"/>
      </w:r>
      <w:r w:rsidR="001A5E20">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Perkowski</w:t>
      </w:r>
      <w:r w:rsidR="00B84938" w:rsidRPr="00F9445D">
        <w:rPr>
          <w:rFonts w:cs="Times New Roman"/>
          <w:iCs/>
          <w:noProof/>
        </w:rPr>
        <w:t xml:space="preserve"> et al. </w:t>
      </w:r>
      <w:r w:rsidR="00B84938">
        <w:rPr>
          <w:rFonts w:cs="Times New Roman"/>
          <w:noProof/>
        </w:rPr>
        <w:t>(</w:t>
      </w:r>
      <w:r w:rsidR="00B84938" w:rsidRPr="00B84938">
        <w:rPr>
          <w:rFonts w:cs="Times New Roman"/>
          <w:noProof/>
        </w:rPr>
        <w:t>2021)</w:t>
      </w:r>
      <w:r w:rsidR="00B84938">
        <w:rPr>
          <w:rFonts w:cs="Times New Roman"/>
        </w:rPr>
        <w:fldChar w:fldCharType="end"/>
      </w:r>
      <w:r w:rsidR="00F9445D">
        <w:rPr>
          <w:rFonts w:cs="Times New Roman"/>
        </w:rPr>
        <w:t xml:space="preserve"> and </w:t>
      </w:r>
      <w:r w:rsidR="00F9445D">
        <w:rPr>
          <w:rFonts w:cs="Times New Roman"/>
        </w:rPr>
        <w:fldChar w:fldCharType="begin" w:fldLock="1"/>
      </w:r>
      <w:r w:rsidR="001A5E20">
        <w:rPr>
          <w:rFonts w:cs="Times New Roman"/>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&lt;i&gt;et al.&lt;/i&gt;, 2018)","manualFormatting":"Terrer et al. (2018)","plainTextFormattedCitation":"(Terrer et al., 2018)","previouslyFormattedCitation":"(Terrer &lt;i&gt;et al.&lt;/i&gt;, 2018)"},"properties":{"noteIndex":0},"schema":"https://github.com/citation-style-language/schema/raw/master/csl-citation.json"}</w:instrText>
      </w:r>
      <w:r w:rsidR="00F9445D">
        <w:rPr>
          <w:rFonts w:cs="Times New Roman"/>
        </w:rPr>
        <w:fldChar w:fldCharType="separate"/>
      </w:r>
      <w:r w:rsidR="00F9445D" w:rsidRPr="00F9445D">
        <w:rPr>
          <w:rFonts w:cs="Times New Roman"/>
          <w:noProof/>
        </w:rPr>
        <w:t xml:space="preserve">Terrer et al. </w:t>
      </w:r>
      <w:r w:rsidR="00F9445D">
        <w:rPr>
          <w:rFonts w:cs="Times New Roman"/>
          <w:noProof/>
        </w:rPr>
        <w:t>(</w:t>
      </w:r>
      <w:r w:rsidR="00F9445D" w:rsidRPr="00F9445D">
        <w:rPr>
          <w:rFonts w:cs="Times New Roman"/>
          <w:noProof/>
        </w:rPr>
        <w:t>2018)</w:t>
      </w:r>
      <w:r w:rsidR="00F9445D">
        <w:rPr>
          <w:rFonts w:cs="Times New Roman"/>
        </w:rPr>
        <w:fldChar w:fldCharType="end"/>
      </w:r>
      <w:r w:rsidR="00F9445D">
        <w:rPr>
          <w:rFonts w:cs="Times New Roman"/>
        </w:rPr>
        <w:t>.</w:t>
      </w:r>
    </w:p>
    <w:p w14:paraId="5E151562" w14:textId="77777777" w:rsidR="00DD0878" w:rsidRPr="00DD0878" w:rsidRDefault="00DD0878" w:rsidP="009D6E5B">
      <w:pPr>
        <w:autoSpaceDE w:val="0"/>
        <w:autoSpaceDN w:val="0"/>
        <w:adjustRightInd w:val="0"/>
        <w:spacing w:line="480" w:lineRule="auto"/>
        <w:rPr>
          <w:color w:val="000000" w:themeColor="text1"/>
        </w:rPr>
      </w:pPr>
    </w:p>
    <w:p w14:paraId="7D99C48A" w14:textId="15E512C9" w:rsidR="00D67D74" w:rsidRDefault="00D67D74" w:rsidP="009D6E5B">
      <w:pPr>
        <w:spacing w:line="480" w:lineRule="auto"/>
      </w:pPr>
      <w:r>
        <w:rPr>
          <w:i/>
          <w:iCs/>
        </w:rPr>
        <w:t>Statistical analyses</w:t>
      </w:r>
    </w:p>
    <w:p w14:paraId="100E66B0" w14:textId="7B611024" w:rsidR="00270350" w:rsidRDefault="00270350" w:rsidP="009D6E5B">
      <w:pPr>
        <w:spacing w:line="480" w:lineRule="auto"/>
        <w:ind w:firstLine="720"/>
      </w:pPr>
      <w:r>
        <w:t>We built a series of linear mixed-effects models to investigate the impacts of soil nitrogen fertilization and inoculation</w:t>
      </w:r>
      <w:r w:rsidR="00926F7B">
        <w:t xml:space="preserve">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and </w:t>
      </w:r>
      <w:r>
        <w:lastRenderedPageBreak/>
        <w:t>interactions between soil nitrogen fertilization and inoculation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Models with this independent variable structure were constructed to quantify relationships between soil nitrogen fertilization and inoculation on</w:t>
      </w:r>
      <w:r w:rsidR="006C759F">
        <w:t xml:space="preserve"> </w:t>
      </w:r>
      <w:proofErr w:type="spellStart"/>
      <w:r w:rsidR="006C759F">
        <w:rPr>
          <w:i/>
          <w:iCs/>
        </w:rPr>
        <w:t>N</w:t>
      </w:r>
      <w:r w:rsidR="006C759F">
        <w:rPr>
          <w:vertAlign w:val="subscript"/>
        </w:rPr>
        <w:t>area</w:t>
      </w:r>
      <w:proofErr w:type="spellEnd"/>
      <w:r w:rsidR="006C759F">
        <w:t xml:space="preserve">, </w:t>
      </w:r>
      <w:r w:rsidR="006C759F">
        <w:rPr>
          <w:i/>
          <w:iCs/>
        </w:rPr>
        <w:t>SLA</w:t>
      </w:r>
      <w:r w:rsidR="006C759F">
        <w:t xml:space="preserve">, </w:t>
      </w:r>
      <w:proofErr w:type="spellStart"/>
      <w:r w:rsidR="006C759F">
        <w:rPr>
          <w:i/>
          <w:iCs/>
        </w:rPr>
        <w:t>N</w:t>
      </w:r>
      <w:r w:rsidR="006C759F">
        <w:rPr>
          <w:vertAlign w:val="subscript"/>
        </w:rPr>
        <w:t>mass</w:t>
      </w:r>
      <w:proofErr w:type="spellEnd"/>
      <w:r w:rsidR="006C759F">
        <w:t>,</w:t>
      </w:r>
      <w:r w:rsidR="00360D30">
        <w:t xml:space="preserve">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r w:rsidR="007D0701">
        <w:t>total leaf area, whole plant biomass</w:t>
      </w:r>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6C759F">
        <w:rPr>
          <w:i/>
          <w:iCs/>
        </w:rPr>
        <w:t>C</w:t>
      </w:r>
      <w:r w:rsidR="006C759F">
        <w:rPr>
          <w:vertAlign w:val="subscript"/>
        </w:rPr>
        <w:t>i</w:t>
      </w:r>
      <w:r w:rsidR="006C759F">
        <w:t xml:space="preserve">: </w:t>
      </w:r>
      <w:r w:rsidR="006C759F">
        <w:rPr>
          <w:i/>
          <w:iCs/>
        </w:rPr>
        <w:t>C</w:t>
      </w:r>
      <w:r w:rsidR="006C759F">
        <w:rPr>
          <w:vertAlign w:val="subscript"/>
        </w:rPr>
        <w:t>a</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BB40CCE" w14:textId="398E1D3D" w:rsidR="00400618" w:rsidRDefault="00166B47" w:rsidP="009D6E5B">
      <w:pPr>
        <w:spacing w:line="480" w:lineRule="auto"/>
        <w:ind w:firstLine="720"/>
      </w:pPr>
      <w:r>
        <w:t>We used Shapiro-Wilk tests of normality</w:t>
      </w:r>
      <w:r w:rsidR="00DD0878">
        <w:t xml:space="preserve"> </w:t>
      </w:r>
      <w:r>
        <w:t>to determine whether linear mixed-effects models satisfied residual normality assumptions. All models satisfied residual normality assumptions except</w:t>
      </w:r>
      <w:r w:rsidR="00C7318F">
        <w:t xml:space="preserve"> </w:t>
      </w:r>
      <w:proofErr w:type="spellStart"/>
      <w:r w:rsidR="00B20D1B">
        <w:rPr>
          <w:i/>
          <w:iCs/>
        </w:rPr>
        <w:t>N</w:t>
      </w:r>
      <w:r w:rsidR="00B20D1B">
        <w:rPr>
          <w:vertAlign w:val="subscript"/>
        </w:rPr>
        <w:t>area</w:t>
      </w:r>
      <w:proofErr w:type="spellEnd"/>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sidRPr="00B20D1B">
        <w:rPr>
          <w:i/>
          <w:iCs/>
        </w:rPr>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B20D1B" w:rsidRPr="00B20D1B">
        <w:rPr>
          <w:i/>
          <w:iCs/>
        </w:rPr>
        <w:t xml:space="preserve"> </w:t>
      </w:r>
      <w:r w:rsidR="00B20D1B">
        <w:rPr>
          <w:i/>
          <w:iCs/>
        </w:rPr>
        <w:t>PNUE,</w:t>
      </w:r>
      <w:r w:rsidR="00B20D1B" w:rsidRPr="00B20D1B">
        <w:rPr>
          <w:i/>
          <w:iCs/>
        </w:rPr>
        <w:t xml:space="preserve"> </w:t>
      </w:r>
      <w:proofErr w:type="spellStart"/>
      <w:r w:rsidR="00B20D1B">
        <w:rPr>
          <w:i/>
          <w:iCs/>
        </w:rPr>
        <w:t>V</w:t>
      </w:r>
      <w:r w:rsidR="00B20D1B">
        <w:rPr>
          <w:vertAlign w:val="subscript"/>
        </w:rPr>
        <w:t>cmax</w:t>
      </w:r>
      <w:r w:rsidR="00B20D1B">
        <w:t>:</w:t>
      </w:r>
      <w:r w:rsidR="00B20D1B">
        <w:rPr>
          <w:i/>
          <w:iCs/>
        </w:rPr>
        <w:t>g</w:t>
      </w:r>
      <w:r w:rsidR="00B20D1B">
        <w:rPr>
          <w:vertAlign w:val="subscript"/>
        </w:rPr>
        <w:t>s</w:t>
      </w:r>
      <w:proofErr w:type="spellEnd"/>
      <w:r w:rsidR="00B20D1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xml:space="preserve">, total biomass, </w:t>
      </w:r>
      <w:r w:rsidR="00AD6759">
        <w:t>root nodule biomass: root biomass,</w:t>
      </w:r>
      <w:r w:rsidR="00086E13">
        <w:t xml:space="preserve"> </w:t>
      </w:r>
      <w:r w:rsidR="00AD6759">
        <w:t>root nodule biomass</w:t>
      </w:r>
      <w:r w:rsidR="00B20D1B">
        <w:t>, root biomass, and biomass: pot volume</w:t>
      </w:r>
      <w:r w:rsidR="00AD6759">
        <w:t xml:space="preserve"> </w:t>
      </w:r>
      <w:r>
        <w:t>(Shapiro-Wilk: p&lt;0.05 in all cases).</w:t>
      </w:r>
      <w:r w:rsidR="00AB654B">
        <w:t xml:space="preserve"> </w:t>
      </w:r>
      <w:r w:rsidR="00400618">
        <w:t>We</w:t>
      </w:r>
      <w:r w:rsidR="00916FB5">
        <w:t xml:space="preserve"> first</w:t>
      </w:r>
      <w:r w:rsidR="00400618">
        <w:t xml:space="preserve"> attempted to satisfy residual normality assumptions for </w:t>
      </w:r>
      <w:r w:rsidR="001C1F9E">
        <w:t>these dependent variables</w:t>
      </w:r>
      <w:r w:rsidR="00400618">
        <w:t xml:space="preserve"> using Bonferroni outlier tests to indicate any data points that were statistical outliers. </w:t>
      </w:r>
      <w:r w:rsidR="001C1F9E">
        <w:t>This was done using the ‘</w:t>
      </w:r>
      <w:proofErr w:type="spellStart"/>
      <w:r w:rsidR="001C1F9E">
        <w:t>OutlierTest</w:t>
      </w:r>
      <w:proofErr w:type="spellEnd"/>
      <w:r w:rsidR="001C1F9E">
        <w:t xml:space="preserve">’ function in the car R package </w:t>
      </w:r>
      <w:r w:rsidR="001C1F9E">
        <w:fldChar w:fldCharType="begin" w:fldLock="1"/>
      </w:r>
      <w:r w:rsidR="00813CB8">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001C1F9E">
        <w:fldChar w:fldCharType="separate"/>
      </w:r>
      <w:r w:rsidR="00813CB8" w:rsidRPr="00813CB8">
        <w:rPr>
          <w:noProof/>
        </w:rPr>
        <w:t>(Fox &amp; Weisberg, 2019)</w:t>
      </w:r>
      <w:r w:rsidR="001C1F9E">
        <w:fldChar w:fldCharType="end"/>
      </w:r>
      <w:r w:rsidR="001C1F9E">
        <w:t>, which uses a Bonferroni-corrected t-distribution</w:t>
      </w:r>
      <w:r w:rsidR="00916FB5">
        <w:t xml:space="preserve"> </w:t>
      </w:r>
      <w:r w:rsidR="001C1F9E">
        <w:t>to evaluate whether residuals of a given data point shift the mean of the sampling population. We removed any data points where Bonferroni: p&lt;0.05</w:t>
      </w:r>
      <w:r w:rsidR="00AB654B">
        <w:t>, which</w:t>
      </w:r>
      <w:r w:rsidR="001C1F9E">
        <w:t xml:space="preserve"> resulted in one data point </w:t>
      </w:r>
      <w:r w:rsidR="00AB654B">
        <w:t xml:space="preserve">being </w:t>
      </w:r>
      <w:r w:rsidR="00D87519">
        <w:t>removed from each of</w:t>
      </w:r>
      <w:r w:rsidR="001C1F9E">
        <w:t xml:space="preserve"> </w:t>
      </w:r>
      <w:proofErr w:type="spellStart"/>
      <w:r w:rsidR="00B20D1B">
        <w:rPr>
          <w:i/>
          <w:iCs/>
        </w:rPr>
        <w:t>N</w:t>
      </w:r>
      <w:r w:rsidR="00B20D1B">
        <w:rPr>
          <w:vertAlign w:val="subscript"/>
        </w:rPr>
        <w:t>area</w:t>
      </w:r>
      <w:proofErr w:type="spellEnd"/>
      <w:r w:rsidR="00B20D1B">
        <w:t xml:space="preserve">, </w:t>
      </w:r>
      <w:proofErr w:type="spellStart"/>
      <w:r w:rsidR="00B20D1B">
        <w:rPr>
          <w:i/>
          <w:iCs/>
        </w:rPr>
        <w:t>g</w:t>
      </w:r>
      <w:r w:rsidR="00B20D1B">
        <w:rPr>
          <w:vertAlign w:val="subscript"/>
        </w:rPr>
        <w:t>s</w:t>
      </w:r>
      <w:proofErr w:type="spellEnd"/>
      <w:r w:rsidR="00B20D1B">
        <w:t xml:space="preserve">, </w:t>
      </w:r>
      <w:r w:rsidR="006A394B">
        <w:t xml:space="preserve">and </w:t>
      </w:r>
      <w:r w:rsidR="00B20D1B">
        <w:rPr>
          <w:i/>
          <w:iCs/>
        </w:rPr>
        <w:t>PNUE,</w:t>
      </w:r>
      <w:r w:rsidR="00B20D1B" w:rsidRPr="00086E13">
        <w:rPr>
          <w:i/>
          <w:iCs/>
        </w:rPr>
        <w:t xml:space="preserve"> </w:t>
      </w:r>
      <w:r w:rsidR="001C1F9E">
        <w:t>and two data points</w:t>
      </w:r>
      <w:r w:rsidR="00D87519">
        <w:t xml:space="preserve"> </w:t>
      </w:r>
      <w:r w:rsidR="00AB654B">
        <w:t xml:space="preserve">being </w:t>
      </w:r>
      <w:r w:rsidR="00D87519">
        <w:t>removed</w:t>
      </w:r>
      <w:r w:rsidR="001C1F9E">
        <w:t xml:space="preserve"> </w:t>
      </w:r>
      <w:r w:rsidR="00D87519">
        <w:t>from each of</w:t>
      </w:r>
      <w:r w:rsidR="001C1F9E">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w:t>
      </w:r>
      <w:r w:rsidR="00B20D1B" w:rsidRPr="00B20D1B">
        <w:rPr>
          <w:i/>
          <w:iCs/>
        </w:rPr>
        <w:t xml:space="preserve"> </w:t>
      </w:r>
      <w:r w:rsidR="00B20D1B">
        <w:rPr>
          <w:i/>
          <w:iCs/>
        </w:rPr>
        <w:t>R</w:t>
      </w:r>
      <w:r w:rsidR="00B20D1B">
        <w:rPr>
          <w:vertAlign w:val="subscript"/>
        </w:rPr>
        <w:t>d25</w:t>
      </w:r>
      <w:r w:rsidR="00B20D1B">
        <w:t>,</w:t>
      </w:r>
      <w:r w:rsidR="00B20D1B" w:rsidRPr="006A394B">
        <w:t xml:space="preserve"> </w:t>
      </w:r>
      <w:r w:rsidR="006A394B">
        <w:t xml:space="preserve">and </w:t>
      </w:r>
      <w:r w:rsidR="00B20D1B">
        <w:rPr>
          <w:i/>
          <w:iCs/>
        </w:rPr>
        <w:t>R</w:t>
      </w:r>
      <w:r w:rsidR="00B20D1B">
        <w:rPr>
          <w:vertAlign w:val="subscript"/>
        </w:rPr>
        <w:t>d25</w:t>
      </w:r>
      <w:r w:rsidR="00B20D1B">
        <w:t>:</w:t>
      </w:r>
      <w:r w:rsidR="00B20D1B">
        <w:rPr>
          <w:i/>
          <w:iCs/>
        </w:rPr>
        <w:t>V</w:t>
      </w:r>
      <w:r w:rsidR="00B20D1B">
        <w:rPr>
          <w:vertAlign w:val="subscript"/>
        </w:rPr>
        <w:t>cmax25</w:t>
      </w:r>
      <w:r w:rsidR="001C1F9E">
        <w:t>. The removal of these statistical outliers satisfied residual normality assumptions for</w:t>
      </w:r>
      <w:r w:rsidR="00C7318F">
        <w:t xml:space="preserve"> </w:t>
      </w:r>
      <w:proofErr w:type="spellStart"/>
      <w:r w:rsidR="00C7318F">
        <w:rPr>
          <w:i/>
          <w:iCs/>
        </w:rPr>
        <w:t>N</w:t>
      </w:r>
      <w:r w:rsidR="00C7318F">
        <w:rPr>
          <w:vertAlign w:val="subscript"/>
        </w:rPr>
        <w:t>area</w:t>
      </w:r>
      <w:proofErr w:type="spellEnd"/>
      <w:r w:rsidR="00C7318F">
        <w:t>,</w:t>
      </w:r>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6A394B">
        <w:t xml:space="preserve"> and</w:t>
      </w:r>
      <w:r w:rsidR="00B20D1B" w:rsidRPr="00B20D1B">
        <w:rPr>
          <w:i/>
          <w:iCs/>
        </w:rPr>
        <w:t xml:space="preserve"> </w:t>
      </w:r>
      <w:r w:rsidR="00B20D1B">
        <w:rPr>
          <w:i/>
          <w:iCs/>
        </w:rPr>
        <w:t>PNUE</w:t>
      </w:r>
      <w:r w:rsidR="006A394B">
        <w:t xml:space="preserve"> </w:t>
      </w:r>
      <w:r w:rsidR="00D87519">
        <w:t>(Shapi</w:t>
      </w:r>
      <w:r w:rsidR="00AB654B">
        <w:t>r</w:t>
      </w:r>
      <w:r w:rsidR="00D87519">
        <w:t>o-Wilk: p&gt;0.05</w:t>
      </w:r>
      <w:r w:rsidR="00916FB5">
        <w:t xml:space="preserve"> in </w:t>
      </w:r>
      <w:r w:rsidR="00C7318F">
        <w:t>all</w:t>
      </w:r>
      <w:r w:rsidR="00916FB5">
        <w:t xml:space="preserve"> cases</w:t>
      </w:r>
      <w:r w:rsidR="00D87519">
        <w:t>)</w:t>
      </w:r>
      <w:r w:rsidR="001C1F9E">
        <w:t>.</w:t>
      </w:r>
    </w:p>
    <w:p w14:paraId="0FC0C20D" w14:textId="60751C84" w:rsidR="006A394B" w:rsidRDefault="00D87519" w:rsidP="009D6E5B">
      <w:pPr>
        <w:spacing w:line="480" w:lineRule="auto"/>
        <w:ind w:firstLine="720"/>
      </w:pPr>
      <w:r>
        <w:t xml:space="preserve">For any dependent variables where </w:t>
      </w:r>
      <w:r w:rsidR="00916FB5">
        <w:t xml:space="preserve">statistical </w:t>
      </w:r>
      <w:r>
        <w:t>outlier removal did not satisfy residual normality assumptions, we</w:t>
      </w:r>
      <w:r w:rsidR="00916FB5">
        <w:t xml:space="preserve"> then</w:t>
      </w:r>
      <w:r>
        <w:t xml:space="preserve"> attempted to satisfy residual normality assumptions by fitting </w:t>
      </w:r>
      <w:r>
        <w:lastRenderedPageBreak/>
        <w:t xml:space="preserve">models using dependent variables that were </w:t>
      </w:r>
      <w:proofErr w:type="gramStart"/>
      <w:r>
        <w:t>natural-log</w:t>
      </w:r>
      <w:proofErr w:type="gramEnd"/>
      <w:r>
        <w:t xml:space="preserve"> transformed.</w:t>
      </w:r>
      <w:r w:rsidR="00916FB5">
        <w:t xml:space="preserve"> </w:t>
      </w:r>
      <w:r w:rsidR="00166B47">
        <w:t>If residual normality assumptions were still not met</w:t>
      </w:r>
      <w:r w:rsidR="00086E13">
        <w:t xml:space="preserve"> after a natural-log transformation</w:t>
      </w:r>
      <w:r w:rsidR="00166B47">
        <w:t xml:space="preserve"> (Shapiro-Wilk: p&lt;0.05), then models were fit using dependent variables that were square root transformed. All residual normality assumptions were met with either a natural log or square root data transformation (Shapiro-Wilk: p&gt;0.05 in all cases</w:t>
      </w:r>
      <w:r w:rsidR="00166B47" w:rsidRPr="00166B47">
        <w:t xml:space="preserve">). Specifically, we natural log transformed </w:t>
      </w:r>
      <w:r w:rsidR="006A394B">
        <w:rPr>
          <w:i/>
          <w:iCs/>
        </w:rPr>
        <w:t>R</w:t>
      </w:r>
      <w:r w:rsidR="006A394B">
        <w:rPr>
          <w:vertAlign w:val="subscript"/>
        </w:rPr>
        <w:t>d25</w:t>
      </w:r>
      <w:r w:rsidR="006A394B">
        <w:t xml:space="preserve">, </w:t>
      </w:r>
      <w:proofErr w:type="spellStart"/>
      <w:r w:rsidR="006A394B">
        <w:rPr>
          <w:i/>
          <w:iCs/>
        </w:rPr>
        <w:t>V</w:t>
      </w:r>
      <w:r w:rsidR="006A394B">
        <w:rPr>
          <w:vertAlign w:val="subscript"/>
        </w:rPr>
        <w:t>cmax</w:t>
      </w:r>
      <w:r w:rsidR="006A394B">
        <w:t>:</w:t>
      </w:r>
      <w:r w:rsidR="006A394B">
        <w:rPr>
          <w:i/>
          <w:iCs/>
        </w:rPr>
        <w:t>g</w:t>
      </w:r>
      <w:r w:rsidR="006A394B">
        <w:rPr>
          <w:vertAlign w:val="subscript"/>
        </w:rPr>
        <w:t>s</w:t>
      </w:r>
      <w:proofErr w:type="spellEnd"/>
      <w:r w:rsidR="006A394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total biomass, root biomass, and biomass: pot volume, and square root transformed root nodule biomass: root biomass and root nodule biomass.</w:t>
      </w:r>
    </w:p>
    <w:p w14:paraId="0351CB86" w14:textId="375AE164" w:rsidR="004C3C71" w:rsidRDefault="00166B47" w:rsidP="009D6E5B">
      <w:pPr>
        <w:spacing w:line="480" w:lineRule="auto"/>
        <w:ind w:firstLine="720"/>
        <w:sectPr w:rsidR="004C3C71" w:rsidSect="00DD0878">
          <w:pgSz w:w="12240" w:h="15840"/>
          <w:pgMar w:top="1440" w:right="1440" w:bottom="1440" w:left="1440" w:header="720" w:footer="720" w:gutter="0"/>
          <w:lnNumType w:countBy="1" w:restart="continuous"/>
          <w:cols w:space="720"/>
          <w:docGrid w:linePitch="360"/>
        </w:sect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rsidR="001A5E20">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&lt;i&gt;et al.&lt;/i&gt;, 2015)","plainTextFormattedCitation":"(Bates et al., 2015)","previouslyFormattedCitation":"(Bates &lt;i&gt;et al.&lt;/i&gt;, 2015)"},"properties":{"noteIndex":0},"schema":"https://github.com/citation-style-language/schema/raw/master/csl-citation.json"}</w:instrText>
      </w:r>
      <w:r w:rsidRPr="00863849">
        <w:fldChar w:fldCharType="separate"/>
      </w:r>
      <w:r w:rsidR="00F13EBD" w:rsidRPr="00F13EBD">
        <w:rPr>
          <w:noProof/>
        </w:rPr>
        <w:t xml:space="preserve">(Bates </w:t>
      </w:r>
      <w:r w:rsidR="00F13EBD" w:rsidRPr="00F13EBD">
        <w:rPr>
          <w:i/>
          <w:noProof/>
        </w:rPr>
        <w:t>et al.</w:t>
      </w:r>
      <w:r w:rsidR="00F13EBD" w:rsidRPr="00F13EBD">
        <w:rPr>
          <w:noProof/>
        </w:rPr>
        <w:t>,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rsidR="00813CB8">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00813CB8" w:rsidRPr="00813CB8">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007D0701">
        <w:t>W</w:t>
      </w:r>
      <w:r w:rsidRPr="00863849">
        <w:t>e</w:t>
      </w:r>
      <w:r w:rsidR="007D0701">
        <w:t xml:space="preserve"> then</w:t>
      </w:r>
      <w:r w:rsidRPr="00863849">
        <w:t xml:space="preserve"> used the 'emmeans' R package </w:t>
      </w:r>
      <w:r w:rsidRPr="00863849">
        <w:fldChar w:fldCharType="begin" w:fldLock="1"/>
      </w:r>
      <w:r w:rsidR="00813CB8">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00813CB8" w:rsidRPr="00813CB8">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rsidR="00813CB8">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00813CB8" w:rsidRPr="00813CB8">
        <w:rPr>
          <w:noProof/>
        </w:rPr>
        <w:t>(Kenward &amp; Roger, 1997)</w:t>
      </w:r>
      <w:r>
        <w:fldChar w:fldCharType="end"/>
      </w:r>
      <w:r>
        <w:t xml:space="preserve">. </w:t>
      </w:r>
      <w:r w:rsidRPr="00863849">
        <w:t xml:space="preserve">All analyses and plots were conducted in R version </w:t>
      </w:r>
      <w:r>
        <w:t>4.</w:t>
      </w:r>
      <w:r w:rsidR="00E20C33">
        <w:t>2.0</w:t>
      </w:r>
      <w:r>
        <w:t xml:space="preserve"> </w:t>
      </w:r>
      <w:r>
        <w:fldChar w:fldCharType="begin" w:fldLock="1"/>
      </w:r>
      <w:r w:rsidR="00813CB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813CB8" w:rsidRPr="00813CB8">
        <w:rPr>
          <w:noProof/>
        </w:rPr>
        <w:t>(R Core Team, 2021)</w:t>
      </w:r>
      <w:r>
        <w:fldChar w:fldCharType="end"/>
      </w:r>
      <w:r>
        <w:t>.</w:t>
      </w:r>
      <w:r w:rsidR="006C759F">
        <w:t xml:space="preserve"> All acronyms</w:t>
      </w:r>
      <w:r w:rsidR="00412BAB">
        <w:t xml:space="preserve">, </w:t>
      </w:r>
      <w:r w:rsidR="004C3C71">
        <w:t>acronym descriptions</w:t>
      </w:r>
      <w:r w:rsidR="00412BAB">
        <w:t>, and units</w:t>
      </w:r>
      <w:r w:rsidR="004C3C71">
        <w:t xml:space="preserve"> used in this paper</w:t>
      </w:r>
      <w:r w:rsidR="006C759F">
        <w:t xml:space="preserve"> are summarized in Table 1.</w:t>
      </w:r>
    </w:p>
    <w:p w14:paraId="509AA6F4" w14:textId="11227EB9" w:rsidR="00371C20" w:rsidRDefault="006C759F" w:rsidP="00A754EC">
      <w:pPr>
        <w:spacing w:line="360" w:lineRule="auto"/>
      </w:pPr>
      <w:r w:rsidRPr="006C759F">
        <w:rPr>
          <w:b/>
          <w:bCs/>
        </w:rPr>
        <w:lastRenderedPageBreak/>
        <w:t>Table 1</w:t>
      </w:r>
      <w:r>
        <w:t xml:space="preserve"> </w:t>
      </w:r>
      <w:r w:rsidR="00371C20">
        <w:t xml:space="preserve">Summary </w:t>
      </w:r>
      <w:r w:rsidR="00CB446B">
        <w:t>of</w:t>
      </w:r>
      <w:r w:rsidR="008D6E2F">
        <w:t xml:space="preserve"> all measured leaf and whole plant</w:t>
      </w:r>
      <w:r w:rsidR="00371C20">
        <w:t xml:space="preserve"> traits</w:t>
      </w:r>
      <w:r w:rsidR="00CB446B">
        <w:t>,</w:t>
      </w:r>
      <w:r w:rsidR="00371C20">
        <w:t xml:space="preserve"> their associated units</w:t>
      </w:r>
      <w:r w:rsidR="00CB446B">
        <w:t>, and a description if trait is referenced as an acronym throughout the paper</w:t>
      </w:r>
    </w:p>
    <w:p w14:paraId="73643E38" w14:textId="77777777" w:rsidR="00A754EC" w:rsidRDefault="00A754EC" w:rsidP="00A754EC">
      <w:pPr>
        <w:spacing w:line="360" w:lineRule="auto"/>
      </w:pPr>
    </w:p>
    <w:tbl>
      <w:tblPr>
        <w:tblStyle w:val="TableGrid"/>
        <w:tblW w:w="14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0"/>
        <w:gridCol w:w="2174"/>
        <w:gridCol w:w="8730"/>
      </w:tblGrid>
      <w:tr w:rsidR="00F073BB" w:rsidRPr="007D0701" w14:paraId="2E60B752" w14:textId="77777777" w:rsidTr="008D6E2F">
        <w:tc>
          <w:tcPr>
            <w:tcW w:w="3100" w:type="dxa"/>
            <w:tcBorders>
              <w:top w:val="single" w:sz="4" w:space="0" w:color="auto"/>
              <w:bottom w:val="single" w:sz="4" w:space="0" w:color="auto"/>
            </w:tcBorders>
          </w:tcPr>
          <w:p w14:paraId="559FCC84" w14:textId="77777777" w:rsidR="00F073BB" w:rsidRPr="008D6E2F" w:rsidRDefault="00F073BB" w:rsidP="00A85036">
            <w:pPr>
              <w:spacing w:line="276" w:lineRule="auto"/>
              <w:rPr>
                <w:b/>
                <w:bCs/>
                <w:sz w:val="22"/>
                <w:szCs w:val="22"/>
              </w:rPr>
            </w:pPr>
            <w:r w:rsidRPr="008D6E2F">
              <w:rPr>
                <w:b/>
                <w:bCs/>
                <w:sz w:val="22"/>
                <w:szCs w:val="22"/>
              </w:rPr>
              <w:t>Trait</w:t>
            </w:r>
          </w:p>
        </w:tc>
        <w:tc>
          <w:tcPr>
            <w:tcW w:w="2174" w:type="dxa"/>
            <w:tcBorders>
              <w:top w:val="single" w:sz="4" w:space="0" w:color="auto"/>
              <w:bottom w:val="single" w:sz="4" w:space="0" w:color="auto"/>
            </w:tcBorders>
          </w:tcPr>
          <w:p w14:paraId="6E75BD1E" w14:textId="77777777" w:rsidR="00F073BB" w:rsidRPr="008D6E2F" w:rsidRDefault="00F073BB" w:rsidP="00A85036">
            <w:pPr>
              <w:spacing w:line="276" w:lineRule="auto"/>
              <w:rPr>
                <w:b/>
                <w:bCs/>
                <w:sz w:val="22"/>
                <w:szCs w:val="22"/>
              </w:rPr>
            </w:pPr>
            <w:r w:rsidRPr="008D6E2F">
              <w:rPr>
                <w:b/>
                <w:bCs/>
                <w:sz w:val="22"/>
                <w:szCs w:val="22"/>
              </w:rPr>
              <w:t>Units</w:t>
            </w:r>
          </w:p>
        </w:tc>
        <w:tc>
          <w:tcPr>
            <w:tcW w:w="8730" w:type="dxa"/>
            <w:tcBorders>
              <w:top w:val="single" w:sz="4" w:space="0" w:color="auto"/>
              <w:bottom w:val="single" w:sz="4" w:space="0" w:color="auto"/>
            </w:tcBorders>
          </w:tcPr>
          <w:p w14:paraId="35E50795" w14:textId="77777777" w:rsidR="00F073BB" w:rsidRPr="008D6E2F" w:rsidRDefault="00F073BB" w:rsidP="00A85036">
            <w:pPr>
              <w:spacing w:line="276" w:lineRule="auto"/>
              <w:rPr>
                <w:b/>
                <w:bCs/>
                <w:sz w:val="22"/>
                <w:szCs w:val="22"/>
              </w:rPr>
            </w:pPr>
            <w:r w:rsidRPr="008D6E2F">
              <w:rPr>
                <w:b/>
                <w:bCs/>
                <w:sz w:val="22"/>
                <w:szCs w:val="22"/>
              </w:rPr>
              <w:t>Trait description</w:t>
            </w:r>
          </w:p>
        </w:tc>
      </w:tr>
      <w:tr w:rsidR="00F073BB" w:rsidRPr="007D0701" w14:paraId="30E4970D" w14:textId="77777777" w:rsidTr="00A85036">
        <w:tc>
          <w:tcPr>
            <w:tcW w:w="3100" w:type="dxa"/>
            <w:tcBorders>
              <w:top w:val="single" w:sz="4" w:space="0" w:color="auto"/>
            </w:tcBorders>
            <w:vAlign w:val="center"/>
          </w:tcPr>
          <w:p w14:paraId="4F65969C" w14:textId="77777777" w:rsidR="00F073BB" w:rsidRPr="008D6E2F" w:rsidRDefault="00F073BB" w:rsidP="00A85036">
            <w:pPr>
              <w:spacing w:line="276" w:lineRule="auto"/>
              <w:rPr>
                <w:sz w:val="22"/>
                <w:szCs w:val="22"/>
              </w:rPr>
            </w:pPr>
            <w:proofErr w:type="spellStart"/>
            <w:r w:rsidRPr="008D6E2F">
              <w:rPr>
                <w:i/>
                <w:iCs/>
                <w:color w:val="000000"/>
                <w:sz w:val="22"/>
                <w:szCs w:val="22"/>
              </w:rPr>
              <w:t>A</w:t>
            </w:r>
            <w:r w:rsidRPr="008D6E2F">
              <w:rPr>
                <w:color w:val="000000"/>
                <w:sz w:val="22"/>
                <w:szCs w:val="22"/>
                <w:vertAlign w:val="subscript"/>
              </w:rPr>
              <w:t>net</w:t>
            </w:r>
            <w:proofErr w:type="spellEnd"/>
          </w:p>
        </w:tc>
        <w:tc>
          <w:tcPr>
            <w:tcW w:w="2174" w:type="dxa"/>
            <w:tcBorders>
              <w:top w:val="single" w:sz="4" w:space="0" w:color="auto"/>
            </w:tcBorders>
            <w:vAlign w:val="center"/>
          </w:tcPr>
          <w:p w14:paraId="074FC600" w14:textId="77777777" w:rsidR="00F073BB" w:rsidRPr="008D6E2F" w:rsidRDefault="00F073BB" w:rsidP="00A85036">
            <w:pPr>
              <w:spacing w:line="276" w:lineRule="auto"/>
              <w:rPr>
                <w:sz w:val="22"/>
                <w:szCs w:val="22"/>
                <w:vertAlign w:val="superscript"/>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tcBorders>
              <w:top w:val="single" w:sz="4" w:space="0" w:color="auto"/>
            </w:tcBorders>
            <w:vAlign w:val="center"/>
          </w:tcPr>
          <w:p w14:paraId="1A6BB3FC" w14:textId="3C2DBBC7" w:rsidR="00F073BB" w:rsidRPr="00817E03" w:rsidRDefault="00F073BB" w:rsidP="00A85036">
            <w:pPr>
              <w:spacing w:line="276" w:lineRule="auto"/>
              <w:rPr>
                <w:sz w:val="22"/>
                <w:szCs w:val="22"/>
                <w:vertAlign w:val="subscript"/>
              </w:rPr>
            </w:pPr>
            <w:r w:rsidRPr="008D6E2F">
              <w:rPr>
                <w:sz w:val="22"/>
                <w:szCs w:val="22"/>
              </w:rPr>
              <w:t>net photosynthesis</w:t>
            </w:r>
            <w:r>
              <w:rPr>
                <w:sz w:val="22"/>
                <w:szCs w:val="22"/>
              </w:rPr>
              <w:t xml:space="preserve"> rate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732C98FD" w14:textId="77777777" w:rsidTr="00A85036">
        <w:tc>
          <w:tcPr>
            <w:tcW w:w="3100" w:type="dxa"/>
            <w:vAlign w:val="center"/>
          </w:tcPr>
          <w:p w14:paraId="4C8392A8"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C</w:t>
            </w:r>
            <w:r>
              <w:rPr>
                <w:color w:val="000000"/>
                <w:sz w:val="22"/>
                <w:szCs w:val="22"/>
                <w:vertAlign w:val="subscript"/>
              </w:rPr>
              <w:t>bg</w:t>
            </w:r>
            <w:proofErr w:type="spellEnd"/>
          </w:p>
        </w:tc>
        <w:tc>
          <w:tcPr>
            <w:tcW w:w="2174" w:type="dxa"/>
            <w:vAlign w:val="center"/>
          </w:tcPr>
          <w:p w14:paraId="6E9E1510" w14:textId="77777777" w:rsidR="00F073BB" w:rsidRPr="008D6E2F" w:rsidRDefault="00F073BB" w:rsidP="00A85036">
            <w:pPr>
              <w:spacing w:line="276" w:lineRule="auto"/>
              <w:rPr>
                <w:sz w:val="22"/>
                <w:szCs w:val="22"/>
              </w:rPr>
            </w:pPr>
            <w:r w:rsidRPr="008D6E2F">
              <w:rPr>
                <w:sz w:val="22"/>
                <w:szCs w:val="22"/>
              </w:rPr>
              <w:t>g C</w:t>
            </w:r>
          </w:p>
        </w:tc>
        <w:tc>
          <w:tcPr>
            <w:tcW w:w="8730" w:type="dxa"/>
            <w:vAlign w:val="center"/>
          </w:tcPr>
          <w:p w14:paraId="419B0571" w14:textId="22F6FB37" w:rsidR="00F073BB" w:rsidRPr="00817E03" w:rsidRDefault="00916FB5" w:rsidP="00A85036">
            <w:pPr>
              <w:spacing w:line="276" w:lineRule="auto"/>
              <w:rPr>
                <w:sz w:val="22"/>
                <w:szCs w:val="22"/>
              </w:rPr>
            </w:pPr>
            <w:r>
              <w:rPr>
                <w:sz w:val="22"/>
                <w:szCs w:val="22"/>
              </w:rPr>
              <w:t>belowground carbon biomass</w:t>
            </w:r>
            <w:r w:rsidR="00817E03">
              <w:rPr>
                <w:sz w:val="22"/>
                <w:szCs w:val="22"/>
              </w:rPr>
              <w:t xml:space="preserve"> (numerator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352B6931" w14:textId="77777777" w:rsidTr="00A85036">
        <w:tc>
          <w:tcPr>
            <w:tcW w:w="3100" w:type="dxa"/>
            <w:vAlign w:val="center"/>
          </w:tcPr>
          <w:p w14:paraId="10F6130E" w14:textId="77777777" w:rsidR="00F073BB" w:rsidRPr="008D6E2F" w:rsidRDefault="00F073BB" w:rsidP="00A85036">
            <w:pPr>
              <w:spacing w:line="276" w:lineRule="auto"/>
              <w:rPr>
                <w:sz w:val="22"/>
                <w:szCs w:val="22"/>
              </w:rPr>
            </w:pPr>
            <w:r w:rsidRPr="008D6E2F">
              <w:rPr>
                <w:i/>
                <w:iCs/>
                <w:color w:val="000000"/>
                <w:sz w:val="22"/>
                <w:szCs w:val="22"/>
              </w:rPr>
              <w:t>C</w:t>
            </w:r>
            <w:r w:rsidRPr="008D6E2F">
              <w:rPr>
                <w:color w:val="000000"/>
                <w:sz w:val="22"/>
                <w:szCs w:val="22"/>
                <w:vertAlign w:val="subscript"/>
              </w:rPr>
              <w:t>i</w:t>
            </w:r>
            <w:r w:rsidRPr="008D6E2F">
              <w:rPr>
                <w:color w:val="000000"/>
                <w:sz w:val="22"/>
                <w:szCs w:val="22"/>
              </w:rPr>
              <w:t xml:space="preserve">: </w:t>
            </w:r>
            <w:r w:rsidRPr="008D6E2F">
              <w:rPr>
                <w:i/>
                <w:iCs/>
                <w:color w:val="000000"/>
                <w:sz w:val="22"/>
                <w:szCs w:val="22"/>
              </w:rPr>
              <w:t>C</w:t>
            </w:r>
            <w:r w:rsidRPr="008D6E2F">
              <w:rPr>
                <w:color w:val="000000"/>
                <w:sz w:val="22"/>
                <w:szCs w:val="22"/>
                <w:vertAlign w:val="subscript"/>
              </w:rPr>
              <w:t>a</w:t>
            </w:r>
          </w:p>
        </w:tc>
        <w:tc>
          <w:tcPr>
            <w:tcW w:w="2174" w:type="dxa"/>
            <w:vAlign w:val="center"/>
          </w:tcPr>
          <w:p w14:paraId="4B45BE5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4DA45A5C" w14:textId="3DAE54AB" w:rsidR="00F073BB" w:rsidRPr="00817E03" w:rsidRDefault="00F073BB" w:rsidP="00A85036">
            <w:pPr>
              <w:spacing w:line="276" w:lineRule="auto"/>
              <w:rPr>
                <w:sz w:val="22"/>
                <w:szCs w:val="22"/>
              </w:rPr>
            </w:pPr>
            <w:r w:rsidRPr="008D6E2F">
              <w:rPr>
                <w:sz w:val="22"/>
                <w:szCs w:val="22"/>
              </w:rPr>
              <w:t>intercellular CO</w:t>
            </w:r>
            <w:r w:rsidRPr="008D6E2F">
              <w:rPr>
                <w:sz w:val="22"/>
                <w:szCs w:val="22"/>
                <w:vertAlign w:val="subscript"/>
              </w:rPr>
              <w:t>2</w:t>
            </w:r>
            <w:r w:rsidRPr="008D6E2F">
              <w:rPr>
                <w:sz w:val="22"/>
                <w:szCs w:val="22"/>
              </w:rPr>
              <w:t>: atmospheric CO</w:t>
            </w:r>
            <w:r w:rsidRPr="008D6E2F">
              <w:rPr>
                <w:sz w:val="22"/>
                <w:szCs w:val="22"/>
                <w:vertAlign w:val="subscript"/>
              </w:rPr>
              <w:t>2</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6D02A78C" w14:textId="77777777" w:rsidTr="00A85036">
        <w:tc>
          <w:tcPr>
            <w:tcW w:w="3100" w:type="dxa"/>
            <w:vAlign w:val="center"/>
          </w:tcPr>
          <w:p w14:paraId="5D6F5A9C" w14:textId="77777777" w:rsidR="00F073BB" w:rsidRPr="008D6E2F" w:rsidRDefault="00F073BB" w:rsidP="00A85036">
            <w:pPr>
              <w:spacing w:line="276" w:lineRule="auto"/>
              <w:rPr>
                <w:sz w:val="22"/>
                <w:szCs w:val="22"/>
              </w:rPr>
            </w:pPr>
            <w:proofErr w:type="spellStart"/>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F3FC66" w14:textId="77777777" w:rsidR="00F073BB" w:rsidRPr="008D6E2F" w:rsidRDefault="00F073BB" w:rsidP="00A85036">
            <w:pPr>
              <w:spacing w:line="276" w:lineRule="auto"/>
              <w:rPr>
                <w:sz w:val="22"/>
                <w:szCs w:val="22"/>
              </w:rPr>
            </w:pP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22693D9" w14:textId="29A5189F" w:rsidR="00F073BB" w:rsidRPr="008D6E2F" w:rsidRDefault="00F073BB" w:rsidP="00A85036">
            <w:pPr>
              <w:spacing w:line="276" w:lineRule="auto"/>
              <w:rPr>
                <w:sz w:val="22"/>
                <w:szCs w:val="22"/>
              </w:rPr>
            </w:pPr>
            <w:r w:rsidRPr="008D6E2F">
              <w:rPr>
                <w:sz w:val="22"/>
                <w:szCs w:val="22"/>
              </w:rPr>
              <w:t>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000DB1CA" w14:textId="77777777" w:rsidTr="00A85036">
        <w:tc>
          <w:tcPr>
            <w:tcW w:w="3100" w:type="dxa"/>
            <w:vAlign w:val="center"/>
          </w:tcPr>
          <w:p w14:paraId="19E29D26" w14:textId="77777777" w:rsidR="00F073BB" w:rsidRPr="008D6E2F" w:rsidRDefault="00F073BB" w:rsidP="00A85036">
            <w:pPr>
              <w:spacing w:line="276" w:lineRule="auto"/>
              <w:rPr>
                <w:sz w:val="22"/>
                <w:szCs w:val="22"/>
              </w:rPr>
            </w:pPr>
            <w:proofErr w:type="spellStart"/>
            <w:r w:rsidRPr="008D6E2F">
              <w:rPr>
                <w:i/>
                <w:iCs/>
                <w:color w:val="000000"/>
                <w:sz w:val="22"/>
                <w:szCs w:val="22"/>
              </w:rPr>
              <w:t>iWUE</w:t>
            </w:r>
            <w:proofErr w:type="spellEnd"/>
          </w:p>
        </w:tc>
        <w:tc>
          <w:tcPr>
            <w:tcW w:w="2174" w:type="dxa"/>
            <w:vAlign w:val="center"/>
          </w:tcPr>
          <w:p w14:paraId="25B374E0"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70978672" w14:textId="63F2F3D8" w:rsidR="00F073BB" w:rsidRPr="008D6E2F" w:rsidRDefault="00F073BB" w:rsidP="00A85036">
            <w:pPr>
              <w:spacing w:line="276" w:lineRule="auto"/>
              <w:rPr>
                <w:sz w:val="22"/>
                <w:szCs w:val="22"/>
              </w:rPr>
            </w:pPr>
            <w:r w:rsidRPr="008D6E2F">
              <w:rPr>
                <w:sz w:val="22"/>
                <w:szCs w:val="22"/>
              </w:rPr>
              <w:t>intrinsic water-use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23D4D389" w14:textId="77777777" w:rsidTr="00A85036">
        <w:tc>
          <w:tcPr>
            <w:tcW w:w="3100" w:type="dxa"/>
            <w:vAlign w:val="center"/>
          </w:tcPr>
          <w:p w14:paraId="286A34ED"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p>
        </w:tc>
        <w:tc>
          <w:tcPr>
            <w:tcW w:w="2174" w:type="dxa"/>
            <w:vAlign w:val="center"/>
          </w:tcPr>
          <w:p w14:paraId="0D7D37D3"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7D364F5" w14:textId="77777777" w:rsidR="00F073BB" w:rsidRPr="008D6E2F" w:rsidRDefault="00F073BB" w:rsidP="00A85036">
            <w:pPr>
              <w:spacing w:line="276" w:lineRule="auto"/>
              <w:rPr>
                <w:sz w:val="22"/>
                <w:szCs w:val="22"/>
              </w:rPr>
            </w:pPr>
            <w:r w:rsidRPr="008D6E2F">
              <w:rPr>
                <w:sz w:val="22"/>
                <w:szCs w:val="22"/>
              </w:rPr>
              <w:t>maximum RuBP regeneration rate, standardized to 25</w:t>
            </w:r>
            <w:r w:rsidRPr="008D6E2F">
              <w:rPr>
                <w:sz w:val="22"/>
                <w:szCs w:val="22"/>
              </w:rPr>
              <w:sym w:font="Symbol" w:char="F0B0"/>
            </w:r>
            <w:r w:rsidRPr="008D6E2F">
              <w:rPr>
                <w:sz w:val="22"/>
                <w:szCs w:val="22"/>
              </w:rPr>
              <w:t>C</w:t>
            </w:r>
          </w:p>
        </w:tc>
      </w:tr>
      <w:tr w:rsidR="00F073BB" w:rsidRPr="007D0701" w14:paraId="5513B4CD" w14:textId="77777777" w:rsidTr="00A85036">
        <w:tc>
          <w:tcPr>
            <w:tcW w:w="3100" w:type="dxa"/>
            <w:vAlign w:val="center"/>
          </w:tcPr>
          <w:p w14:paraId="36C40204"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r w:rsidRPr="008D6E2F">
              <w:rPr>
                <w:color w:val="000000"/>
                <w:sz w:val="22"/>
                <w:szCs w:val="22"/>
              </w:rPr>
              <w:t>:</w:t>
            </w:r>
            <w:r w:rsidRPr="008D6E2F">
              <w:rPr>
                <w:i/>
                <w:iCs/>
                <w:color w:val="000000"/>
                <w:sz w:val="22"/>
                <w:szCs w:val="22"/>
              </w:rPr>
              <w:t xml:space="preserve"> V</w:t>
            </w:r>
            <w:r w:rsidRPr="008D6E2F">
              <w:rPr>
                <w:color w:val="000000"/>
                <w:sz w:val="22"/>
                <w:szCs w:val="22"/>
                <w:vertAlign w:val="subscript"/>
              </w:rPr>
              <w:t>cmax25</w:t>
            </w:r>
          </w:p>
        </w:tc>
        <w:tc>
          <w:tcPr>
            <w:tcW w:w="2174" w:type="dxa"/>
            <w:vAlign w:val="center"/>
          </w:tcPr>
          <w:p w14:paraId="188E25B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04A14FB" w14:textId="77777777" w:rsidR="00F073BB" w:rsidRPr="008D6E2F" w:rsidRDefault="00F073BB" w:rsidP="00A85036">
            <w:pPr>
              <w:spacing w:line="276" w:lineRule="auto"/>
              <w:rPr>
                <w:sz w:val="22"/>
                <w:szCs w:val="22"/>
              </w:rPr>
            </w:pPr>
            <w:r w:rsidRPr="008D6E2F">
              <w:rPr>
                <w:sz w:val="22"/>
                <w:szCs w:val="22"/>
              </w:rPr>
              <w:t>maximum RuBP regeneration rate: maximum Rubisco carboxylation rate, standardized to 25</w:t>
            </w:r>
            <w:r w:rsidRPr="008D6E2F">
              <w:rPr>
                <w:sz w:val="22"/>
                <w:szCs w:val="22"/>
              </w:rPr>
              <w:sym w:font="Symbol" w:char="F0B0"/>
            </w:r>
            <w:r w:rsidRPr="008D6E2F">
              <w:rPr>
                <w:sz w:val="22"/>
                <w:szCs w:val="22"/>
              </w:rPr>
              <w:t>C</w:t>
            </w:r>
          </w:p>
        </w:tc>
      </w:tr>
      <w:tr w:rsidR="00F073BB" w:rsidRPr="007D0701" w14:paraId="534F54B6" w14:textId="77777777" w:rsidTr="00A85036">
        <w:tc>
          <w:tcPr>
            <w:tcW w:w="3100" w:type="dxa"/>
            <w:vAlign w:val="center"/>
          </w:tcPr>
          <w:p w14:paraId="700C1195"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proofErr w:type="spellEnd"/>
          </w:p>
        </w:tc>
        <w:tc>
          <w:tcPr>
            <w:tcW w:w="2174" w:type="dxa"/>
            <w:vAlign w:val="center"/>
          </w:tcPr>
          <w:p w14:paraId="1A0B7DAA" w14:textId="77777777" w:rsidR="00F073BB" w:rsidRPr="008D6E2F" w:rsidRDefault="00F073BB" w:rsidP="00A85036">
            <w:pPr>
              <w:spacing w:line="276" w:lineRule="auto"/>
              <w:rPr>
                <w:sz w:val="22"/>
                <w:szCs w:val="22"/>
              </w:rPr>
            </w:pPr>
            <w:r w:rsidRPr="008D6E2F">
              <w:rPr>
                <w:sz w:val="22"/>
                <w:szCs w:val="22"/>
              </w:rPr>
              <w:t>g N m</w:t>
            </w:r>
            <w:r w:rsidRPr="008D6E2F">
              <w:rPr>
                <w:sz w:val="22"/>
                <w:szCs w:val="22"/>
                <w:vertAlign w:val="superscript"/>
              </w:rPr>
              <w:t>-2</w:t>
            </w:r>
          </w:p>
        </w:tc>
        <w:tc>
          <w:tcPr>
            <w:tcW w:w="8730" w:type="dxa"/>
            <w:vAlign w:val="center"/>
          </w:tcPr>
          <w:p w14:paraId="45E0920A" w14:textId="77777777" w:rsidR="00F073BB" w:rsidRPr="008D6E2F" w:rsidRDefault="00F073BB" w:rsidP="00A85036">
            <w:pPr>
              <w:spacing w:line="276" w:lineRule="auto"/>
              <w:rPr>
                <w:sz w:val="22"/>
                <w:szCs w:val="22"/>
              </w:rPr>
            </w:pPr>
            <w:r w:rsidRPr="008D6E2F">
              <w:rPr>
                <w:sz w:val="22"/>
                <w:szCs w:val="22"/>
              </w:rPr>
              <w:t>leaf nitrogen per leaf area</w:t>
            </w:r>
          </w:p>
        </w:tc>
      </w:tr>
      <w:tr w:rsidR="00F073BB" w:rsidRPr="007D0701" w14:paraId="7F0477CA" w14:textId="77777777" w:rsidTr="00A85036">
        <w:tc>
          <w:tcPr>
            <w:tcW w:w="3100" w:type="dxa"/>
            <w:vAlign w:val="center"/>
          </w:tcPr>
          <w:p w14:paraId="2571A41C"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B17F6C" w14:textId="77777777" w:rsidR="00F073BB" w:rsidRPr="008D6E2F" w:rsidRDefault="00F073BB" w:rsidP="00A85036">
            <w:pPr>
              <w:spacing w:line="276" w:lineRule="auto"/>
              <w:rPr>
                <w:sz w:val="22"/>
                <w:szCs w:val="22"/>
              </w:rPr>
            </w:pPr>
            <w:r w:rsidRPr="008D6E2F">
              <w:rPr>
                <w:color w:val="000000" w:themeColor="text1"/>
                <w:sz w:val="22"/>
                <w:szCs w:val="22"/>
              </w:rPr>
              <w:t>g N s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1B71FD05" w14:textId="657B2B66" w:rsidR="00F073BB" w:rsidRPr="008D6E2F" w:rsidRDefault="00F073BB" w:rsidP="00A85036">
            <w:pPr>
              <w:spacing w:line="276" w:lineRule="auto"/>
              <w:rPr>
                <w:sz w:val="22"/>
                <w:szCs w:val="22"/>
              </w:rPr>
            </w:pPr>
            <w:r w:rsidRPr="008D6E2F">
              <w:rPr>
                <w:sz w:val="22"/>
                <w:szCs w:val="22"/>
              </w:rPr>
              <w:t>leaf nitrogen per 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9C0FF3E" w14:textId="77777777" w:rsidTr="00A85036">
        <w:tc>
          <w:tcPr>
            <w:tcW w:w="3100" w:type="dxa"/>
            <w:vAlign w:val="center"/>
          </w:tcPr>
          <w:p w14:paraId="69746B74" w14:textId="77777777" w:rsidR="00F073BB" w:rsidRPr="00F073BB" w:rsidRDefault="00F073BB" w:rsidP="00A85036">
            <w:pPr>
              <w:spacing w:line="276" w:lineRule="auto"/>
              <w:rPr>
                <w:sz w:val="22"/>
                <w:szCs w:val="22"/>
                <w:vertAlign w:val="subscript"/>
              </w:rPr>
            </w:pPr>
            <w:proofErr w:type="spellStart"/>
            <w:r>
              <w:rPr>
                <w:i/>
                <w:iCs/>
                <w:color w:val="000000"/>
                <w:sz w:val="22"/>
                <w:szCs w:val="22"/>
              </w:rPr>
              <w:t>N</w:t>
            </w:r>
            <w:r>
              <w:rPr>
                <w:color w:val="000000"/>
                <w:sz w:val="22"/>
                <w:szCs w:val="22"/>
                <w:vertAlign w:val="subscript"/>
              </w:rPr>
              <w:t>cost</w:t>
            </w:r>
            <w:proofErr w:type="spellEnd"/>
          </w:p>
        </w:tc>
        <w:tc>
          <w:tcPr>
            <w:tcW w:w="2174" w:type="dxa"/>
            <w:vAlign w:val="center"/>
          </w:tcPr>
          <w:p w14:paraId="324B30B6" w14:textId="77777777" w:rsidR="00F073BB" w:rsidRPr="008D6E2F" w:rsidRDefault="00F073BB" w:rsidP="00A85036">
            <w:pPr>
              <w:spacing w:line="276" w:lineRule="auto"/>
              <w:rPr>
                <w:sz w:val="22"/>
                <w:szCs w:val="22"/>
              </w:rPr>
            </w:pPr>
            <w:r w:rsidRPr="008D6E2F">
              <w:rPr>
                <w:sz w:val="22"/>
                <w:szCs w:val="22"/>
              </w:rPr>
              <w:t>g C g</w:t>
            </w:r>
            <w:r w:rsidRPr="008D6E2F">
              <w:rPr>
                <w:sz w:val="22"/>
                <w:szCs w:val="22"/>
                <w:vertAlign w:val="superscript"/>
              </w:rPr>
              <w:t>-1</w:t>
            </w:r>
            <w:r w:rsidRPr="008D6E2F">
              <w:rPr>
                <w:sz w:val="22"/>
                <w:szCs w:val="22"/>
              </w:rPr>
              <w:t xml:space="preserve"> N</w:t>
            </w:r>
          </w:p>
        </w:tc>
        <w:tc>
          <w:tcPr>
            <w:tcW w:w="8730" w:type="dxa"/>
            <w:vAlign w:val="center"/>
          </w:tcPr>
          <w:p w14:paraId="09987B5B" w14:textId="77777777" w:rsidR="00F073BB" w:rsidRPr="008D6E2F" w:rsidRDefault="00F073BB" w:rsidP="00A85036">
            <w:pPr>
              <w:spacing w:line="276" w:lineRule="auto"/>
              <w:rPr>
                <w:sz w:val="22"/>
                <w:szCs w:val="22"/>
              </w:rPr>
            </w:pPr>
            <w:r w:rsidRPr="008D6E2F">
              <w:rPr>
                <w:sz w:val="22"/>
                <w:szCs w:val="22"/>
              </w:rPr>
              <w:t>structural carbon costs to acquire nitrogen</w:t>
            </w:r>
          </w:p>
        </w:tc>
      </w:tr>
      <w:tr w:rsidR="00F073BB" w:rsidRPr="007D0701" w14:paraId="10FD478E" w14:textId="77777777" w:rsidTr="00A85036">
        <w:tc>
          <w:tcPr>
            <w:tcW w:w="3100" w:type="dxa"/>
            <w:vAlign w:val="center"/>
          </w:tcPr>
          <w:p w14:paraId="3C0CB54E"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mass</w:t>
            </w:r>
            <w:proofErr w:type="spellEnd"/>
          </w:p>
        </w:tc>
        <w:tc>
          <w:tcPr>
            <w:tcW w:w="2174" w:type="dxa"/>
            <w:vAlign w:val="center"/>
          </w:tcPr>
          <w:p w14:paraId="4E944BA0" w14:textId="77777777" w:rsidR="00F073BB" w:rsidRPr="008D6E2F" w:rsidRDefault="00F073BB" w:rsidP="00A85036">
            <w:pPr>
              <w:spacing w:line="276" w:lineRule="auto"/>
              <w:rPr>
                <w:sz w:val="22"/>
                <w:szCs w:val="22"/>
              </w:rPr>
            </w:pPr>
            <w:r w:rsidRPr="008D6E2F">
              <w:rPr>
                <w:sz w:val="22"/>
                <w:szCs w:val="22"/>
              </w:rPr>
              <w:t>g N g</w:t>
            </w:r>
            <w:r w:rsidRPr="008D6E2F">
              <w:rPr>
                <w:sz w:val="22"/>
                <w:szCs w:val="22"/>
                <w:vertAlign w:val="superscript"/>
              </w:rPr>
              <w:t>-1</w:t>
            </w:r>
            <w:r w:rsidRPr="008D6E2F">
              <w:rPr>
                <w:sz w:val="22"/>
                <w:szCs w:val="22"/>
              </w:rPr>
              <w:t xml:space="preserve"> biomass</w:t>
            </w:r>
          </w:p>
        </w:tc>
        <w:tc>
          <w:tcPr>
            <w:tcW w:w="8730" w:type="dxa"/>
            <w:vAlign w:val="center"/>
          </w:tcPr>
          <w:p w14:paraId="2A260E3F" w14:textId="77777777" w:rsidR="00F073BB" w:rsidRPr="008D6E2F" w:rsidRDefault="00F073BB" w:rsidP="00A85036">
            <w:pPr>
              <w:spacing w:line="276" w:lineRule="auto"/>
              <w:rPr>
                <w:sz w:val="22"/>
                <w:szCs w:val="22"/>
              </w:rPr>
            </w:pPr>
            <w:r w:rsidRPr="008D6E2F">
              <w:rPr>
                <w:sz w:val="22"/>
                <w:szCs w:val="22"/>
              </w:rPr>
              <w:t>leaf nitrogen content</w:t>
            </w:r>
          </w:p>
        </w:tc>
      </w:tr>
      <w:tr w:rsidR="00F073BB" w:rsidRPr="007D0701" w14:paraId="22407092" w14:textId="77777777" w:rsidTr="00A85036">
        <w:tc>
          <w:tcPr>
            <w:tcW w:w="3100" w:type="dxa"/>
            <w:vAlign w:val="center"/>
          </w:tcPr>
          <w:p w14:paraId="5FAEBCB2" w14:textId="77777777" w:rsidR="00F073BB" w:rsidRPr="008D6E2F" w:rsidRDefault="00F073BB" w:rsidP="00A85036">
            <w:pPr>
              <w:spacing w:line="276" w:lineRule="auto"/>
              <w:rPr>
                <w:color w:val="000000"/>
                <w:sz w:val="22"/>
                <w:szCs w:val="22"/>
              </w:rPr>
            </w:pPr>
            <w:r w:rsidRPr="008D6E2F">
              <w:rPr>
                <w:color w:val="000000"/>
                <w:sz w:val="22"/>
                <w:szCs w:val="22"/>
              </w:rPr>
              <w:t>Nodule biomass: root biomass</w:t>
            </w:r>
          </w:p>
        </w:tc>
        <w:tc>
          <w:tcPr>
            <w:tcW w:w="2174" w:type="dxa"/>
            <w:vAlign w:val="center"/>
          </w:tcPr>
          <w:p w14:paraId="4D89D5A6"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3BD62B1B"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13BDED55" w14:textId="77777777" w:rsidTr="00A85036">
        <w:tc>
          <w:tcPr>
            <w:tcW w:w="3100" w:type="dxa"/>
            <w:vAlign w:val="center"/>
          </w:tcPr>
          <w:p w14:paraId="1D2B48A3"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N</w:t>
            </w:r>
            <w:r>
              <w:rPr>
                <w:color w:val="000000"/>
                <w:sz w:val="22"/>
                <w:szCs w:val="22"/>
                <w:vertAlign w:val="subscript"/>
              </w:rPr>
              <w:t>wp</w:t>
            </w:r>
            <w:proofErr w:type="spellEnd"/>
          </w:p>
        </w:tc>
        <w:tc>
          <w:tcPr>
            <w:tcW w:w="2174" w:type="dxa"/>
            <w:vAlign w:val="center"/>
          </w:tcPr>
          <w:p w14:paraId="208E6684" w14:textId="77777777" w:rsidR="00F073BB" w:rsidRPr="008D6E2F" w:rsidRDefault="00F073BB" w:rsidP="00A85036">
            <w:pPr>
              <w:spacing w:line="276" w:lineRule="auto"/>
              <w:rPr>
                <w:sz w:val="22"/>
                <w:szCs w:val="22"/>
              </w:rPr>
            </w:pPr>
            <w:r w:rsidRPr="008D6E2F">
              <w:rPr>
                <w:sz w:val="22"/>
                <w:szCs w:val="22"/>
              </w:rPr>
              <w:t>g N</w:t>
            </w:r>
          </w:p>
        </w:tc>
        <w:tc>
          <w:tcPr>
            <w:tcW w:w="8730" w:type="dxa"/>
            <w:vAlign w:val="center"/>
          </w:tcPr>
          <w:p w14:paraId="11FF8C81" w14:textId="73D36F17" w:rsidR="00F073BB" w:rsidRPr="008D6E2F" w:rsidRDefault="00F073BB" w:rsidP="00A85036">
            <w:pPr>
              <w:spacing w:line="276" w:lineRule="auto"/>
              <w:rPr>
                <w:sz w:val="22"/>
                <w:szCs w:val="22"/>
              </w:rPr>
            </w:pPr>
            <w:r>
              <w:rPr>
                <w:sz w:val="22"/>
                <w:szCs w:val="22"/>
              </w:rPr>
              <w:t>whole plant nitrogen biomass</w:t>
            </w:r>
            <w:r w:rsidR="00817E03">
              <w:rPr>
                <w:sz w:val="22"/>
                <w:szCs w:val="22"/>
              </w:rPr>
              <w:t xml:space="preserve"> (denominator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1F028EE1" w14:textId="77777777" w:rsidTr="00A85036">
        <w:tc>
          <w:tcPr>
            <w:tcW w:w="3100" w:type="dxa"/>
            <w:vAlign w:val="center"/>
          </w:tcPr>
          <w:p w14:paraId="78469FC1" w14:textId="77777777" w:rsidR="00F073BB" w:rsidRPr="008D6E2F" w:rsidRDefault="00F073BB" w:rsidP="00A85036">
            <w:pPr>
              <w:spacing w:line="276" w:lineRule="auto"/>
              <w:rPr>
                <w:sz w:val="22"/>
                <w:szCs w:val="22"/>
              </w:rPr>
            </w:pPr>
            <w:r w:rsidRPr="008D6E2F">
              <w:rPr>
                <w:i/>
                <w:iCs/>
                <w:color w:val="000000"/>
                <w:sz w:val="22"/>
                <w:szCs w:val="22"/>
              </w:rPr>
              <w:t>PNUE</w:t>
            </w:r>
          </w:p>
        </w:tc>
        <w:tc>
          <w:tcPr>
            <w:tcW w:w="2174" w:type="dxa"/>
            <w:vAlign w:val="center"/>
          </w:tcPr>
          <w:p w14:paraId="486BB310" w14:textId="77777777" w:rsidR="00F073BB" w:rsidRPr="008D6E2F" w:rsidRDefault="00F073BB" w:rsidP="00A85036">
            <w:pPr>
              <w:spacing w:line="276" w:lineRule="auto"/>
              <w:rPr>
                <w:sz w:val="22"/>
                <w:szCs w:val="22"/>
              </w:rPr>
            </w:pPr>
            <w:r w:rsidRPr="008D6E2F">
              <w:rPr>
                <w:color w:val="000000" w:themeColor="text1"/>
                <w:sz w:val="22"/>
                <w:szCs w:val="22"/>
              </w:rPr>
              <w:t>µmol CO</w:t>
            </w:r>
            <w:r w:rsidRPr="008D6E2F">
              <w:rPr>
                <w:color w:val="000000" w:themeColor="text1"/>
                <w:sz w:val="22"/>
                <w:szCs w:val="22"/>
                <w:vertAlign w:val="subscript"/>
              </w:rPr>
              <w:t>2</w:t>
            </w:r>
            <w:r w:rsidRPr="008D6E2F">
              <w:rPr>
                <w:color w:val="000000" w:themeColor="text1"/>
                <w:sz w:val="22"/>
                <w:szCs w:val="22"/>
              </w:rPr>
              <w:t xml:space="preserve"> g</w:t>
            </w:r>
            <w:r w:rsidRPr="008D6E2F">
              <w:rPr>
                <w:color w:val="000000" w:themeColor="text1"/>
                <w:sz w:val="22"/>
                <w:szCs w:val="22"/>
                <w:vertAlign w:val="superscript"/>
              </w:rPr>
              <w:t>-1</w:t>
            </w:r>
            <w:r w:rsidRPr="008D6E2F">
              <w:rPr>
                <w:color w:val="000000" w:themeColor="text1"/>
                <w:sz w:val="22"/>
                <w:szCs w:val="22"/>
              </w:rPr>
              <w:t xml:space="preserve"> N s</w:t>
            </w:r>
            <w:r w:rsidRPr="008D6E2F">
              <w:rPr>
                <w:color w:val="000000" w:themeColor="text1"/>
                <w:sz w:val="22"/>
                <w:szCs w:val="22"/>
                <w:vertAlign w:val="superscript"/>
              </w:rPr>
              <w:t>-1</w:t>
            </w:r>
          </w:p>
        </w:tc>
        <w:tc>
          <w:tcPr>
            <w:tcW w:w="8730" w:type="dxa"/>
            <w:vAlign w:val="center"/>
          </w:tcPr>
          <w:p w14:paraId="66C141B4" w14:textId="47A990D0" w:rsidR="00F073BB" w:rsidRPr="008D6E2F" w:rsidRDefault="00F073BB" w:rsidP="00A85036">
            <w:pPr>
              <w:spacing w:line="276" w:lineRule="auto"/>
              <w:rPr>
                <w:sz w:val="22"/>
                <w:szCs w:val="22"/>
              </w:rPr>
            </w:pPr>
            <w:r w:rsidRPr="008D6E2F">
              <w:rPr>
                <w:sz w:val="22"/>
                <w:szCs w:val="22"/>
              </w:rPr>
              <w:t>photosynthetic nitrogen-use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051C1C9" w14:textId="77777777" w:rsidTr="00A85036">
        <w:tc>
          <w:tcPr>
            <w:tcW w:w="3100" w:type="dxa"/>
            <w:vAlign w:val="center"/>
          </w:tcPr>
          <w:p w14:paraId="40300436"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p>
        </w:tc>
        <w:tc>
          <w:tcPr>
            <w:tcW w:w="2174" w:type="dxa"/>
            <w:vAlign w:val="center"/>
          </w:tcPr>
          <w:p w14:paraId="0D1E677C"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 xml:space="preserve">mol </w:t>
            </w:r>
            <w:r w:rsidRPr="008D6E2F">
              <w:rPr>
                <w:color w:val="000000" w:themeColor="text1"/>
                <w:sz w:val="22"/>
                <w:szCs w:val="22"/>
              </w:rPr>
              <w:t>CO</w:t>
            </w:r>
            <w:r w:rsidRPr="008D6E2F">
              <w:rPr>
                <w:color w:val="000000" w:themeColor="text1"/>
                <w:sz w:val="22"/>
                <w:szCs w:val="22"/>
                <w:vertAlign w:val="subscript"/>
              </w:rPr>
              <w:t>2</w:t>
            </w:r>
            <w:r w:rsidRPr="008D6E2F">
              <w:rPr>
                <w:color w:val="000000" w:themeColor="text1"/>
                <w:sz w:val="22"/>
                <w:szCs w:val="22"/>
              </w:rPr>
              <w:t xml:space="preserve"> </w:t>
            </w:r>
            <w:r w:rsidRPr="008D6E2F">
              <w:rPr>
                <w:sz w:val="22"/>
                <w:szCs w:val="22"/>
              </w:rPr>
              <w:t>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6274A7AF" w14:textId="5FA5F528" w:rsidR="00F073BB" w:rsidRPr="008D6E2F" w:rsidRDefault="00F073BB" w:rsidP="00A85036">
            <w:pPr>
              <w:spacing w:line="276" w:lineRule="auto"/>
              <w:rPr>
                <w:sz w:val="22"/>
                <w:szCs w:val="22"/>
              </w:rPr>
            </w:pPr>
            <w:r w:rsidRPr="008D6E2F">
              <w:rPr>
                <w:sz w:val="22"/>
                <w:szCs w:val="22"/>
              </w:rPr>
              <w:t>dark respiration,</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r w:rsidR="00817E03">
              <w:rPr>
                <w:sz w:val="22"/>
                <w:szCs w:val="22"/>
              </w:rPr>
              <w:t xml:space="preserve"> and s</w:t>
            </w:r>
            <w:r w:rsidRPr="008D6E2F">
              <w:rPr>
                <w:sz w:val="22"/>
                <w:szCs w:val="22"/>
              </w:rPr>
              <w:t>tandardized to 25</w:t>
            </w:r>
            <w:r w:rsidRPr="008D6E2F">
              <w:rPr>
                <w:sz w:val="22"/>
                <w:szCs w:val="22"/>
              </w:rPr>
              <w:sym w:font="Symbol" w:char="F0B0"/>
            </w:r>
            <w:r w:rsidRPr="008D6E2F">
              <w:rPr>
                <w:sz w:val="22"/>
                <w:szCs w:val="22"/>
              </w:rPr>
              <w:t>C</w:t>
            </w:r>
          </w:p>
        </w:tc>
      </w:tr>
      <w:tr w:rsidR="00F073BB" w:rsidRPr="007D0701" w14:paraId="133344D8" w14:textId="77777777" w:rsidTr="00A85036">
        <w:tc>
          <w:tcPr>
            <w:tcW w:w="3100" w:type="dxa"/>
            <w:vAlign w:val="center"/>
          </w:tcPr>
          <w:p w14:paraId="4B84145C"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r w:rsidRPr="008D6E2F">
              <w:rPr>
                <w:color w:val="000000"/>
                <w:sz w:val="22"/>
                <w:szCs w:val="22"/>
              </w:rPr>
              <w:t xml:space="preserve">: </w:t>
            </w:r>
            <w:r w:rsidRPr="008D6E2F">
              <w:rPr>
                <w:i/>
                <w:iCs/>
                <w:color w:val="000000"/>
                <w:sz w:val="22"/>
                <w:szCs w:val="22"/>
              </w:rPr>
              <w:t>V</w:t>
            </w:r>
            <w:r w:rsidRPr="008D6E2F">
              <w:rPr>
                <w:color w:val="000000"/>
                <w:sz w:val="22"/>
                <w:szCs w:val="22"/>
                <w:vertAlign w:val="subscript"/>
              </w:rPr>
              <w:t>cmax25</w:t>
            </w:r>
          </w:p>
        </w:tc>
        <w:tc>
          <w:tcPr>
            <w:tcW w:w="2174" w:type="dxa"/>
            <w:vAlign w:val="center"/>
          </w:tcPr>
          <w:p w14:paraId="250DED2F"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250DCCC" w14:textId="77777777" w:rsidR="00F073BB" w:rsidRPr="008D6E2F" w:rsidRDefault="00F073BB" w:rsidP="00A85036">
            <w:pPr>
              <w:spacing w:line="276" w:lineRule="auto"/>
              <w:rPr>
                <w:sz w:val="22"/>
                <w:szCs w:val="22"/>
              </w:rPr>
            </w:pPr>
            <w:r w:rsidRPr="008D6E2F">
              <w:rPr>
                <w:sz w:val="22"/>
                <w:szCs w:val="22"/>
              </w:rPr>
              <w:t>dark respiration per maximum Rubisco carboxylation rate, standardized to 25</w:t>
            </w:r>
            <w:r w:rsidRPr="008D6E2F">
              <w:rPr>
                <w:sz w:val="22"/>
                <w:szCs w:val="22"/>
              </w:rPr>
              <w:sym w:font="Symbol" w:char="F0B0"/>
            </w:r>
            <w:r w:rsidRPr="008D6E2F">
              <w:rPr>
                <w:sz w:val="22"/>
                <w:szCs w:val="22"/>
              </w:rPr>
              <w:t>C</w:t>
            </w:r>
          </w:p>
        </w:tc>
      </w:tr>
      <w:tr w:rsidR="00F073BB" w:rsidRPr="007D0701" w14:paraId="1B4B59FE" w14:textId="77777777" w:rsidTr="00A85036">
        <w:tc>
          <w:tcPr>
            <w:tcW w:w="3100" w:type="dxa"/>
            <w:vAlign w:val="center"/>
          </w:tcPr>
          <w:p w14:paraId="30E4D7EE" w14:textId="77777777" w:rsidR="00F073BB" w:rsidRPr="008D6E2F" w:rsidRDefault="00F073BB" w:rsidP="00A85036">
            <w:pPr>
              <w:spacing w:line="276" w:lineRule="auto"/>
              <w:rPr>
                <w:color w:val="000000"/>
                <w:sz w:val="22"/>
                <w:szCs w:val="22"/>
              </w:rPr>
            </w:pPr>
            <w:r w:rsidRPr="008D6E2F">
              <w:rPr>
                <w:color w:val="000000"/>
                <w:sz w:val="22"/>
                <w:szCs w:val="22"/>
              </w:rPr>
              <w:t>Root biomass</w:t>
            </w:r>
          </w:p>
        </w:tc>
        <w:tc>
          <w:tcPr>
            <w:tcW w:w="2174" w:type="dxa"/>
            <w:vAlign w:val="center"/>
          </w:tcPr>
          <w:p w14:paraId="563C878C"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B28E7A3"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F7C35E1" w14:textId="77777777" w:rsidTr="00A85036">
        <w:tc>
          <w:tcPr>
            <w:tcW w:w="3100" w:type="dxa"/>
            <w:vAlign w:val="center"/>
          </w:tcPr>
          <w:p w14:paraId="34C82FD4" w14:textId="77777777" w:rsidR="00F073BB" w:rsidRPr="008D6E2F" w:rsidRDefault="00F073BB" w:rsidP="00A85036">
            <w:pPr>
              <w:spacing w:line="276" w:lineRule="auto"/>
              <w:rPr>
                <w:color w:val="000000"/>
                <w:sz w:val="22"/>
                <w:szCs w:val="22"/>
              </w:rPr>
            </w:pPr>
            <w:r w:rsidRPr="008D6E2F">
              <w:rPr>
                <w:color w:val="000000"/>
                <w:sz w:val="22"/>
                <w:szCs w:val="22"/>
              </w:rPr>
              <w:t>Root nodule biomass</w:t>
            </w:r>
          </w:p>
        </w:tc>
        <w:tc>
          <w:tcPr>
            <w:tcW w:w="2174" w:type="dxa"/>
            <w:vAlign w:val="center"/>
          </w:tcPr>
          <w:p w14:paraId="7EDFA796"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52D21F2"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37A58D7" w14:textId="77777777" w:rsidTr="00A85036">
        <w:tc>
          <w:tcPr>
            <w:tcW w:w="3100" w:type="dxa"/>
            <w:vAlign w:val="center"/>
          </w:tcPr>
          <w:p w14:paraId="2B2BC0F9" w14:textId="0BF8CF06" w:rsidR="00F073BB" w:rsidRPr="008D6E2F" w:rsidRDefault="00B877FE" w:rsidP="00A85036">
            <w:pPr>
              <w:spacing w:line="276" w:lineRule="auto"/>
              <w:rPr>
                <w:color w:val="000000"/>
                <w:sz w:val="22"/>
                <w:szCs w:val="22"/>
              </w:rPr>
            </w:pPr>
            <w:r>
              <w:rPr>
                <w:color w:val="000000"/>
                <w:sz w:val="22"/>
                <w:szCs w:val="22"/>
              </w:rPr>
              <w:t>SLA</w:t>
            </w:r>
          </w:p>
        </w:tc>
        <w:tc>
          <w:tcPr>
            <w:tcW w:w="2174" w:type="dxa"/>
            <w:vAlign w:val="center"/>
          </w:tcPr>
          <w:p w14:paraId="4896C7D4" w14:textId="77777777" w:rsidR="00F073BB" w:rsidRPr="008D6E2F" w:rsidRDefault="00F073BB" w:rsidP="00A85036">
            <w:pPr>
              <w:spacing w:line="276" w:lineRule="auto"/>
              <w:rPr>
                <w:sz w:val="22"/>
                <w:szCs w:val="22"/>
                <w:vertAlign w:val="superscript"/>
              </w:rPr>
            </w:pPr>
            <w:r w:rsidRPr="008D6E2F">
              <w:rPr>
                <w:sz w:val="22"/>
                <w:szCs w:val="22"/>
              </w:rPr>
              <w:t>cm</w:t>
            </w:r>
            <w:r w:rsidRPr="008D6E2F">
              <w:rPr>
                <w:sz w:val="22"/>
                <w:szCs w:val="22"/>
                <w:vertAlign w:val="superscript"/>
              </w:rPr>
              <w:t>2</w:t>
            </w:r>
            <w:r w:rsidRPr="008D6E2F">
              <w:rPr>
                <w:sz w:val="22"/>
                <w:szCs w:val="22"/>
              </w:rPr>
              <w:t xml:space="preserve"> g</w:t>
            </w:r>
            <w:r w:rsidRPr="008D6E2F">
              <w:rPr>
                <w:sz w:val="22"/>
                <w:szCs w:val="22"/>
                <w:vertAlign w:val="superscript"/>
              </w:rPr>
              <w:t>-1</w:t>
            </w:r>
          </w:p>
        </w:tc>
        <w:tc>
          <w:tcPr>
            <w:tcW w:w="8730" w:type="dxa"/>
            <w:vAlign w:val="center"/>
          </w:tcPr>
          <w:p w14:paraId="5B7CF2C5" w14:textId="0DDD9DAE" w:rsidR="00F073BB" w:rsidRPr="008D6E2F" w:rsidRDefault="00B877FE" w:rsidP="00A85036">
            <w:pPr>
              <w:spacing w:line="276" w:lineRule="auto"/>
              <w:rPr>
                <w:sz w:val="22"/>
                <w:szCs w:val="22"/>
              </w:rPr>
            </w:pPr>
            <w:r>
              <w:rPr>
                <w:sz w:val="22"/>
                <w:szCs w:val="22"/>
              </w:rPr>
              <w:t>specific leaf area</w:t>
            </w:r>
          </w:p>
        </w:tc>
      </w:tr>
      <w:tr w:rsidR="00F073BB" w:rsidRPr="007D0701" w14:paraId="0120629F" w14:textId="77777777" w:rsidTr="00A85036">
        <w:tc>
          <w:tcPr>
            <w:tcW w:w="3100" w:type="dxa"/>
            <w:vAlign w:val="center"/>
          </w:tcPr>
          <w:p w14:paraId="67AF11CF" w14:textId="77777777" w:rsidR="00F073BB" w:rsidRPr="008D6E2F" w:rsidRDefault="00F073BB" w:rsidP="00A85036">
            <w:pPr>
              <w:spacing w:line="276" w:lineRule="auto"/>
              <w:rPr>
                <w:color w:val="000000"/>
                <w:sz w:val="22"/>
                <w:szCs w:val="22"/>
              </w:rPr>
            </w:pPr>
            <w:r w:rsidRPr="008D6E2F">
              <w:rPr>
                <w:color w:val="000000"/>
                <w:sz w:val="22"/>
                <w:szCs w:val="22"/>
              </w:rPr>
              <w:t>Total leaf area</w:t>
            </w:r>
          </w:p>
        </w:tc>
        <w:tc>
          <w:tcPr>
            <w:tcW w:w="2174" w:type="dxa"/>
            <w:vAlign w:val="center"/>
          </w:tcPr>
          <w:p w14:paraId="424B2D02" w14:textId="77777777" w:rsidR="00F073BB" w:rsidRPr="008D6E2F" w:rsidRDefault="00F073BB" w:rsidP="00A85036">
            <w:pPr>
              <w:spacing w:line="276" w:lineRule="auto"/>
              <w:rPr>
                <w:sz w:val="22"/>
                <w:szCs w:val="22"/>
              </w:rPr>
            </w:pPr>
            <w:r w:rsidRPr="008D6E2F">
              <w:rPr>
                <w:sz w:val="22"/>
                <w:szCs w:val="22"/>
              </w:rPr>
              <w:t>cm</w:t>
            </w:r>
            <w:r w:rsidRPr="008D6E2F">
              <w:rPr>
                <w:sz w:val="22"/>
                <w:szCs w:val="22"/>
                <w:vertAlign w:val="superscript"/>
              </w:rPr>
              <w:t>2</w:t>
            </w:r>
          </w:p>
        </w:tc>
        <w:tc>
          <w:tcPr>
            <w:tcW w:w="8730" w:type="dxa"/>
            <w:vAlign w:val="center"/>
          </w:tcPr>
          <w:p w14:paraId="590A7466"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5836565" w14:textId="77777777" w:rsidTr="00A85036">
        <w:tc>
          <w:tcPr>
            <w:tcW w:w="3100" w:type="dxa"/>
            <w:vAlign w:val="center"/>
          </w:tcPr>
          <w:p w14:paraId="52742103" w14:textId="77777777" w:rsidR="00F073BB" w:rsidRPr="008D6E2F" w:rsidRDefault="00F073BB" w:rsidP="00A85036">
            <w:pPr>
              <w:spacing w:line="276" w:lineRule="auto"/>
              <w:rPr>
                <w:sz w:val="22"/>
                <w:szCs w:val="22"/>
              </w:rPr>
            </w:pPr>
            <w:proofErr w:type="spellStart"/>
            <w:r w:rsidRPr="008D6E2F">
              <w:rPr>
                <w:i/>
                <w:iCs/>
                <w:color w:val="000000"/>
                <w:sz w:val="22"/>
                <w:szCs w:val="22"/>
              </w:rPr>
              <w:t>V</w:t>
            </w:r>
            <w:r w:rsidRPr="008D6E2F">
              <w:rPr>
                <w:color w:val="000000"/>
                <w:sz w:val="22"/>
                <w:szCs w:val="22"/>
                <w:vertAlign w:val="subscript"/>
              </w:rPr>
              <w:t>cmax</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4C235339"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023C7C91" w14:textId="77777777" w:rsidR="00F073BB" w:rsidRPr="008D6E2F" w:rsidRDefault="00F073BB" w:rsidP="00A85036">
            <w:pPr>
              <w:spacing w:line="276" w:lineRule="auto"/>
              <w:rPr>
                <w:sz w:val="22"/>
                <w:szCs w:val="22"/>
              </w:rPr>
            </w:pPr>
            <w:r w:rsidRPr="008D6E2F">
              <w:rPr>
                <w:sz w:val="22"/>
                <w:szCs w:val="22"/>
              </w:rPr>
              <w:t>maximum Rubisco carboxylation rate per stomatal conductance</w:t>
            </w:r>
          </w:p>
        </w:tc>
      </w:tr>
      <w:tr w:rsidR="00F073BB" w:rsidRPr="007D0701" w14:paraId="799B8CA0" w14:textId="77777777" w:rsidTr="00A85036">
        <w:tc>
          <w:tcPr>
            <w:tcW w:w="3100" w:type="dxa"/>
            <w:vAlign w:val="center"/>
          </w:tcPr>
          <w:p w14:paraId="7CD5BFA9" w14:textId="77777777" w:rsidR="00F073BB" w:rsidRPr="008D6E2F" w:rsidRDefault="00F073BB" w:rsidP="00A85036">
            <w:pPr>
              <w:spacing w:line="276" w:lineRule="auto"/>
              <w:rPr>
                <w:sz w:val="22"/>
                <w:szCs w:val="22"/>
              </w:rPr>
            </w:pPr>
            <w:r w:rsidRPr="008D6E2F">
              <w:rPr>
                <w:i/>
                <w:iCs/>
                <w:color w:val="000000"/>
                <w:sz w:val="22"/>
                <w:szCs w:val="22"/>
              </w:rPr>
              <w:t>V</w:t>
            </w:r>
            <w:r w:rsidRPr="008D6E2F">
              <w:rPr>
                <w:color w:val="000000"/>
                <w:sz w:val="22"/>
                <w:szCs w:val="22"/>
                <w:vertAlign w:val="subscript"/>
              </w:rPr>
              <w:t>cmax25</w:t>
            </w:r>
          </w:p>
        </w:tc>
        <w:tc>
          <w:tcPr>
            <w:tcW w:w="2174" w:type="dxa"/>
            <w:vAlign w:val="center"/>
          </w:tcPr>
          <w:p w14:paraId="2F26C3C9"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w:t>
            </w:r>
            <w:r w:rsidRPr="008D6E2F">
              <w:rPr>
                <w:color w:val="000000" w:themeColor="text1"/>
                <w:sz w:val="22"/>
                <w:szCs w:val="22"/>
              </w:rPr>
              <w:t xml:space="preserve"> CO</w:t>
            </w:r>
            <w:r w:rsidRPr="008D6E2F">
              <w:rPr>
                <w:color w:val="000000" w:themeColor="text1"/>
                <w:sz w:val="22"/>
                <w:szCs w:val="22"/>
                <w:vertAlign w:val="subscript"/>
              </w:rPr>
              <w:t>2</w:t>
            </w:r>
            <w:r w:rsidRPr="008D6E2F">
              <w:rPr>
                <w:sz w:val="22"/>
                <w:szCs w:val="22"/>
              </w:rPr>
              <w:t xml:space="preserve">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7D31C690" w14:textId="77777777" w:rsidR="00F073BB" w:rsidRPr="008D6E2F" w:rsidRDefault="00F073BB" w:rsidP="00A85036">
            <w:pPr>
              <w:spacing w:line="276" w:lineRule="auto"/>
              <w:rPr>
                <w:sz w:val="22"/>
                <w:szCs w:val="22"/>
              </w:rPr>
            </w:pPr>
            <w:r w:rsidRPr="008D6E2F">
              <w:rPr>
                <w:sz w:val="22"/>
                <w:szCs w:val="22"/>
              </w:rPr>
              <w:t>maximum Rubisco carboxylation rate, standardized to 25</w:t>
            </w:r>
            <w:r w:rsidRPr="008D6E2F">
              <w:rPr>
                <w:sz w:val="22"/>
                <w:szCs w:val="22"/>
              </w:rPr>
              <w:sym w:font="Symbol" w:char="F0B0"/>
            </w:r>
            <w:r w:rsidRPr="008D6E2F">
              <w:rPr>
                <w:sz w:val="22"/>
                <w:szCs w:val="22"/>
              </w:rPr>
              <w:t>C</w:t>
            </w:r>
          </w:p>
        </w:tc>
      </w:tr>
      <w:tr w:rsidR="00F073BB" w:rsidRPr="007D0701" w14:paraId="5FFD9593" w14:textId="77777777" w:rsidTr="00A85036">
        <w:tc>
          <w:tcPr>
            <w:tcW w:w="3100" w:type="dxa"/>
            <w:tcBorders>
              <w:bottom w:val="single" w:sz="4" w:space="0" w:color="auto"/>
            </w:tcBorders>
            <w:vAlign w:val="center"/>
          </w:tcPr>
          <w:p w14:paraId="5F6EE250" w14:textId="77777777" w:rsidR="00F073BB" w:rsidRPr="008D6E2F" w:rsidRDefault="00F073BB" w:rsidP="00A85036">
            <w:pPr>
              <w:spacing w:line="276" w:lineRule="auto"/>
              <w:rPr>
                <w:color w:val="000000"/>
                <w:sz w:val="22"/>
                <w:szCs w:val="22"/>
              </w:rPr>
            </w:pPr>
            <w:r w:rsidRPr="008D6E2F">
              <w:rPr>
                <w:color w:val="000000"/>
                <w:sz w:val="22"/>
                <w:szCs w:val="22"/>
              </w:rPr>
              <w:t>Whole plant biomass</w:t>
            </w:r>
          </w:p>
        </w:tc>
        <w:tc>
          <w:tcPr>
            <w:tcW w:w="2174" w:type="dxa"/>
            <w:tcBorders>
              <w:bottom w:val="single" w:sz="4" w:space="0" w:color="auto"/>
            </w:tcBorders>
            <w:vAlign w:val="center"/>
          </w:tcPr>
          <w:p w14:paraId="3BED1192" w14:textId="77777777" w:rsidR="00F073BB" w:rsidRPr="008D6E2F" w:rsidRDefault="00F073BB" w:rsidP="00A85036">
            <w:pPr>
              <w:spacing w:line="276" w:lineRule="auto"/>
              <w:rPr>
                <w:sz w:val="22"/>
                <w:szCs w:val="22"/>
              </w:rPr>
            </w:pPr>
            <w:r w:rsidRPr="008D6E2F">
              <w:rPr>
                <w:sz w:val="22"/>
                <w:szCs w:val="22"/>
              </w:rPr>
              <w:t>g</w:t>
            </w:r>
          </w:p>
        </w:tc>
        <w:tc>
          <w:tcPr>
            <w:tcW w:w="8730" w:type="dxa"/>
            <w:tcBorders>
              <w:bottom w:val="single" w:sz="4" w:space="0" w:color="auto"/>
            </w:tcBorders>
            <w:vAlign w:val="center"/>
          </w:tcPr>
          <w:p w14:paraId="10C7E735" w14:textId="77777777" w:rsidR="00F073BB" w:rsidRPr="008D6E2F" w:rsidRDefault="00F073BB" w:rsidP="00A85036">
            <w:pPr>
              <w:spacing w:line="276" w:lineRule="auto"/>
              <w:rPr>
                <w:sz w:val="22"/>
                <w:szCs w:val="22"/>
              </w:rPr>
            </w:pPr>
            <w:r w:rsidRPr="008D6E2F">
              <w:rPr>
                <w:sz w:val="22"/>
                <w:szCs w:val="22"/>
              </w:rPr>
              <w:t>-</w:t>
            </w:r>
          </w:p>
        </w:tc>
      </w:tr>
    </w:tbl>
    <w:p w14:paraId="7117B065" w14:textId="5C584499" w:rsidR="00412BAB" w:rsidRPr="00412BAB" w:rsidRDefault="00412BAB" w:rsidP="00A85036">
      <w:pPr>
        <w:spacing w:line="480" w:lineRule="auto"/>
        <w:sectPr w:rsidR="00412BAB" w:rsidRPr="00412BAB" w:rsidSect="004C3C71">
          <w:pgSz w:w="15840" w:h="12240" w:orient="landscape"/>
          <w:pgMar w:top="1440" w:right="1440" w:bottom="1440" w:left="1440" w:header="720" w:footer="720" w:gutter="0"/>
          <w:lnNumType w:countBy="1" w:restart="continuous"/>
          <w:cols w:space="720"/>
          <w:docGrid w:linePitch="360"/>
        </w:sectPr>
      </w:pPr>
    </w:p>
    <w:p w14:paraId="50CE6179" w14:textId="7E49F8E7" w:rsidR="00926F7B" w:rsidRDefault="00926F7B" w:rsidP="009D6E5B">
      <w:pPr>
        <w:spacing w:line="480" w:lineRule="auto"/>
      </w:pPr>
      <w:r>
        <w:rPr>
          <w:b/>
          <w:bCs/>
        </w:rPr>
        <w:lastRenderedPageBreak/>
        <w:t>Results</w:t>
      </w:r>
    </w:p>
    <w:p w14:paraId="2B64DC3A" w14:textId="77777777" w:rsidR="008B6B1D" w:rsidRDefault="008B6B1D" w:rsidP="008B6B1D">
      <w:pPr>
        <w:spacing w:line="480" w:lineRule="auto"/>
      </w:pPr>
      <w:r>
        <w:rPr>
          <w:i/>
          <w:iCs/>
        </w:rPr>
        <w:t>Structural carbon costs to acquire nitrogen</w:t>
      </w:r>
    </w:p>
    <w:p w14:paraId="576171AA" w14:textId="25A715FF" w:rsidR="008B6B1D" w:rsidRDefault="008B6B1D" w:rsidP="008B6B1D">
      <w:pPr>
        <w:spacing w:line="480" w:lineRule="auto"/>
        <w:ind w:firstLine="720"/>
      </w:pPr>
      <w:r>
        <w:t>S</w:t>
      </w:r>
      <w:r w:rsidRPr="00607987">
        <w:t>tructural carbon costs to acquire nitrogen</w:t>
      </w:r>
      <w:r>
        <w:t xml:space="preserve"> were driven by a strong interaction between nitrogen fertilization and inoculation (Table </w:t>
      </w:r>
      <w:r w:rsidR="00D14794">
        <w:t>1</w:t>
      </w:r>
      <w:r>
        <w:t xml:space="preserve">; Fig. </w:t>
      </w:r>
      <w:r w:rsidR="00D14794">
        <w:t>1</w:t>
      </w:r>
      <w:r>
        <w:t>A). This interaction indicated that inoculated individuals grown under low nitrogen fertilization (2.77</w:t>
      </w:r>
      <w:r w:rsidRPr="008E75B9">
        <w:sym w:font="Symbol" w:char="F0B1"/>
      </w:r>
      <w:r>
        <w:t xml:space="preserve">0.44 </w:t>
      </w:r>
      <w:proofErr w:type="spellStart"/>
      <w:r>
        <w:t>gC</w:t>
      </w:r>
      <w:proofErr w:type="spellEnd"/>
      <w:r>
        <w:t xml:space="preserve"> g</w:t>
      </w:r>
      <w:r>
        <w:rPr>
          <w:vertAlign w:val="superscript"/>
        </w:rPr>
        <w:t>-1</w:t>
      </w:r>
      <w:r>
        <w:t xml:space="preserve">N) had 63.4% lower </w:t>
      </w:r>
      <w:r w:rsidRPr="00607987">
        <w:t>structural carbon costs to acquire nitrogen</w:t>
      </w:r>
      <w:r>
        <w:t xml:space="preserve"> than non-inoculated individuals also grown under low nitrogen fertilization (7.56</w:t>
      </w:r>
      <w:r w:rsidRPr="008E75B9">
        <w:sym w:font="Symbol" w:char="F0B1"/>
      </w:r>
      <w:r>
        <w:t xml:space="preserve">1.20 </w:t>
      </w:r>
      <w:proofErr w:type="spellStart"/>
      <w:r>
        <w:t>gC</w:t>
      </w:r>
      <w:proofErr w:type="spellEnd"/>
      <w:r>
        <w:t xml:space="preserve"> g</w:t>
      </w:r>
      <w:r>
        <w:rPr>
          <w:vertAlign w:val="superscript"/>
        </w:rPr>
        <w:t>-1</w:t>
      </w:r>
      <w:r>
        <w:t xml:space="preserve">N; Tukey: p&lt;0.001). There was no difference in </w:t>
      </w:r>
      <w:r w:rsidRPr="00607987">
        <w:t>structural carbon costs to acquire nitrogen</w:t>
      </w:r>
      <w:r>
        <w:t xml:space="preserve"> between inoculation treatments under high nitrogen fertilization (Tukey: p=0.597). Nitrogen fertilization also decreased </w:t>
      </w:r>
      <w:r w:rsidRPr="00607987">
        <w:t>structural carbon costs to acquire nitrogen</w:t>
      </w:r>
      <w:r>
        <w:t>, where individuals grown under high nitrogen fertilization (2.10</w:t>
      </w:r>
      <w:r w:rsidRPr="008E75B9">
        <w:sym w:font="Symbol" w:char="F0B1"/>
      </w:r>
      <w:r>
        <w:t xml:space="preserve">0.25 </w:t>
      </w:r>
      <w:proofErr w:type="spellStart"/>
      <w:r>
        <w:t>gC</w:t>
      </w:r>
      <w:proofErr w:type="spellEnd"/>
      <w:r>
        <w:t xml:space="preserve"> g</w:t>
      </w:r>
      <w:r>
        <w:rPr>
          <w:vertAlign w:val="superscript"/>
        </w:rPr>
        <w:t>-1</w:t>
      </w:r>
      <w:r>
        <w:t xml:space="preserve">N) had 54.1% lower </w:t>
      </w:r>
      <w:r w:rsidRPr="00607987">
        <w:t>structural carbon costs to acquire nitrogen</w:t>
      </w:r>
      <w:r>
        <w:t xml:space="preserve"> than those grown under low nitrogen fertilization (4.58</w:t>
      </w:r>
      <w:r w:rsidRPr="008E75B9">
        <w:sym w:font="Symbol" w:char="F0B1"/>
      </w:r>
      <w:r>
        <w:t xml:space="preserve">0.52 </w:t>
      </w:r>
      <w:proofErr w:type="spellStart"/>
      <w:r>
        <w:t>gC</w:t>
      </w:r>
      <w:proofErr w:type="spellEnd"/>
      <w:r>
        <w:t xml:space="preserve"> g</w:t>
      </w:r>
      <w:r>
        <w:rPr>
          <w:vertAlign w:val="superscript"/>
        </w:rPr>
        <w:t>-1</w:t>
      </w:r>
      <w:r>
        <w:t xml:space="preserve">N; Tukey: p&lt;0.001). Inoculation decreased </w:t>
      </w:r>
      <w:r w:rsidRPr="00607987">
        <w:t>structural carbon costs to acquire nitrogen</w:t>
      </w:r>
      <w:r>
        <w:t>, where inoculated individuals (2.24</w:t>
      </w:r>
      <w:r w:rsidRPr="008E75B9">
        <w:sym w:font="Symbol" w:char="F0B1"/>
      </w:r>
      <w:r>
        <w:t xml:space="preserve">0.26 </w:t>
      </w:r>
      <w:proofErr w:type="spellStart"/>
      <w:r>
        <w:t>gC</w:t>
      </w:r>
      <w:proofErr w:type="spellEnd"/>
      <w:r>
        <w:t xml:space="preserve"> g</w:t>
      </w:r>
      <w:r>
        <w:rPr>
          <w:vertAlign w:val="superscript"/>
        </w:rPr>
        <w:t>-1</w:t>
      </w:r>
      <w:r>
        <w:t xml:space="preserve">N) had 91.5% lower </w:t>
      </w:r>
      <w:r w:rsidRPr="00607987">
        <w:t xml:space="preserve">structural carbon costs to acquire nitrogen than </w:t>
      </w:r>
      <w:r>
        <w:t>non-inoculated individuals (4.29</w:t>
      </w:r>
      <w:r w:rsidRPr="008E75B9">
        <w:sym w:font="Symbol" w:char="F0B1"/>
      </w:r>
      <w:r>
        <w:t xml:space="preserve">0.49 </w:t>
      </w:r>
      <w:proofErr w:type="spellStart"/>
      <w:r>
        <w:t>gC</w:t>
      </w:r>
      <w:proofErr w:type="spellEnd"/>
      <w:r>
        <w:t xml:space="preserve"> g</w:t>
      </w:r>
      <w:r>
        <w:rPr>
          <w:vertAlign w:val="superscript"/>
        </w:rPr>
        <w:t>-1</w:t>
      </w:r>
      <w:r>
        <w:t>N; Tukey: p&lt;0.001).</w:t>
      </w:r>
    </w:p>
    <w:p w14:paraId="5052635E" w14:textId="65B77B37" w:rsidR="008B6B1D" w:rsidRDefault="008B6B1D" w:rsidP="008B6B1D">
      <w:pPr>
        <w:spacing w:line="480" w:lineRule="auto"/>
        <w:ind w:firstLine="720"/>
      </w:pPr>
      <w:r>
        <w:t xml:space="preserve">Inoculation negatively affected </w:t>
      </w:r>
      <w:r w:rsidRPr="00607987">
        <w:t>belowground carbon biomass (</w:t>
      </w:r>
      <w:r>
        <w:t xml:space="preserve">Table </w:t>
      </w:r>
      <w:r w:rsidR="00D14794">
        <w:t>1</w:t>
      </w:r>
      <w:r>
        <w:t xml:space="preserve">; Fig. </w:t>
      </w:r>
      <w:r w:rsidR="00D14794">
        <w:t>1</w:t>
      </w:r>
      <w:r>
        <w:t>B). Specifically, inoculated individuals (0.295</w:t>
      </w:r>
      <w:r w:rsidRPr="008E75B9">
        <w:sym w:font="Symbol" w:char="F0B1"/>
      </w:r>
      <w:r>
        <w:t xml:space="preserve">0.037 </w:t>
      </w:r>
      <w:proofErr w:type="spellStart"/>
      <w:r>
        <w:t>gC</w:t>
      </w:r>
      <w:proofErr w:type="spellEnd"/>
      <w:r>
        <w:t>) had 29.9% less belowground carbon biomass than non-inoculated individuals (0.421</w:t>
      </w:r>
      <w:r w:rsidRPr="008E75B9">
        <w:sym w:font="Symbol" w:char="F0B1"/>
      </w:r>
      <w:r>
        <w:t xml:space="preserve">0.053 </w:t>
      </w:r>
      <w:proofErr w:type="spellStart"/>
      <w:r>
        <w:t>gC</w:t>
      </w:r>
      <w:proofErr w:type="spellEnd"/>
      <w:r>
        <w:t xml:space="preserve">; Tukey: p=0.050). There was no effect of nitrogen fertilization or any observable interaction between nitrogen fertilization and inoculation on </w:t>
      </w:r>
      <w:r w:rsidRPr="00607987">
        <w:t>belowground carbon biomass</w:t>
      </w:r>
      <w:r>
        <w:t xml:space="preserve"> (Table </w:t>
      </w:r>
      <w:r w:rsidR="00D14794">
        <w:t>1</w:t>
      </w:r>
      <w:r>
        <w:t xml:space="preserve">). </w:t>
      </w:r>
    </w:p>
    <w:p w14:paraId="03BAFA79" w14:textId="3C1AACDE" w:rsidR="008B6B1D" w:rsidRDefault="008B6B1D" w:rsidP="008B6B1D">
      <w:pPr>
        <w:spacing w:line="480" w:lineRule="auto"/>
        <w:ind w:firstLine="720"/>
      </w:pPr>
      <w:r>
        <w:t xml:space="preserve">Whole plant nitrogen biomass was driven by a strong interaction between fertilization and inoculation (Table </w:t>
      </w:r>
      <w:r w:rsidR="00D14794">
        <w:t>1</w:t>
      </w:r>
      <w:r>
        <w:t xml:space="preserve">; Fig. </w:t>
      </w:r>
      <w:r w:rsidR="00D14794">
        <w:t>1</w:t>
      </w:r>
      <w:r>
        <w:t xml:space="preserve">C). This interaction indicated that inoculated individuals grown under low nitrogen fertilization (0.10 </w:t>
      </w:r>
      <w:r w:rsidRPr="008E75B9">
        <w:sym w:font="Symbol" w:char="F0B1"/>
      </w:r>
      <w:r>
        <w:t xml:space="preserve">0.005 </w:t>
      </w:r>
      <w:proofErr w:type="spellStart"/>
      <w:r>
        <w:t>gN</w:t>
      </w:r>
      <w:proofErr w:type="spellEnd"/>
      <w:r>
        <w:t xml:space="preserve">) had 72.4% higher whole plant nitrogen </w:t>
      </w:r>
      <w:r>
        <w:lastRenderedPageBreak/>
        <w:t>biomass than non-inoculated individuals also grown under low nitrogen fertilization (0.058</w:t>
      </w:r>
      <w:r w:rsidRPr="008E75B9">
        <w:sym w:font="Symbol" w:char="F0B1"/>
      </w:r>
      <w:r>
        <w:t xml:space="preserve">0.005 </w:t>
      </w:r>
      <w:proofErr w:type="spellStart"/>
      <w:r>
        <w:t>gN</w:t>
      </w:r>
      <w:proofErr w:type="spellEnd"/>
      <w:r>
        <w:t>; Tukey: p&lt;0.001), with no difference between inoculation treatments under high nitrogen fertilization (Tukey: p=0.873). Nitrogen fertilization also increased whole plant nitrogen biomass, where individuals grown under high nitrogen fertilization (0.173</w:t>
      </w:r>
      <w:r w:rsidRPr="008E75B9">
        <w:sym w:font="Symbol" w:char="F0B1"/>
      </w:r>
      <w:r>
        <w:t xml:space="preserve">0.004 </w:t>
      </w:r>
      <w:proofErr w:type="spellStart"/>
      <w:r>
        <w:t>gN</w:t>
      </w:r>
      <w:proofErr w:type="spellEnd"/>
      <w:r>
        <w:t>) had 119.0% higher whole plant nitrogen biomass than those grown under low nitrogen fertilization (0.079</w:t>
      </w:r>
      <w:r w:rsidRPr="008E75B9">
        <w:sym w:font="Symbol" w:char="F0B1"/>
      </w:r>
      <w:r>
        <w:t xml:space="preserve">0.003 </w:t>
      </w:r>
      <w:proofErr w:type="spellStart"/>
      <w:r>
        <w:t>gN</w:t>
      </w:r>
      <w:proofErr w:type="spellEnd"/>
      <w:r>
        <w:t>; Tukey: p&lt;0.001). Inoculation increased whole plant nitrogen biomass, where inoculated individuals (0.138</w:t>
      </w:r>
      <w:r w:rsidRPr="008E75B9">
        <w:sym w:font="Symbol" w:char="F0B1"/>
      </w:r>
      <w:r>
        <w:t xml:space="preserve">0.004 </w:t>
      </w:r>
      <w:proofErr w:type="spellStart"/>
      <w:r>
        <w:t>gN</w:t>
      </w:r>
      <w:proofErr w:type="spellEnd"/>
      <w:r>
        <w:t>) had 17.4% higher whole plant nitrogen biomass than non-inoculated individuals (0.114</w:t>
      </w:r>
      <w:r w:rsidRPr="008E75B9">
        <w:sym w:font="Symbol" w:char="F0B1"/>
      </w:r>
      <w:r>
        <w:t xml:space="preserve">0.004 </w:t>
      </w:r>
      <w:proofErr w:type="spellStart"/>
      <w:r w:rsidRPr="00D14794">
        <w:t>gN</w:t>
      </w:r>
      <w:proofErr w:type="spellEnd"/>
      <w:r>
        <w:t>; Tukey: p&lt;0.001).</w:t>
      </w:r>
    </w:p>
    <w:p w14:paraId="3727A7F5" w14:textId="77777777" w:rsidR="008B6B1D" w:rsidRPr="00AF1559" w:rsidRDefault="008B6B1D" w:rsidP="008B6B1D">
      <w:pPr>
        <w:spacing w:line="480" w:lineRule="auto"/>
        <w:sectPr w:rsidR="008B6B1D" w:rsidRPr="00AF1559" w:rsidSect="00772287">
          <w:pgSz w:w="12240" w:h="15840"/>
          <w:pgMar w:top="1440" w:right="1440" w:bottom="1440" w:left="1440" w:header="720" w:footer="720" w:gutter="0"/>
          <w:lnNumType w:countBy="1" w:restart="continuous"/>
          <w:cols w:space="720"/>
          <w:docGrid w:linePitch="360"/>
        </w:sectPr>
      </w:pPr>
    </w:p>
    <w:p w14:paraId="07633E18" w14:textId="7363E654" w:rsidR="008B6B1D" w:rsidRDefault="008B6B1D" w:rsidP="008B6B1D">
      <w:pPr>
        <w:spacing w:line="480" w:lineRule="auto"/>
      </w:pPr>
      <w:r>
        <w:rPr>
          <w:b/>
          <w:bCs/>
        </w:rPr>
        <w:lastRenderedPageBreak/>
        <w:t xml:space="preserve">Table </w:t>
      </w:r>
      <w:r w:rsidR="00876B7A">
        <w:rPr>
          <w:b/>
          <w:bCs/>
        </w:rPr>
        <w:t>1</w:t>
      </w:r>
      <w:r>
        <w:t xml:space="preserve"> Analysis of variance results exploring effect of soil nitrogen fertilization, inoculation with </w:t>
      </w:r>
      <w:r>
        <w:rPr>
          <w:i/>
          <w:iCs/>
        </w:rPr>
        <w:t>B. japonicum</w:t>
      </w:r>
      <w:r>
        <w:t>, and interactions between soil nitrogen fertilization and inoculation on structural carbon costs to acquire nitrogen, whole plant growth, and root nodulation*</w:t>
      </w:r>
    </w:p>
    <w:p w14:paraId="0551DB44" w14:textId="77777777" w:rsidR="008B6B1D" w:rsidRDefault="008B6B1D" w:rsidP="008B6B1D">
      <w:pPr>
        <w:spacing w:line="360" w:lineRule="auto"/>
      </w:pP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8B6B1D" w:rsidRPr="009515D2" w14:paraId="3395BFD7" w14:textId="77777777" w:rsidTr="00813CB3">
        <w:tc>
          <w:tcPr>
            <w:tcW w:w="2516" w:type="dxa"/>
            <w:gridSpan w:val="2"/>
            <w:tcBorders>
              <w:bottom w:val="single" w:sz="4" w:space="0" w:color="auto"/>
            </w:tcBorders>
          </w:tcPr>
          <w:p w14:paraId="30556A30" w14:textId="77777777" w:rsidR="008B6B1D" w:rsidRPr="009515D2" w:rsidRDefault="008B6B1D" w:rsidP="00813CB3">
            <w:pPr>
              <w:spacing w:line="276" w:lineRule="auto"/>
              <w:rPr>
                <w:b/>
                <w:bCs/>
                <w:sz w:val="22"/>
                <w:szCs w:val="22"/>
              </w:rPr>
            </w:pPr>
          </w:p>
        </w:tc>
        <w:tc>
          <w:tcPr>
            <w:tcW w:w="2008" w:type="dxa"/>
            <w:gridSpan w:val="2"/>
            <w:tcBorders>
              <w:bottom w:val="single" w:sz="4" w:space="0" w:color="auto"/>
            </w:tcBorders>
          </w:tcPr>
          <w:p w14:paraId="57D78CE7" w14:textId="77777777" w:rsidR="008B6B1D" w:rsidRPr="009515D2" w:rsidRDefault="008B6B1D" w:rsidP="00813CB3">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03454F1E" w14:textId="77777777" w:rsidR="008B6B1D" w:rsidRPr="009515D2" w:rsidRDefault="008B6B1D" w:rsidP="00813CB3">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14F8D32B" w14:textId="77777777" w:rsidR="008B6B1D" w:rsidRPr="009515D2" w:rsidRDefault="008B6B1D" w:rsidP="00813CB3">
            <w:pPr>
              <w:spacing w:line="276" w:lineRule="auto"/>
              <w:jc w:val="right"/>
              <w:rPr>
                <w:b/>
                <w:bCs/>
                <w:sz w:val="22"/>
                <w:szCs w:val="22"/>
                <w:vertAlign w:val="subscript"/>
              </w:rPr>
            </w:pPr>
            <w:r w:rsidRPr="009515D2">
              <w:rPr>
                <w:b/>
                <w:bCs/>
                <w:sz w:val="22"/>
                <w:szCs w:val="22"/>
              </w:rPr>
              <w:t>Whole plant nitrogen biomass</w:t>
            </w:r>
          </w:p>
        </w:tc>
        <w:tc>
          <w:tcPr>
            <w:tcW w:w="2009" w:type="dxa"/>
            <w:gridSpan w:val="2"/>
            <w:tcBorders>
              <w:bottom w:val="single" w:sz="4" w:space="0" w:color="auto"/>
            </w:tcBorders>
          </w:tcPr>
          <w:p w14:paraId="28C9E4FA" w14:textId="77777777" w:rsidR="008B6B1D" w:rsidRPr="009515D2" w:rsidRDefault="008B6B1D" w:rsidP="00813CB3">
            <w:pPr>
              <w:spacing w:line="276" w:lineRule="auto"/>
              <w:jc w:val="right"/>
              <w:rPr>
                <w:b/>
                <w:bCs/>
                <w:sz w:val="22"/>
                <w:szCs w:val="22"/>
              </w:rPr>
            </w:pPr>
            <w:r w:rsidRPr="009515D2">
              <w:rPr>
                <w:b/>
                <w:bCs/>
                <w:sz w:val="22"/>
                <w:szCs w:val="22"/>
              </w:rPr>
              <w:t xml:space="preserve">Total </w:t>
            </w:r>
          </w:p>
          <w:p w14:paraId="646218D2" w14:textId="77777777" w:rsidR="008B6B1D" w:rsidRPr="009515D2" w:rsidRDefault="008B6B1D" w:rsidP="00813CB3">
            <w:pPr>
              <w:spacing w:line="276" w:lineRule="auto"/>
              <w:jc w:val="right"/>
              <w:rPr>
                <w:b/>
                <w:bCs/>
                <w:sz w:val="22"/>
                <w:szCs w:val="22"/>
              </w:rPr>
            </w:pPr>
            <w:r w:rsidRPr="009515D2">
              <w:rPr>
                <w:b/>
                <w:bCs/>
                <w:sz w:val="22"/>
                <w:szCs w:val="22"/>
              </w:rPr>
              <w:t>leaf area</w:t>
            </w:r>
          </w:p>
        </w:tc>
        <w:tc>
          <w:tcPr>
            <w:tcW w:w="2008" w:type="dxa"/>
            <w:gridSpan w:val="2"/>
            <w:tcBorders>
              <w:bottom w:val="single" w:sz="4" w:space="0" w:color="auto"/>
            </w:tcBorders>
          </w:tcPr>
          <w:p w14:paraId="225F0D81" w14:textId="77777777" w:rsidR="008B6B1D" w:rsidRPr="009515D2" w:rsidRDefault="008B6B1D" w:rsidP="00813CB3">
            <w:pPr>
              <w:spacing w:line="276" w:lineRule="auto"/>
              <w:jc w:val="right"/>
              <w:rPr>
                <w:b/>
                <w:bCs/>
                <w:sz w:val="22"/>
                <w:szCs w:val="22"/>
              </w:rPr>
            </w:pPr>
            <w:r w:rsidRPr="009515D2">
              <w:rPr>
                <w:b/>
                <w:bCs/>
                <w:sz w:val="22"/>
                <w:szCs w:val="22"/>
              </w:rPr>
              <w:t>Whole plant biomass</w:t>
            </w:r>
          </w:p>
        </w:tc>
      </w:tr>
      <w:tr w:rsidR="008B6B1D" w:rsidRPr="009515D2" w14:paraId="0C651064" w14:textId="77777777" w:rsidTr="00813CB3">
        <w:tc>
          <w:tcPr>
            <w:tcW w:w="1980" w:type="dxa"/>
            <w:tcBorders>
              <w:top w:val="single" w:sz="4" w:space="0" w:color="auto"/>
              <w:bottom w:val="single" w:sz="4" w:space="0" w:color="auto"/>
            </w:tcBorders>
          </w:tcPr>
          <w:p w14:paraId="12ED7ADE" w14:textId="77777777" w:rsidR="008B6B1D" w:rsidRPr="009515D2" w:rsidRDefault="008B6B1D" w:rsidP="00813CB3">
            <w:pPr>
              <w:spacing w:line="276" w:lineRule="auto"/>
              <w:rPr>
                <w:sz w:val="22"/>
                <w:szCs w:val="22"/>
              </w:rPr>
            </w:pPr>
          </w:p>
        </w:tc>
        <w:tc>
          <w:tcPr>
            <w:tcW w:w="536" w:type="dxa"/>
            <w:tcBorders>
              <w:top w:val="single" w:sz="4" w:space="0" w:color="auto"/>
              <w:bottom w:val="single" w:sz="4" w:space="0" w:color="auto"/>
            </w:tcBorders>
          </w:tcPr>
          <w:p w14:paraId="3B8F4F5F" w14:textId="77777777" w:rsidR="008B6B1D" w:rsidRPr="009515D2" w:rsidRDefault="008B6B1D" w:rsidP="00813CB3">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3E4B63F"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8305458"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71209C6B"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0B1D96CE"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92F1FE7"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E783D5"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FB974F2"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8C8376A"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02ACA2" w14:textId="77777777" w:rsidR="008B6B1D" w:rsidRPr="009515D2" w:rsidRDefault="008B6B1D" w:rsidP="00813CB3">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5A59580" w14:textId="77777777" w:rsidR="008B6B1D" w:rsidRPr="009515D2" w:rsidRDefault="008B6B1D" w:rsidP="00813CB3">
            <w:pPr>
              <w:spacing w:line="276" w:lineRule="auto"/>
              <w:jc w:val="right"/>
              <w:rPr>
                <w:i/>
                <w:iCs/>
                <w:sz w:val="22"/>
                <w:szCs w:val="22"/>
              </w:rPr>
            </w:pPr>
            <w:r w:rsidRPr="009515D2">
              <w:rPr>
                <w:i/>
                <w:iCs/>
                <w:sz w:val="22"/>
                <w:szCs w:val="22"/>
              </w:rPr>
              <w:t>p</w:t>
            </w:r>
          </w:p>
        </w:tc>
      </w:tr>
      <w:tr w:rsidR="008B6B1D" w:rsidRPr="009515D2" w14:paraId="7AD3FFD6" w14:textId="77777777" w:rsidTr="00813CB3">
        <w:tc>
          <w:tcPr>
            <w:tcW w:w="1980" w:type="dxa"/>
            <w:tcBorders>
              <w:top w:val="single" w:sz="4" w:space="0" w:color="auto"/>
            </w:tcBorders>
          </w:tcPr>
          <w:p w14:paraId="1C328B58" w14:textId="77777777" w:rsidR="008B6B1D" w:rsidRPr="009515D2" w:rsidRDefault="008B6B1D" w:rsidP="00813CB3">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5A187F97"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top w:val="single" w:sz="4" w:space="0" w:color="auto"/>
            </w:tcBorders>
          </w:tcPr>
          <w:p w14:paraId="78E3AEC6" w14:textId="77777777" w:rsidR="008B6B1D" w:rsidRPr="009515D2" w:rsidRDefault="008B6B1D" w:rsidP="00813CB3">
            <w:pPr>
              <w:spacing w:line="276" w:lineRule="auto"/>
              <w:jc w:val="right"/>
              <w:rPr>
                <w:sz w:val="22"/>
                <w:szCs w:val="22"/>
              </w:rPr>
            </w:pPr>
            <w:r w:rsidRPr="009515D2">
              <w:rPr>
                <w:sz w:val="22"/>
                <w:szCs w:val="22"/>
              </w:rPr>
              <w:t>23.34</w:t>
            </w:r>
          </w:p>
        </w:tc>
        <w:tc>
          <w:tcPr>
            <w:tcW w:w="1012" w:type="dxa"/>
            <w:tcBorders>
              <w:top w:val="single" w:sz="4" w:space="0" w:color="auto"/>
            </w:tcBorders>
          </w:tcPr>
          <w:p w14:paraId="51B4E9D9"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247C16DB" w14:textId="77777777" w:rsidR="008B6B1D" w:rsidRPr="009515D2" w:rsidRDefault="008B6B1D" w:rsidP="00813CB3">
            <w:pPr>
              <w:spacing w:line="276" w:lineRule="auto"/>
              <w:jc w:val="right"/>
              <w:rPr>
                <w:sz w:val="22"/>
                <w:szCs w:val="22"/>
              </w:rPr>
            </w:pPr>
            <w:r w:rsidRPr="009515D2">
              <w:rPr>
                <w:sz w:val="22"/>
                <w:szCs w:val="22"/>
              </w:rPr>
              <w:t>0.08</w:t>
            </w:r>
          </w:p>
        </w:tc>
        <w:tc>
          <w:tcPr>
            <w:tcW w:w="1013" w:type="dxa"/>
            <w:tcBorders>
              <w:top w:val="single" w:sz="4" w:space="0" w:color="auto"/>
            </w:tcBorders>
          </w:tcPr>
          <w:p w14:paraId="47858E0C" w14:textId="77777777" w:rsidR="008B6B1D" w:rsidRPr="009515D2" w:rsidRDefault="008B6B1D" w:rsidP="00813CB3">
            <w:pPr>
              <w:spacing w:line="276" w:lineRule="auto"/>
              <w:jc w:val="right"/>
              <w:rPr>
                <w:sz w:val="22"/>
                <w:szCs w:val="22"/>
              </w:rPr>
            </w:pPr>
            <w:r w:rsidRPr="009515D2">
              <w:rPr>
                <w:sz w:val="22"/>
                <w:szCs w:val="22"/>
              </w:rPr>
              <w:t>0.782</w:t>
            </w:r>
          </w:p>
        </w:tc>
        <w:tc>
          <w:tcPr>
            <w:tcW w:w="996" w:type="dxa"/>
            <w:tcBorders>
              <w:top w:val="single" w:sz="4" w:space="0" w:color="auto"/>
            </w:tcBorders>
          </w:tcPr>
          <w:p w14:paraId="69A74EEE" w14:textId="77777777" w:rsidR="008B6B1D" w:rsidRPr="009515D2" w:rsidRDefault="008B6B1D" w:rsidP="00813CB3">
            <w:pPr>
              <w:spacing w:line="276" w:lineRule="auto"/>
              <w:jc w:val="right"/>
              <w:rPr>
                <w:sz w:val="22"/>
                <w:szCs w:val="22"/>
              </w:rPr>
            </w:pPr>
            <w:r w:rsidRPr="009515D2">
              <w:rPr>
                <w:sz w:val="22"/>
                <w:szCs w:val="22"/>
              </w:rPr>
              <w:t>358.69</w:t>
            </w:r>
          </w:p>
        </w:tc>
        <w:tc>
          <w:tcPr>
            <w:tcW w:w="1013" w:type="dxa"/>
            <w:tcBorders>
              <w:top w:val="single" w:sz="4" w:space="0" w:color="auto"/>
            </w:tcBorders>
          </w:tcPr>
          <w:p w14:paraId="528BE1DE"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B64E095" w14:textId="77777777" w:rsidR="008B6B1D" w:rsidRPr="009515D2" w:rsidRDefault="008B6B1D" w:rsidP="00813CB3">
            <w:pPr>
              <w:spacing w:line="276" w:lineRule="auto"/>
              <w:jc w:val="right"/>
              <w:rPr>
                <w:sz w:val="22"/>
                <w:szCs w:val="22"/>
              </w:rPr>
            </w:pPr>
            <w:r w:rsidRPr="009515D2">
              <w:rPr>
                <w:sz w:val="22"/>
                <w:szCs w:val="22"/>
              </w:rPr>
              <w:t>292.46</w:t>
            </w:r>
          </w:p>
        </w:tc>
        <w:tc>
          <w:tcPr>
            <w:tcW w:w="1013" w:type="dxa"/>
            <w:tcBorders>
              <w:top w:val="single" w:sz="4" w:space="0" w:color="auto"/>
            </w:tcBorders>
          </w:tcPr>
          <w:p w14:paraId="4808934A"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C074B96" w14:textId="77777777" w:rsidR="008B6B1D" w:rsidRPr="009515D2" w:rsidRDefault="008B6B1D" w:rsidP="00813CB3">
            <w:pPr>
              <w:spacing w:line="276" w:lineRule="auto"/>
              <w:jc w:val="right"/>
              <w:rPr>
                <w:sz w:val="22"/>
                <w:szCs w:val="22"/>
              </w:rPr>
            </w:pPr>
            <w:r w:rsidRPr="009515D2">
              <w:rPr>
                <w:sz w:val="22"/>
                <w:szCs w:val="22"/>
              </w:rPr>
              <w:t>52.43</w:t>
            </w:r>
          </w:p>
        </w:tc>
        <w:tc>
          <w:tcPr>
            <w:tcW w:w="1012" w:type="dxa"/>
            <w:tcBorders>
              <w:top w:val="single" w:sz="4" w:space="0" w:color="auto"/>
            </w:tcBorders>
          </w:tcPr>
          <w:p w14:paraId="0EEB7AD5" w14:textId="77777777" w:rsidR="008B6B1D" w:rsidRPr="009515D2" w:rsidRDefault="008B6B1D" w:rsidP="00813CB3">
            <w:pPr>
              <w:spacing w:line="276" w:lineRule="auto"/>
              <w:jc w:val="right"/>
              <w:rPr>
                <w:b/>
                <w:bCs/>
                <w:sz w:val="22"/>
                <w:szCs w:val="22"/>
              </w:rPr>
            </w:pPr>
            <w:r w:rsidRPr="009515D2">
              <w:rPr>
                <w:b/>
                <w:bCs/>
                <w:sz w:val="22"/>
                <w:szCs w:val="22"/>
              </w:rPr>
              <w:t>&lt;0.001</w:t>
            </w:r>
          </w:p>
        </w:tc>
      </w:tr>
      <w:tr w:rsidR="008B6B1D" w:rsidRPr="009515D2" w14:paraId="6ECC16F7" w14:textId="77777777" w:rsidTr="00813CB3">
        <w:tc>
          <w:tcPr>
            <w:tcW w:w="1980" w:type="dxa"/>
          </w:tcPr>
          <w:p w14:paraId="320AB95E" w14:textId="77777777" w:rsidR="008B6B1D" w:rsidRPr="009515D2" w:rsidRDefault="008B6B1D" w:rsidP="00813CB3">
            <w:pPr>
              <w:spacing w:line="276" w:lineRule="auto"/>
              <w:jc w:val="right"/>
              <w:rPr>
                <w:sz w:val="22"/>
                <w:szCs w:val="22"/>
              </w:rPr>
            </w:pPr>
            <w:r w:rsidRPr="009515D2">
              <w:rPr>
                <w:sz w:val="22"/>
                <w:szCs w:val="22"/>
              </w:rPr>
              <w:t>Inoculation (I)</w:t>
            </w:r>
          </w:p>
        </w:tc>
        <w:tc>
          <w:tcPr>
            <w:tcW w:w="536" w:type="dxa"/>
          </w:tcPr>
          <w:p w14:paraId="6076121B"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Pr>
          <w:p w14:paraId="2CA1702C" w14:textId="77777777" w:rsidR="008B6B1D" w:rsidRPr="009515D2" w:rsidRDefault="008B6B1D" w:rsidP="00813CB3">
            <w:pPr>
              <w:spacing w:line="276" w:lineRule="auto"/>
              <w:jc w:val="right"/>
              <w:rPr>
                <w:sz w:val="22"/>
                <w:szCs w:val="22"/>
              </w:rPr>
            </w:pPr>
            <w:r w:rsidRPr="009515D2">
              <w:rPr>
                <w:sz w:val="22"/>
                <w:szCs w:val="22"/>
              </w:rPr>
              <w:t>16.75</w:t>
            </w:r>
          </w:p>
        </w:tc>
        <w:tc>
          <w:tcPr>
            <w:tcW w:w="1012" w:type="dxa"/>
          </w:tcPr>
          <w:p w14:paraId="48592412"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1EC9A972" w14:textId="77777777" w:rsidR="008B6B1D" w:rsidRPr="009515D2" w:rsidRDefault="008B6B1D" w:rsidP="00813CB3">
            <w:pPr>
              <w:spacing w:line="276" w:lineRule="auto"/>
              <w:jc w:val="right"/>
              <w:rPr>
                <w:sz w:val="22"/>
                <w:szCs w:val="22"/>
              </w:rPr>
            </w:pPr>
            <w:r w:rsidRPr="009515D2">
              <w:rPr>
                <w:sz w:val="22"/>
                <w:szCs w:val="22"/>
              </w:rPr>
              <w:t>4.17</w:t>
            </w:r>
          </w:p>
        </w:tc>
        <w:tc>
          <w:tcPr>
            <w:tcW w:w="1013" w:type="dxa"/>
          </w:tcPr>
          <w:p w14:paraId="39764B43" w14:textId="77777777" w:rsidR="008B6B1D" w:rsidRPr="009515D2" w:rsidRDefault="008B6B1D" w:rsidP="00813CB3">
            <w:pPr>
              <w:spacing w:line="276" w:lineRule="auto"/>
              <w:jc w:val="right"/>
              <w:rPr>
                <w:b/>
                <w:bCs/>
                <w:sz w:val="22"/>
                <w:szCs w:val="22"/>
              </w:rPr>
            </w:pPr>
            <w:r w:rsidRPr="009515D2">
              <w:rPr>
                <w:b/>
                <w:bCs/>
                <w:sz w:val="22"/>
                <w:szCs w:val="22"/>
              </w:rPr>
              <w:t>0.041</w:t>
            </w:r>
          </w:p>
        </w:tc>
        <w:tc>
          <w:tcPr>
            <w:tcW w:w="996" w:type="dxa"/>
          </w:tcPr>
          <w:p w14:paraId="0A3222CF" w14:textId="77777777" w:rsidR="008B6B1D" w:rsidRPr="009515D2" w:rsidRDefault="008B6B1D" w:rsidP="00813CB3">
            <w:pPr>
              <w:spacing w:line="276" w:lineRule="auto"/>
              <w:jc w:val="right"/>
              <w:rPr>
                <w:sz w:val="22"/>
                <w:szCs w:val="22"/>
              </w:rPr>
            </w:pPr>
            <w:r w:rsidRPr="009515D2">
              <w:rPr>
                <w:sz w:val="22"/>
                <w:szCs w:val="22"/>
              </w:rPr>
              <w:t>24.11</w:t>
            </w:r>
          </w:p>
        </w:tc>
        <w:tc>
          <w:tcPr>
            <w:tcW w:w="1013" w:type="dxa"/>
          </w:tcPr>
          <w:p w14:paraId="406E0E08"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591D1089" w14:textId="77777777" w:rsidR="008B6B1D" w:rsidRPr="009515D2" w:rsidRDefault="008B6B1D" w:rsidP="00813CB3">
            <w:pPr>
              <w:spacing w:line="276" w:lineRule="auto"/>
              <w:jc w:val="right"/>
              <w:rPr>
                <w:sz w:val="22"/>
                <w:szCs w:val="22"/>
              </w:rPr>
            </w:pPr>
            <w:r w:rsidRPr="009515D2">
              <w:rPr>
                <w:sz w:val="22"/>
                <w:szCs w:val="22"/>
              </w:rPr>
              <w:t>35.09</w:t>
            </w:r>
          </w:p>
        </w:tc>
        <w:tc>
          <w:tcPr>
            <w:tcW w:w="1013" w:type="dxa"/>
          </w:tcPr>
          <w:p w14:paraId="4B104A7C"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4B065468" w14:textId="77777777" w:rsidR="008B6B1D" w:rsidRPr="009515D2" w:rsidRDefault="008B6B1D" w:rsidP="00813CB3">
            <w:pPr>
              <w:spacing w:line="276" w:lineRule="auto"/>
              <w:jc w:val="right"/>
              <w:rPr>
                <w:sz w:val="22"/>
                <w:szCs w:val="22"/>
              </w:rPr>
            </w:pPr>
            <w:r w:rsidRPr="009515D2">
              <w:rPr>
                <w:sz w:val="22"/>
                <w:szCs w:val="22"/>
              </w:rPr>
              <w:t>2.04</w:t>
            </w:r>
          </w:p>
        </w:tc>
        <w:tc>
          <w:tcPr>
            <w:tcW w:w="1012" w:type="dxa"/>
          </w:tcPr>
          <w:p w14:paraId="4CE1000F" w14:textId="77777777" w:rsidR="008B6B1D" w:rsidRPr="009515D2" w:rsidRDefault="008B6B1D" w:rsidP="00813CB3">
            <w:pPr>
              <w:spacing w:line="276" w:lineRule="auto"/>
              <w:jc w:val="right"/>
              <w:rPr>
                <w:sz w:val="22"/>
                <w:szCs w:val="22"/>
              </w:rPr>
            </w:pPr>
            <w:r w:rsidRPr="009515D2">
              <w:rPr>
                <w:sz w:val="22"/>
                <w:szCs w:val="22"/>
              </w:rPr>
              <w:t>0.153</w:t>
            </w:r>
          </w:p>
        </w:tc>
      </w:tr>
      <w:tr w:rsidR="008B6B1D" w:rsidRPr="009515D2" w14:paraId="0946AE6C" w14:textId="77777777" w:rsidTr="00813CB3">
        <w:tc>
          <w:tcPr>
            <w:tcW w:w="1980" w:type="dxa"/>
            <w:tcBorders>
              <w:bottom w:val="single" w:sz="4" w:space="0" w:color="auto"/>
            </w:tcBorders>
          </w:tcPr>
          <w:p w14:paraId="2699E191" w14:textId="77777777" w:rsidR="008B6B1D" w:rsidRPr="009515D2" w:rsidRDefault="008B6B1D" w:rsidP="00813CB3">
            <w:pPr>
              <w:spacing w:line="276" w:lineRule="auto"/>
              <w:jc w:val="right"/>
              <w:rPr>
                <w:sz w:val="22"/>
                <w:szCs w:val="22"/>
              </w:rPr>
            </w:pPr>
            <w:r w:rsidRPr="009515D2">
              <w:rPr>
                <w:sz w:val="22"/>
                <w:szCs w:val="22"/>
              </w:rPr>
              <w:t>N*I</w:t>
            </w:r>
          </w:p>
        </w:tc>
        <w:tc>
          <w:tcPr>
            <w:tcW w:w="536" w:type="dxa"/>
            <w:tcBorders>
              <w:bottom w:val="single" w:sz="4" w:space="0" w:color="auto"/>
            </w:tcBorders>
          </w:tcPr>
          <w:p w14:paraId="786F3770"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bottom w:val="single" w:sz="4" w:space="0" w:color="auto"/>
            </w:tcBorders>
          </w:tcPr>
          <w:p w14:paraId="5DAEB3A1" w14:textId="77777777" w:rsidR="008B6B1D" w:rsidRPr="009515D2" w:rsidRDefault="008B6B1D" w:rsidP="00813CB3">
            <w:pPr>
              <w:spacing w:line="276" w:lineRule="auto"/>
              <w:jc w:val="right"/>
              <w:rPr>
                <w:sz w:val="22"/>
                <w:szCs w:val="22"/>
              </w:rPr>
            </w:pPr>
            <w:r w:rsidRPr="009515D2">
              <w:rPr>
                <w:sz w:val="22"/>
                <w:szCs w:val="22"/>
              </w:rPr>
              <w:t>4.83</w:t>
            </w:r>
          </w:p>
        </w:tc>
        <w:tc>
          <w:tcPr>
            <w:tcW w:w="1012" w:type="dxa"/>
            <w:tcBorders>
              <w:bottom w:val="single" w:sz="4" w:space="0" w:color="auto"/>
            </w:tcBorders>
          </w:tcPr>
          <w:p w14:paraId="122E0FB7" w14:textId="77777777" w:rsidR="008B6B1D" w:rsidRPr="009515D2" w:rsidRDefault="008B6B1D" w:rsidP="00813CB3">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0C1DAC5C" w14:textId="77777777" w:rsidR="008B6B1D" w:rsidRPr="009515D2" w:rsidRDefault="008B6B1D" w:rsidP="00813CB3">
            <w:pPr>
              <w:spacing w:line="276" w:lineRule="auto"/>
              <w:jc w:val="right"/>
              <w:rPr>
                <w:sz w:val="22"/>
                <w:szCs w:val="22"/>
              </w:rPr>
            </w:pPr>
            <w:r w:rsidRPr="009515D2">
              <w:rPr>
                <w:sz w:val="22"/>
                <w:szCs w:val="22"/>
              </w:rPr>
              <w:t>0.265</w:t>
            </w:r>
          </w:p>
        </w:tc>
        <w:tc>
          <w:tcPr>
            <w:tcW w:w="1013" w:type="dxa"/>
            <w:tcBorders>
              <w:bottom w:val="single" w:sz="4" w:space="0" w:color="auto"/>
            </w:tcBorders>
          </w:tcPr>
          <w:p w14:paraId="696A06D5" w14:textId="77777777" w:rsidR="008B6B1D" w:rsidRPr="009515D2" w:rsidRDefault="008B6B1D" w:rsidP="00813CB3">
            <w:pPr>
              <w:spacing w:line="276" w:lineRule="auto"/>
              <w:jc w:val="right"/>
              <w:rPr>
                <w:sz w:val="22"/>
                <w:szCs w:val="22"/>
              </w:rPr>
            </w:pPr>
            <w:r w:rsidRPr="009515D2">
              <w:rPr>
                <w:sz w:val="22"/>
                <w:szCs w:val="22"/>
              </w:rPr>
              <w:t>0.607</w:t>
            </w:r>
          </w:p>
        </w:tc>
        <w:tc>
          <w:tcPr>
            <w:tcW w:w="996" w:type="dxa"/>
            <w:tcBorders>
              <w:bottom w:val="single" w:sz="4" w:space="0" w:color="auto"/>
            </w:tcBorders>
          </w:tcPr>
          <w:p w14:paraId="2395092D" w14:textId="77777777" w:rsidR="008B6B1D" w:rsidRPr="009515D2" w:rsidRDefault="008B6B1D" w:rsidP="00813CB3">
            <w:pPr>
              <w:spacing w:line="276" w:lineRule="auto"/>
              <w:jc w:val="right"/>
              <w:rPr>
                <w:sz w:val="22"/>
                <w:szCs w:val="22"/>
              </w:rPr>
            </w:pPr>
            <w:r w:rsidRPr="009515D2">
              <w:rPr>
                <w:sz w:val="22"/>
                <w:szCs w:val="22"/>
              </w:rPr>
              <w:t>13.52</w:t>
            </w:r>
          </w:p>
        </w:tc>
        <w:tc>
          <w:tcPr>
            <w:tcW w:w="1013" w:type="dxa"/>
            <w:tcBorders>
              <w:bottom w:val="single" w:sz="4" w:space="0" w:color="auto"/>
            </w:tcBorders>
          </w:tcPr>
          <w:p w14:paraId="278DB720"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02B70DD0" w14:textId="77777777" w:rsidR="008B6B1D" w:rsidRPr="009515D2" w:rsidRDefault="008B6B1D" w:rsidP="00813CB3">
            <w:pPr>
              <w:spacing w:line="276" w:lineRule="auto"/>
              <w:jc w:val="right"/>
              <w:rPr>
                <w:sz w:val="22"/>
                <w:szCs w:val="22"/>
              </w:rPr>
            </w:pPr>
            <w:r w:rsidRPr="009515D2">
              <w:rPr>
                <w:sz w:val="22"/>
                <w:szCs w:val="22"/>
              </w:rPr>
              <w:t>17.90</w:t>
            </w:r>
          </w:p>
        </w:tc>
        <w:tc>
          <w:tcPr>
            <w:tcW w:w="1013" w:type="dxa"/>
            <w:tcBorders>
              <w:bottom w:val="single" w:sz="4" w:space="0" w:color="auto"/>
            </w:tcBorders>
          </w:tcPr>
          <w:p w14:paraId="4399871B"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73E0E688" w14:textId="77777777" w:rsidR="008B6B1D" w:rsidRPr="009515D2" w:rsidRDefault="008B6B1D" w:rsidP="00813CB3">
            <w:pPr>
              <w:spacing w:line="276" w:lineRule="auto"/>
              <w:jc w:val="right"/>
              <w:rPr>
                <w:sz w:val="22"/>
                <w:szCs w:val="22"/>
              </w:rPr>
            </w:pPr>
            <w:r w:rsidRPr="009515D2">
              <w:rPr>
                <w:sz w:val="22"/>
                <w:szCs w:val="22"/>
              </w:rPr>
              <w:t>1.23</w:t>
            </w:r>
          </w:p>
        </w:tc>
        <w:tc>
          <w:tcPr>
            <w:tcW w:w="1012" w:type="dxa"/>
            <w:tcBorders>
              <w:bottom w:val="single" w:sz="4" w:space="0" w:color="auto"/>
            </w:tcBorders>
          </w:tcPr>
          <w:p w14:paraId="15F8EA71" w14:textId="77777777" w:rsidR="008B6B1D" w:rsidRPr="009515D2" w:rsidRDefault="008B6B1D" w:rsidP="00813CB3">
            <w:pPr>
              <w:spacing w:line="276" w:lineRule="auto"/>
              <w:jc w:val="right"/>
              <w:rPr>
                <w:sz w:val="22"/>
                <w:szCs w:val="22"/>
              </w:rPr>
            </w:pPr>
            <w:r w:rsidRPr="009515D2">
              <w:rPr>
                <w:sz w:val="22"/>
                <w:szCs w:val="22"/>
              </w:rPr>
              <w:t>0.267</w:t>
            </w:r>
          </w:p>
        </w:tc>
      </w:tr>
      <w:tr w:rsidR="008B6B1D" w:rsidRPr="009515D2" w14:paraId="7373095B" w14:textId="77777777" w:rsidTr="00813CB3">
        <w:tc>
          <w:tcPr>
            <w:tcW w:w="1980" w:type="dxa"/>
            <w:tcBorders>
              <w:top w:val="single" w:sz="4" w:space="0" w:color="auto"/>
            </w:tcBorders>
          </w:tcPr>
          <w:p w14:paraId="779E0FA4" w14:textId="77777777" w:rsidR="008B6B1D" w:rsidRPr="009515D2" w:rsidRDefault="008B6B1D" w:rsidP="00813CB3">
            <w:pPr>
              <w:spacing w:line="276" w:lineRule="auto"/>
              <w:jc w:val="right"/>
              <w:rPr>
                <w:sz w:val="22"/>
                <w:szCs w:val="22"/>
              </w:rPr>
            </w:pPr>
          </w:p>
        </w:tc>
        <w:tc>
          <w:tcPr>
            <w:tcW w:w="536" w:type="dxa"/>
            <w:tcBorders>
              <w:top w:val="single" w:sz="4" w:space="0" w:color="auto"/>
            </w:tcBorders>
          </w:tcPr>
          <w:p w14:paraId="05CAFF71" w14:textId="77777777" w:rsidR="008B6B1D" w:rsidRPr="009515D2" w:rsidRDefault="008B6B1D" w:rsidP="00813CB3">
            <w:pPr>
              <w:spacing w:line="276" w:lineRule="auto"/>
              <w:jc w:val="right"/>
              <w:rPr>
                <w:sz w:val="22"/>
                <w:szCs w:val="22"/>
              </w:rPr>
            </w:pPr>
          </w:p>
        </w:tc>
        <w:tc>
          <w:tcPr>
            <w:tcW w:w="996" w:type="dxa"/>
            <w:tcBorders>
              <w:top w:val="single" w:sz="4" w:space="0" w:color="auto"/>
            </w:tcBorders>
          </w:tcPr>
          <w:p w14:paraId="57B64513" w14:textId="77777777" w:rsidR="008B6B1D" w:rsidRPr="009515D2" w:rsidRDefault="008B6B1D" w:rsidP="00813CB3">
            <w:pPr>
              <w:spacing w:line="276" w:lineRule="auto"/>
              <w:jc w:val="right"/>
              <w:rPr>
                <w:sz w:val="22"/>
                <w:szCs w:val="22"/>
              </w:rPr>
            </w:pPr>
          </w:p>
        </w:tc>
        <w:tc>
          <w:tcPr>
            <w:tcW w:w="1012" w:type="dxa"/>
            <w:tcBorders>
              <w:top w:val="single" w:sz="4" w:space="0" w:color="auto"/>
            </w:tcBorders>
          </w:tcPr>
          <w:p w14:paraId="0684DE7F" w14:textId="77777777" w:rsidR="008B6B1D" w:rsidRPr="009515D2" w:rsidRDefault="008B6B1D" w:rsidP="00813CB3">
            <w:pPr>
              <w:spacing w:line="276" w:lineRule="auto"/>
              <w:jc w:val="right"/>
              <w:rPr>
                <w:b/>
                <w:bCs/>
                <w:sz w:val="22"/>
                <w:szCs w:val="22"/>
              </w:rPr>
            </w:pPr>
          </w:p>
        </w:tc>
        <w:tc>
          <w:tcPr>
            <w:tcW w:w="996" w:type="dxa"/>
            <w:tcBorders>
              <w:top w:val="single" w:sz="4" w:space="0" w:color="auto"/>
            </w:tcBorders>
          </w:tcPr>
          <w:p w14:paraId="32585387" w14:textId="77777777" w:rsidR="008B6B1D" w:rsidRPr="009515D2" w:rsidRDefault="008B6B1D" w:rsidP="00813CB3">
            <w:pPr>
              <w:spacing w:line="276" w:lineRule="auto"/>
              <w:jc w:val="right"/>
              <w:rPr>
                <w:sz w:val="22"/>
                <w:szCs w:val="22"/>
              </w:rPr>
            </w:pPr>
          </w:p>
        </w:tc>
        <w:tc>
          <w:tcPr>
            <w:tcW w:w="1013" w:type="dxa"/>
            <w:tcBorders>
              <w:top w:val="single" w:sz="4" w:space="0" w:color="auto"/>
            </w:tcBorders>
          </w:tcPr>
          <w:p w14:paraId="01892E06" w14:textId="77777777" w:rsidR="008B6B1D" w:rsidRPr="009515D2" w:rsidRDefault="008B6B1D" w:rsidP="00813CB3">
            <w:pPr>
              <w:spacing w:line="276" w:lineRule="auto"/>
              <w:jc w:val="right"/>
              <w:rPr>
                <w:sz w:val="22"/>
                <w:szCs w:val="22"/>
              </w:rPr>
            </w:pPr>
          </w:p>
        </w:tc>
        <w:tc>
          <w:tcPr>
            <w:tcW w:w="996" w:type="dxa"/>
            <w:tcBorders>
              <w:top w:val="single" w:sz="4" w:space="0" w:color="auto"/>
            </w:tcBorders>
          </w:tcPr>
          <w:p w14:paraId="06B756B4" w14:textId="77777777" w:rsidR="008B6B1D" w:rsidRPr="009515D2" w:rsidRDefault="008B6B1D" w:rsidP="00813CB3">
            <w:pPr>
              <w:spacing w:line="276" w:lineRule="auto"/>
              <w:jc w:val="right"/>
              <w:rPr>
                <w:sz w:val="22"/>
                <w:szCs w:val="22"/>
              </w:rPr>
            </w:pPr>
          </w:p>
        </w:tc>
        <w:tc>
          <w:tcPr>
            <w:tcW w:w="1013" w:type="dxa"/>
            <w:tcBorders>
              <w:top w:val="single" w:sz="4" w:space="0" w:color="auto"/>
            </w:tcBorders>
          </w:tcPr>
          <w:p w14:paraId="4285E58C" w14:textId="77777777" w:rsidR="008B6B1D" w:rsidRPr="009515D2" w:rsidRDefault="008B6B1D" w:rsidP="00813CB3">
            <w:pPr>
              <w:spacing w:line="276" w:lineRule="auto"/>
              <w:jc w:val="right"/>
              <w:rPr>
                <w:b/>
                <w:bCs/>
                <w:sz w:val="22"/>
                <w:szCs w:val="22"/>
              </w:rPr>
            </w:pPr>
          </w:p>
        </w:tc>
        <w:tc>
          <w:tcPr>
            <w:tcW w:w="996" w:type="dxa"/>
            <w:tcBorders>
              <w:top w:val="single" w:sz="4" w:space="0" w:color="auto"/>
            </w:tcBorders>
          </w:tcPr>
          <w:p w14:paraId="25C40D01" w14:textId="77777777" w:rsidR="008B6B1D" w:rsidRPr="009515D2" w:rsidRDefault="008B6B1D" w:rsidP="00813CB3">
            <w:pPr>
              <w:spacing w:line="276" w:lineRule="auto"/>
              <w:jc w:val="right"/>
              <w:rPr>
                <w:sz w:val="22"/>
                <w:szCs w:val="22"/>
              </w:rPr>
            </w:pPr>
          </w:p>
        </w:tc>
        <w:tc>
          <w:tcPr>
            <w:tcW w:w="1013" w:type="dxa"/>
            <w:tcBorders>
              <w:top w:val="single" w:sz="4" w:space="0" w:color="auto"/>
            </w:tcBorders>
          </w:tcPr>
          <w:p w14:paraId="6D33B920" w14:textId="77777777" w:rsidR="008B6B1D" w:rsidRPr="009515D2" w:rsidRDefault="008B6B1D" w:rsidP="00813CB3">
            <w:pPr>
              <w:spacing w:line="276" w:lineRule="auto"/>
              <w:jc w:val="right"/>
              <w:rPr>
                <w:b/>
                <w:bCs/>
                <w:sz w:val="22"/>
                <w:szCs w:val="22"/>
              </w:rPr>
            </w:pPr>
          </w:p>
        </w:tc>
        <w:tc>
          <w:tcPr>
            <w:tcW w:w="996" w:type="dxa"/>
            <w:tcBorders>
              <w:top w:val="single" w:sz="4" w:space="0" w:color="auto"/>
            </w:tcBorders>
          </w:tcPr>
          <w:p w14:paraId="7451F1B0" w14:textId="77777777" w:rsidR="008B6B1D" w:rsidRPr="009515D2" w:rsidRDefault="008B6B1D" w:rsidP="00813CB3">
            <w:pPr>
              <w:spacing w:line="276" w:lineRule="auto"/>
              <w:jc w:val="right"/>
              <w:rPr>
                <w:sz w:val="22"/>
                <w:szCs w:val="22"/>
              </w:rPr>
            </w:pPr>
          </w:p>
        </w:tc>
        <w:tc>
          <w:tcPr>
            <w:tcW w:w="1012" w:type="dxa"/>
            <w:tcBorders>
              <w:top w:val="single" w:sz="4" w:space="0" w:color="auto"/>
            </w:tcBorders>
          </w:tcPr>
          <w:p w14:paraId="06B1F0E4" w14:textId="77777777" w:rsidR="008B6B1D" w:rsidRPr="009515D2" w:rsidRDefault="008B6B1D" w:rsidP="00813CB3">
            <w:pPr>
              <w:spacing w:line="276" w:lineRule="auto"/>
              <w:jc w:val="right"/>
              <w:rPr>
                <w:sz w:val="22"/>
                <w:szCs w:val="22"/>
              </w:rPr>
            </w:pPr>
          </w:p>
        </w:tc>
      </w:tr>
      <w:tr w:rsidR="008B6B1D" w:rsidRPr="009515D2" w14:paraId="127B406D" w14:textId="77777777" w:rsidTr="00813CB3">
        <w:tc>
          <w:tcPr>
            <w:tcW w:w="1980" w:type="dxa"/>
            <w:tcBorders>
              <w:bottom w:val="single" w:sz="4" w:space="0" w:color="auto"/>
            </w:tcBorders>
          </w:tcPr>
          <w:p w14:paraId="1F3AE08C" w14:textId="77777777" w:rsidR="008B6B1D" w:rsidRPr="009515D2" w:rsidRDefault="008B6B1D" w:rsidP="00813CB3">
            <w:pPr>
              <w:spacing w:line="276" w:lineRule="auto"/>
              <w:jc w:val="right"/>
              <w:rPr>
                <w:sz w:val="22"/>
                <w:szCs w:val="22"/>
              </w:rPr>
            </w:pPr>
          </w:p>
        </w:tc>
        <w:tc>
          <w:tcPr>
            <w:tcW w:w="536" w:type="dxa"/>
            <w:tcBorders>
              <w:bottom w:val="single" w:sz="4" w:space="0" w:color="auto"/>
            </w:tcBorders>
          </w:tcPr>
          <w:p w14:paraId="30C51155" w14:textId="77777777" w:rsidR="008B6B1D" w:rsidRPr="009515D2" w:rsidRDefault="008B6B1D" w:rsidP="00813CB3">
            <w:pPr>
              <w:spacing w:line="276" w:lineRule="auto"/>
              <w:jc w:val="right"/>
              <w:rPr>
                <w:sz w:val="22"/>
                <w:szCs w:val="22"/>
              </w:rPr>
            </w:pPr>
          </w:p>
        </w:tc>
        <w:tc>
          <w:tcPr>
            <w:tcW w:w="2008" w:type="dxa"/>
            <w:gridSpan w:val="2"/>
            <w:tcBorders>
              <w:bottom w:val="single" w:sz="4" w:space="0" w:color="auto"/>
            </w:tcBorders>
          </w:tcPr>
          <w:p w14:paraId="1336C5BE" w14:textId="77777777" w:rsidR="008B6B1D" w:rsidRPr="009515D2" w:rsidRDefault="008B6B1D" w:rsidP="00813CB3">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374CD806" w14:textId="77777777" w:rsidR="008B6B1D" w:rsidRPr="009515D2" w:rsidRDefault="008B6B1D" w:rsidP="00813CB3">
            <w:pPr>
              <w:spacing w:line="276" w:lineRule="auto"/>
              <w:jc w:val="right"/>
              <w:rPr>
                <w:b/>
                <w:bCs/>
                <w:sz w:val="22"/>
                <w:szCs w:val="22"/>
              </w:rPr>
            </w:pPr>
            <w:r w:rsidRPr="009515D2">
              <w:rPr>
                <w:b/>
                <w:bCs/>
                <w:sz w:val="22"/>
                <w:szCs w:val="22"/>
              </w:rPr>
              <w:t xml:space="preserve">Nodule </w:t>
            </w:r>
          </w:p>
          <w:p w14:paraId="1A083B65" w14:textId="77777777" w:rsidR="008B6B1D" w:rsidRPr="009515D2" w:rsidRDefault="008B6B1D" w:rsidP="00813CB3">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48DB43AB" w14:textId="77777777" w:rsidR="008B6B1D" w:rsidRPr="009515D2" w:rsidRDefault="008B6B1D" w:rsidP="00813CB3">
            <w:pPr>
              <w:spacing w:line="276" w:lineRule="auto"/>
              <w:jc w:val="right"/>
              <w:rPr>
                <w:b/>
                <w:bCs/>
                <w:sz w:val="22"/>
                <w:szCs w:val="22"/>
              </w:rPr>
            </w:pPr>
            <w:r w:rsidRPr="009515D2">
              <w:rPr>
                <w:b/>
                <w:bCs/>
                <w:sz w:val="22"/>
                <w:szCs w:val="22"/>
              </w:rPr>
              <w:t xml:space="preserve">Root </w:t>
            </w:r>
          </w:p>
          <w:p w14:paraId="1EBFD6E2" w14:textId="77777777" w:rsidR="008B6B1D" w:rsidRPr="009515D2" w:rsidRDefault="008B6B1D" w:rsidP="00813CB3">
            <w:pPr>
              <w:spacing w:line="276" w:lineRule="auto"/>
              <w:jc w:val="right"/>
              <w:rPr>
                <w:b/>
                <w:bCs/>
                <w:sz w:val="22"/>
                <w:szCs w:val="22"/>
              </w:rPr>
            </w:pPr>
            <w:r w:rsidRPr="009515D2">
              <w:rPr>
                <w:b/>
                <w:bCs/>
                <w:sz w:val="22"/>
                <w:szCs w:val="22"/>
              </w:rPr>
              <w:t>biomass</w:t>
            </w:r>
          </w:p>
        </w:tc>
        <w:tc>
          <w:tcPr>
            <w:tcW w:w="2009" w:type="dxa"/>
            <w:gridSpan w:val="2"/>
          </w:tcPr>
          <w:p w14:paraId="40A354D3" w14:textId="77777777" w:rsidR="008B6B1D" w:rsidRPr="009515D2" w:rsidRDefault="008B6B1D" w:rsidP="00813CB3">
            <w:pPr>
              <w:spacing w:line="276" w:lineRule="auto"/>
              <w:jc w:val="right"/>
              <w:rPr>
                <w:b/>
                <w:bCs/>
                <w:sz w:val="22"/>
                <w:szCs w:val="22"/>
              </w:rPr>
            </w:pPr>
          </w:p>
        </w:tc>
        <w:tc>
          <w:tcPr>
            <w:tcW w:w="2008" w:type="dxa"/>
            <w:gridSpan w:val="2"/>
          </w:tcPr>
          <w:p w14:paraId="54F9E962" w14:textId="77777777" w:rsidR="008B6B1D" w:rsidRPr="009515D2" w:rsidRDefault="008B6B1D" w:rsidP="00813CB3">
            <w:pPr>
              <w:spacing w:line="276" w:lineRule="auto"/>
              <w:jc w:val="right"/>
              <w:rPr>
                <w:b/>
                <w:bCs/>
                <w:sz w:val="22"/>
                <w:szCs w:val="22"/>
              </w:rPr>
            </w:pPr>
          </w:p>
        </w:tc>
      </w:tr>
      <w:tr w:rsidR="008B6B1D" w:rsidRPr="009515D2" w14:paraId="62FDBC23" w14:textId="77777777" w:rsidTr="00813CB3">
        <w:tc>
          <w:tcPr>
            <w:tcW w:w="1980" w:type="dxa"/>
            <w:tcBorders>
              <w:top w:val="single" w:sz="4" w:space="0" w:color="auto"/>
              <w:bottom w:val="single" w:sz="4" w:space="0" w:color="auto"/>
            </w:tcBorders>
          </w:tcPr>
          <w:p w14:paraId="1D6357B0" w14:textId="77777777" w:rsidR="008B6B1D" w:rsidRPr="009515D2" w:rsidRDefault="008B6B1D" w:rsidP="00813CB3">
            <w:pPr>
              <w:spacing w:line="276" w:lineRule="auto"/>
              <w:jc w:val="right"/>
              <w:rPr>
                <w:sz w:val="22"/>
                <w:szCs w:val="22"/>
              </w:rPr>
            </w:pPr>
          </w:p>
        </w:tc>
        <w:tc>
          <w:tcPr>
            <w:tcW w:w="536" w:type="dxa"/>
            <w:tcBorders>
              <w:top w:val="single" w:sz="4" w:space="0" w:color="auto"/>
              <w:bottom w:val="single" w:sz="4" w:space="0" w:color="auto"/>
            </w:tcBorders>
          </w:tcPr>
          <w:p w14:paraId="0727B65C" w14:textId="77777777" w:rsidR="008B6B1D" w:rsidRPr="009515D2" w:rsidRDefault="008B6B1D" w:rsidP="00813CB3">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98B9C79"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BFE9883" w14:textId="77777777" w:rsidR="008B6B1D" w:rsidRPr="009515D2" w:rsidRDefault="008B6B1D" w:rsidP="00813CB3">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112DA92B"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1FBF865A" w14:textId="77777777" w:rsidR="008B6B1D" w:rsidRPr="009515D2" w:rsidRDefault="008B6B1D" w:rsidP="00813CB3">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191F939" w14:textId="77777777" w:rsidR="008B6B1D" w:rsidRPr="009515D2" w:rsidRDefault="008B6B1D" w:rsidP="00813CB3">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812C0F9" w14:textId="77777777" w:rsidR="008B6B1D" w:rsidRPr="009515D2" w:rsidRDefault="008B6B1D" w:rsidP="00813CB3">
            <w:pPr>
              <w:spacing w:line="276" w:lineRule="auto"/>
              <w:jc w:val="right"/>
              <w:rPr>
                <w:b/>
                <w:bCs/>
                <w:sz w:val="22"/>
                <w:szCs w:val="22"/>
              </w:rPr>
            </w:pPr>
            <w:r w:rsidRPr="009515D2">
              <w:rPr>
                <w:i/>
                <w:iCs/>
                <w:sz w:val="22"/>
                <w:szCs w:val="22"/>
              </w:rPr>
              <w:t>p</w:t>
            </w:r>
          </w:p>
        </w:tc>
        <w:tc>
          <w:tcPr>
            <w:tcW w:w="996" w:type="dxa"/>
          </w:tcPr>
          <w:p w14:paraId="7281CBF3" w14:textId="77777777" w:rsidR="008B6B1D" w:rsidRPr="009515D2" w:rsidRDefault="008B6B1D" w:rsidP="00813CB3">
            <w:pPr>
              <w:spacing w:line="276" w:lineRule="auto"/>
              <w:jc w:val="right"/>
              <w:rPr>
                <w:sz w:val="22"/>
                <w:szCs w:val="22"/>
              </w:rPr>
            </w:pPr>
          </w:p>
        </w:tc>
        <w:tc>
          <w:tcPr>
            <w:tcW w:w="1013" w:type="dxa"/>
          </w:tcPr>
          <w:p w14:paraId="787A0BA8" w14:textId="77777777" w:rsidR="008B6B1D" w:rsidRPr="009515D2" w:rsidRDefault="008B6B1D" w:rsidP="00813CB3">
            <w:pPr>
              <w:spacing w:line="276" w:lineRule="auto"/>
              <w:jc w:val="right"/>
              <w:rPr>
                <w:b/>
                <w:bCs/>
                <w:sz w:val="22"/>
                <w:szCs w:val="22"/>
              </w:rPr>
            </w:pPr>
          </w:p>
        </w:tc>
        <w:tc>
          <w:tcPr>
            <w:tcW w:w="996" w:type="dxa"/>
          </w:tcPr>
          <w:p w14:paraId="7D1E18E6" w14:textId="77777777" w:rsidR="008B6B1D" w:rsidRPr="009515D2" w:rsidRDefault="008B6B1D" w:rsidP="00813CB3">
            <w:pPr>
              <w:spacing w:line="276" w:lineRule="auto"/>
              <w:jc w:val="right"/>
              <w:rPr>
                <w:sz w:val="22"/>
                <w:szCs w:val="22"/>
              </w:rPr>
            </w:pPr>
          </w:p>
        </w:tc>
        <w:tc>
          <w:tcPr>
            <w:tcW w:w="1012" w:type="dxa"/>
          </w:tcPr>
          <w:p w14:paraId="06AE2CEA" w14:textId="77777777" w:rsidR="008B6B1D" w:rsidRPr="009515D2" w:rsidRDefault="008B6B1D" w:rsidP="00813CB3">
            <w:pPr>
              <w:spacing w:line="276" w:lineRule="auto"/>
              <w:jc w:val="right"/>
              <w:rPr>
                <w:sz w:val="22"/>
                <w:szCs w:val="22"/>
              </w:rPr>
            </w:pPr>
          </w:p>
        </w:tc>
      </w:tr>
      <w:tr w:rsidR="008B6B1D" w:rsidRPr="009515D2" w14:paraId="4ABF7179" w14:textId="77777777" w:rsidTr="00813CB3">
        <w:tc>
          <w:tcPr>
            <w:tcW w:w="1980" w:type="dxa"/>
            <w:tcBorders>
              <w:top w:val="single" w:sz="4" w:space="0" w:color="auto"/>
            </w:tcBorders>
          </w:tcPr>
          <w:p w14:paraId="3B276E38" w14:textId="77777777" w:rsidR="008B6B1D" w:rsidRPr="009515D2" w:rsidRDefault="008B6B1D" w:rsidP="00813CB3">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2BC3C92"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top w:val="single" w:sz="4" w:space="0" w:color="auto"/>
            </w:tcBorders>
          </w:tcPr>
          <w:p w14:paraId="3A6CB243" w14:textId="77777777" w:rsidR="008B6B1D" w:rsidRPr="009515D2" w:rsidRDefault="008B6B1D" w:rsidP="00813CB3">
            <w:pPr>
              <w:spacing w:line="276" w:lineRule="auto"/>
              <w:jc w:val="right"/>
              <w:rPr>
                <w:sz w:val="22"/>
                <w:szCs w:val="22"/>
              </w:rPr>
            </w:pPr>
            <w:r w:rsidRPr="009515D2">
              <w:rPr>
                <w:sz w:val="22"/>
                <w:szCs w:val="22"/>
              </w:rPr>
              <w:t>0.99</w:t>
            </w:r>
          </w:p>
        </w:tc>
        <w:tc>
          <w:tcPr>
            <w:tcW w:w="1012" w:type="dxa"/>
            <w:tcBorders>
              <w:top w:val="single" w:sz="4" w:space="0" w:color="auto"/>
            </w:tcBorders>
          </w:tcPr>
          <w:p w14:paraId="76FF8CAD" w14:textId="77777777" w:rsidR="008B6B1D" w:rsidRPr="009515D2" w:rsidRDefault="008B6B1D" w:rsidP="00813CB3">
            <w:pPr>
              <w:spacing w:line="276" w:lineRule="auto"/>
              <w:jc w:val="right"/>
              <w:rPr>
                <w:sz w:val="22"/>
                <w:szCs w:val="22"/>
              </w:rPr>
            </w:pPr>
            <w:r w:rsidRPr="009515D2">
              <w:rPr>
                <w:sz w:val="22"/>
                <w:szCs w:val="22"/>
              </w:rPr>
              <w:t>0.320</w:t>
            </w:r>
          </w:p>
        </w:tc>
        <w:tc>
          <w:tcPr>
            <w:tcW w:w="996" w:type="dxa"/>
            <w:tcBorders>
              <w:top w:val="single" w:sz="4" w:space="0" w:color="auto"/>
            </w:tcBorders>
          </w:tcPr>
          <w:p w14:paraId="44C4CEF8" w14:textId="77777777" w:rsidR="008B6B1D" w:rsidRPr="009515D2" w:rsidRDefault="008B6B1D" w:rsidP="00813CB3">
            <w:pPr>
              <w:spacing w:line="276" w:lineRule="auto"/>
              <w:jc w:val="right"/>
              <w:rPr>
                <w:sz w:val="22"/>
                <w:szCs w:val="22"/>
              </w:rPr>
            </w:pPr>
            <w:r w:rsidRPr="009515D2">
              <w:rPr>
                <w:sz w:val="22"/>
                <w:szCs w:val="22"/>
              </w:rPr>
              <w:t>1.36</w:t>
            </w:r>
          </w:p>
        </w:tc>
        <w:tc>
          <w:tcPr>
            <w:tcW w:w="1013" w:type="dxa"/>
            <w:tcBorders>
              <w:top w:val="single" w:sz="4" w:space="0" w:color="auto"/>
            </w:tcBorders>
          </w:tcPr>
          <w:p w14:paraId="4D44DF54" w14:textId="77777777" w:rsidR="008B6B1D" w:rsidRPr="009515D2" w:rsidRDefault="008B6B1D" w:rsidP="00813CB3">
            <w:pPr>
              <w:spacing w:line="276" w:lineRule="auto"/>
              <w:jc w:val="right"/>
              <w:rPr>
                <w:sz w:val="22"/>
                <w:szCs w:val="22"/>
              </w:rPr>
            </w:pPr>
            <w:r w:rsidRPr="009515D2">
              <w:rPr>
                <w:sz w:val="22"/>
                <w:szCs w:val="22"/>
              </w:rPr>
              <w:t>0.243</w:t>
            </w:r>
          </w:p>
        </w:tc>
        <w:tc>
          <w:tcPr>
            <w:tcW w:w="996" w:type="dxa"/>
            <w:tcBorders>
              <w:top w:val="single" w:sz="4" w:space="0" w:color="auto"/>
            </w:tcBorders>
          </w:tcPr>
          <w:p w14:paraId="66386E2F" w14:textId="77777777" w:rsidR="008B6B1D" w:rsidRPr="009515D2" w:rsidRDefault="008B6B1D" w:rsidP="00813CB3">
            <w:pPr>
              <w:spacing w:line="276" w:lineRule="auto"/>
              <w:jc w:val="right"/>
              <w:rPr>
                <w:sz w:val="22"/>
                <w:szCs w:val="22"/>
              </w:rPr>
            </w:pPr>
            <w:r w:rsidRPr="009515D2">
              <w:rPr>
                <w:sz w:val="22"/>
                <w:szCs w:val="22"/>
              </w:rPr>
              <w:t>0.01</w:t>
            </w:r>
          </w:p>
        </w:tc>
        <w:tc>
          <w:tcPr>
            <w:tcW w:w="1013" w:type="dxa"/>
            <w:tcBorders>
              <w:top w:val="single" w:sz="4" w:space="0" w:color="auto"/>
            </w:tcBorders>
          </w:tcPr>
          <w:p w14:paraId="1DE7E4A8" w14:textId="77777777" w:rsidR="008B6B1D" w:rsidRPr="009515D2" w:rsidRDefault="008B6B1D" w:rsidP="00813CB3">
            <w:pPr>
              <w:spacing w:line="276" w:lineRule="auto"/>
              <w:jc w:val="right"/>
              <w:rPr>
                <w:sz w:val="22"/>
                <w:szCs w:val="22"/>
              </w:rPr>
            </w:pPr>
            <w:r w:rsidRPr="009515D2">
              <w:rPr>
                <w:sz w:val="22"/>
                <w:szCs w:val="22"/>
              </w:rPr>
              <w:t>0.918</w:t>
            </w:r>
          </w:p>
        </w:tc>
        <w:tc>
          <w:tcPr>
            <w:tcW w:w="996" w:type="dxa"/>
          </w:tcPr>
          <w:p w14:paraId="643BC3DE" w14:textId="77777777" w:rsidR="008B6B1D" w:rsidRPr="009515D2" w:rsidRDefault="008B6B1D" w:rsidP="00813CB3">
            <w:pPr>
              <w:spacing w:line="276" w:lineRule="auto"/>
              <w:jc w:val="right"/>
              <w:rPr>
                <w:sz w:val="22"/>
                <w:szCs w:val="22"/>
              </w:rPr>
            </w:pPr>
          </w:p>
        </w:tc>
        <w:tc>
          <w:tcPr>
            <w:tcW w:w="1013" w:type="dxa"/>
          </w:tcPr>
          <w:p w14:paraId="63D5F662" w14:textId="77777777" w:rsidR="008B6B1D" w:rsidRPr="009515D2" w:rsidRDefault="008B6B1D" w:rsidP="00813CB3">
            <w:pPr>
              <w:spacing w:line="276" w:lineRule="auto"/>
              <w:jc w:val="right"/>
              <w:rPr>
                <w:b/>
                <w:bCs/>
                <w:sz w:val="22"/>
                <w:szCs w:val="22"/>
              </w:rPr>
            </w:pPr>
          </w:p>
        </w:tc>
        <w:tc>
          <w:tcPr>
            <w:tcW w:w="996" w:type="dxa"/>
          </w:tcPr>
          <w:p w14:paraId="225A0C88" w14:textId="77777777" w:rsidR="008B6B1D" w:rsidRPr="009515D2" w:rsidRDefault="008B6B1D" w:rsidP="00813CB3">
            <w:pPr>
              <w:spacing w:line="276" w:lineRule="auto"/>
              <w:jc w:val="right"/>
              <w:rPr>
                <w:sz w:val="22"/>
                <w:szCs w:val="22"/>
              </w:rPr>
            </w:pPr>
          </w:p>
        </w:tc>
        <w:tc>
          <w:tcPr>
            <w:tcW w:w="1012" w:type="dxa"/>
          </w:tcPr>
          <w:p w14:paraId="739F8BB4" w14:textId="77777777" w:rsidR="008B6B1D" w:rsidRPr="009515D2" w:rsidRDefault="008B6B1D" w:rsidP="00813CB3">
            <w:pPr>
              <w:spacing w:line="276" w:lineRule="auto"/>
              <w:jc w:val="right"/>
              <w:rPr>
                <w:sz w:val="22"/>
                <w:szCs w:val="22"/>
              </w:rPr>
            </w:pPr>
          </w:p>
        </w:tc>
      </w:tr>
      <w:tr w:rsidR="008B6B1D" w:rsidRPr="009515D2" w14:paraId="7C7241A4" w14:textId="77777777" w:rsidTr="00813CB3">
        <w:tc>
          <w:tcPr>
            <w:tcW w:w="1980" w:type="dxa"/>
          </w:tcPr>
          <w:p w14:paraId="2D711D2E" w14:textId="77777777" w:rsidR="008B6B1D" w:rsidRPr="009515D2" w:rsidRDefault="008B6B1D" w:rsidP="00813CB3">
            <w:pPr>
              <w:spacing w:line="276" w:lineRule="auto"/>
              <w:jc w:val="right"/>
              <w:rPr>
                <w:sz w:val="22"/>
                <w:szCs w:val="22"/>
              </w:rPr>
            </w:pPr>
            <w:r w:rsidRPr="009515D2">
              <w:rPr>
                <w:sz w:val="22"/>
                <w:szCs w:val="22"/>
              </w:rPr>
              <w:t>Inoculation (I)</w:t>
            </w:r>
          </w:p>
        </w:tc>
        <w:tc>
          <w:tcPr>
            <w:tcW w:w="536" w:type="dxa"/>
          </w:tcPr>
          <w:p w14:paraId="6779289A"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Pr>
          <w:p w14:paraId="2E17934F" w14:textId="77777777" w:rsidR="008B6B1D" w:rsidRPr="009515D2" w:rsidRDefault="008B6B1D" w:rsidP="00813CB3">
            <w:pPr>
              <w:spacing w:line="276" w:lineRule="auto"/>
              <w:jc w:val="right"/>
              <w:rPr>
                <w:sz w:val="22"/>
                <w:szCs w:val="22"/>
              </w:rPr>
            </w:pPr>
            <w:r w:rsidRPr="009515D2">
              <w:rPr>
                <w:sz w:val="22"/>
                <w:szCs w:val="22"/>
              </w:rPr>
              <w:t>31.13</w:t>
            </w:r>
          </w:p>
        </w:tc>
        <w:tc>
          <w:tcPr>
            <w:tcW w:w="1012" w:type="dxa"/>
          </w:tcPr>
          <w:p w14:paraId="597AFEBC"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5E8B659C" w14:textId="77777777" w:rsidR="008B6B1D" w:rsidRPr="009515D2" w:rsidRDefault="008B6B1D" w:rsidP="00813CB3">
            <w:pPr>
              <w:spacing w:line="276" w:lineRule="auto"/>
              <w:jc w:val="right"/>
              <w:rPr>
                <w:sz w:val="22"/>
                <w:szCs w:val="22"/>
              </w:rPr>
            </w:pPr>
            <w:r w:rsidRPr="009515D2">
              <w:rPr>
                <w:sz w:val="22"/>
                <w:szCs w:val="22"/>
              </w:rPr>
              <w:t>30.79</w:t>
            </w:r>
          </w:p>
        </w:tc>
        <w:tc>
          <w:tcPr>
            <w:tcW w:w="1013" w:type="dxa"/>
          </w:tcPr>
          <w:p w14:paraId="24C6006B" w14:textId="77777777" w:rsidR="008B6B1D" w:rsidRPr="009515D2" w:rsidRDefault="008B6B1D" w:rsidP="00813CB3">
            <w:pPr>
              <w:spacing w:line="276" w:lineRule="auto"/>
              <w:jc w:val="right"/>
              <w:rPr>
                <w:b/>
                <w:bCs/>
                <w:sz w:val="22"/>
                <w:szCs w:val="22"/>
              </w:rPr>
            </w:pPr>
            <w:r w:rsidRPr="009515D2">
              <w:rPr>
                <w:b/>
                <w:bCs/>
                <w:sz w:val="22"/>
                <w:szCs w:val="22"/>
              </w:rPr>
              <w:t>&lt;0.001</w:t>
            </w:r>
          </w:p>
        </w:tc>
        <w:tc>
          <w:tcPr>
            <w:tcW w:w="996" w:type="dxa"/>
          </w:tcPr>
          <w:p w14:paraId="5B0ACE2E" w14:textId="77777777" w:rsidR="008B6B1D" w:rsidRPr="009515D2" w:rsidRDefault="008B6B1D" w:rsidP="00813CB3">
            <w:pPr>
              <w:spacing w:line="276" w:lineRule="auto"/>
              <w:jc w:val="right"/>
              <w:rPr>
                <w:sz w:val="22"/>
                <w:szCs w:val="22"/>
              </w:rPr>
            </w:pPr>
            <w:r w:rsidRPr="009515D2">
              <w:rPr>
                <w:sz w:val="22"/>
                <w:szCs w:val="22"/>
              </w:rPr>
              <w:t>3.27</w:t>
            </w:r>
          </w:p>
        </w:tc>
        <w:tc>
          <w:tcPr>
            <w:tcW w:w="1013" w:type="dxa"/>
          </w:tcPr>
          <w:p w14:paraId="48949539" w14:textId="77777777" w:rsidR="008B6B1D" w:rsidRPr="009515D2" w:rsidRDefault="008B6B1D" w:rsidP="00813CB3">
            <w:pPr>
              <w:spacing w:line="276" w:lineRule="auto"/>
              <w:jc w:val="right"/>
              <w:rPr>
                <w:i/>
                <w:iCs/>
                <w:sz w:val="22"/>
                <w:szCs w:val="22"/>
              </w:rPr>
            </w:pPr>
            <w:r w:rsidRPr="009515D2">
              <w:rPr>
                <w:i/>
                <w:iCs/>
                <w:sz w:val="22"/>
                <w:szCs w:val="22"/>
              </w:rPr>
              <w:t>0.071</w:t>
            </w:r>
          </w:p>
        </w:tc>
        <w:tc>
          <w:tcPr>
            <w:tcW w:w="996" w:type="dxa"/>
          </w:tcPr>
          <w:p w14:paraId="072D95BC" w14:textId="77777777" w:rsidR="008B6B1D" w:rsidRPr="009515D2" w:rsidRDefault="008B6B1D" w:rsidP="00813CB3">
            <w:pPr>
              <w:spacing w:line="276" w:lineRule="auto"/>
              <w:jc w:val="right"/>
              <w:rPr>
                <w:sz w:val="22"/>
                <w:szCs w:val="22"/>
              </w:rPr>
            </w:pPr>
          </w:p>
        </w:tc>
        <w:tc>
          <w:tcPr>
            <w:tcW w:w="1013" w:type="dxa"/>
          </w:tcPr>
          <w:p w14:paraId="7AD60198" w14:textId="77777777" w:rsidR="008B6B1D" w:rsidRPr="009515D2" w:rsidRDefault="008B6B1D" w:rsidP="00813CB3">
            <w:pPr>
              <w:spacing w:line="276" w:lineRule="auto"/>
              <w:jc w:val="right"/>
              <w:rPr>
                <w:b/>
                <w:bCs/>
                <w:sz w:val="22"/>
                <w:szCs w:val="22"/>
              </w:rPr>
            </w:pPr>
          </w:p>
        </w:tc>
        <w:tc>
          <w:tcPr>
            <w:tcW w:w="996" w:type="dxa"/>
          </w:tcPr>
          <w:p w14:paraId="7F081C2D" w14:textId="77777777" w:rsidR="008B6B1D" w:rsidRPr="009515D2" w:rsidRDefault="008B6B1D" w:rsidP="00813CB3">
            <w:pPr>
              <w:spacing w:line="276" w:lineRule="auto"/>
              <w:jc w:val="right"/>
              <w:rPr>
                <w:sz w:val="22"/>
                <w:szCs w:val="22"/>
              </w:rPr>
            </w:pPr>
          </w:p>
        </w:tc>
        <w:tc>
          <w:tcPr>
            <w:tcW w:w="1012" w:type="dxa"/>
          </w:tcPr>
          <w:p w14:paraId="752DE334" w14:textId="77777777" w:rsidR="008B6B1D" w:rsidRPr="009515D2" w:rsidRDefault="008B6B1D" w:rsidP="00813CB3">
            <w:pPr>
              <w:spacing w:line="276" w:lineRule="auto"/>
              <w:jc w:val="right"/>
              <w:rPr>
                <w:sz w:val="22"/>
                <w:szCs w:val="22"/>
              </w:rPr>
            </w:pPr>
          </w:p>
        </w:tc>
      </w:tr>
      <w:tr w:rsidR="008B6B1D" w:rsidRPr="009515D2" w14:paraId="453E0AC4" w14:textId="77777777" w:rsidTr="00813CB3">
        <w:tc>
          <w:tcPr>
            <w:tcW w:w="1980" w:type="dxa"/>
            <w:tcBorders>
              <w:bottom w:val="single" w:sz="4" w:space="0" w:color="auto"/>
            </w:tcBorders>
          </w:tcPr>
          <w:p w14:paraId="464D253E" w14:textId="77777777" w:rsidR="008B6B1D" w:rsidRPr="009515D2" w:rsidRDefault="008B6B1D" w:rsidP="00813CB3">
            <w:pPr>
              <w:spacing w:line="276" w:lineRule="auto"/>
              <w:jc w:val="right"/>
              <w:rPr>
                <w:sz w:val="22"/>
                <w:szCs w:val="22"/>
              </w:rPr>
            </w:pPr>
            <w:r w:rsidRPr="009515D2">
              <w:rPr>
                <w:sz w:val="22"/>
                <w:szCs w:val="22"/>
              </w:rPr>
              <w:t>N*I</w:t>
            </w:r>
          </w:p>
        </w:tc>
        <w:tc>
          <w:tcPr>
            <w:tcW w:w="536" w:type="dxa"/>
            <w:tcBorders>
              <w:bottom w:val="single" w:sz="4" w:space="0" w:color="auto"/>
            </w:tcBorders>
          </w:tcPr>
          <w:p w14:paraId="189A8E52" w14:textId="77777777" w:rsidR="008B6B1D" w:rsidRPr="009515D2" w:rsidRDefault="008B6B1D" w:rsidP="00813CB3">
            <w:pPr>
              <w:spacing w:line="276" w:lineRule="auto"/>
              <w:jc w:val="right"/>
              <w:rPr>
                <w:sz w:val="22"/>
                <w:szCs w:val="22"/>
              </w:rPr>
            </w:pPr>
            <w:r w:rsidRPr="009515D2">
              <w:rPr>
                <w:sz w:val="22"/>
                <w:szCs w:val="22"/>
              </w:rPr>
              <w:t>1</w:t>
            </w:r>
          </w:p>
        </w:tc>
        <w:tc>
          <w:tcPr>
            <w:tcW w:w="996" w:type="dxa"/>
            <w:tcBorders>
              <w:bottom w:val="single" w:sz="4" w:space="0" w:color="auto"/>
            </w:tcBorders>
          </w:tcPr>
          <w:p w14:paraId="7C52AE9C" w14:textId="77777777" w:rsidR="008B6B1D" w:rsidRPr="009515D2" w:rsidRDefault="008B6B1D" w:rsidP="00813CB3">
            <w:pPr>
              <w:spacing w:line="276" w:lineRule="auto"/>
              <w:jc w:val="right"/>
              <w:rPr>
                <w:sz w:val="22"/>
                <w:szCs w:val="22"/>
              </w:rPr>
            </w:pPr>
            <w:r w:rsidRPr="009515D2">
              <w:rPr>
                <w:sz w:val="22"/>
                <w:szCs w:val="22"/>
              </w:rPr>
              <w:t>0.76</w:t>
            </w:r>
          </w:p>
        </w:tc>
        <w:tc>
          <w:tcPr>
            <w:tcW w:w="1012" w:type="dxa"/>
            <w:tcBorders>
              <w:bottom w:val="single" w:sz="4" w:space="0" w:color="auto"/>
            </w:tcBorders>
          </w:tcPr>
          <w:p w14:paraId="0B019A2D" w14:textId="77777777" w:rsidR="008B6B1D" w:rsidRPr="009515D2" w:rsidRDefault="008B6B1D" w:rsidP="00813CB3">
            <w:pPr>
              <w:spacing w:line="276" w:lineRule="auto"/>
              <w:jc w:val="right"/>
              <w:rPr>
                <w:sz w:val="22"/>
                <w:szCs w:val="22"/>
              </w:rPr>
            </w:pPr>
            <w:r w:rsidRPr="009515D2">
              <w:rPr>
                <w:sz w:val="22"/>
                <w:szCs w:val="22"/>
              </w:rPr>
              <w:t>0.383</w:t>
            </w:r>
          </w:p>
        </w:tc>
        <w:tc>
          <w:tcPr>
            <w:tcW w:w="996" w:type="dxa"/>
            <w:tcBorders>
              <w:bottom w:val="single" w:sz="4" w:space="0" w:color="auto"/>
            </w:tcBorders>
          </w:tcPr>
          <w:p w14:paraId="57845B6E" w14:textId="77777777" w:rsidR="008B6B1D" w:rsidRPr="009515D2" w:rsidRDefault="008B6B1D" w:rsidP="00813CB3">
            <w:pPr>
              <w:spacing w:line="276" w:lineRule="auto"/>
              <w:jc w:val="right"/>
              <w:rPr>
                <w:sz w:val="22"/>
                <w:szCs w:val="22"/>
              </w:rPr>
            </w:pPr>
            <w:r w:rsidRPr="009515D2">
              <w:rPr>
                <w:sz w:val="22"/>
                <w:szCs w:val="22"/>
              </w:rPr>
              <w:t>1.01</w:t>
            </w:r>
          </w:p>
        </w:tc>
        <w:tc>
          <w:tcPr>
            <w:tcW w:w="1013" w:type="dxa"/>
            <w:tcBorders>
              <w:bottom w:val="single" w:sz="4" w:space="0" w:color="auto"/>
            </w:tcBorders>
          </w:tcPr>
          <w:p w14:paraId="0BB475D0" w14:textId="77777777" w:rsidR="008B6B1D" w:rsidRPr="009515D2" w:rsidRDefault="008B6B1D" w:rsidP="00813CB3">
            <w:pPr>
              <w:spacing w:line="276" w:lineRule="auto"/>
              <w:jc w:val="right"/>
              <w:rPr>
                <w:sz w:val="22"/>
                <w:szCs w:val="22"/>
              </w:rPr>
            </w:pPr>
            <w:r w:rsidRPr="009515D2">
              <w:rPr>
                <w:sz w:val="22"/>
                <w:szCs w:val="22"/>
              </w:rPr>
              <w:t>0.316</w:t>
            </w:r>
          </w:p>
        </w:tc>
        <w:tc>
          <w:tcPr>
            <w:tcW w:w="996" w:type="dxa"/>
            <w:tcBorders>
              <w:bottom w:val="single" w:sz="4" w:space="0" w:color="auto"/>
            </w:tcBorders>
          </w:tcPr>
          <w:p w14:paraId="251860CA" w14:textId="77777777" w:rsidR="008B6B1D" w:rsidRPr="009515D2" w:rsidRDefault="008B6B1D" w:rsidP="00813CB3">
            <w:pPr>
              <w:spacing w:line="276" w:lineRule="auto"/>
              <w:jc w:val="right"/>
              <w:rPr>
                <w:sz w:val="22"/>
                <w:szCs w:val="22"/>
              </w:rPr>
            </w:pPr>
            <w:r w:rsidRPr="009515D2">
              <w:rPr>
                <w:sz w:val="22"/>
                <w:szCs w:val="22"/>
              </w:rPr>
              <w:t>0.25</w:t>
            </w:r>
          </w:p>
        </w:tc>
        <w:tc>
          <w:tcPr>
            <w:tcW w:w="1013" w:type="dxa"/>
            <w:tcBorders>
              <w:bottom w:val="single" w:sz="4" w:space="0" w:color="auto"/>
            </w:tcBorders>
          </w:tcPr>
          <w:p w14:paraId="3345F003" w14:textId="77777777" w:rsidR="008B6B1D" w:rsidRPr="009515D2" w:rsidRDefault="008B6B1D" w:rsidP="00813CB3">
            <w:pPr>
              <w:spacing w:line="276" w:lineRule="auto"/>
              <w:jc w:val="right"/>
              <w:rPr>
                <w:sz w:val="22"/>
                <w:szCs w:val="22"/>
              </w:rPr>
            </w:pPr>
            <w:r w:rsidRPr="009515D2">
              <w:rPr>
                <w:sz w:val="22"/>
                <w:szCs w:val="22"/>
              </w:rPr>
              <w:t>0.614</w:t>
            </w:r>
          </w:p>
        </w:tc>
        <w:tc>
          <w:tcPr>
            <w:tcW w:w="996" w:type="dxa"/>
          </w:tcPr>
          <w:p w14:paraId="1D1579A2" w14:textId="77777777" w:rsidR="008B6B1D" w:rsidRPr="009515D2" w:rsidRDefault="008B6B1D" w:rsidP="00813CB3">
            <w:pPr>
              <w:spacing w:line="276" w:lineRule="auto"/>
              <w:jc w:val="right"/>
              <w:rPr>
                <w:sz w:val="22"/>
                <w:szCs w:val="22"/>
              </w:rPr>
            </w:pPr>
          </w:p>
        </w:tc>
        <w:tc>
          <w:tcPr>
            <w:tcW w:w="1013" w:type="dxa"/>
          </w:tcPr>
          <w:p w14:paraId="5BE80DD2" w14:textId="77777777" w:rsidR="008B6B1D" w:rsidRPr="009515D2" w:rsidRDefault="008B6B1D" w:rsidP="00813CB3">
            <w:pPr>
              <w:spacing w:line="276" w:lineRule="auto"/>
              <w:jc w:val="right"/>
              <w:rPr>
                <w:b/>
                <w:bCs/>
                <w:sz w:val="22"/>
                <w:szCs w:val="22"/>
              </w:rPr>
            </w:pPr>
          </w:p>
        </w:tc>
        <w:tc>
          <w:tcPr>
            <w:tcW w:w="996" w:type="dxa"/>
          </w:tcPr>
          <w:p w14:paraId="7067268D" w14:textId="77777777" w:rsidR="008B6B1D" w:rsidRPr="009515D2" w:rsidRDefault="008B6B1D" w:rsidP="00813CB3">
            <w:pPr>
              <w:spacing w:line="276" w:lineRule="auto"/>
              <w:jc w:val="right"/>
              <w:rPr>
                <w:sz w:val="22"/>
                <w:szCs w:val="22"/>
              </w:rPr>
            </w:pPr>
          </w:p>
        </w:tc>
        <w:tc>
          <w:tcPr>
            <w:tcW w:w="1012" w:type="dxa"/>
          </w:tcPr>
          <w:p w14:paraId="403ED354" w14:textId="77777777" w:rsidR="008B6B1D" w:rsidRPr="009515D2" w:rsidRDefault="008B6B1D" w:rsidP="00813CB3">
            <w:pPr>
              <w:spacing w:line="276" w:lineRule="auto"/>
              <w:jc w:val="right"/>
              <w:rPr>
                <w:sz w:val="22"/>
                <w:szCs w:val="22"/>
              </w:rPr>
            </w:pPr>
          </w:p>
        </w:tc>
      </w:tr>
    </w:tbl>
    <w:p w14:paraId="782FE574" w14:textId="77777777" w:rsidR="008B6B1D" w:rsidRDefault="008B6B1D" w:rsidP="008B6B1D">
      <w:pPr>
        <w:spacing w:line="480" w:lineRule="auto"/>
      </w:pPr>
    </w:p>
    <w:p w14:paraId="608294B1" w14:textId="77777777" w:rsidR="008B6B1D" w:rsidRDefault="008B6B1D" w:rsidP="008B6B1D">
      <w:pPr>
        <w:spacing w:line="48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p>
    <w:p w14:paraId="0C8F2664" w14:textId="77777777" w:rsidR="008B6B1D" w:rsidRPr="006D1951" w:rsidRDefault="008B6B1D" w:rsidP="008B6B1D">
      <w:pPr>
        <w:spacing w:line="480" w:lineRule="auto"/>
        <w:rPr>
          <w:b/>
          <w:bCs/>
        </w:rPr>
      </w:pPr>
    </w:p>
    <w:p w14:paraId="6AC086DE" w14:textId="77777777" w:rsidR="008B6B1D" w:rsidRDefault="008B6B1D" w:rsidP="008B6B1D">
      <w:pPr>
        <w:spacing w:line="480" w:lineRule="auto"/>
        <w:rPr>
          <w:b/>
          <w:bCs/>
        </w:rPr>
        <w:sectPr w:rsidR="008B6B1D" w:rsidSect="00451ED1">
          <w:pgSz w:w="15840" w:h="12240" w:orient="landscape"/>
          <w:pgMar w:top="1440" w:right="1440" w:bottom="1440" w:left="1440" w:header="720" w:footer="720" w:gutter="0"/>
          <w:lnNumType w:countBy="1" w:restart="continuous"/>
          <w:cols w:space="720"/>
          <w:docGrid w:linePitch="360"/>
        </w:sectPr>
      </w:pPr>
    </w:p>
    <w:p w14:paraId="7702E9DB" w14:textId="3AA8190E" w:rsidR="008B6B1D" w:rsidRDefault="008B6B1D" w:rsidP="008B6B1D">
      <w:pPr>
        <w:spacing w:line="480" w:lineRule="auto"/>
        <w:rPr>
          <w:b/>
          <w:bCs/>
        </w:rPr>
      </w:pPr>
      <w:r>
        <w:rPr>
          <w:b/>
          <w:bCs/>
        </w:rPr>
        <w:lastRenderedPageBreak/>
        <w:t xml:space="preserve">Figure </w:t>
      </w:r>
      <w:r w:rsidR="00876B7A">
        <w:rPr>
          <w:b/>
          <w:bCs/>
        </w:rPr>
        <w:t>1</w:t>
      </w:r>
    </w:p>
    <w:p w14:paraId="45D27663" w14:textId="29339ADF" w:rsidR="008B6B1D" w:rsidRDefault="008B6B1D" w:rsidP="008B6B1D">
      <w:pPr>
        <w:spacing w:line="480" w:lineRule="auto"/>
        <w:rPr>
          <w:b/>
          <w:bCs/>
        </w:rPr>
      </w:pPr>
      <w:commentRangeStart w:id="4"/>
      <w:commentRangeEnd w:id="4"/>
      <w:r>
        <w:rPr>
          <w:rStyle w:val="CommentReference"/>
          <w:rFonts w:eastAsia="Times New Roman" w:cs="Times New Roman"/>
        </w:rPr>
        <w:commentReference w:id="4"/>
      </w:r>
    </w:p>
    <w:p w14:paraId="4CE47144" w14:textId="043886E6" w:rsidR="008B6B1D" w:rsidRDefault="008B6B1D" w:rsidP="008B6B1D">
      <w:pPr>
        <w:spacing w:line="480" w:lineRule="auto"/>
      </w:pPr>
      <w:r>
        <w:rPr>
          <w:b/>
          <w:bCs/>
        </w:rPr>
        <w:t xml:space="preserve">Figure </w:t>
      </w:r>
      <w:r w:rsidR="001A31D4">
        <w:rPr>
          <w:b/>
          <w:bCs/>
        </w:rPr>
        <w:t>1</w:t>
      </w:r>
      <w:r>
        <w:t xml:space="preserve"> </w:t>
      </w:r>
      <w:r w:rsidRPr="001B10F7">
        <w:t>Effects</w:t>
      </w:r>
      <w:r>
        <w:t xml:space="preserve"> of soil nitrogen fertilization and inoculation on </w:t>
      </w:r>
      <w:r>
        <w:rPr>
          <w:i/>
          <w:iCs/>
        </w:rPr>
        <w:t>G. max</w:t>
      </w:r>
      <w:r>
        <w:t xml:space="preserve"> structural carbon costs to acquire nitrogen (“</w:t>
      </w:r>
      <w:proofErr w:type="spellStart"/>
      <w:r>
        <w:rPr>
          <w:i/>
          <w:iCs/>
        </w:rPr>
        <w:t>N</w:t>
      </w:r>
      <w:r>
        <w:rPr>
          <w:vertAlign w:val="subscript"/>
        </w:rPr>
        <w:t>cost</w:t>
      </w:r>
      <w:proofErr w:type="spellEnd"/>
      <w:r>
        <w:t>”; panel A), belowground carbon biomass (“</w:t>
      </w:r>
      <w:proofErr w:type="spellStart"/>
      <w:r>
        <w:rPr>
          <w:i/>
          <w:iCs/>
        </w:rPr>
        <w:t>C</w:t>
      </w:r>
      <w:r>
        <w:rPr>
          <w:vertAlign w:val="subscript"/>
        </w:rPr>
        <w:t>bg</w:t>
      </w:r>
      <w:proofErr w:type="spellEnd"/>
      <w:r>
        <w:t>”; panel B), and whole plant nitrogen biomass (“</w:t>
      </w:r>
      <w:r>
        <w:rPr>
          <w:i/>
          <w:iCs/>
        </w:rPr>
        <w:t>N</w:t>
      </w:r>
      <w:r>
        <w:rPr>
          <w:vertAlign w:val="subscript"/>
        </w:rPr>
        <w:t>ag</w:t>
      </w:r>
      <w:r>
        <w:t xml:space="preserve"> + </w:t>
      </w:r>
      <w:proofErr w:type="spellStart"/>
      <w:r>
        <w:rPr>
          <w:i/>
          <w:iCs/>
        </w:rPr>
        <w:t>N</w:t>
      </w:r>
      <w:r>
        <w:rPr>
          <w:vertAlign w:val="subscript"/>
        </w:rPr>
        <w:t>bg</w:t>
      </w:r>
      <w:proofErr w:type="spellEnd"/>
      <w:r>
        <w:t>”; panel C). Soil nitrogen fertilization is represented categorically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Pr>
          <w:rFonts w:eastAsia="Times New Roman" w:cs="Times New Roman"/>
          <w:color w:val="000000" w:themeColor="text1"/>
        </w:rPr>
        <w:t>p</w:t>
      </w:r>
      <w:r w:rsidRPr="6E1ABADC">
        <w:rPr>
          <w:rFonts w:eastAsia="Times New Roman" w:cs="Times New Roman"/>
          <w:color w:val="000000" w:themeColor="text1"/>
        </w:rPr>
        <w:t>&lt;0.05).</w:t>
      </w:r>
    </w:p>
    <w:p w14:paraId="72DA282C" w14:textId="77777777" w:rsidR="008B6B1D" w:rsidRPr="00E256F3" w:rsidRDefault="008B6B1D" w:rsidP="008B6B1D">
      <w:pPr>
        <w:spacing w:line="480" w:lineRule="auto"/>
      </w:pPr>
      <w:r>
        <w:rPr>
          <w:b/>
          <w:bCs/>
        </w:rPr>
        <w:br w:type="page"/>
      </w:r>
    </w:p>
    <w:p w14:paraId="36442475" w14:textId="77777777" w:rsidR="008B6B1D" w:rsidRPr="00322974" w:rsidRDefault="008B6B1D" w:rsidP="008B6B1D">
      <w:pPr>
        <w:spacing w:line="480" w:lineRule="auto"/>
        <w:rPr>
          <w:i/>
          <w:iCs/>
        </w:rPr>
      </w:pPr>
      <w:r w:rsidRPr="00322974">
        <w:rPr>
          <w:i/>
          <w:iCs/>
        </w:rPr>
        <w:lastRenderedPageBreak/>
        <w:t>Whole plant processes</w:t>
      </w:r>
    </w:p>
    <w:p w14:paraId="6F377BBC" w14:textId="2F7D182F" w:rsidR="008B6B1D" w:rsidRDefault="008B6B1D" w:rsidP="008B6B1D">
      <w:pPr>
        <w:spacing w:line="480" w:lineRule="auto"/>
        <w:ind w:firstLine="720"/>
      </w:pPr>
      <w:r>
        <w:t xml:space="preserve">Total leaf area was driven by a strong interaction between nitrogen fertilization and inoculation (Table </w:t>
      </w:r>
      <w:r w:rsidR="00D14794">
        <w:t>1</w:t>
      </w:r>
      <w:r>
        <w:t xml:space="preserve">; Fig. </w:t>
      </w:r>
      <w:r w:rsidR="00D14794">
        <w:t>2</w:t>
      </w:r>
      <w:r>
        <w:t>A). This interaction indicated that inoculated individuals grown under low nitrogen fertilization (829.2</w:t>
      </w:r>
      <w:r w:rsidRPr="008E75B9">
        <w:sym w:font="Symbol" w:char="F0B1"/>
      </w:r>
      <w:r>
        <w:t>30.5 cm</w:t>
      </w:r>
      <w:r>
        <w:rPr>
          <w:vertAlign w:val="superscript"/>
        </w:rPr>
        <w:t>2</w:t>
      </w:r>
      <w:r>
        <w:t>) had 59.7% higher total leaf area than non-inoculated individuals also grown under low nitrogen fertilization (519.2</w:t>
      </w:r>
      <w:r w:rsidRPr="008E75B9">
        <w:sym w:font="Symbol" w:char="F0B1"/>
      </w:r>
      <w:r>
        <w:t>30.5 cm</w:t>
      </w:r>
      <w:r>
        <w:rPr>
          <w:vertAlign w:val="superscript"/>
        </w:rPr>
        <w:t>2</w:t>
      </w:r>
      <w:r>
        <w:t>; Tukey: p&lt;0.001), with no difference between inoculation treatments under high nitrogen fertilization (Tukey: p=0.631). Nitrogen fertilization also increased total leaf area, where individuals grown under high nitrogen fertilization (1196.3</w:t>
      </w:r>
      <w:r w:rsidRPr="008E75B9">
        <w:sym w:font="Symbol" w:char="F0B1"/>
      </w:r>
      <w:r>
        <w:t>21.6 cm</w:t>
      </w:r>
      <w:r>
        <w:rPr>
          <w:vertAlign w:val="superscript"/>
        </w:rPr>
        <w:t>2</w:t>
      </w:r>
      <w:r>
        <w:t>) had 77.4% higher total leaf area than those grown under low nitrogen fertilization (674.2</w:t>
      </w:r>
      <w:r w:rsidRPr="008E75B9">
        <w:sym w:font="Symbol" w:char="F0B1"/>
      </w:r>
      <w:r>
        <w:t>21.6 cm</w:t>
      </w:r>
      <w:r>
        <w:rPr>
          <w:vertAlign w:val="superscript"/>
        </w:rPr>
        <w:t>2</w:t>
      </w:r>
      <w:r>
        <w:t>; Tukey: p&lt;0.001). Inoculation also increased total leaf area, where inoculated individuals (1025.7</w:t>
      </w:r>
      <w:r w:rsidRPr="008E75B9">
        <w:sym w:font="Symbol" w:char="F0B1"/>
      </w:r>
      <w:r>
        <w:t>21.6</w:t>
      </w:r>
      <w:r w:rsidRPr="0091473E">
        <w:t xml:space="preserve"> </w:t>
      </w:r>
      <w:r>
        <w:t>cm</w:t>
      </w:r>
      <w:r>
        <w:rPr>
          <w:vertAlign w:val="superscript"/>
        </w:rPr>
        <w:t>2</w:t>
      </w:r>
      <w:r>
        <w:t>) had 21.4 higher total leaf area than non-inoculated individuals (844.8</w:t>
      </w:r>
      <w:r w:rsidRPr="008E75B9">
        <w:sym w:font="Symbol" w:char="F0B1"/>
      </w:r>
      <w:r>
        <w:t>21.6</w:t>
      </w:r>
      <w:r w:rsidR="00D14794">
        <w:t xml:space="preserve"> </w:t>
      </w:r>
      <w:r w:rsidR="00D14794">
        <w:t>cm</w:t>
      </w:r>
      <w:r w:rsidR="00D14794">
        <w:rPr>
          <w:vertAlign w:val="superscript"/>
        </w:rPr>
        <w:t>2</w:t>
      </w:r>
      <w:r>
        <w:t>; Tukey: p&lt;0.001).</w:t>
      </w:r>
    </w:p>
    <w:p w14:paraId="3E92D654" w14:textId="4858F27D" w:rsidR="008B6B1D" w:rsidRDefault="008B6B1D" w:rsidP="008B6B1D">
      <w:pPr>
        <w:spacing w:line="480" w:lineRule="auto"/>
        <w:ind w:firstLine="720"/>
      </w:pPr>
      <w:r>
        <w:t>Whole plant biomass was driven by nitrogen fertilization (Table 5; Fig. 5B), where individuals grown under high nitrogen fertilization (5.24</w:t>
      </w:r>
      <w:r w:rsidRPr="008E75B9">
        <w:sym w:font="Symbol" w:char="F0B1"/>
      </w:r>
      <w:r>
        <w:t>0.23 g) had 55.5% higher whole plant biomass than those grown under low nitrogen fertilization (3.37</w:t>
      </w:r>
      <w:r w:rsidRPr="008E75B9">
        <w:sym w:font="Symbol" w:char="F0B1"/>
      </w:r>
      <w:r>
        <w:t xml:space="preserve">0.14 g; Tukey: p&lt;0.001). There was no observable inoculation effect nor was there any interaction between inoculation and nitrogen fertilization (Table </w:t>
      </w:r>
      <w:r w:rsidR="00D14794">
        <w:t>1</w:t>
      </w:r>
      <w:r>
        <w:t xml:space="preserve">; Fig. </w:t>
      </w:r>
      <w:r w:rsidR="00D14794">
        <w:t>2</w:t>
      </w:r>
      <w:r>
        <w:t>B).</w:t>
      </w:r>
    </w:p>
    <w:p w14:paraId="2235383F" w14:textId="77777777" w:rsidR="008B6B1D" w:rsidRDefault="008B6B1D" w:rsidP="008B6B1D">
      <w:pPr>
        <w:rPr>
          <w:b/>
          <w:bCs/>
        </w:rPr>
      </w:pPr>
      <w:r>
        <w:rPr>
          <w:b/>
          <w:bCs/>
        </w:rPr>
        <w:br w:type="page"/>
      </w:r>
    </w:p>
    <w:p w14:paraId="6EBB99A8" w14:textId="05950991" w:rsidR="008B6B1D" w:rsidRDefault="008B6B1D" w:rsidP="008B6B1D">
      <w:pPr>
        <w:spacing w:line="480" w:lineRule="auto"/>
        <w:rPr>
          <w:b/>
          <w:bCs/>
        </w:rPr>
      </w:pPr>
      <w:r>
        <w:rPr>
          <w:b/>
          <w:bCs/>
        </w:rPr>
        <w:lastRenderedPageBreak/>
        <w:t xml:space="preserve">Figure </w:t>
      </w:r>
      <w:r w:rsidR="00F640C8">
        <w:rPr>
          <w:b/>
          <w:bCs/>
        </w:rPr>
        <w:t>2</w:t>
      </w:r>
    </w:p>
    <w:p w14:paraId="2E02BAE4" w14:textId="06CC0167" w:rsidR="008B6B1D" w:rsidRDefault="008B6B1D" w:rsidP="008B6B1D">
      <w:pPr>
        <w:spacing w:line="480" w:lineRule="auto"/>
        <w:rPr>
          <w:b/>
          <w:bCs/>
        </w:rPr>
      </w:pPr>
    </w:p>
    <w:p w14:paraId="39C89638" w14:textId="0A69708C" w:rsidR="008B6B1D" w:rsidRDefault="008B6B1D" w:rsidP="008B6B1D">
      <w:pPr>
        <w:spacing w:line="480" w:lineRule="auto"/>
        <w:rPr>
          <w:b/>
          <w:bCs/>
        </w:rPr>
      </w:pPr>
      <w:r>
        <w:rPr>
          <w:b/>
          <w:bCs/>
        </w:rPr>
        <w:t xml:space="preserve">Figure </w:t>
      </w:r>
      <w:r w:rsidR="00F640C8">
        <w:rPr>
          <w:b/>
          <w:bCs/>
        </w:rPr>
        <w:t>2</w:t>
      </w:r>
      <w:r>
        <w:t xml:space="preserve"> </w:t>
      </w:r>
      <w:r w:rsidRPr="001B10F7">
        <w:t>Effects</w:t>
      </w:r>
      <w:r>
        <w:t xml:space="preserve"> of soil nitrogen fertilization and inoculation on </w:t>
      </w:r>
      <w:r>
        <w:rPr>
          <w:i/>
          <w:iCs/>
        </w:rPr>
        <w:t>G. max</w:t>
      </w:r>
      <w:r>
        <w:t xml:space="preserve"> total leaf area (panel A) and whole plant biomass</w:t>
      </w:r>
      <w:r>
        <w:rPr>
          <w:color w:val="000000"/>
        </w:rPr>
        <w:t xml:space="preserve"> (panel B)</w:t>
      </w:r>
      <w:r>
        <w:t>. Soil nitrogen fertilization is represented categorically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Pr>
          <w:rFonts w:eastAsia="Times New Roman" w:cs="Times New Roman"/>
          <w:color w:val="000000" w:themeColor="text1"/>
        </w:rPr>
        <w:t>p</w:t>
      </w:r>
      <w:r w:rsidRPr="6E1ABADC">
        <w:rPr>
          <w:rFonts w:eastAsia="Times New Roman" w:cs="Times New Roman"/>
          <w:color w:val="000000" w:themeColor="text1"/>
        </w:rPr>
        <w:t>&lt;0.05).</w:t>
      </w:r>
    </w:p>
    <w:p w14:paraId="5F37B091" w14:textId="77777777" w:rsidR="008B6B1D" w:rsidRDefault="008B6B1D" w:rsidP="008B6B1D">
      <w:pPr>
        <w:spacing w:line="480" w:lineRule="auto"/>
        <w:rPr>
          <w:b/>
          <w:bCs/>
        </w:rPr>
      </w:pPr>
      <w:r>
        <w:rPr>
          <w:b/>
          <w:bCs/>
        </w:rPr>
        <w:br w:type="page"/>
      </w:r>
    </w:p>
    <w:p w14:paraId="767D9CCA" w14:textId="77777777" w:rsidR="008B6B1D" w:rsidRDefault="008B6B1D" w:rsidP="008B6B1D">
      <w:pPr>
        <w:spacing w:line="480" w:lineRule="auto"/>
      </w:pPr>
      <w:r>
        <w:rPr>
          <w:i/>
          <w:iCs/>
        </w:rPr>
        <w:lastRenderedPageBreak/>
        <w:t>Plant</w:t>
      </w:r>
      <w:r w:rsidRPr="00E2103C">
        <w:rPr>
          <w:i/>
          <w:iCs/>
        </w:rPr>
        <w:t xml:space="preserve"> investment </w:t>
      </w:r>
      <w:r>
        <w:rPr>
          <w:i/>
          <w:iCs/>
        </w:rPr>
        <w:t>in</w:t>
      </w:r>
      <w:r w:rsidRPr="00E2103C">
        <w:rPr>
          <w:i/>
          <w:iCs/>
        </w:rPr>
        <w:t xml:space="preserve"> nitrogen fixation</w:t>
      </w:r>
    </w:p>
    <w:p w14:paraId="5B1BC2FB" w14:textId="77777777" w:rsidR="00F640C8" w:rsidRDefault="008B6B1D" w:rsidP="008B6B1D">
      <w:pPr>
        <w:spacing w:line="480" w:lineRule="auto"/>
      </w:pPr>
      <w:r>
        <w:tab/>
        <w:t xml:space="preserve">Root nodule biomass: root biomass and root nodule biomass were driven by a positive inoculation effect (Table </w:t>
      </w:r>
      <w:r w:rsidR="00D14794">
        <w:t>1</w:t>
      </w:r>
      <w:r>
        <w:t xml:space="preserve">; Figs. </w:t>
      </w:r>
      <w:r w:rsidR="00D14794">
        <w:t>3</w:t>
      </w:r>
      <w:r>
        <w:t>A-B). Specifically, inoculated individuals (root nodule biomass: root biomass: 0.144</w:t>
      </w:r>
      <w:r w:rsidRPr="008E75B9">
        <w:sym w:font="Symbol" w:char="F0B1"/>
      </w:r>
      <w:r>
        <w:t>0.023; root nodule biomass:</w:t>
      </w:r>
      <w:r w:rsidRPr="00D04ECF">
        <w:t xml:space="preserve"> </w:t>
      </w:r>
      <w:r>
        <w:t>0.0148</w:t>
      </w:r>
      <w:r w:rsidRPr="008E75B9">
        <w:sym w:font="Symbol" w:char="F0B1"/>
      </w:r>
      <w:r>
        <w:t>0.0043</w:t>
      </w:r>
      <w:r w:rsidR="00F640C8">
        <w:t xml:space="preserve"> g</w:t>
      </w:r>
      <w:r>
        <w:t>) had 323.5% and 2366.7% greater root nodule biomass: root biomass and root nodule biomass than non-inoculated individuals (root nodule biomass: root biomass: 0.034</w:t>
      </w:r>
      <w:r w:rsidRPr="008E75B9">
        <w:sym w:font="Symbol" w:char="F0B1"/>
      </w:r>
      <w:r>
        <w:t>0.023; root nodule biomass: 0.0006</w:t>
      </w:r>
      <w:r w:rsidRPr="008E75B9">
        <w:sym w:font="Symbol" w:char="F0B1"/>
      </w:r>
      <w:r>
        <w:t xml:space="preserve">0.0009 g), respectively (Tukey: p&lt;0.001 in both cases). </w:t>
      </w:r>
    </w:p>
    <w:p w14:paraId="4BF4E3B9" w14:textId="1390A77C" w:rsidR="008B6B1D" w:rsidRDefault="008B6B1D" w:rsidP="00F640C8">
      <w:pPr>
        <w:spacing w:line="480" w:lineRule="auto"/>
        <w:ind w:firstLine="720"/>
      </w:pPr>
      <w:r>
        <w:t>There was also a marginal negative effect of inoculation on root biomass, which indicated that inoculated individuals (0.671</w:t>
      </w:r>
      <w:r w:rsidRPr="008E75B9">
        <w:sym w:font="Symbol" w:char="F0B1"/>
      </w:r>
      <w:r>
        <w:t>0.084 g) had 26.9% lower root biomass than non-inoculated individuals (0.918</w:t>
      </w:r>
      <w:r w:rsidRPr="008E75B9">
        <w:sym w:font="Symbol" w:char="F0B1"/>
      </w:r>
      <w:r>
        <w:t xml:space="preserve">0.114 g; Tukey: p=0.081). There was no observable effect of nitrogen fertilization or interaction between nitrogen fertilization and inoculation on root nodule biomass: root biomass, root nodule biomass, or root biomass (Table </w:t>
      </w:r>
      <w:r w:rsidR="00F640C8">
        <w:t>1</w:t>
      </w:r>
      <w:r>
        <w:t>).</w:t>
      </w:r>
    </w:p>
    <w:p w14:paraId="0CD1113E" w14:textId="77777777" w:rsidR="008B6B1D" w:rsidRDefault="008B6B1D" w:rsidP="008B6B1D">
      <w:pPr>
        <w:spacing w:line="360" w:lineRule="auto"/>
      </w:pPr>
      <w:r>
        <w:br w:type="page"/>
      </w:r>
    </w:p>
    <w:p w14:paraId="4B8F339E" w14:textId="4479C829" w:rsidR="008B6B1D" w:rsidRDefault="008B6B1D" w:rsidP="008B6B1D">
      <w:pPr>
        <w:spacing w:line="480" w:lineRule="auto"/>
        <w:rPr>
          <w:b/>
          <w:bCs/>
        </w:rPr>
      </w:pPr>
      <w:r w:rsidRPr="001B21C7">
        <w:rPr>
          <w:b/>
          <w:bCs/>
        </w:rPr>
        <w:lastRenderedPageBreak/>
        <w:t xml:space="preserve">Figure </w:t>
      </w:r>
      <w:r w:rsidR="00F640C8">
        <w:rPr>
          <w:b/>
          <w:bCs/>
        </w:rPr>
        <w:t>3</w:t>
      </w:r>
    </w:p>
    <w:p w14:paraId="7A9DE14C" w14:textId="77777777" w:rsidR="008B6B1D" w:rsidRDefault="008B6B1D" w:rsidP="008B6B1D">
      <w:pPr>
        <w:spacing w:line="480" w:lineRule="auto"/>
        <w:rPr>
          <w:b/>
          <w:bCs/>
        </w:rPr>
      </w:pPr>
    </w:p>
    <w:p w14:paraId="45A28DA9" w14:textId="06240932" w:rsidR="008B6B1D" w:rsidRDefault="008B6B1D" w:rsidP="009D6E5B">
      <w:pPr>
        <w:spacing w:line="480" w:lineRule="auto"/>
      </w:pPr>
      <w:r>
        <w:rPr>
          <w:b/>
          <w:bCs/>
        </w:rPr>
        <w:t xml:space="preserve">Figure </w:t>
      </w:r>
      <w:r w:rsidR="00F640C8">
        <w:rPr>
          <w:b/>
          <w:bCs/>
        </w:rPr>
        <w:t>3</w:t>
      </w:r>
      <w:r>
        <w:rPr>
          <w:b/>
          <w:bCs/>
        </w:rPr>
        <w:t xml:space="preserve"> </w:t>
      </w:r>
      <w:r w:rsidRPr="001B10F7">
        <w:t>Effects</w:t>
      </w:r>
      <w:r>
        <w:t xml:space="preserve"> of soil nitrogen fertilization and inoculation on the root nodule biomass: root biomass ratio (panel A), root nodule biomass (panel B), and root biomass (panel C). Soil nitrogen fertilization is represented categorically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(P&lt;0.05).</w:t>
      </w:r>
    </w:p>
    <w:p w14:paraId="52EA5694" w14:textId="220B6E43" w:rsidR="008B6B1D" w:rsidRDefault="008B6B1D">
      <w:r>
        <w:br w:type="page"/>
      </w:r>
    </w:p>
    <w:p w14:paraId="5F2DF415" w14:textId="01556F7C" w:rsidR="00BA75F3" w:rsidRPr="00885391" w:rsidRDefault="00885391" w:rsidP="009D6E5B">
      <w:pPr>
        <w:spacing w:line="480" w:lineRule="auto"/>
        <w:rPr>
          <w:i/>
          <w:iCs/>
        </w:rPr>
      </w:pPr>
      <w:r>
        <w:rPr>
          <w:i/>
          <w:iCs/>
        </w:rPr>
        <w:lastRenderedPageBreak/>
        <w:t>Leaf nitrogen allocation</w:t>
      </w:r>
    </w:p>
    <w:p w14:paraId="33395C09" w14:textId="79978F1B" w:rsidR="00852AF7" w:rsidRDefault="00106FCE" w:rsidP="009D6E5B">
      <w:pPr>
        <w:spacing w:line="48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and nitrogen fertilization</w:t>
      </w:r>
      <w:r w:rsidR="009E31F0">
        <w:t xml:space="preserve"> (Table </w:t>
      </w:r>
      <w:r w:rsidR="0048004A">
        <w:t>2</w:t>
      </w:r>
      <w:r w:rsidR="009E31F0">
        <w:t xml:space="preserve">; Figs. </w:t>
      </w:r>
      <w:r w:rsidR="00F640C8">
        <w:t>4</w:t>
      </w:r>
      <w:r w:rsidR="009E31F0">
        <w:t>A-B)</w:t>
      </w:r>
      <w:r w:rsidR="00885391">
        <w:t>. This interaction indicated that</w:t>
      </w:r>
      <w:r>
        <w:t xml:space="preserve"> </w:t>
      </w:r>
      <w:r w:rsidR="00852AF7">
        <w:t xml:space="preserve">inoculated individuals (marginal mean </w:t>
      </w:r>
      <w:r w:rsidR="00852AF7">
        <w:sym w:font="Symbol" w:char="F0B1"/>
      </w:r>
      <w:r w:rsidR="00852AF7">
        <w:t xml:space="preserve"> SE; </w:t>
      </w:r>
      <w:proofErr w:type="spellStart"/>
      <w:r w:rsidR="00852AF7">
        <w:rPr>
          <w:i/>
          <w:iCs/>
        </w:rPr>
        <w:t>N</w:t>
      </w:r>
      <w:r w:rsidR="00852AF7">
        <w:rPr>
          <w:vertAlign w:val="subscript"/>
        </w:rPr>
        <w:t>area</w:t>
      </w:r>
      <w:proofErr w:type="spellEnd"/>
      <w:r w:rsidR="00852AF7">
        <w:t>:</w:t>
      </w:r>
      <w:r w:rsidR="003D3439">
        <w:t xml:space="preserve"> 0.98</w:t>
      </w:r>
      <w:r w:rsidR="003D3439">
        <w:sym w:font="Symbol" w:char="F0B1"/>
      </w:r>
      <w:r w:rsidR="003D3439">
        <w:t>0.04</w:t>
      </w:r>
      <w:r w:rsidR="00852AF7">
        <w:t xml:space="preserve"> g m</w:t>
      </w:r>
      <w:r w:rsidR="00852AF7">
        <w:rPr>
          <w:vertAlign w:val="superscript"/>
        </w:rPr>
        <w:t>-2</w:t>
      </w:r>
      <w:r w:rsidR="00852AF7">
        <w:t xml:space="preserve">; </w:t>
      </w:r>
      <w:proofErr w:type="spellStart"/>
      <w:r w:rsidR="00852AF7">
        <w:rPr>
          <w:i/>
          <w:iCs/>
        </w:rPr>
        <w:t>N</w:t>
      </w:r>
      <w:r w:rsidR="00852AF7">
        <w:rPr>
          <w:vertAlign w:val="subscript"/>
        </w:rPr>
        <w:t>mass</w:t>
      </w:r>
      <w:proofErr w:type="spellEnd"/>
      <w:r w:rsidR="00852AF7">
        <w:t>:</w:t>
      </w:r>
      <w:r w:rsidR="003D3439" w:rsidRPr="003D3439">
        <w:t xml:space="preserve"> 4.6</w:t>
      </w:r>
      <w:r w:rsidR="003D3439">
        <w:t>4</w:t>
      </w:r>
      <w:r w:rsidR="003D3439">
        <w:sym w:font="Symbol" w:char="F0B1"/>
      </w:r>
      <w:r w:rsidR="003D3439">
        <w:t>0.12</w:t>
      </w:r>
      <w:r w:rsidR="00852AF7">
        <w:t xml:space="preserve"> g m</w:t>
      </w:r>
      <w:r w:rsidR="00852AF7">
        <w:rPr>
          <w:vertAlign w:val="superscript"/>
        </w:rPr>
        <w:t>-2</w:t>
      </w:r>
      <w:r w:rsidR="00852AF7">
        <w:t xml:space="preserve">) had </w:t>
      </w:r>
      <w:r w:rsidR="003D3439">
        <w:t>19.5</w:t>
      </w:r>
      <w:r w:rsidR="00852AF7">
        <w:t xml:space="preserve">% and </w:t>
      </w:r>
      <w:r w:rsidR="003D3439">
        <w:t>41.9</w:t>
      </w:r>
      <w:r w:rsidR="00852AF7">
        <w:t xml:space="preserve">% higher </w:t>
      </w:r>
      <w:r w:rsidR="003D3439">
        <w:t xml:space="preserve">respective </w:t>
      </w:r>
      <w:proofErr w:type="spellStart"/>
      <w:r w:rsidR="00852AF7">
        <w:rPr>
          <w:i/>
          <w:iCs/>
        </w:rPr>
        <w:t>N</w:t>
      </w:r>
      <w:r w:rsidR="00852AF7">
        <w:rPr>
          <w:vertAlign w:val="subscript"/>
        </w:rPr>
        <w:t>area</w:t>
      </w:r>
      <w:proofErr w:type="spellEnd"/>
      <w:r w:rsidR="00852AF7">
        <w:t xml:space="preserve"> and </w:t>
      </w:r>
      <w:proofErr w:type="spellStart"/>
      <w:r w:rsidR="00852AF7">
        <w:rPr>
          <w:i/>
          <w:iCs/>
        </w:rPr>
        <w:t>N</w:t>
      </w:r>
      <w:r w:rsidR="00852AF7">
        <w:rPr>
          <w:vertAlign w:val="subscript"/>
        </w:rPr>
        <w:t>mass</w:t>
      </w:r>
      <w:proofErr w:type="spellEnd"/>
      <w:r w:rsidR="00852AF7">
        <w:t xml:space="preserve"> under low nitrogen fertilization than non-inoculated individuals</w:t>
      </w:r>
      <w:r w:rsidR="008C398A">
        <w:t>,</w:t>
      </w:r>
      <w:r>
        <w:t xml:space="preserve"> (</w:t>
      </w:r>
      <w:proofErr w:type="spellStart"/>
      <w:r w:rsidR="00852AF7" w:rsidRPr="003D3439">
        <w:rPr>
          <w:i/>
          <w:iCs/>
        </w:rPr>
        <w:t>N</w:t>
      </w:r>
      <w:r w:rsidR="00852AF7" w:rsidRPr="003D3439">
        <w:rPr>
          <w:vertAlign w:val="subscript"/>
        </w:rPr>
        <w:t>area</w:t>
      </w:r>
      <w:proofErr w:type="spellEnd"/>
      <w:r w:rsidR="00852AF7" w:rsidRPr="003D3439">
        <w:t>:</w:t>
      </w:r>
      <w:r w:rsidR="003D3439" w:rsidRPr="003D3439">
        <w:t xml:space="preserve"> 0.82</w:t>
      </w:r>
      <w:r w:rsidR="003D3439" w:rsidRPr="003D3439">
        <w:sym w:font="Symbol" w:char="F0B1"/>
      </w:r>
      <w:r w:rsidR="003D3439" w:rsidRPr="003D3439">
        <w:t>0.04</w:t>
      </w:r>
      <w:r w:rsidR="00852AF7" w:rsidRPr="003D3439">
        <w:t xml:space="preserve"> g m</w:t>
      </w:r>
      <w:r w:rsidR="00852AF7" w:rsidRPr="003D3439">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3.27</w:t>
      </w:r>
      <w:r w:rsidR="003D3439" w:rsidRPr="003D3439">
        <w:sym w:font="Symbol" w:char="F0B1"/>
      </w:r>
      <w:r w:rsidR="003D3439" w:rsidRPr="003D3439">
        <w:t>0.12</w:t>
      </w:r>
      <w:r w:rsidR="00852AF7" w:rsidRPr="003D3439">
        <w:t xml:space="preserve"> g m</w:t>
      </w:r>
      <w:r w:rsidR="00852AF7" w:rsidRPr="003D3439">
        <w:rPr>
          <w:vertAlign w:val="superscript"/>
        </w:rPr>
        <w:t>-2</w:t>
      </w:r>
      <w:r w:rsidR="00852AF7">
        <w:t>;</w:t>
      </w:r>
      <w:r>
        <w:t>Tukey: p&lt;0.001</w:t>
      </w:r>
      <w:r w:rsidR="009E31F0">
        <w:t xml:space="preserve"> in both cases</w:t>
      </w:r>
      <w:r>
        <w:t xml:space="preserve">), with no difference between inoculation treatments under high </w:t>
      </w:r>
      <w:r w:rsidR="00852AF7">
        <w:t>nitrogen fertilization</w:t>
      </w:r>
      <w:r>
        <w:t xml:space="preserve">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w:t>
      </w:r>
      <w:r w:rsidR="00852AF7">
        <w:t>Individuals grown under high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1.17</w:t>
      </w:r>
      <w:r w:rsidR="00071365" w:rsidRPr="00071365">
        <w:sym w:font="Symbol" w:char="F0B1"/>
      </w:r>
      <w:r w:rsidR="00071365" w:rsidRPr="00071365">
        <w:t xml:space="preserve">0.03 </w:t>
      </w:r>
      <w:r w:rsidR="00852AF7" w:rsidRPr="00071365">
        <w:t>g m</w:t>
      </w:r>
      <w:r w:rsidR="00852AF7" w:rsidRPr="00071365">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5.39</w:t>
      </w:r>
      <w:r w:rsidR="003D3439" w:rsidRPr="003D3439">
        <w:sym w:font="Symbol" w:char="F0B1"/>
      </w:r>
      <w:r w:rsidR="003D3439" w:rsidRPr="003D3439">
        <w:t>0.09</w:t>
      </w:r>
      <w:r w:rsidR="00852AF7" w:rsidRPr="003D3439">
        <w:t xml:space="preserve"> g m</w:t>
      </w:r>
      <w:r w:rsidR="00852AF7" w:rsidRPr="003D3439">
        <w:rPr>
          <w:vertAlign w:val="superscript"/>
        </w:rPr>
        <w:t>-2</w:t>
      </w:r>
      <w:r w:rsidR="00852AF7">
        <w:t xml:space="preserve">) also had </w:t>
      </w:r>
      <w:r w:rsidR="00071365">
        <w:t>30.0</w:t>
      </w:r>
      <w:r w:rsidR="00852AF7">
        <w:t xml:space="preserve">% and </w:t>
      </w:r>
      <w:r w:rsidR="00071365">
        <w:t>38.2</w:t>
      </w:r>
      <w:r w:rsidR="00852AF7">
        <w:t xml:space="preserve">% higher </w:t>
      </w:r>
      <w:proofErr w:type="spellStart"/>
      <w:r w:rsidR="008C398A">
        <w:rPr>
          <w:i/>
          <w:iCs/>
        </w:rPr>
        <w:t>N</w:t>
      </w:r>
      <w:r w:rsidR="008C398A">
        <w:rPr>
          <w:vertAlign w:val="subscript"/>
        </w:rPr>
        <w:t>area</w:t>
      </w:r>
      <w:proofErr w:type="spellEnd"/>
      <w:r w:rsidR="008C398A">
        <w:t xml:space="preserve"> and</w:t>
      </w:r>
      <w:r w:rsidR="008C398A" w:rsidRPr="009E31F0">
        <w:rPr>
          <w:i/>
          <w:iCs/>
        </w:rPr>
        <w:t xml:space="preserve"> </w:t>
      </w:r>
      <w:proofErr w:type="spellStart"/>
      <w:r w:rsidR="008C398A">
        <w:rPr>
          <w:i/>
          <w:iCs/>
        </w:rPr>
        <w:t>N</w:t>
      </w:r>
      <w:r w:rsidR="008C398A">
        <w:rPr>
          <w:vertAlign w:val="subscript"/>
        </w:rPr>
        <w:t>mass</w:t>
      </w:r>
      <w:proofErr w:type="spellEnd"/>
      <w:r w:rsidR="008C398A">
        <w:t xml:space="preserve"> </w:t>
      </w:r>
      <w:r w:rsidR="00852AF7">
        <w:t>than those grown under low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0.90</w:t>
      </w:r>
      <w:r w:rsidR="00071365" w:rsidRPr="00071365">
        <w:sym w:font="Symbol" w:char="F0B1"/>
      </w:r>
      <w:r w:rsidR="00071365" w:rsidRPr="00071365">
        <w:t>0.03</w:t>
      </w:r>
      <w:r w:rsidR="00852AF7" w:rsidRPr="00071365">
        <w:t xml:space="preserve"> g m</w:t>
      </w:r>
      <w:r w:rsidR="00852AF7" w:rsidRPr="00071365">
        <w:rPr>
          <w:vertAlign w:val="superscript"/>
        </w:rPr>
        <w:t>-2</w:t>
      </w:r>
      <w:r w:rsidR="00852AF7" w:rsidRPr="00071365">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t xml:space="preserve"> 3.9</w:t>
      </w:r>
      <w:r w:rsidR="003D3439">
        <w:sym w:font="Symbol" w:char="F0B1"/>
      </w:r>
      <w:r w:rsidR="003D3439">
        <w:t>0.09</w:t>
      </w:r>
      <w:r w:rsidR="00852AF7">
        <w:t xml:space="preserve"> g m</w:t>
      </w:r>
      <w:r w:rsidR="00852AF7">
        <w:rPr>
          <w:vertAlign w:val="superscript"/>
        </w:rPr>
        <w:t>-2</w:t>
      </w:r>
      <w:r w:rsidR="00852AF7">
        <w:t>), respectively</w:t>
      </w:r>
      <w:r w:rsidR="006C759F">
        <w:t xml:space="preserve"> </w:t>
      </w:r>
      <w:r>
        <w:t>(</w:t>
      </w:r>
      <w:r w:rsidR="009E31F0">
        <w:t xml:space="preserve">Table </w:t>
      </w:r>
      <w:r w:rsidR="0048004A">
        <w:t>2</w:t>
      </w:r>
      <w:r w:rsidR="009E31F0">
        <w:t xml:space="preserve">; Figs. </w:t>
      </w:r>
      <w:r w:rsidR="00F640C8">
        <w:t>4</w:t>
      </w:r>
      <w:r w:rsidR="009E31F0">
        <w:t>A-B</w:t>
      </w:r>
      <w:r>
        <w:t>).</w:t>
      </w:r>
    </w:p>
    <w:p w14:paraId="0E0A3414" w14:textId="70C2C080" w:rsidR="006C759F" w:rsidRDefault="00B877FE" w:rsidP="009D6E5B">
      <w:pPr>
        <w:spacing w:line="480" w:lineRule="auto"/>
        <w:ind w:firstLine="720"/>
      </w:pPr>
      <w:r w:rsidRPr="00B877FE">
        <w:rPr>
          <w:i/>
          <w:iCs/>
        </w:rPr>
        <w:t>SLA</w:t>
      </w:r>
      <w:r w:rsidR="00852AF7">
        <w:t xml:space="preserve"> increased with inoculation and marginally increased with increasing soil nitrogen fertilization</w:t>
      </w:r>
      <w:r w:rsidR="006C759F">
        <w:t xml:space="preserve">, with no observable interaction between fertilization and inoculation (Table </w:t>
      </w:r>
      <w:r w:rsidR="0048004A">
        <w:t>2</w:t>
      </w:r>
      <w:r w:rsidR="006C759F">
        <w:t xml:space="preserve">; Fig. </w:t>
      </w:r>
      <w:r w:rsidR="00F640C8">
        <w:t>4</w:t>
      </w:r>
      <w:r w:rsidR="006C759F">
        <w:t>C).</w:t>
      </w:r>
      <w:r w:rsidR="00852AF7">
        <w:t xml:space="preserve"> Specifically, inoculated individuals</w:t>
      </w:r>
      <w:r w:rsidR="00071365">
        <w:t xml:space="preserve"> (578.6</w:t>
      </w:r>
      <w:r w:rsidR="00071365" w:rsidRPr="00071365">
        <w:sym w:font="Symbol" w:char="F0B1"/>
      </w:r>
      <w:r w:rsidR="00071365">
        <w:t>10.9 cm</w:t>
      </w:r>
      <w:r w:rsidR="00071365">
        <w:rPr>
          <w:vertAlign w:val="superscript"/>
        </w:rPr>
        <w:t>2</w:t>
      </w:r>
      <w:r w:rsidR="00071365">
        <w:t xml:space="preserve"> g</w:t>
      </w:r>
      <w:r w:rsidR="00071365">
        <w:rPr>
          <w:vertAlign w:val="superscript"/>
        </w:rPr>
        <w:t>-1</w:t>
      </w:r>
      <w:r w:rsidR="00071365">
        <w:t>)</w:t>
      </w:r>
      <w:r w:rsidR="00852AF7">
        <w:t xml:space="preserve"> had </w:t>
      </w:r>
      <w:r w:rsidR="00071365">
        <w:t>6.3</w:t>
      </w:r>
      <w:r w:rsidR="00852AF7">
        <w:t xml:space="preserve">% higher </w:t>
      </w:r>
      <w:r w:rsidRPr="00B877FE">
        <w:rPr>
          <w:i/>
          <w:iCs/>
        </w:rPr>
        <w:t>SLA</w:t>
      </w:r>
      <w:r w:rsidR="00852AF7">
        <w:t xml:space="preserve"> than non-inoculated individuals (</w:t>
      </w:r>
      <w:r w:rsidR="00071365">
        <w:t>544.1</w:t>
      </w:r>
      <w:r w:rsidR="00071365" w:rsidRPr="00071365">
        <w:sym w:font="Symbol" w:char="F0B1"/>
      </w:r>
      <w:r w:rsidR="00071365">
        <w:t>10.9 cm</w:t>
      </w:r>
      <w:r w:rsidR="00071365">
        <w:rPr>
          <w:vertAlign w:val="superscript"/>
        </w:rPr>
        <w:t>2</w:t>
      </w:r>
      <w:r w:rsidR="00071365">
        <w:t xml:space="preserve"> g</w:t>
      </w:r>
      <w:r w:rsidR="00071365">
        <w:rPr>
          <w:vertAlign w:val="superscript"/>
        </w:rPr>
        <w:t>-1</w:t>
      </w:r>
      <w:r w:rsidR="00071365">
        <w:t xml:space="preserve">; </w:t>
      </w:r>
      <w:r w:rsidR="00852AF7">
        <w:t>Tukey: p</w:t>
      </w:r>
      <w:r w:rsidR="00071365">
        <w:t>=0.014</w:t>
      </w:r>
      <w:r w:rsidR="00852AF7">
        <w:t>)</w:t>
      </w:r>
      <w:r w:rsidR="00071365">
        <w:t>, while i</w:t>
      </w:r>
      <w:r w:rsidR="00852AF7">
        <w:t>ndividuals grown under high nitrogen fertilization</w:t>
      </w:r>
      <w:r w:rsidR="00071365">
        <w:t xml:space="preserve"> (572.8</w:t>
      </w:r>
      <w:r w:rsidR="00071365" w:rsidRPr="00071365">
        <w:sym w:font="Symbol" w:char="F0B1"/>
      </w:r>
      <w:r w:rsidR="00071365">
        <w:t>10.9 cm</w:t>
      </w:r>
      <w:r w:rsidR="00071365">
        <w:rPr>
          <w:vertAlign w:val="superscript"/>
        </w:rPr>
        <w:t>2</w:t>
      </w:r>
      <w:r w:rsidR="00071365">
        <w:t xml:space="preserve"> g</w:t>
      </w:r>
      <w:r w:rsidR="00071365">
        <w:rPr>
          <w:vertAlign w:val="superscript"/>
        </w:rPr>
        <w:t>-1</w:t>
      </w:r>
      <w:r w:rsidR="00071365">
        <w:t>)</w:t>
      </w:r>
      <w:r w:rsidR="00852AF7">
        <w:t xml:space="preserve"> had </w:t>
      </w:r>
      <w:r w:rsidR="00071365">
        <w:t>4.2</w:t>
      </w:r>
      <w:r w:rsidR="00852AF7">
        <w:t xml:space="preserve">% higher </w:t>
      </w:r>
      <w:r w:rsidRPr="00B877FE">
        <w:rPr>
          <w:i/>
          <w:iCs/>
        </w:rPr>
        <w:t>SLA</w:t>
      </w:r>
      <w:r>
        <w:t xml:space="preserve"> </w:t>
      </w:r>
      <w:r w:rsidR="00852AF7">
        <w:t>than those grown under low nitrogen fertilization (</w:t>
      </w:r>
      <w:r w:rsidR="00071365">
        <w:t>549.8</w:t>
      </w:r>
      <w:r w:rsidR="00071365" w:rsidRPr="00071365">
        <w:sym w:font="Symbol" w:char="F0B1"/>
      </w:r>
      <w:r w:rsidR="00071365">
        <w:t>10.9 cm</w:t>
      </w:r>
      <w:r w:rsidR="00071365">
        <w:rPr>
          <w:vertAlign w:val="superscript"/>
        </w:rPr>
        <w:t>2</w:t>
      </w:r>
      <w:r w:rsidR="00071365">
        <w:t xml:space="preserve"> g</w:t>
      </w:r>
      <w:r w:rsidR="00071365" w:rsidRPr="00071365">
        <w:rPr>
          <w:vertAlign w:val="superscript"/>
        </w:rPr>
        <w:t>-1</w:t>
      </w:r>
      <w:r w:rsidR="00071365">
        <w:t xml:space="preserve">; </w:t>
      </w:r>
      <w:r w:rsidR="00852AF7" w:rsidRPr="00071365">
        <w:t>Tukey</w:t>
      </w:r>
      <w:r w:rsidR="00852AF7">
        <w:t>: p</w:t>
      </w:r>
      <w:r w:rsidR="00071365">
        <w:t>=0.095</w:t>
      </w:r>
      <w:r w:rsidR="00852AF7">
        <w:t>).</w:t>
      </w:r>
    </w:p>
    <w:p w14:paraId="29F60B81" w14:textId="36A986B5" w:rsidR="009E31F0" w:rsidRDefault="009E31F0" w:rsidP="00A85036">
      <w:pPr>
        <w:spacing w:line="480" w:lineRule="auto"/>
      </w:pPr>
      <w:r>
        <w:br w:type="page"/>
      </w:r>
    </w:p>
    <w:p w14:paraId="2F172692" w14:textId="0604FF9A" w:rsidR="008D6E2F" w:rsidRDefault="00BA75F3" w:rsidP="009D6E5B">
      <w:pPr>
        <w:spacing w:line="480" w:lineRule="auto"/>
        <w:rPr>
          <w:vertAlign w:val="superscript"/>
        </w:rPr>
      </w:pPr>
      <w:r w:rsidRPr="004C14FD">
        <w:rPr>
          <w:b/>
          <w:bCs/>
        </w:rPr>
        <w:lastRenderedPageBreak/>
        <w:t xml:space="preserve">Table </w:t>
      </w:r>
      <w:r w:rsidR="0048004A">
        <w:rPr>
          <w:b/>
          <w:bCs/>
        </w:rPr>
        <w:t>2</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on leaf nitrogen allocation</w:t>
      </w:r>
      <w:r w:rsidRPr="00526EFB">
        <w:rPr>
          <w:vertAlign w:val="superscript"/>
        </w:rPr>
        <w:t>*</w:t>
      </w:r>
    </w:p>
    <w:p w14:paraId="08CE6CBF" w14:textId="77777777" w:rsidR="00A754EC" w:rsidRPr="00A754EC" w:rsidRDefault="00A754EC" w:rsidP="00A754EC">
      <w:pPr>
        <w:spacing w:line="360" w:lineRule="auto"/>
      </w:pP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9515D2" w14:paraId="1B9B3249" w14:textId="77777777" w:rsidTr="00885391">
        <w:trPr>
          <w:jc w:val="center"/>
        </w:trPr>
        <w:tc>
          <w:tcPr>
            <w:tcW w:w="2619" w:type="dxa"/>
            <w:gridSpan w:val="2"/>
            <w:tcBorders>
              <w:bottom w:val="single" w:sz="4" w:space="0" w:color="auto"/>
            </w:tcBorders>
          </w:tcPr>
          <w:p w14:paraId="72532A24" w14:textId="77777777" w:rsidR="00BA75F3" w:rsidRPr="009515D2" w:rsidRDefault="00BA75F3" w:rsidP="00A85036">
            <w:pPr>
              <w:spacing w:line="276" w:lineRule="auto"/>
              <w:rPr>
                <w:b/>
                <w:bCs/>
                <w:sz w:val="22"/>
                <w:szCs w:val="22"/>
              </w:rPr>
            </w:pPr>
          </w:p>
        </w:tc>
        <w:tc>
          <w:tcPr>
            <w:tcW w:w="2009" w:type="dxa"/>
            <w:gridSpan w:val="2"/>
            <w:tcBorders>
              <w:bottom w:val="single" w:sz="4" w:space="0" w:color="auto"/>
            </w:tcBorders>
          </w:tcPr>
          <w:p w14:paraId="7B84AA6D"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proofErr w:type="spellEnd"/>
          </w:p>
        </w:tc>
        <w:tc>
          <w:tcPr>
            <w:tcW w:w="2009" w:type="dxa"/>
            <w:gridSpan w:val="2"/>
            <w:tcBorders>
              <w:bottom w:val="single" w:sz="4" w:space="0" w:color="auto"/>
            </w:tcBorders>
          </w:tcPr>
          <w:p w14:paraId="2B8B0179"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mass</w:t>
            </w:r>
            <w:proofErr w:type="spellEnd"/>
          </w:p>
        </w:tc>
        <w:tc>
          <w:tcPr>
            <w:tcW w:w="2009" w:type="dxa"/>
            <w:gridSpan w:val="2"/>
            <w:tcBorders>
              <w:bottom w:val="single" w:sz="4" w:space="0" w:color="auto"/>
            </w:tcBorders>
          </w:tcPr>
          <w:p w14:paraId="0EC44BC3" w14:textId="143F43DE" w:rsidR="00BA75F3" w:rsidRPr="009515D2" w:rsidRDefault="00B877FE" w:rsidP="00A85036">
            <w:pPr>
              <w:spacing w:line="276" w:lineRule="auto"/>
              <w:jc w:val="right"/>
              <w:rPr>
                <w:sz w:val="22"/>
                <w:szCs w:val="22"/>
              </w:rPr>
            </w:pPr>
            <w:r>
              <w:rPr>
                <w:b/>
                <w:bCs/>
                <w:i/>
                <w:iCs/>
                <w:sz w:val="22"/>
                <w:szCs w:val="22"/>
              </w:rPr>
              <w:t>SLA</w:t>
            </w:r>
          </w:p>
        </w:tc>
      </w:tr>
      <w:tr w:rsidR="00BA75F3" w:rsidRPr="009515D2"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9515D2" w:rsidRDefault="00BA75F3" w:rsidP="00A85036">
            <w:pPr>
              <w:spacing w:line="276" w:lineRule="auto"/>
              <w:rPr>
                <w:sz w:val="22"/>
                <w:szCs w:val="22"/>
              </w:rPr>
            </w:pPr>
          </w:p>
        </w:tc>
        <w:tc>
          <w:tcPr>
            <w:tcW w:w="536" w:type="dxa"/>
            <w:tcBorders>
              <w:top w:val="single" w:sz="4" w:space="0" w:color="auto"/>
              <w:bottom w:val="single" w:sz="4" w:space="0" w:color="auto"/>
            </w:tcBorders>
          </w:tcPr>
          <w:p w14:paraId="07A7D44F" w14:textId="77777777" w:rsidR="00BA75F3" w:rsidRPr="009515D2" w:rsidRDefault="00BA75F3"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4C887F0A"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B7E802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F06D94B"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4CAE18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8BE6"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15D590" w14:textId="77777777" w:rsidR="00BA75F3" w:rsidRPr="009515D2" w:rsidRDefault="00BA75F3" w:rsidP="00A85036">
            <w:pPr>
              <w:spacing w:line="276" w:lineRule="auto"/>
              <w:jc w:val="right"/>
              <w:rPr>
                <w:sz w:val="22"/>
                <w:szCs w:val="22"/>
              </w:rPr>
            </w:pPr>
            <w:r w:rsidRPr="009515D2">
              <w:rPr>
                <w:i/>
                <w:iCs/>
                <w:sz w:val="22"/>
                <w:szCs w:val="22"/>
              </w:rPr>
              <w:t>p</w:t>
            </w:r>
          </w:p>
        </w:tc>
      </w:tr>
      <w:tr w:rsidR="00BA75F3" w:rsidRPr="009515D2" w14:paraId="01F7C978" w14:textId="77777777" w:rsidTr="00885391">
        <w:trPr>
          <w:jc w:val="center"/>
        </w:trPr>
        <w:tc>
          <w:tcPr>
            <w:tcW w:w="2082" w:type="dxa"/>
            <w:tcBorders>
              <w:top w:val="single" w:sz="4" w:space="0" w:color="auto"/>
            </w:tcBorders>
          </w:tcPr>
          <w:p w14:paraId="562547B4" w14:textId="0C635FBF" w:rsidR="00BA75F3" w:rsidRPr="009515D2" w:rsidRDefault="0088539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6F3CB36F"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06BC8A83" w14:textId="37E37AED" w:rsidR="00BA75F3" w:rsidRPr="009515D2" w:rsidRDefault="00885391" w:rsidP="00A85036">
            <w:pPr>
              <w:spacing w:line="276" w:lineRule="auto"/>
              <w:jc w:val="right"/>
              <w:rPr>
                <w:sz w:val="22"/>
                <w:szCs w:val="22"/>
              </w:rPr>
            </w:pPr>
            <w:r w:rsidRPr="009515D2">
              <w:rPr>
                <w:sz w:val="22"/>
                <w:szCs w:val="22"/>
              </w:rPr>
              <w:t>104.61</w:t>
            </w:r>
          </w:p>
        </w:tc>
        <w:tc>
          <w:tcPr>
            <w:tcW w:w="1013" w:type="dxa"/>
            <w:tcBorders>
              <w:top w:val="single" w:sz="4" w:space="0" w:color="auto"/>
            </w:tcBorders>
          </w:tcPr>
          <w:p w14:paraId="0A1A6756" w14:textId="09DC8A97"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1FAF402" w14:textId="0CE74CD4" w:rsidR="00BA75F3" w:rsidRPr="009515D2" w:rsidRDefault="00885391" w:rsidP="00A85036">
            <w:pPr>
              <w:spacing w:line="276" w:lineRule="auto"/>
              <w:jc w:val="right"/>
              <w:rPr>
                <w:sz w:val="22"/>
                <w:szCs w:val="22"/>
              </w:rPr>
            </w:pPr>
            <w:r w:rsidRPr="009515D2">
              <w:rPr>
                <w:sz w:val="22"/>
                <w:szCs w:val="22"/>
              </w:rPr>
              <w:t>139.51</w:t>
            </w:r>
          </w:p>
        </w:tc>
        <w:tc>
          <w:tcPr>
            <w:tcW w:w="1013" w:type="dxa"/>
            <w:tcBorders>
              <w:top w:val="single" w:sz="4" w:space="0" w:color="auto"/>
            </w:tcBorders>
          </w:tcPr>
          <w:p w14:paraId="036FB930" w14:textId="127132FC"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70200C59" w14:textId="1B8D6833" w:rsidR="00BA75F3" w:rsidRPr="009515D2" w:rsidRDefault="00885391" w:rsidP="00A85036">
            <w:pPr>
              <w:spacing w:line="276" w:lineRule="auto"/>
              <w:jc w:val="right"/>
              <w:rPr>
                <w:sz w:val="22"/>
                <w:szCs w:val="22"/>
              </w:rPr>
            </w:pPr>
            <w:r w:rsidRPr="009515D2">
              <w:rPr>
                <w:sz w:val="22"/>
                <w:szCs w:val="22"/>
              </w:rPr>
              <w:t>2.88</w:t>
            </w:r>
          </w:p>
        </w:tc>
        <w:tc>
          <w:tcPr>
            <w:tcW w:w="1013" w:type="dxa"/>
            <w:tcBorders>
              <w:top w:val="single" w:sz="4" w:space="0" w:color="auto"/>
            </w:tcBorders>
          </w:tcPr>
          <w:p w14:paraId="1886AF17" w14:textId="63AF2487" w:rsidR="00BA75F3" w:rsidRPr="009515D2" w:rsidRDefault="00885391" w:rsidP="00A85036">
            <w:pPr>
              <w:spacing w:line="276" w:lineRule="auto"/>
              <w:jc w:val="right"/>
              <w:rPr>
                <w:i/>
                <w:iCs/>
                <w:sz w:val="22"/>
                <w:szCs w:val="22"/>
              </w:rPr>
            </w:pPr>
            <w:r w:rsidRPr="009515D2">
              <w:rPr>
                <w:i/>
                <w:iCs/>
                <w:sz w:val="22"/>
                <w:szCs w:val="22"/>
              </w:rPr>
              <w:t>0.090</w:t>
            </w:r>
          </w:p>
        </w:tc>
      </w:tr>
      <w:tr w:rsidR="00BA75F3" w:rsidRPr="009515D2" w14:paraId="329D108C" w14:textId="77777777" w:rsidTr="0048004A">
        <w:trPr>
          <w:jc w:val="center"/>
        </w:trPr>
        <w:tc>
          <w:tcPr>
            <w:tcW w:w="2082" w:type="dxa"/>
          </w:tcPr>
          <w:p w14:paraId="19F8B858" w14:textId="404BE41C" w:rsidR="00BA75F3" w:rsidRPr="009515D2" w:rsidRDefault="00885391" w:rsidP="00A85036">
            <w:pPr>
              <w:spacing w:line="276" w:lineRule="auto"/>
              <w:jc w:val="right"/>
              <w:rPr>
                <w:sz w:val="22"/>
                <w:szCs w:val="22"/>
              </w:rPr>
            </w:pPr>
            <w:r w:rsidRPr="009515D2">
              <w:rPr>
                <w:sz w:val="22"/>
                <w:szCs w:val="22"/>
              </w:rPr>
              <w:t>Inoculation (I)</w:t>
            </w:r>
          </w:p>
        </w:tc>
        <w:tc>
          <w:tcPr>
            <w:tcW w:w="536" w:type="dxa"/>
          </w:tcPr>
          <w:p w14:paraId="75C4C0D7"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Pr>
          <w:p w14:paraId="1826E3C8" w14:textId="50434BDD" w:rsidR="00BA75F3" w:rsidRPr="009515D2" w:rsidRDefault="00885391" w:rsidP="00A85036">
            <w:pPr>
              <w:spacing w:line="276" w:lineRule="auto"/>
              <w:jc w:val="right"/>
              <w:rPr>
                <w:sz w:val="22"/>
                <w:szCs w:val="22"/>
              </w:rPr>
            </w:pPr>
            <w:r w:rsidRPr="009515D2">
              <w:rPr>
                <w:sz w:val="22"/>
                <w:szCs w:val="22"/>
              </w:rPr>
              <w:t>4.45</w:t>
            </w:r>
          </w:p>
        </w:tc>
        <w:tc>
          <w:tcPr>
            <w:tcW w:w="1013" w:type="dxa"/>
          </w:tcPr>
          <w:p w14:paraId="26FD23E2" w14:textId="7A83B797" w:rsidR="00BA75F3" w:rsidRPr="009515D2" w:rsidRDefault="00885391" w:rsidP="00A85036">
            <w:pPr>
              <w:spacing w:line="276" w:lineRule="auto"/>
              <w:jc w:val="right"/>
              <w:rPr>
                <w:b/>
                <w:bCs/>
                <w:sz w:val="22"/>
                <w:szCs w:val="22"/>
              </w:rPr>
            </w:pPr>
            <w:r w:rsidRPr="009515D2">
              <w:rPr>
                <w:b/>
                <w:bCs/>
                <w:sz w:val="22"/>
                <w:szCs w:val="22"/>
              </w:rPr>
              <w:t>0.035</w:t>
            </w:r>
          </w:p>
        </w:tc>
        <w:tc>
          <w:tcPr>
            <w:tcW w:w="996" w:type="dxa"/>
          </w:tcPr>
          <w:p w14:paraId="58565FBB" w14:textId="3A87E2DC" w:rsidR="00BA75F3" w:rsidRPr="009515D2" w:rsidRDefault="00885391" w:rsidP="00A85036">
            <w:pPr>
              <w:spacing w:line="276" w:lineRule="auto"/>
              <w:jc w:val="right"/>
              <w:rPr>
                <w:sz w:val="22"/>
                <w:szCs w:val="22"/>
              </w:rPr>
            </w:pPr>
            <w:r w:rsidRPr="009515D2">
              <w:rPr>
                <w:sz w:val="22"/>
                <w:szCs w:val="22"/>
              </w:rPr>
              <w:t>36.38</w:t>
            </w:r>
          </w:p>
        </w:tc>
        <w:tc>
          <w:tcPr>
            <w:tcW w:w="1013" w:type="dxa"/>
          </w:tcPr>
          <w:p w14:paraId="04A35F7B" w14:textId="157D014F"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Pr>
          <w:p w14:paraId="0A929D4C" w14:textId="578D74E0" w:rsidR="00BA75F3" w:rsidRPr="009515D2" w:rsidRDefault="00885391" w:rsidP="00A85036">
            <w:pPr>
              <w:spacing w:line="276" w:lineRule="auto"/>
              <w:jc w:val="right"/>
              <w:rPr>
                <w:sz w:val="22"/>
                <w:szCs w:val="22"/>
              </w:rPr>
            </w:pPr>
            <w:r w:rsidRPr="009515D2">
              <w:rPr>
                <w:sz w:val="22"/>
                <w:szCs w:val="22"/>
              </w:rPr>
              <w:t>6.46</w:t>
            </w:r>
          </w:p>
        </w:tc>
        <w:tc>
          <w:tcPr>
            <w:tcW w:w="1013" w:type="dxa"/>
          </w:tcPr>
          <w:p w14:paraId="35A91526" w14:textId="1EAF171A" w:rsidR="00BA75F3" w:rsidRPr="009515D2" w:rsidRDefault="00885391" w:rsidP="00A85036">
            <w:pPr>
              <w:spacing w:line="276" w:lineRule="auto"/>
              <w:jc w:val="right"/>
              <w:rPr>
                <w:b/>
                <w:bCs/>
                <w:sz w:val="22"/>
                <w:szCs w:val="22"/>
              </w:rPr>
            </w:pPr>
            <w:r w:rsidRPr="009515D2">
              <w:rPr>
                <w:b/>
                <w:bCs/>
                <w:sz w:val="22"/>
                <w:szCs w:val="22"/>
              </w:rPr>
              <w:t>0.011</w:t>
            </w:r>
          </w:p>
        </w:tc>
      </w:tr>
      <w:tr w:rsidR="00BA75F3" w:rsidRPr="009515D2" w14:paraId="543D92F6" w14:textId="77777777" w:rsidTr="0048004A">
        <w:trPr>
          <w:jc w:val="center"/>
        </w:trPr>
        <w:tc>
          <w:tcPr>
            <w:tcW w:w="2082" w:type="dxa"/>
            <w:tcBorders>
              <w:bottom w:val="single" w:sz="4" w:space="0" w:color="auto"/>
            </w:tcBorders>
          </w:tcPr>
          <w:p w14:paraId="4E90981C" w14:textId="23CBCA51" w:rsidR="00BA75F3" w:rsidRPr="009515D2" w:rsidRDefault="0088539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C284E6E" w14:textId="261C4FB0" w:rsidR="00BA75F3" w:rsidRPr="009515D2" w:rsidRDefault="00885391"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515586C9" w14:textId="1DB7C6F0" w:rsidR="00BA75F3" w:rsidRPr="009515D2" w:rsidRDefault="00885391" w:rsidP="00A85036">
            <w:pPr>
              <w:spacing w:line="276" w:lineRule="auto"/>
              <w:jc w:val="right"/>
              <w:rPr>
                <w:sz w:val="22"/>
                <w:szCs w:val="22"/>
              </w:rPr>
            </w:pPr>
            <w:r w:rsidRPr="009515D2">
              <w:rPr>
                <w:sz w:val="22"/>
                <w:szCs w:val="22"/>
              </w:rPr>
              <w:t>14.62</w:t>
            </w:r>
          </w:p>
        </w:tc>
        <w:tc>
          <w:tcPr>
            <w:tcW w:w="1013" w:type="dxa"/>
            <w:tcBorders>
              <w:bottom w:val="single" w:sz="4" w:space="0" w:color="auto"/>
            </w:tcBorders>
          </w:tcPr>
          <w:p w14:paraId="5920A908" w14:textId="41B4F389"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550173D8" w14:textId="3C571147" w:rsidR="00BA75F3" w:rsidRPr="009515D2" w:rsidRDefault="00885391" w:rsidP="00A85036">
            <w:pPr>
              <w:spacing w:line="276" w:lineRule="auto"/>
              <w:jc w:val="right"/>
              <w:rPr>
                <w:sz w:val="22"/>
                <w:szCs w:val="22"/>
              </w:rPr>
            </w:pPr>
            <w:r w:rsidRPr="009515D2">
              <w:rPr>
                <w:sz w:val="22"/>
                <w:szCs w:val="22"/>
              </w:rPr>
              <w:t>27.35</w:t>
            </w:r>
          </w:p>
        </w:tc>
        <w:tc>
          <w:tcPr>
            <w:tcW w:w="1013" w:type="dxa"/>
            <w:tcBorders>
              <w:bottom w:val="single" w:sz="4" w:space="0" w:color="auto"/>
            </w:tcBorders>
          </w:tcPr>
          <w:p w14:paraId="33C5FA70" w14:textId="56127BC5"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4D2573C7" w14:textId="673736C0" w:rsidR="00BA75F3" w:rsidRPr="009515D2" w:rsidRDefault="00885391" w:rsidP="00A85036">
            <w:pPr>
              <w:spacing w:line="276" w:lineRule="auto"/>
              <w:jc w:val="right"/>
              <w:rPr>
                <w:sz w:val="22"/>
                <w:szCs w:val="22"/>
              </w:rPr>
            </w:pPr>
            <w:r w:rsidRPr="009515D2">
              <w:rPr>
                <w:sz w:val="22"/>
                <w:szCs w:val="22"/>
              </w:rPr>
              <w:t>1.27</w:t>
            </w:r>
          </w:p>
        </w:tc>
        <w:tc>
          <w:tcPr>
            <w:tcW w:w="1013" w:type="dxa"/>
            <w:tcBorders>
              <w:bottom w:val="single" w:sz="4" w:space="0" w:color="auto"/>
            </w:tcBorders>
          </w:tcPr>
          <w:p w14:paraId="30D77202" w14:textId="0952F57A" w:rsidR="00BA75F3" w:rsidRPr="009515D2" w:rsidRDefault="00885391" w:rsidP="00A85036">
            <w:pPr>
              <w:spacing w:line="276" w:lineRule="auto"/>
              <w:jc w:val="right"/>
              <w:rPr>
                <w:sz w:val="22"/>
                <w:szCs w:val="22"/>
              </w:rPr>
            </w:pPr>
            <w:r w:rsidRPr="009515D2">
              <w:rPr>
                <w:sz w:val="22"/>
                <w:szCs w:val="22"/>
              </w:rPr>
              <w:t>0.260</w:t>
            </w:r>
          </w:p>
        </w:tc>
      </w:tr>
    </w:tbl>
    <w:p w14:paraId="7538BD46" w14:textId="77777777" w:rsidR="007A2F1C" w:rsidRDefault="007A2F1C" w:rsidP="009D6E5B">
      <w:pPr>
        <w:spacing w:line="480" w:lineRule="auto"/>
        <w:rPr>
          <w:vertAlign w:val="superscript"/>
        </w:rPr>
      </w:pPr>
    </w:p>
    <w:p w14:paraId="2F1D329D" w14:textId="4F2F8588" w:rsidR="009E31F0" w:rsidRDefault="00BA75F3" w:rsidP="009D6E5B">
      <w:pPr>
        <w:spacing w:line="48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=leaf nitrogen per leaf mass (g g</w:t>
      </w:r>
      <w:r w:rsidR="00885391">
        <w:rPr>
          <w:vertAlign w:val="superscript"/>
        </w:rPr>
        <w:t>-1</w:t>
      </w:r>
      <w:r w:rsidR="00885391">
        <w:t xml:space="preserve">); </w:t>
      </w:r>
      <w:r w:rsidR="00885391">
        <w:rPr>
          <w:i/>
          <w:iCs/>
        </w:rPr>
        <w:t>SLA</w:t>
      </w:r>
      <w:r w:rsidR="00885391">
        <w:t>=specific leaf area (cm</w:t>
      </w:r>
      <w:r w:rsidR="00885391">
        <w:rPr>
          <w:vertAlign w:val="superscript"/>
        </w:rPr>
        <w:t>2</w:t>
      </w:r>
      <w:r w:rsidR="00885391">
        <w:t xml:space="preserve"> g</w:t>
      </w:r>
      <w:r w:rsidR="00885391">
        <w:rPr>
          <w:vertAlign w:val="superscript"/>
        </w:rPr>
        <w:t>-1</w:t>
      </w:r>
      <w:r w:rsidR="00885391">
        <w:t>)</w:t>
      </w:r>
    </w:p>
    <w:p w14:paraId="1A54C76E" w14:textId="59BF9C41" w:rsidR="009E31F0" w:rsidRDefault="009E31F0" w:rsidP="00A85036">
      <w:pPr>
        <w:spacing w:line="480" w:lineRule="auto"/>
      </w:pPr>
      <w:r>
        <w:br w:type="page"/>
      </w:r>
    </w:p>
    <w:p w14:paraId="14BB0725" w14:textId="136C508E" w:rsidR="004A3DE5" w:rsidRDefault="009E31F0" w:rsidP="001A31D4">
      <w:pPr>
        <w:spacing w:line="480" w:lineRule="auto"/>
        <w:rPr>
          <w:b/>
          <w:bCs/>
        </w:rPr>
      </w:pPr>
      <w:r>
        <w:rPr>
          <w:b/>
          <w:bCs/>
        </w:rPr>
        <w:lastRenderedPageBreak/>
        <w:t xml:space="preserve">Figure </w:t>
      </w:r>
      <w:r w:rsidR="00F640C8">
        <w:rPr>
          <w:b/>
          <w:bCs/>
        </w:rPr>
        <w:t>4</w:t>
      </w:r>
    </w:p>
    <w:p w14:paraId="17064F2E" w14:textId="2FF5FD82" w:rsidR="004A3DE5" w:rsidRDefault="0029276A" w:rsidP="001A31D4">
      <w:pPr>
        <w:spacing w:line="480" w:lineRule="auto"/>
        <w:rPr>
          <w:b/>
          <w:bCs/>
        </w:rPr>
      </w:pPr>
      <w:r>
        <w:rPr>
          <w:b/>
          <w:bCs/>
          <w:noProof/>
        </w:rPr>
        <w:drawing>
          <wp:inline distT="0" distB="0" distL="0" distR="0" wp14:anchorId="0B0B2C89" wp14:editId="18010B94">
            <wp:extent cx="5943600" cy="2641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4BDAABD" w14:textId="3E01AB78" w:rsidR="007A2F1C" w:rsidRDefault="009E31F0" w:rsidP="001A31D4">
      <w:pPr>
        <w:spacing w:line="480" w:lineRule="auto"/>
      </w:pPr>
      <w:r>
        <w:rPr>
          <w:b/>
          <w:bCs/>
        </w:rPr>
        <w:t xml:space="preserve">Figure </w:t>
      </w:r>
      <w:r w:rsidR="00F640C8">
        <w:rPr>
          <w:b/>
          <w:bCs/>
        </w:rPr>
        <w:t>4</w:t>
      </w:r>
      <w:r>
        <w:t xml:space="preserve"> </w:t>
      </w:r>
      <w:r w:rsidR="00490BC5" w:rsidRPr="001B10F7">
        <w:t>Effects</w:t>
      </w:r>
      <w:r w:rsidR="00490BC5">
        <w:t xml:space="preserve"> of soil nitrogen fertilization and inoculation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w:t>
      </w:r>
      <w:r w:rsidR="00F9445D">
        <w:t xml:space="preserve">treatment </w:t>
      </w:r>
      <w:r w:rsidR="00490BC5">
        <w:t>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7A7928">
        <w:rPr>
          <w:rFonts w:eastAsia="Times New Roman" w:cs="Times New Roman"/>
          <w:color w:val="000000" w:themeColor="text1"/>
        </w:rPr>
        <w:t>p</w:t>
      </w:r>
      <w:r w:rsidR="0079226D" w:rsidRPr="6E1ABADC">
        <w:rPr>
          <w:rFonts w:eastAsia="Times New Roman" w:cs="Times New Roman"/>
          <w:color w:val="000000" w:themeColor="text1"/>
        </w:rPr>
        <w:t>&lt;0.05).</w:t>
      </w:r>
      <w:r w:rsidR="007A2F1C">
        <w:br w:type="page"/>
      </w:r>
    </w:p>
    <w:p w14:paraId="5B469B50" w14:textId="1885A216" w:rsidR="00F75EB7" w:rsidRDefault="007A2F1C" w:rsidP="009D6E5B">
      <w:pPr>
        <w:spacing w:line="480" w:lineRule="auto"/>
      </w:pPr>
      <w:r>
        <w:rPr>
          <w:i/>
          <w:iCs/>
        </w:rPr>
        <w:lastRenderedPageBreak/>
        <w:t>Leaf photosynthesis</w:t>
      </w:r>
      <w:r w:rsidR="00AF1559">
        <w:rPr>
          <w:i/>
          <w:iCs/>
        </w:rPr>
        <w:t xml:space="preserve"> and gas exchange</w:t>
      </w:r>
    </w:p>
    <w:p w14:paraId="430AB314" w14:textId="0D7E94CF" w:rsidR="002F0BBB" w:rsidRPr="002F0BBB" w:rsidRDefault="009E304C" w:rsidP="009D6E5B">
      <w:pPr>
        <w:spacing w:line="480" w:lineRule="auto"/>
        <w:ind w:firstLine="720"/>
      </w:pPr>
      <w:r>
        <w:t xml:space="preserve">Increasing </w:t>
      </w:r>
      <w:r w:rsidR="003873F0">
        <w:t xml:space="preserve">nitrogen fertilization </w:t>
      </w:r>
      <w:r w:rsidR="00AA5502">
        <w:t>had a negative effect on</w:t>
      </w:r>
      <w:r>
        <w:t xml:space="preserve"> </w:t>
      </w:r>
      <w:proofErr w:type="spellStart"/>
      <w:r w:rsidR="00D634C4">
        <w:rPr>
          <w:i/>
          <w:iCs/>
        </w:rPr>
        <w:t>A</w:t>
      </w:r>
      <w:r w:rsidR="00D634C4">
        <w:rPr>
          <w:vertAlign w:val="subscript"/>
        </w:rPr>
        <w:t>net</w:t>
      </w:r>
      <w:proofErr w:type="spellEnd"/>
      <w:r w:rsidR="00AA5502">
        <w:t xml:space="preserve"> </w:t>
      </w:r>
      <w:r w:rsidR="003873F0">
        <w:t xml:space="preserve">(Table </w:t>
      </w:r>
      <w:r w:rsidR="00F640C8">
        <w:t>3</w:t>
      </w:r>
      <w:r w:rsidR="003873F0">
        <w:t xml:space="preserve">; Fig. </w:t>
      </w:r>
      <w:r w:rsidR="00F640C8">
        <w:t>5</w:t>
      </w:r>
      <w:r w:rsidR="00055528">
        <w:t>A</w:t>
      </w:r>
      <w:r w:rsidR="00AA5502">
        <w:t>-B</w:t>
      </w:r>
      <w:r w:rsidR="003873F0">
        <w:t>)</w:t>
      </w:r>
      <w:r w:rsidR="00A97B6C">
        <w:t xml:space="preserve">, where individuals </w:t>
      </w:r>
      <w:r>
        <w:t xml:space="preserve">grown </w:t>
      </w:r>
      <w:r w:rsidR="00532E28">
        <w:t>under</w:t>
      </w:r>
      <w:r>
        <w:t xml:space="preserve"> high nitrogen fertilization (</w:t>
      </w:r>
      <w:r w:rsidR="00A44260" w:rsidRPr="00A97B6C">
        <w:t>9.</w:t>
      </w:r>
      <w:r w:rsidR="00A747FF">
        <w:t>79</w:t>
      </w:r>
      <w:r w:rsidR="00A44260" w:rsidRPr="00A97B6C">
        <w:sym w:font="Symbol" w:char="F0B1"/>
      </w:r>
      <w:r w:rsidR="00A44260" w:rsidRPr="00A97B6C">
        <w:t>0.4</w:t>
      </w:r>
      <w:r w:rsidR="00A747FF">
        <w:t>6</w:t>
      </w:r>
      <w:r w:rsidR="00A44260" w:rsidRPr="00A97B6C">
        <w:t xml:space="preserve"> </w:t>
      </w:r>
      <w:r w:rsidR="00A44260" w:rsidRPr="00A97B6C">
        <w:rPr>
          <w:lang w:val="el-GR"/>
        </w:rPr>
        <w:t>μ</w:t>
      </w:r>
      <w:r w:rsidR="00A44260" w:rsidRPr="00A97B6C">
        <w:t>mol m</w:t>
      </w:r>
      <w:r w:rsidR="00A44260" w:rsidRPr="00A97B6C">
        <w:rPr>
          <w:vertAlign w:val="superscript"/>
        </w:rPr>
        <w:t>-2</w:t>
      </w:r>
      <w:r w:rsidR="00A44260" w:rsidRPr="00A97B6C">
        <w:t xml:space="preserve"> s</w:t>
      </w:r>
      <w:r w:rsidR="00A44260" w:rsidRPr="00A97B6C">
        <w:rPr>
          <w:vertAlign w:val="superscript"/>
        </w:rPr>
        <w:t>-1</w:t>
      </w:r>
      <w:r>
        <w:t xml:space="preserve">) had </w:t>
      </w:r>
      <w:r w:rsidR="00532E28">
        <w:t>20.</w:t>
      </w:r>
      <w:r w:rsidR="00A747FF">
        <w:t>8</w:t>
      </w:r>
      <w:r>
        <w:t>%</w:t>
      </w:r>
      <w:r w:rsidR="00A97B6C">
        <w:t xml:space="preserve"> </w:t>
      </w:r>
      <w:r>
        <w:t xml:space="preserve">lower </w:t>
      </w:r>
      <w:proofErr w:type="spellStart"/>
      <w:r>
        <w:rPr>
          <w:i/>
          <w:iCs/>
        </w:rPr>
        <w:t>A</w:t>
      </w:r>
      <w:r>
        <w:rPr>
          <w:vertAlign w:val="subscript"/>
        </w:rPr>
        <w:t>net</w:t>
      </w:r>
      <w:proofErr w:type="spellEnd"/>
      <w:r w:rsidR="00AA5502">
        <w:t xml:space="preserve"> </w:t>
      </w:r>
      <w:r>
        <w:t xml:space="preserve">than individuals </w:t>
      </w:r>
      <w:r w:rsidR="00532E28">
        <w:t>grown under</w:t>
      </w:r>
      <w:r>
        <w:t xml:space="preserve"> low nitrogen fertilization (</w:t>
      </w:r>
      <w:proofErr w:type="spellStart"/>
      <w:r w:rsidRPr="00532E28">
        <w:rPr>
          <w:i/>
          <w:iCs/>
        </w:rPr>
        <w:t>A</w:t>
      </w:r>
      <w:r w:rsidRPr="00532E28">
        <w:rPr>
          <w:vertAlign w:val="subscript"/>
        </w:rPr>
        <w:t>net</w:t>
      </w:r>
      <w:proofErr w:type="spellEnd"/>
      <w:r w:rsidRPr="00532E28">
        <w:t>:</w:t>
      </w:r>
      <w:r w:rsidR="00A44260" w:rsidRPr="00532E28">
        <w:t xml:space="preserve"> 12.</w:t>
      </w:r>
      <w:r w:rsidR="00A747FF">
        <w:t>36</w:t>
      </w:r>
      <w:r w:rsidR="00A44260" w:rsidRPr="00532E28">
        <w:sym w:font="Symbol" w:char="F0B1"/>
      </w:r>
      <w:r w:rsidR="00A44260" w:rsidRPr="00532E28">
        <w:t>0.4</w:t>
      </w:r>
      <w:r w:rsidR="00A747FF">
        <w:t>6</w:t>
      </w:r>
      <w:r w:rsidR="00A44260" w:rsidRPr="00532E28">
        <w:t xml:space="preserve"> </w:t>
      </w:r>
      <w:r w:rsidR="00A44260" w:rsidRPr="00532E28">
        <w:rPr>
          <w:lang w:val="el-GR"/>
        </w:rPr>
        <w:t>μ</w:t>
      </w:r>
      <w:r w:rsidR="00A44260" w:rsidRPr="00532E28">
        <w:t>mol m</w:t>
      </w:r>
      <w:r w:rsidR="00A44260" w:rsidRPr="00532E28">
        <w:rPr>
          <w:vertAlign w:val="superscript"/>
        </w:rPr>
        <w:t>-2</w:t>
      </w:r>
      <w:r w:rsidR="00532E28">
        <w:t xml:space="preserve"> </w:t>
      </w:r>
      <w:r w:rsidR="00A44260" w:rsidRPr="00532E28">
        <w:t>s</w:t>
      </w:r>
      <w:r w:rsidR="00A44260" w:rsidRPr="00532E28">
        <w:rPr>
          <w:vertAlign w:val="superscript"/>
        </w:rPr>
        <w:t>-1</w:t>
      </w:r>
      <w:r w:rsidRPr="00532E28">
        <w:t xml:space="preserve">; </w:t>
      </w:r>
      <w:r w:rsidR="00A44260" w:rsidRPr="00532E28">
        <w:t>Tukey: p</w:t>
      </w:r>
      <w:r w:rsidR="00AA5502" w:rsidRPr="00532E28">
        <w:t>&lt;0.0</w:t>
      </w:r>
      <w:r w:rsidR="00532E28" w:rsidRPr="00532E28">
        <w:t>01</w:t>
      </w:r>
      <w:r w:rsidRPr="00532E28">
        <w:t>).</w:t>
      </w:r>
      <w:r>
        <w:t xml:space="preserve"> </w:t>
      </w:r>
      <w:r w:rsidR="00A97B6C">
        <w:t xml:space="preserve">There was a marginal negative effect of </w:t>
      </w:r>
      <w:r w:rsidR="00532E28">
        <w:t xml:space="preserve">increasing </w:t>
      </w:r>
      <w:r w:rsidR="00A97B6C">
        <w:t xml:space="preserve">nitrogen fertilization on </w:t>
      </w:r>
      <w:r w:rsidR="00A97B6C" w:rsidRPr="002F0BBB">
        <w:rPr>
          <w:i/>
          <w:iCs/>
        </w:rPr>
        <w:t>V</w:t>
      </w:r>
      <w:r w:rsidR="00A97B6C" w:rsidRPr="002F0BBB">
        <w:rPr>
          <w:vertAlign w:val="subscript"/>
        </w:rPr>
        <w:t>cmax25</w:t>
      </w:r>
      <w:r w:rsidR="00532E28">
        <w:t xml:space="preserve">, but no observable </w:t>
      </w:r>
      <w:r w:rsidR="00A747FF">
        <w:t xml:space="preserve">fertilization </w:t>
      </w:r>
      <w:r w:rsidR="00532E28">
        <w:t xml:space="preserve">effect on </w:t>
      </w:r>
      <w:r w:rsidR="00AA5502">
        <w:rPr>
          <w:i/>
          <w:iCs/>
        </w:rPr>
        <w:t>J</w:t>
      </w:r>
      <w:r w:rsidR="00AA5502">
        <w:rPr>
          <w:vertAlign w:val="subscript"/>
        </w:rPr>
        <w:t>max25</w:t>
      </w:r>
      <w:r w:rsidR="00AA5502" w:rsidRPr="00AA5502">
        <w:t xml:space="preserve"> </w:t>
      </w:r>
      <w:r w:rsidR="00AA5502">
        <w:t xml:space="preserve">or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AA5502">
        <w:t xml:space="preserve"> (Table 3; Fig. </w:t>
      </w:r>
      <w:r w:rsidR="00F640C8">
        <w:t>5</w:t>
      </w:r>
      <w:r w:rsidR="00AA5502">
        <w:t xml:space="preserve">C). </w:t>
      </w:r>
      <w:r w:rsidR="00532E28">
        <w:t xml:space="preserve">There was </w:t>
      </w:r>
      <w:r w:rsidR="00A747FF">
        <w:t xml:space="preserve">also no </w:t>
      </w:r>
      <w:r w:rsidR="00532E28">
        <w:t xml:space="preserve">effect of inoculation or any interaction between fertilization and inoculation on </w:t>
      </w:r>
      <w:proofErr w:type="spellStart"/>
      <w:r w:rsidR="002F0BBB">
        <w:rPr>
          <w:i/>
          <w:iCs/>
        </w:rPr>
        <w:t>A</w:t>
      </w:r>
      <w:r w:rsidR="002F0BBB">
        <w:rPr>
          <w:vertAlign w:val="subscript"/>
        </w:rPr>
        <w:t>net</w:t>
      </w:r>
      <w:proofErr w:type="spellEnd"/>
      <w:r w:rsidR="00AA5502">
        <w:t>,</w:t>
      </w:r>
      <w:r w:rsidR="002F0BBB">
        <w:t xml:space="preserve"> </w:t>
      </w:r>
      <w:r w:rsidR="002F0BBB">
        <w:rPr>
          <w:i/>
          <w:iCs/>
        </w:rPr>
        <w:t>V</w:t>
      </w:r>
      <w:r w:rsidR="002F0BBB">
        <w:rPr>
          <w:vertAlign w:val="subscript"/>
        </w:rPr>
        <w:t>cmax25</w:t>
      </w:r>
      <w:r w:rsidR="00AA5502">
        <w:t xml:space="preserve">,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8D46B4">
        <w:t xml:space="preserve">, </w:t>
      </w:r>
      <w:r w:rsidR="00A747FF">
        <w:t>but there was</w:t>
      </w:r>
      <w:r w:rsidR="008D46B4">
        <w:t xml:space="preserve"> a marginal positive effect of inoculation on </w:t>
      </w:r>
      <w:r w:rsidR="00AA5502">
        <w:rPr>
          <w:i/>
          <w:iCs/>
        </w:rPr>
        <w:t>J</w:t>
      </w:r>
      <w:r w:rsidR="00AA5502">
        <w:rPr>
          <w:vertAlign w:val="subscript"/>
        </w:rPr>
        <w:t>max25</w:t>
      </w:r>
      <w:r w:rsidR="00AA5502">
        <w:t xml:space="preserve"> </w:t>
      </w:r>
      <w:r w:rsidR="003873F0">
        <w:t xml:space="preserve">(Table </w:t>
      </w:r>
      <w:r w:rsidR="0048004A">
        <w:t>3</w:t>
      </w:r>
      <w:r w:rsidR="003873F0">
        <w:t xml:space="preserve">; Fig. </w:t>
      </w:r>
      <w:r w:rsidR="00F640C8">
        <w:t>5</w:t>
      </w:r>
      <w:r w:rsidR="00055528">
        <w:t>A-C</w:t>
      </w:r>
      <w:r w:rsidR="003873F0">
        <w:t>).</w:t>
      </w:r>
    </w:p>
    <w:p w14:paraId="04A094B1" w14:textId="2AF23871" w:rsidR="00DB3A79" w:rsidRDefault="00BD310E" w:rsidP="009D6E5B">
      <w:pPr>
        <w:spacing w:line="480" w:lineRule="auto"/>
        <w:ind w:firstLine="720"/>
      </w:pP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t>
      </w:r>
      <w:r w:rsidR="00055528">
        <w:t xml:space="preserve">(Table </w:t>
      </w:r>
      <w:r w:rsidR="0048004A">
        <w:t>3</w:t>
      </w:r>
      <w:r w:rsidR="00055528">
        <w:t xml:space="preserve">; Fig. </w:t>
      </w:r>
      <w:r w:rsidR="00F640C8">
        <w:t>5</w:t>
      </w:r>
      <w:r w:rsidR="00055528">
        <w:t>D)</w:t>
      </w:r>
      <w:r>
        <w:t xml:space="preserve">. </w:t>
      </w:r>
      <w:r w:rsidR="00FE6DAB">
        <w:t>This interaction indicated that inoculated individuals grown under high nitrogen fertilization (</w:t>
      </w:r>
      <w:r w:rsidR="008E75B9">
        <w:t>0.81</w:t>
      </w:r>
      <w:r w:rsidR="008E75B9" w:rsidRPr="008E75B9">
        <w:sym w:font="Symbol" w:char="F0B1"/>
      </w:r>
      <w:r w:rsidR="008E75B9" w:rsidRPr="008E75B9">
        <w:t xml:space="preserve">0.07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xml:space="preserve">) had </w:t>
      </w:r>
      <w:r w:rsidR="008E75B9">
        <w:t>47.2</w:t>
      </w:r>
      <w:r w:rsidR="00FE6DAB">
        <w:t xml:space="preserve">% higher </w:t>
      </w:r>
      <w:r w:rsidR="00FE6DAB">
        <w:rPr>
          <w:i/>
          <w:iCs/>
        </w:rPr>
        <w:t>R</w:t>
      </w:r>
      <w:r w:rsidR="00FE6DAB">
        <w:rPr>
          <w:vertAlign w:val="subscript"/>
        </w:rPr>
        <w:t>d25</w:t>
      </w:r>
      <w:r w:rsidR="00FE6DAB">
        <w:t xml:space="preserve"> values than inoculated individuals grown under low nitrogen fertilization (</w:t>
      </w:r>
      <w:r w:rsidR="008E75B9">
        <w:t>0.55</w:t>
      </w:r>
      <w:r w:rsidR="008E75B9" w:rsidRPr="008E75B9">
        <w:sym w:font="Symbol" w:char="F0B1"/>
      </w:r>
      <w:r w:rsidR="008E75B9" w:rsidRPr="008E75B9">
        <w:t xml:space="preserve">0.04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Tukey: p=</w:t>
      </w:r>
      <w:r w:rsidR="008E75B9">
        <w:t>0.004</w:t>
      </w:r>
      <w:r w:rsidR="00FE6DAB">
        <w:t>), with no fertilization effect observed in non-inoculated individuals</w:t>
      </w:r>
      <w:r w:rsidR="002F0BBB" w:rsidRPr="00D634C4">
        <w:t xml:space="preserve"> (Tukey: p=0.956).</w:t>
      </w:r>
      <w:r w:rsidR="00DB3A79">
        <w:t xml:space="preserve"> </w:t>
      </w:r>
    </w:p>
    <w:p w14:paraId="457C183A" w14:textId="45180716" w:rsidR="0045096E" w:rsidRDefault="00B877FE" w:rsidP="009D6E5B">
      <w:pPr>
        <w:spacing w:line="480" w:lineRule="auto"/>
        <w:ind w:firstLine="720"/>
      </w:pPr>
      <w:r>
        <w:t xml:space="preserve">We also observed a marginal interaction between fertilization and inoculation on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 This interaction indicated that in</w:t>
      </w:r>
      <w:r w:rsidR="00DB3A79">
        <w:t>oculated individuals growing under high nitrogen fertilization (0.0163</w:t>
      </w:r>
      <w:r w:rsidR="00DB3A79" w:rsidRPr="008E75B9">
        <w:sym w:font="Symbol" w:char="F0B1"/>
      </w:r>
      <w:r w:rsidR="00DB3A79">
        <w:t xml:space="preserve">0.0015) had 66.3% higher </w:t>
      </w:r>
      <w:r w:rsidR="00DB3A79" w:rsidRPr="00D634C4">
        <w:rPr>
          <w:i/>
          <w:iCs/>
        </w:rPr>
        <w:t>R</w:t>
      </w:r>
      <w:r w:rsidR="00DB3A79" w:rsidRPr="00D634C4">
        <w:rPr>
          <w:vertAlign w:val="subscript"/>
        </w:rPr>
        <w:t>d25</w:t>
      </w:r>
      <w:r w:rsidR="00DB3A79" w:rsidRPr="00D634C4">
        <w:t>:</w:t>
      </w:r>
      <w:r w:rsidR="00DB3A79">
        <w:t xml:space="preserve"> </w:t>
      </w:r>
      <w:r w:rsidR="00DB3A79" w:rsidRPr="00D634C4">
        <w:rPr>
          <w:i/>
          <w:iCs/>
        </w:rPr>
        <w:t>V</w:t>
      </w:r>
      <w:r w:rsidR="00DB3A79" w:rsidRPr="00D634C4">
        <w:rPr>
          <w:vertAlign w:val="subscript"/>
        </w:rPr>
        <w:t>cmax25</w:t>
      </w:r>
      <w:r w:rsidR="00DB3A79">
        <w:t xml:space="preserve"> than inoculated individuals growing under low nitrogen fertilization (0.0098</w:t>
      </w:r>
      <w:r w:rsidR="00DB3A79" w:rsidRPr="008E75B9">
        <w:sym w:font="Symbol" w:char="F0B1"/>
      </w:r>
      <w:r w:rsidR="00DB3A79">
        <w:t xml:space="preserve">0.0015; Tukey: p=0.004), with no fertilization effect observed in non-inoculated individuals (Tukey: p=0.770). Additionally, increasing nitrogen fertilization had a positive effect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r w:rsidR="00DB3A79">
        <w:t>, where individuals grown under high nitrogen fertilization</w:t>
      </w:r>
      <w:r w:rsidR="0045096E">
        <w:t xml:space="preserve"> (</w:t>
      </w:r>
      <w:r>
        <w:t>0.0146</w:t>
      </w:r>
      <w:r w:rsidR="0045096E" w:rsidRPr="008E75B9">
        <w:sym w:font="Symbol" w:char="F0B1"/>
      </w:r>
      <w:r w:rsidR="0045096E">
        <w:t>0.001</w:t>
      </w:r>
      <w:r>
        <w:t>2</w:t>
      </w:r>
      <w:r w:rsidR="0045096E">
        <w:t xml:space="preserve">) had </w:t>
      </w:r>
      <w:r w:rsidR="00DB3A79">
        <w:t>40.3</w:t>
      </w:r>
      <w:r w:rsidR="0045096E">
        <w:t xml:space="preserve">% higher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than those grown under </w:t>
      </w:r>
      <w:r>
        <w:t>low</w:t>
      </w:r>
      <w:r w:rsidR="0045096E">
        <w:t xml:space="preserve"> nitrogen fertilization (0.01</w:t>
      </w:r>
      <w:r>
        <w:t>04</w:t>
      </w:r>
      <w:r w:rsidR="0045096E" w:rsidRPr="008E75B9">
        <w:sym w:font="Symbol" w:char="F0B1"/>
      </w:r>
      <w:r w:rsidR="0045096E">
        <w:t>0.001</w:t>
      </w:r>
      <w:r>
        <w:t>2</w:t>
      </w:r>
      <w:r w:rsidR="0045096E">
        <w:t>; Tukey: p=0.00</w:t>
      </w:r>
      <w:r>
        <w:t>3</w:t>
      </w:r>
      <w:r w:rsidR="0045096E">
        <w:t xml:space="preserve">). There was no </w:t>
      </w:r>
      <w:r w:rsidR="00DB3A79">
        <w:t xml:space="preserve">individual </w:t>
      </w:r>
      <w:r w:rsidR="0045096E">
        <w:t>inoculation</w:t>
      </w:r>
      <w:r w:rsidR="00DB3A79">
        <w:t xml:space="preserve"> effect</w:t>
      </w:r>
      <w:r w:rsidR="0045096E">
        <w:t xml:space="preserve">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p>
    <w:p w14:paraId="596B3EE4" w14:textId="21619BA7" w:rsidR="00E372EE" w:rsidRPr="00F00703" w:rsidRDefault="004654D8" w:rsidP="009D6E5B">
      <w:pPr>
        <w:spacing w:line="480" w:lineRule="auto"/>
        <w:ind w:firstLine="720"/>
      </w:pPr>
      <w:r>
        <w:lastRenderedPageBreak/>
        <w:t xml:space="preserve">Increasing nitrogen fertilization generally decreased </w:t>
      </w:r>
      <w:proofErr w:type="spellStart"/>
      <w:r w:rsidR="001A31D4">
        <w:rPr>
          <w:i/>
          <w:iCs/>
        </w:rPr>
        <w:t>g</w:t>
      </w:r>
      <w:r w:rsidR="001A31D4">
        <w:rPr>
          <w:vertAlign w:val="subscript"/>
        </w:rPr>
        <w:t>s</w:t>
      </w:r>
      <w:proofErr w:type="spellEnd"/>
      <w:r w:rsidR="001A31D4">
        <w:t xml:space="preserve"> but</w:t>
      </w:r>
      <w:r>
        <w:t xml:space="preserve"> did not change </w:t>
      </w:r>
      <w:r w:rsidR="00792D5B">
        <w:rPr>
          <w:i/>
          <w:iCs/>
        </w:rPr>
        <w:t>C</w:t>
      </w:r>
      <w:r w:rsidR="00792D5B">
        <w:rPr>
          <w:vertAlign w:val="subscript"/>
        </w:rPr>
        <w:t>i</w:t>
      </w:r>
      <w:r w:rsidR="00792D5B">
        <w:t xml:space="preserve">: </w:t>
      </w:r>
      <w:r w:rsidR="00792D5B">
        <w:rPr>
          <w:i/>
          <w:iCs/>
        </w:rPr>
        <w:t>C</w:t>
      </w:r>
      <w:r w:rsidR="00792D5B">
        <w:rPr>
          <w:vertAlign w:val="subscript"/>
        </w:rPr>
        <w:t>a</w:t>
      </w:r>
      <w:r w:rsidR="008C398A">
        <w:t xml:space="preserve"> </w:t>
      </w:r>
      <w:r w:rsidR="00021BEB">
        <w:t xml:space="preserve">(Table </w:t>
      </w:r>
      <w:r w:rsidR="0048004A">
        <w:t>3</w:t>
      </w:r>
      <w:r w:rsidR="00021BEB">
        <w:t>).</w:t>
      </w:r>
      <w:r w:rsidR="0045096E">
        <w:t xml:space="preserve"> Specifically, individuals grown under high nitrogen fertilization (</w:t>
      </w:r>
      <w:r w:rsidR="00C4618D">
        <w:t>0.13</w:t>
      </w:r>
      <w:r w:rsidR="00EF1D97">
        <w:t>2</w:t>
      </w:r>
      <w:r w:rsidR="00C4618D" w:rsidRPr="008E75B9">
        <w:sym w:font="Symbol" w:char="F0B1"/>
      </w:r>
      <w:r w:rsidR="00C4618D">
        <w:t>0.</w:t>
      </w:r>
      <w:r>
        <w:t>009</w:t>
      </w:r>
      <w:r w:rsidR="00C4618D">
        <w:t xml:space="preserve"> mol m</w:t>
      </w:r>
      <w:r w:rsidR="00C4618D">
        <w:rPr>
          <w:vertAlign w:val="superscript"/>
        </w:rPr>
        <w:t>-2</w:t>
      </w:r>
      <w:r w:rsidR="00C4618D">
        <w:t xml:space="preserve"> s</w:t>
      </w:r>
      <w:r w:rsidR="00C4618D">
        <w:rPr>
          <w:vertAlign w:val="superscript"/>
        </w:rPr>
        <w:t>-1</w:t>
      </w:r>
      <w:r w:rsidR="0045096E">
        <w:t xml:space="preserve">) had </w:t>
      </w:r>
      <w:r>
        <w:t>2</w:t>
      </w:r>
      <w:r w:rsidR="00EF1D97">
        <w:t>2.8</w:t>
      </w:r>
      <w:r w:rsidR="0045096E">
        <w:t xml:space="preserve">% lower </w:t>
      </w:r>
      <w:proofErr w:type="spellStart"/>
      <w:r w:rsidR="0045096E">
        <w:rPr>
          <w:i/>
          <w:iCs/>
        </w:rPr>
        <w:t>g</w:t>
      </w:r>
      <w:r w:rsidR="0045096E">
        <w:rPr>
          <w:vertAlign w:val="subscript"/>
        </w:rPr>
        <w:t>s</w:t>
      </w:r>
      <w:proofErr w:type="spellEnd"/>
      <w:r w:rsidR="0045096E">
        <w:t xml:space="preserve"> than those grown under low nitrogen fertilization (</w:t>
      </w:r>
      <w:r w:rsidR="00C4618D">
        <w:t>0.</w:t>
      </w:r>
      <w:r>
        <w:t>1</w:t>
      </w:r>
      <w:r w:rsidR="00EF1D97">
        <w:t>71</w:t>
      </w:r>
      <w:r w:rsidR="00C4618D" w:rsidRPr="008E75B9">
        <w:sym w:font="Symbol" w:char="F0B1"/>
      </w:r>
      <w:r w:rsidR="00C4618D">
        <w:t>0.01</w:t>
      </w:r>
      <w:r>
        <w:t>0</w:t>
      </w:r>
      <w:r w:rsidR="00C4618D">
        <w:t xml:space="preserve"> mol m</w:t>
      </w:r>
      <w:r w:rsidR="00C4618D">
        <w:rPr>
          <w:vertAlign w:val="superscript"/>
        </w:rPr>
        <w:t>-2</w:t>
      </w:r>
      <w:r w:rsidR="00C4618D">
        <w:t xml:space="preserve"> s</w:t>
      </w:r>
      <w:r w:rsidR="00C4618D">
        <w:rPr>
          <w:vertAlign w:val="superscript"/>
        </w:rPr>
        <w:t>-1</w:t>
      </w:r>
      <w:r w:rsidR="0045096E">
        <w:t>), respectively (Tukey: p</w:t>
      </w:r>
      <w:r>
        <w:t>=</w:t>
      </w:r>
      <w:r w:rsidR="00C4618D">
        <w:t>0.00</w:t>
      </w:r>
      <w:r>
        <w:t>2</w:t>
      </w:r>
      <w:r w:rsidR="0045096E">
        <w:t>). There was no effect of inoculation or any observable interaction between nitrogen fertilization and inoculation on either response variable (Table 3).</w:t>
      </w:r>
    </w:p>
    <w:p w14:paraId="6C6FB8B6" w14:textId="77777777" w:rsidR="009C62F2" w:rsidRPr="009C62F2" w:rsidRDefault="009C62F2" w:rsidP="009D6E5B">
      <w:pPr>
        <w:spacing w:line="480" w:lineRule="auto"/>
      </w:pPr>
    </w:p>
    <w:p w14:paraId="212B52C6" w14:textId="77777777" w:rsidR="007A2F1C" w:rsidRDefault="007A2F1C" w:rsidP="00A85036">
      <w:pPr>
        <w:spacing w:line="480" w:lineRule="auto"/>
        <w:sectPr w:rsidR="007A2F1C" w:rsidSect="004C3C71">
          <w:pgSz w:w="12240" w:h="15840"/>
          <w:pgMar w:top="1440" w:right="1440" w:bottom="1440" w:left="1440" w:header="720" w:footer="720" w:gutter="0"/>
          <w:lnNumType w:countBy="1" w:restart="continuous"/>
          <w:cols w:space="720"/>
          <w:docGrid w:linePitch="360"/>
        </w:sectPr>
      </w:pPr>
    </w:p>
    <w:p w14:paraId="359C997A" w14:textId="298E2962" w:rsidR="008D6E2F" w:rsidRDefault="007A2F1C" w:rsidP="009D6E5B">
      <w:pPr>
        <w:spacing w:line="480" w:lineRule="auto"/>
      </w:pPr>
      <w:r>
        <w:rPr>
          <w:b/>
          <w:bCs/>
        </w:rPr>
        <w:lastRenderedPageBreak/>
        <w:t xml:space="preserve">Table </w:t>
      </w:r>
      <w:r w:rsidR="00EB0C0F">
        <w:rPr>
          <w:b/>
          <w:bCs/>
        </w:rPr>
        <w:t>3</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rsidRPr="009515D2" w14:paraId="7869E195" w14:textId="77777777" w:rsidTr="004B1EA4">
        <w:tc>
          <w:tcPr>
            <w:tcW w:w="2516" w:type="dxa"/>
            <w:gridSpan w:val="2"/>
            <w:tcBorders>
              <w:bottom w:val="single" w:sz="4" w:space="0" w:color="auto"/>
            </w:tcBorders>
          </w:tcPr>
          <w:p w14:paraId="440F8845" w14:textId="77777777" w:rsidR="004B1EA4" w:rsidRPr="009515D2" w:rsidRDefault="004B1EA4" w:rsidP="00A85036">
            <w:pPr>
              <w:spacing w:line="276" w:lineRule="auto"/>
              <w:rPr>
                <w:b/>
                <w:bCs/>
                <w:sz w:val="22"/>
                <w:szCs w:val="22"/>
              </w:rPr>
            </w:pPr>
          </w:p>
        </w:tc>
        <w:tc>
          <w:tcPr>
            <w:tcW w:w="2008" w:type="dxa"/>
            <w:gridSpan w:val="2"/>
            <w:tcBorders>
              <w:bottom w:val="single" w:sz="4" w:space="0" w:color="auto"/>
            </w:tcBorders>
          </w:tcPr>
          <w:p w14:paraId="22EB8E91" w14:textId="06A22E57" w:rsidR="004B1EA4" w:rsidRPr="009515D2" w:rsidRDefault="004B1EA4" w:rsidP="00A85036">
            <w:pPr>
              <w:spacing w:line="276" w:lineRule="auto"/>
              <w:jc w:val="right"/>
              <w:rPr>
                <w:b/>
                <w:bCs/>
                <w:sz w:val="22"/>
                <w:szCs w:val="22"/>
                <w:vertAlign w:val="subscript"/>
              </w:rPr>
            </w:pPr>
            <w:proofErr w:type="spellStart"/>
            <w:r w:rsidRPr="009515D2">
              <w:rPr>
                <w:b/>
                <w:bCs/>
                <w:i/>
                <w:iCs/>
                <w:sz w:val="22"/>
                <w:szCs w:val="22"/>
              </w:rPr>
              <w:t>A</w:t>
            </w:r>
            <w:r w:rsidRPr="009515D2">
              <w:rPr>
                <w:b/>
                <w:bCs/>
                <w:sz w:val="22"/>
                <w:szCs w:val="22"/>
                <w:vertAlign w:val="subscript"/>
              </w:rPr>
              <w:t>net</w:t>
            </w:r>
            <w:proofErr w:type="spellEnd"/>
          </w:p>
        </w:tc>
        <w:tc>
          <w:tcPr>
            <w:tcW w:w="2009" w:type="dxa"/>
            <w:gridSpan w:val="2"/>
            <w:tcBorders>
              <w:bottom w:val="single" w:sz="4" w:space="0" w:color="auto"/>
            </w:tcBorders>
          </w:tcPr>
          <w:p w14:paraId="41C91FCD"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5BD5CE1E"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J</w:t>
            </w:r>
            <w:r w:rsidRPr="009515D2">
              <w:rPr>
                <w:b/>
                <w:bCs/>
                <w:sz w:val="22"/>
                <w:szCs w:val="22"/>
                <w:vertAlign w:val="subscript"/>
              </w:rPr>
              <w:t>max25</w:t>
            </w:r>
          </w:p>
        </w:tc>
        <w:tc>
          <w:tcPr>
            <w:tcW w:w="2009" w:type="dxa"/>
            <w:gridSpan w:val="2"/>
            <w:tcBorders>
              <w:bottom w:val="single" w:sz="4" w:space="0" w:color="auto"/>
            </w:tcBorders>
          </w:tcPr>
          <w:p w14:paraId="34513C27" w14:textId="77777777" w:rsidR="004B1EA4" w:rsidRPr="009515D2" w:rsidRDefault="004B1EA4" w:rsidP="00A85036">
            <w:pPr>
              <w:spacing w:line="276" w:lineRule="auto"/>
              <w:jc w:val="right"/>
              <w:rPr>
                <w:b/>
                <w:bCs/>
                <w:sz w:val="22"/>
                <w:szCs w:val="22"/>
              </w:rPr>
            </w:pPr>
            <w:r w:rsidRPr="009515D2">
              <w:rPr>
                <w:b/>
                <w:bCs/>
                <w:i/>
                <w:iCs/>
                <w:sz w:val="22"/>
                <w:szCs w:val="22"/>
              </w:rPr>
              <w:t>J</w:t>
            </w:r>
            <w:r w:rsidRPr="009515D2">
              <w:rPr>
                <w:b/>
                <w:bCs/>
                <w:sz w:val="22"/>
                <w:szCs w:val="22"/>
                <w:vertAlign w:val="subscript"/>
              </w:rPr>
              <w:t>max25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1872" w:type="dxa"/>
            <w:gridSpan w:val="2"/>
            <w:tcBorders>
              <w:bottom w:val="single" w:sz="4" w:space="0" w:color="auto"/>
            </w:tcBorders>
          </w:tcPr>
          <w:p w14:paraId="2B7D632F" w14:textId="36AC814F" w:rsidR="004B1EA4" w:rsidRPr="009515D2" w:rsidRDefault="004B1EA4" w:rsidP="00A85036">
            <w:pPr>
              <w:spacing w:line="276" w:lineRule="auto"/>
              <w:jc w:val="right"/>
              <w:rPr>
                <w:b/>
                <w:bCs/>
                <w:sz w:val="22"/>
                <w:szCs w:val="22"/>
              </w:rPr>
            </w:pPr>
            <w:r w:rsidRPr="009515D2">
              <w:rPr>
                <w:b/>
                <w:bCs/>
                <w:i/>
                <w:iCs/>
                <w:sz w:val="22"/>
                <w:szCs w:val="22"/>
              </w:rPr>
              <w:t>R</w:t>
            </w:r>
            <w:r w:rsidRPr="009515D2">
              <w:rPr>
                <w:b/>
                <w:bCs/>
                <w:sz w:val="22"/>
                <w:szCs w:val="22"/>
                <w:vertAlign w:val="subscript"/>
              </w:rPr>
              <w:t>d25</w:t>
            </w:r>
          </w:p>
        </w:tc>
      </w:tr>
      <w:tr w:rsidR="004B1EA4" w:rsidRPr="009515D2" w14:paraId="7F809614" w14:textId="77777777" w:rsidTr="004B1EA4">
        <w:tc>
          <w:tcPr>
            <w:tcW w:w="1980" w:type="dxa"/>
            <w:tcBorders>
              <w:top w:val="single" w:sz="4" w:space="0" w:color="auto"/>
              <w:bottom w:val="single" w:sz="4" w:space="0" w:color="auto"/>
            </w:tcBorders>
          </w:tcPr>
          <w:p w14:paraId="1100190D" w14:textId="77777777" w:rsidR="004B1EA4" w:rsidRPr="009515D2" w:rsidRDefault="004B1EA4" w:rsidP="00A85036">
            <w:pPr>
              <w:spacing w:line="276" w:lineRule="auto"/>
              <w:rPr>
                <w:sz w:val="22"/>
                <w:szCs w:val="22"/>
              </w:rPr>
            </w:pPr>
          </w:p>
        </w:tc>
        <w:tc>
          <w:tcPr>
            <w:tcW w:w="536" w:type="dxa"/>
            <w:tcBorders>
              <w:top w:val="single" w:sz="4" w:space="0" w:color="auto"/>
              <w:bottom w:val="single" w:sz="4" w:space="0" w:color="auto"/>
            </w:tcBorders>
          </w:tcPr>
          <w:p w14:paraId="4BCDCE61" w14:textId="77777777" w:rsidR="004B1EA4" w:rsidRPr="009515D2" w:rsidRDefault="004B1EA4"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31734418"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2E0812E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6CAEF82"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25306CC"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6389F45"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542E7C5"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2C231E7"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F0153B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0F67E4A" w14:textId="77777777" w:rsidR="004B1EA4" w:rsidRPr="009515D2" w:rsidRDefault="004B1EA4"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876" w:type="dxa"/>
            <w:tcBorders>
              <w:top w:val="single" w:sz="4" w:space="0" w:color="auto"/>
              <w:bottom w:val="single" w:sz="4" w:space="0" w:color="auto"/>
            </w:tcBorders>
          </w:tcPr>
          <w:p w14:paraId="0B577D55" w14:textId="77777777" w:rsidR="004B1EA4" w:rsidRPr="009515D2" w:rsidRDefault="004B1EA4" w:rsidP="00A85036">
            <w:pPr>
              <w:spacing w:line="276" w:lineRule="auto"/>
              <w:jc w:val="right"/>
              <w:rPr>
                <w:i/>
                <w:iCs/>
                <w:sz w:val="22"/>
                <w:szCs w:val="22"/>
              </w:rPr>
            </w:pPr>
            <w:r w:rsidRPr="009515D2">
              <w:rPr>
                <w:i/>
                <w:iCs/>
                <w:sz w:val="22"/>
                <w:szCs w:val="22"/>
              </w:rPr>
              <w:t>p</w:t>
            </w:r>
          </w:p>
        </w:tc>
      </w:tr>
      <w:tr w:rsidR="004B1EA4" w:rsidRPr="009515D2" w14:paraId="1A2F7F8F" w14:textId="77777777" w:rsidTr="008D46B4">
        <w:tc>
          <w:tcPr>
            <w:tcW w:w="1980" w:type="dxa"/>
            <w:tcBorders>
              <w:top w:val="single" w:sz="4" w:space="0" w:color="auto"/>
            </w:tcBorders>
          </w:tcPr>
          <w:p w14:paraId="030A6C63" w14:textId="223728B1" w:rsidR="004B1EA4" w:rsidRPr="009515D2" w:rsidRDefault="004B1EA4"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41ECD3D4"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58738E5" w14:textId="161A4811" w:rsidR="004B1EA4" w:rsidRPr="009515D2" w:rsidRDefault="00A747FF" w:rsidP="00A85036">
            <w:pPr>
              <w:spacing w:line="276" w:lineRule="auto"/>
              <w:jc w:val="right"/>
              <w:rPr>
                <w:sz w:val="22"/>
                <w:szCs w:val="22"/>
              </w:rPr>
            </w:pPr>
            <w:r>
              <w:rPr>
                <w:sz w:val="22"/>
                <w:szCs w:val="22"/>
              </w:rPr>
              <w:t>15.82</w:t>
            </w:r>
          </w:p>
        </w:tc>
        <w:tc>
          <w:tcPr>
            <w:tcW w:w="1012" w:type="dxa"/>
            <w:tcBorders>
              <w:top w:val="single" w:sz="4" w:space="0" w:color="auto"/>
            </w:tcBorders>
          </w:tcPr>
          <w:p w14:paraId="1F9E819C" w14:textId="3C3D2E8A" w:rsidR="004B1EA4" w:rsidRPr="009515D2" w:rsidRDefault="004B1EA4"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1EDEFE0A" w14:textId="308DCD80" w:rsidR="004B1EA4" w:rsidRPr="009515D2" w:rsidRDefault="008D46B4" w:rsidP="00A85036">
            <w:pPr>
              <w:spacing w:line="276" w:lineRule="auto"/>
              <w:jc w:val="right"/>
              <w:rPr>
                <w:sz w:val="22"/>
                <w:szCs w:val="22"/>
              </w:rPr>
            </w:pPr>
            <w:r>
              <w:rPr>
                <w:sz w:val="22"/>
                <w:szCs w:val="22"/>
              </w:rPr>
              <w:t>2.87</w:t>
            </w:r>
          </w:p>
        </w:tc>
        <w:tc>
          <w:tcPr>
            <w:tcW w:w="1013" w:type="dxa"/>
            <w:tcBorders>
              <w:top w:val="single" w:sz="4" w:space="0" w:color="auto"/>
            </w:tcBorders>
          </w:tcPr>
          <w:p w14:paraId="6BC47A3B" w14:textId="7D37E685" w:rsidR="004B1EA4" w:rsidRPr="00EF1D97" w:rsidRDefault="008D46B4" w:rsidP="00A85036">
            <w:pPr>
              <w:spacing w:line="276" w:lineRule="auto"/>
              <w:jc w:val="right"/>
              <w:rPr>
                <w:i/>
                <w:iCs/>
                <w:sz w:val="22"/>
                <w:szCs w:val="22"/>
              </w:rPr>
            </w:pPr>
            <w:r w:rsidRPr="00EF1D97">
              <w:rPr>
                <w:i/>
                <w:iCs/>
                <w:sz w:val="22"/>
                <w:szCs w:val="22"/>
              </w:rPr>
              <w:t>0.090</w:t>
            </w:r>
          </w:p>
        </w:tc>
        <w:tc>
          <w:tcPr>
            <w:tcW w:w="996" w:type="dxa"/>
            <w:tcBorders>
              <w:top w:val="single" w:sz="4" w:space="0" w:color="auto"/>
            </w:tcBorders>
          </w:tcPr>
          <w:p w14:paraId="6B9216E7" w14:textId="6EEF0F99" w:rsidR="004B1EA4" w:rsidRPr="009515D2" w:rsidRDefault="008D46B4" w:rsidP="00A85036">
            <w:pPr>
              <w:spacing w:line="276" w:lineRule="auto"/>
              <w:jc w:val="right"/>
              <w:rPr>
                <w:sz w:val="22"/>
                <w:szCs w:val="22"/>
              </w:rPr>
            </w:pPr>
            <w:r>
              <w:rPr>
                <w:sz w:val="22"/>
                <w:szCs w:val="22"/>
              </w:rPr>
              <w:t>2.38</w:t>
            </w:r>
          </w:p>
        </w:tc>
        <w:tc>
          <w:tcPr>
            <w:tcW w:w="1013" w:type="dxa"/>
            <w:tcBorders>
              <w:top w:val="single" w:sz="4" w:space="0" w:color="auto"/>
            </w:tcBorders>
          </w:tcPr>
          <w:p w14:paraId="5E85844B" w14:textId="76F61257" w:rsidR="004B1EA4" w:rsidRPr="008D46B4" w:rsidRDefault="008D46B4" w:rsidP="00A85036">
            <w:pPr>
              <w:spacing w:line="276" w:lineRule="auto"/>
              <w:jc w:val="right"/>
              <w:rPr>
                <w:sz w:val="22"/>
                <w:szCs w:val="22"/>
              </w:rPr>
            </w:pPr>
            <w:r w:rsidRPr="008D46B4">
              <w:rPr>
                <w:sz w:val="22"/>
                <w:szCs w:val="22"/>
              </w:rPr>
              <w:t>0.123</w:t>
            </w:r>
          </w:p>
        </w:tc>
        <w:tc>
          <w:tcPr>
            <w:tcW w:w="996" w:type="dxa"/>
            <w:tcBorders>
              <w:top w:val="single" w:sz="4" w:space="0" w:color="auto"/>
            </w:tcBorders>
          </w:tcPr>
          <w:p w14:paraId="43310C22" w14:textId="476A5F61" w:rsidR="004B1EA4" w:rsidRPr="009515D2" w:rsidRDefault="008D46B4" w:rsidP="00A85036">
            <w:pPr>
              <w:spacing w:line="276" w:lineRule="auto"/>
              <w:jc w:val="right"/>
              <w:rPr>
                <w:sz w:val="22"/>
                <w:szCs w:val="22"/>
              </w:rPr>
            </w:pPr>
            <w:r>
              <w:rPr>
                <w:sz w:val="22"/>
                <w:szCs w:val="22"/>
              </w:rPr>
              <w:t>0.</w:t>
            </w:r>
            <w:r w:rsidR="00A747FF">
              <w:rPr>
                <w:sz w:val="22"/>
                <w:szCs w:val="22"/>
              </w:rPr>
              <w:t>77</w:t>
            </w:r>
          </w:p>
        </w:tc>
        <w:tc>
          <w:tcPr>
            <w:tcW w:w="1013" w:type="dxa"/>
            <w:tcBorders>
              <w:top w:val="single" w:sz="4" w:space="0" w:color="auto"/>
            </w:tcBorders>
            <w:shd w:val="clear" w:color="auto" w:fill="auto"/>
          </w:tcPr>
          <w:p w14:paraId="4BAB5ADA" w14:textId="2D35EFD6" w:rsidR="004B1EA4" w:rsidRPr="008D46B4" w:rsidRDefault="008D46B4" w:rsidP="00A85036">
            <w:pPr>
              <w:spacing w:line="276" w:lineRule="auto"/>
              <w:jc w:val="right"/>
              <w:rPr>
                <w:sz w:val="22"/>
                <w:szCs w:val="22"/>
              </w:rPr>
            </w:pPr>
            <w:r w:rsidRPr="008D46B4">
              <w:rPr>
                <w:sz w:val="22"/>
                <w:szCs w:val="22"/>
              </w:rPr>
              <w:t>0.</w:t>
            </w:r>
            <w:r w:rsidR="00A747FF">
              <w:rPr>
                <w:sz w:val="22"/>
                <w:szCs w:val="22"/>
              </w:rPr>
              <w:t>381</w:t>
            </w:r>
          </w:p>
        </w:tc>
        <w:tc>
          <w:tcPr>
            <w:tcW w:w="996" w:type="dxa"/>
            <w:tcBorders>
              <w:top w:val="single" w:sz="4" w:space="0" w:color="auto"/>
            </w:tcBorders>
          </w:tcPr>
          <w:p w14:paraId="07C9499F" w14:textId="42CF87ED" w:rsidR="004B1EA4" w:rsidRPr="009515D2" w:rsidRDefault="00F07852" w:rsidP="00A85036">
            <w:pPr>
              <w:spacing w:line="276" w:lineRule="auto"/>
              <w:jc w:val="right"/>
              <w:rPr>
                <w:sz w:val="22"/>
                <w:szCs w:val="22"/>
              </w:rPr>
            </w:pPr>
            <w:r w:rsidRPr="009515D2">
              <w:rPr>
                <w:sz w:val="22"/>
                <w:szCs w:val="22"/>
              </w:rPr>
              <w:t>8.61</w:t>
            </w:r>
          </w:p>
        </w:tc>
        <w:tc>
          <w:tcPr>
            <w:tcW w:w="876" w:type="dxa"/>
            <w:tcBorders>
              <w:top w:val="single" w:sz="4" w:space="0" w:color="auto"/>
            </w:tcBorders>
          </w:tcPr>
          <w:p w14:paraId="501A05DE" w14:textId="71D1361F" w:rsidR="004B1EA4" w:rsidRPr="009515D2" w:rsidRDefault="00F07852" w:rsidP="00A85036">
            <w:pPr>
              <w:spacing w:line="276" w:lineRule="auto"/>
              <w:jc w:val="right"/>
              <w:rPr>
                <w:b/>
                <w:bCs/>
                <w:sz w:val="22"/>
                <w:szCs w:val="22"/>
              </w:rPr>
            </w:pPr>
            <w:r w:rsidRPr="009515D2">
              <w:rPr>
                <w:b/>
                <w:bCs/>
                <w:sz w:val="22"/>
                <w:szCs w:val="22"/>
              </w:rPr>
              <w:t>0.003</w:t>
            </w:r>
          </w:p>
        </w:tc>
      </w:tr>
      <w:tr w:rsidR="004B1EA4" w:rsidRPr="009515D2" w14:paraId="4F37ED29" w14:textId="77777777" w:rsidTr="009D6E5B">
        <w:tc>
          <w:tcPr>
            <w:tcW w:w="1980" w:type="dxa"/>
          </w:tcPr>
          <w:p w14:paraId="2B3D5523" w14:textId="7E37DA1A" w:rsidR="004B1EA4" w:rsidRPr="009515D2" w:rsidRDefault="004B1EA4" w:rsidP="00A85036">
            <w:pPr>
              <w:spacing w:line="276" w:lineRule="auto"/>
              <w:jc w:val="right"/>
              <w:rPr>
                <w:sz w:val="22"/>
                <w:szCs w:val="22"/>
              </w:rPr>
            </w:pPr>
            <w:r w:rsidRPr="009515D2">
              <w:rPr>
                <w:sz w:val="22"/>
                <w:szCs w:val="22"/>
              </w:rPr>
              <w:t>Inoculation (I)</w:t>
            </w:r>
          </w:p>
        </w:tc>
        <w:tc>
          <w:tcPr>
            <w:tcW w:w="536" w:type="dxa"/>
          </w:tcPr>
          <w:p w14:paraId="6AF7DE6D"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Pr>
          <w:p w14:paraId="421CFD13" w14:textId="57857507" w:rsidR="004B1EA4" w:rsidRPr="009515D2" w:rsidRDefault="00A747FF" w:rsidP="00A85036">
            <w:pPr>
              <w:spacing w:line="276" w:lineRule="auto"/>
              <w:jc w:val="right"/>
              <w:rPr>
                <w:sz w:val="22"/>
                <w:szCs w:val="22"/>
              </w:rPr>
            </w:pPr>
            <w:r>
              <w:rPr>
                <w:sz w:val="22"/>
                <w:szCs w:val="22"/>
              </w:rPr>
              <w:t>0.46</w:t>
            </w:r>
          </w:p>
        </w:tc>
        <w:tc>
          <w:tcPr>
            <w:tcW w:w="1012" w:type="dxa"/>
          </w:tcPr>
          <w:p w14:paraId="6D2596F2" w14:textId="4263B04E" w:rsidR="004B1EA4" w:rsidRPr="009515D2" w:rsidRDefault="00A97B6C" w:rsidP="00A85036">
            <w:pPr>
              <w:spacing w:line="276" w:lineRule="auto"/>
              <w:jc w:val="right"/>
              <w:rPr>
                <w:sz w:val="22"/>
                <w:szCs w:val="22"/>
              </w:rPr>
            </w:pPr>
            <w:r>
              <w:rPr>
                <w:sz w:val="22"/>
                <w:szCs w:val="22"/>
              </w:rPr>
              <w:t>0.</w:t>
            </w:r>
            <w:r w:rsidR="00A747FF">
              <w:rPr>
                <w:sz w:val="22"/>
                <w:szCs w:val="22"/>
              </w:rPr>
              <w:t>498</w:t>
            </w:r>
          </w:p>
        </w:tc>
        <w:tc>
          <w:tcPr>
            <w:tcW w:w="996" w:type="dxa"/>
          </w:tcPr>
          <w:p w14:paraId="561CA1F9" w14:textId="35E6FA55" w:rsidR="004B1EA4" w:rsidRPr="009515D2" w:rsidRDefault="008D46B4" w:rsidP="00A85036">
            <w:pPr>
              <w:spacing w:line="276" w:lineRule="auto"/>
              <w:jc w:val="right"/>
              <w:rPr>
                <w:sz w:val="22"/>
                <w:szCs w:val="22"/>
              </w:rPr>
            </w:pPr>
            <w:r>
              <w:rPr>
                <w:sz w:val="22"/>
                <w:szCs w:val="22"/>
              </w:rPr>
              <w:t>1.50</w:t>
            </w:r>
          </w:p>
        </w:tc>
        <w:tc>
          <w:tcPr>
            <w:tcW w:w="1013" w:type="dxa"/>
          </w:tcPr>
          <w:p w14:paraId="237EA234" w14:textId="71D9E318" w:rsidR="004B1EA4" w:rsidRPr="009515D2" w:rsidRDefault="008D46B4" w:rsidP="00A85036">
            <w:pPr>
              <w:spacing w:line="276" w:lineRule="auto"/>
              <w:jc w:val="right"/>
              <w:rPr>
                <w:sz w:val="22"/>
                <w:szCs w:val="22"/>
              </w:rPr>
            </w:pPr>
            <w:r>
              <w:rPr>
                <w:sz w:val="22"/>
                <w:szCs w:val="22"/>
              </w:rPr>
              <w:t>0.221</w:t>
            </w:r>
          </w:p>
        </w:tc>
        <w:tc>
          <w:tcPr>
            <w:tcW w:w="996" w:type="dxa"/>
          </w:tcPr>
          <w:p w14:paraId="4C216913" w14:textId="5C6D36D8" w:rsidR="004B1EA4" w:rsidRPr="009515D2" w:rsidRDefault="008D46B4" w:rsidP="00A85036">
            <w:pPr>
              <w:spacing w:line="276" w:lineRule="auto"/>
              <w:jc w:val="right"/>
              <w:rPr>
                <w:sz w:val="22"/>
                <w:szCs w:val="22"/>
              </w:rPr>
            </w:pPr>
            <w:r>
              <w:rPr>
                <w:sz w:val="22"/>
                <w:szCs w:val="22"/>
              </w:rPr>
              <w:t>2.86</w:t>
            </w:r>
          </w:p>
        </w:tc>
        <w:tc>
          <w:tcPr>
            <w:tcW w:w="1013" w:type="dxa"/>
          </w:tcPr>
          <w:p w14:paraId="38C8E2FB" w14:textId="716A6A34" w:rsidR="004B1EA4" w:rsidRPr="008D46B4" w:rsidRDefault="008D46B4" w:rsidP="00A85036">
            <w:pPr>
              <w:spacing w:line="276" w:lineRule="auto"/>
              <w:jc w:val="right"/>
              <w:rPr>
                <w:i/>
                <w:iCs/>
                <w:sz w:val="22"/>
                <w:szCs w:val="22"/>
              </w:rPr>
            </w:pPr>
            <w:r w:rsidRPr="008D46B4">
              <w:rPr>
                <w:i/>
                <w:iCs/>
                <w:sz w:val="22"/>
                <w:szCs w:val="22"/>
              </w:rPr>
              <w:t>0.091</w:t>
            </w:r>
          </w:p>
        </w:tc>
        <w:tc>
          <w:tcPr>
            <w:tcW w:w="996" w:type="dxa"/>
          </w:tcPr>
          <w:p w14:paraId="0DB8924D" w14:textId="6C1B4DD9" w:rsidR="004B1EA4" w:rsidRPr="009515D2" w:rsidRDefault="00A747FF" w:rsidP="00A85036">
            <w:pPr>
              <w:spacing w:line="276" w:lineRule="auto"/>
              <w:jc w:val="right"/>
              <w:rPr>
                <w:sz w:val="22"/>
                <w:szCs w:val="22"/>
              </w:rPr>
            </w:pPr>
            <w:r>
              <w:rPr>
                <w:sz w:val="22"/>
                <w:szCs w:val="22"/>
              </w:rPr>
              <w:t>2.20</w:t>
            </w:r>
          </w:p>
        </w:tc>
        <w:tc>
          <w:tcPr>
            <w:tcW w:w="1013" w:type="dxa"/>
            <w:shd w:val="clear" w:color="auto" w:fill="auto"/>
          </w:tcPr>
          <w:p w14:paraId="7CD142A6" w14:textId="22EA15F8" w:rsidR="004B1EA4" w:rsidRPr="008D46B4" w:rsidRDefault="008D46B4" w:rsidP="00A85036">
            <w:pPr>
              <w:spacing w:line="276" w:lineRule="auto"/>
              <w:jc w:val="right"/>
              <w:rPr>
                <w:sz w:val="22"/>
                <w:szCs w:val="22"/>
              </w:rPr>
            </w:pPr>
            <w:r w:rsidRPr="008D46B4">
              <w:rPr>
                <w:sz w:val="22"/>
                <w:szCs w:val="22"/>
              </w:rPr>
              <w:t>0.</w:t>
            </w:r>
            <w:r w:rsidR="00A747FF">
              <w:rPr>
                <w:sz w:val="22"/>
                <w:szCs w:val="22"/>
              </w:rPr>
              <w:t>138</w:t>
            </w:r>
          </w:p>
        </w:tc>
        <w:tc>
          <w:tcPr>
            <w:tcW w:w="996" w:type="dxa"/>
          </w:tcPr>
          <w:p w14:paraId="02F6E0BB" w14:textId="616C9600" w:rsidR="004B1EA4" w:rsidRPr="009515D2" w:rsidRDefault="00F07852" w:rsidP="00A85036">
            <w:pPr>
              <w:spacing w:line="276" w:lineRule="auto"/>
              <w:jc w:val="right"/>
              <w:rPr>
                <w:sz w:val="22"/>
                <w:szCs w:val="22"/>
              </w:rPr>
            </w:pPr>
            <w:r w:rsidRPr="009515D2">
              <w:rPr>
                <w:sz w:val="22"/>
                <w:szCs w:val="22"/>
              </w:rPr>
              <w:t>1.51</w:t>
            </w:r>
          </w:p>
        </w:tc>
        <w:tc>
          <w:tcPr>
            <w:tcW w:w="876" w:type="dxa"/>
          </w:tcPr>
          <w:p w14:paraId="54181450" w14:textId="22FF0DEB" w:rsidR="004B1EA4" w:rsidRPr="009515D2" w:rsidRDefault="00F07852" w:rsidP="00A85036">
            <w:pPr>
              <w:spacing w:line="276" w:lineRule="auto"/>
              <w:jc w:val="right"/>
              <w:rPr>
                <w:sz w:val="22"/>
                <w:szCs w:val="22"/>
              </w:rPr>
            </w:pPr>
            <w:r w:rsidRPr="009515D2">
              <w:rPr>
                <w:sz w:val="22"/>
                <w:szCs w:val="22"/>
              </w:rPr>
              <w:t>0.219</w:t>
            </w:r>
          </w:p>
        </w:tc>
      </w:tr>
      <w:tr w:rsidR="004B1EA4" w:rsidRPr="009515D2" w14:paraId="5770BA07" w14:textId="77777777" w:rsidTr="009D6E5B">
        <w:tc>
          <w:tcPr>
            <w:tcW w:w="1980" w:type="dxa"/>
            <w:tcBorders>
              <w:bottom w:val="single" w:sz="4" w:space="0" w:color="auto"/>
            </w:tcBorders>
          </w:tcPr>
          <w:p w14:paraId="2F9213C4" w14:textId="6BBD27F3" w:rsidR="004B1EA4" w:rsidRPr="009515D2" w:rsidRDefault="004B1EA4"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20CFFD3" w14:textId="2916DC5F" w:rsidR="004B1EA4" w:rsidRPr="009515D2" w:rsidRDefault="004B1EA4"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17BF0F48" w14:textId="36E5B230" w:rsidR="004B1EA4" w:rsidRPr="009515D2" w:rsidRDefault="00A97B6C" w:rsidP="00A85036">
            <w:pPr>
              <w:spacing w:line="276" w:lineRule="auto"/>
              <w:jc w:val="right"/>
              <w:rPr>
                <w:sz w:val="22"/>
                <w:szCs w:val="22"/>
              </w:rPr>
            </w:pPr>
            <w:r>
              <w:rPr>
                <w:sz w:val="22"/>
                <w:szCs w:val="22"/>
              </w:rPr>
              <w:t>0.</w:t>
            </w:r>
            <w:r w:rsidR="00A747FF">
              <w:rPr>
                <w:sz w:val="22"/>
                <w:szCs w:val="22"/>
              </w:rPr>
              <w:t>39</w:t>
            </w:r>
          </w:p>
        </w:tc>
        <w:tc>
          <w:tcPr>
            <w:tcW w:w="1012" w:type="dxa"/>
            <w:tcBorders>
              <w:bottom w:val="single" w:sz="4" w:space="0" w:color="auto"/>
            </w:tcBorders>
          </w:tcPr>
          <w:p w14:paraId="17B9F787" w14:textId="471D20CA" w:rsidR="004B1EA4" w:rsidRPr="009515D2" w:rsidRDefault="00A97B6C" w:rsidP="00A85036">
            <w:pPr>
              <w:spacing w:line="276" w:lineRule="auto"/>
              <w:jc w:val="right"/>
              <w:rPr>
                <w:sz w:val="22"/>
                <w:szCs w:val="22"/>
              </w:rPr>
            </w:pPr>
            <w:r>
              <w:rPr>
                <w:sz w:val="22"/>
                <w:szCs w:val="22"/>
              </w:rPr>
              <w:t>0.</w:t>
            </w:r>
            <w:r w:rsidR="00A747FF">
              <w:rPr>
                <w:sz w:val="22"/>
                <w:szCs w:val="22"/>
              </w:rPr>
              <w:t>533</w:t>
            </w:r>
          </w:p>
        </w:tc>
        <w:tc>
          <w:tcPr>
            <w:tcW w:w="996" w:type="dxa"/>
            <w:tcBorders>
              <w:bottom w:val="single" w:sz="4" w:space="0" w:color="auto"/>
            </w:tcBorders>
          </w:tcPr>
          <w:p w14:paraId="5459BCA0" w14:textId="21E0FF7A" w:rsidR="004B1EA4" w:rsidRPr="009515D2" w:rsidRDefault="008D46B4" w:rsidP="00A85036">
            <w:pPr>
              <w:spacing w:line="276" w:lineRule="auto"/>
              <w:jc w:val="right"/>
              <w:rPr>
                <w:sz w:val="22"/>
                <w:szCs w:val="22"/>
              </w:rPr>
            </w:pPr>
            <w:r>
              <w:rPr>
                <w:sz w:val="22"/>
                <w:szCs w:val="22"/>
              </w:rPr>
              <w:t>0.18</w:t>
            </w:r>
          </w:p>
        </w:tc>
        <w:tc>
          <w:tcPr>
            <w:tcW w:w="1013" w:type="dxa"/>
            <w:tcBorders>
              <w:bottom w:val="single" w:sz="4" w:space="0" w:color="auto"/>
            </w:tcBorders>
          </w:tcPr>
          <w:p w14:paraId="11A62403" w14:textId="6F2CF909" w:rsidR="004B1EA4" w:rsidRPr="009515D2" w:rsidRDefault="008D46B4" w:rsidP="00A85036">
            <w:pPr>
              <w:spacing w:line="276" w:lineRule="auto"/>
              <w:jc w:val="right"/>
              <w:rPr>
                <w:sz w:val="22"/>
                <w:szCs w:val="22"/>
              </w:rPr>
            </w:pPr>
            <w:r>
              <w:rPr>
                <w:sz w:val="22"/>
                <w:szCs w:val="22"/>
              </w:rPr>
              <w:t>0.668</w:t>
            </w:r>
          </w:p>
        </w:tc>
        <w:tc>
          <w:tcPr>
            <w:tcW w:w="996" w:type="dxa"/>
            <w:tcBorders>
              <w:bottom w:val="single" w:sz="4" w:space="0" w:color="auto"/>
            </w:tcBorders>
          </w:tcPr>
          <w:p w14:paraId="2DC0516C" w14:textId="673BAA6C" w:rsidR="004B1EA4" w:rsidRPr="009515D2" w:rsidRDefault="008D46B4" w:rsidP="00A85036">
            <w:pPr>
              <w:spacing w:line="276" w:lineRule="auto"/>
              <w:jc w:val="right"/>
              <w:rPr>
                <w:sz w:val="22"/>
                <w:szCs w:val="22"/>
              </w:rPr>
            </w:pPr>
            <w:r>
              <w:rPr>
                <w:sz w:val="22"/>
                <w:szCs w:val="22"/>
              </w:rPr>
              <w:t>0.45</w:t>
            </w:r>
          </w:p>
        </w:tc>
        <w:tc>
          <w:tcPr>
            <w:tcW w:w="1013" w:type="dxa"/>
            <w:tcBorders>
              <w:bottom w:val="single" w:sz="4" w:space="0" w:color="auto"/>
            </w:tcBorders>
          </w:tcPr>
          <w:p w14:paraId="460056E7" w14:textId="6B69E9F9" w:rsidR="004B1EA4" w:rsidRPr="009515D2" w:rsidRDefault="008D46B4" w:rsidP="00A85036">
            <w:pPr>
              <w:spacing w:line="276" w:lineRule="auto"/>
              <w:jc w:val="right"/>
              <w:rPr>
                <w:sz w:val="22"/>
                <w:szCs w:val="22"/>
              </w:rPr>
            </w:pPr>
            <w:r>
              <w:rPr>
                <w:sz w:val="22"/>
                <w:szCs w:val="22"/>
              </w:rPr>
              <w:t>0.502</w:t>
            </w:r>
          </w:p>
        </w:tc>
        <w:tc>
          <w:tcPr>
            <w:tcW w:w="996" w:type="dxa"/>
            <w:tcBorders>
              <w:bottom w:val="single" w:sz="4" w:space="0" w:color="auto"/>
            </w:tcBorders>
          </w:tcPr>
          <w:p w14:paraId="1612BE60" w14:textId="0CF51615" w:rsidR="004B1EA4" w:rsidRPr="009515D2" w:rsidRDefault="00A747FF" w:rsidP="00A85036">
            <w:pPr>
              <w:spacing w:line="276" w:lineRule="auto"/>
              <w:jc w:val="right"/>
              <w:rPr>
                <w:sz w:val="22"/>
                <w:szCs w:val="22"/>
              </w:rPr>
            </w:pPr>
            <w:r>
              <w:rPr>
                <w:sz w:val="22"/>
                <w:szCs w:val="22"/>
              </w:rPr>
              <w:t>0.97</w:t>
            </w:r>
          </w:p>
        </w:tc>
        <w:tc>
          <w:tcPr>
            <w:tcW w:w="1013" w:type="dxa"/>
            <w:tcBorders>
              <w:bottom w:val="single" w:sz="4" w:space="0" w:color="auto"/>
            </w:tcBorders>
            <w:shd w:val="clear" w:color="auto" w:fill="auto"/>
          </w:tcPr>
          <w:p w14:paraId="681E3646" w14:textId="4F989A57" w:rsidR="004B1EA4" w:rsidRPr="008D46B4" w:rsidRDefault="008D46B4" w:rsidP="00A85036">
            <w:pPr>
              <w:spacing w:line="276" w:lineRule="auto"/>
              <w:jc w:val="right"/>
              <w:rPr>
                <w:sz w:val="22"/>
                <w:szCs w:val="22"/>
              </w:rPr>
            </w:pPr>
            <w:r w:rsidRPr="008D46B4">
              <w:rPr>
                <w:sz w:val="22"/>
                <w:szCs w:val="22"/>
              </w:rPr>
              <w:t>0.607</w:t>
            </w:r>
          </w:p>
        </w:tc>
        <w:tc>
          <w:tcPr>
            <w:tcW w:w="996" w:type="dxa"/>
            <w:tcBorders>
              <w:bottom w:val="single" w:sz="4" w:space="0" w:color="auto"/>
            </w:tcBorders>
          </w:tcPr>
          <w:p w14:paraId="6A150D9E" w14:textId="23BEA1E2" w:rsidR="004B1EA4" w:rsidRPr="009515D2" w:rsidRDefault="00F07852" w:rsidP="00A85036">
            <w:pPr>
              <w:spacing w:line="276" w:lineRule="auto"/>
              <w:jc w:val="right"/>
              <w:rPr>
                <w:sz w:val="22"/>
                <w:szCs w:val="22"/>
              </w:rPr>
            </w:pPr>
            <w:r w:rsidRPr="009515D2">
              <w:rPr>
                <w:sz w:val="22"/>
                <w:szCs w:val="22"/>
              </w:rPr>
              <w:t>4.34</w:t>
            </w:r>
          </w:p>
        </w:tc>
        <w:tc>
          <w:tcPr>
            <w:tcW w:w="876" w:type="dxa"/>
            <w:tcBorders>
              <w:bottom w:val="single" w:sz="4" w:space="0" w:color="auto"/>
            </w:tcBorders>
          </w:tcPr>
          <w:p w14:paraId="44B85FB5" w14:textId="71F5F31F" w:rsidR="004B1EA4" w:rsidRPr="009515D2" w:rsidRDefault="00F07852" w:rsidP="00A85036">
            <w:pPr>
              <w:spacing w:line="276" w:lineRule="auto"/>
              <w:jc w:val="right"/>
              <w:rPr>
                <w:b/>
                <w:bCs/>
                <w:sz w:val="22"/>
                <w:szCs w:val="22"/>
              </w:rPr>
            </w:pPr>
            <w:r w:rsidRPr="009515D2">
              <w:rPr>
                <w:b/>
                <w:bCs/>
                <w:sz w:val="22"/>
                <w:szCs w:val="22"/>
              </w:rPr>
              <w:t>0.037</w:t>
            </w:r>
          </w:p>
        </w:tc>
      </w:tr>
      <w:tr w:rsidR="004B1EA4" w:rsidRPr="009515D2" w14:paraId="7010AB4C" w14:textId="77777777" w:rsidTr="009D6E5B">
        <w:tc>
          <w:tcPr>
            <w:tcW w:w="1980" w:type="dxa"/>
            <w:tcBorders>
              <w:top w:val="single" w:sz="4" w:space="0" w:color="auto"/>
            </w:tcBorders>
          </w:tcPr>
          <w:p w14:paraId="1A9D825A" w14:textId="77777777" w:rsidR="004B1EA4" w:rsidRPr="009515D2" w:rsidRDefault="004B1EA4" w:rsidP="00A85036">
            <w:pPr>
              <w:spacing w:line="276" w:lineRule="auto"/>
              <w:jc w:val="right"/>
              <w:rPr>
                <w:sz w:val="22"/>
                <w:szCs w:val="22"/>
              </w:rPr>
            </w:pPr>
          </w:p>
        </w:tc>
        <w:tc>
          <w:tcPr>
            <w:tcW w:w="536" w:type="dxa"/>
            <w:tcBorders>
              <w:top w:val="single" w:sz="4" w:space="0" w:color="auto"/>
            </w:tcBorders>
          </w:tcPr>
          <w:p w14:paraId="279E6813"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030B6F48" w14:textId="77777777" w:rsidR="004B1EA4" w:rsidRPr="009515D2" w:rsidRDefault="004B1EA4" w:rsidP="00A85036">
            <w:pPr>
              <w:spacing w:line="276" w:lineRule="auto"/>
              <w:jc w:val="right"/>
              <w:rPr>
                <w:sz w:val="22"/>
                <w:szCs w:val="22"/>
              </w:rPr>
            </w:pPr>
          </w:p>
        </w:tc>
        <w:tc>
          <w:tcPr>
            <w:tcW w:w="1012" w:type="dxa"/>
            <w:tcBorders>
              <w:top w:val="single" w:sz="4" w:space="0" w:color="auto"/>
            </w:tcBorders>
          </w:tcPr>
          <w:p w14:paraId="68B8D07B"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1522E8CA"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749394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4F27B6A8"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41971EB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5D829B49"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68C37ED"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7C4A7B53" w14:textId="77777777" w:rsidR="004B1EA4" w:rsidRPr="009515D2" w:rsidRDefault="004B1EA4" w:rsidP="00A85036">
            <w:pPr>
              <w:spacing w:line="276" w:lineRule="auto"/>
              <w:jc w:val="right"/>
              <w:rPr>
                <w:sz w:val="22"/>
                <w:szCs w:val="22"/>
              </w:rPr>
            </w:pPr>
          </w:p>
        </w:tc>
        <w:tc>
          <w:tcPr>
            <w:tcW w:w="876" w:type="dxa"/>
            <w:tcBorders>
              <w:top w:val="single" w:sz="4" w:space="0" w:color="auto"/>
            </w:tcBorders>
          </w:tcPr>
          <w:p w14:paraId="506A25A6" w14:textId="77777777" w:rsidR="004B1EA4" w:rsidRPr="009515D2" w:rsidRDefault="004B1EA4" w:rsidP="00A85036">
            <w:pPr>
              <w:spacing w:line="276" w:lineRule="auto"/>
              <w:jc w:val="right"/>
              <w:rPr>
                <w:sz w:val="22"/>
                <w:szCs w:val="22"/>
              </w:rPr>
            </w:pPr>
          </w:p>
        </w:tc>
      </w:tr>
      <w:tr w:rsidR="004B1EA4" w:rsidRPr="009515D2" w14:paraId="199E22E6" w14:textId="77777777" w:rsidTr="00772D20">
        <w:tc>
          <w:tcPr>
            <w:tcW w:w="2516" w:type="dxa"/>
            <w:gridSpan w:val="2"/>
            <w:tcBorders>
              <w:bottom w:val="single" w:sz="4" w:space="0" w:color="auto"/>
            </w:tcBorders>
          </w:tcPr>
          <w:p w14:paraId="4A888030" w14:textId="77777777" w:rsidR="004B1EA4" w:rsidRPr="009515D2" w:rsidRDefault="004B1EA4" w:rsidP="00A85036">
            <w:pPr>
              <w:spacing w:line="276" w:lineRule="auto"/>
              <w:jc w:val="right"/>
              <w:rPr>
                <w:b/>
                <w:bCs/>
                <w:sz w:val="22"/>
                <w:szCs w:val="22"/>
              </w:rPr>
            </w:pPr>
          </w:p>
        </w:tc>
        <w:tc>
          <w:tcPr>
            <w:tcW w:w="2008" w:type="dxa"/>
            <w:gridSpan w:val="2"/>
            <w:tcBorders>
              <w:bottom w:val="single" w:sz="4" w:space="0" w:color="auto"/>
            </w:tcBorders>
          </w:tcPr>
          <w:p w14:paraId="71AA9BC2" w14:textId="1C3A1D80" w:rsidR="004B1EA4" w:rsidRPr="009515D2" w:rsidRDefault="00F07852" w:rsidP="00A85036">
            <w:pPr>
              <w:spacing w:line="276" w:lineRule="auto"/>
              <w:jc w:val="right"/>
              <w:rPr>
                <w:b/>
                <w:bCs/>
                <w:i/>
                <w:iCs/>
                <w:sz w:val="22"/>
                <w:szCs w:val="22"/>
              </w:rPr>
            </w:pPr>
            <w:r w:rsidRPr="009515D2">
              <w:rPr>
                <w:b/>
                <w:bCs/>
                <w:i/>
                <w:iCs/>
                <w:sz w:val="22"/>
                <w:szCs w:val="22"/>
              </w:rPr>
              <w:t>R</w:t>
            </w:r>
            <w:r w:rsidRPr="009515D2">
              <w:rPr>
                <w:b/>
                <w:bCs/>
                <w:sz w:val="22"/>
                <w:szCs w:val="22"/>
                <w:vertAlign w:val="subscript"/>
              </w:rPr>
              <w:t>d25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39265804" w14:textId="694764DB" w:rsidR="004B1EA4" w:rsidRPr="009515D2" w:rsidRDefault="0033651D" w:rsidP="00A85036">
            <w:pPr>
              <w:spacing w:line="276" w:lineRule="auto"/>
              <w:jc w:val="right"/>
              <w:rPr>
                <w:b/>
                <w:bCs/>
                <w:sz w:val="22"/>
                <w:szCs w:val="22"/>
                <w:vertAlign w:val="subscript"/>
              </w:rPr>
            </w:pPr>
            <w:proofErr w:type="spellStart"/>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0F0B52B8" w14:textId="3C9F8CE5" w:rsidR="004B1EA4" w:rsidRPr="009515D2" w:rsidRDefault="00772D20" w:rsidP="00A85036">
            <w:pPr>
              <w:spacing w:line="276" w:lineRule="auto"/>
              <w:jc w:val="right"/>
              <w:rPr>
                <w:b/>
                <w:bCs/>
                <w:sz w:val="22"/>
                <w:szCs w:val="22"/>
              </w:rPr>
            </w:pPr>
            <w:r w:rsidRPr="009515D2">
              <w:rPr>
                <w:b/>
                <w:bCs/>
                <w:i/>
                <w:iCs/>
                <w:sz w:val="22"/>
                <w:szCs w:val="22"/>
              </w:rPr>
              <w:t>C</w:t>
            </w:r>
            <w:r w:rsidRPr="009515D2">
              <w:rPr>
                <w:b/>
                <w:bCs/>
                <w:sz w:val="22"/>
                <w:szCs w:val="22"/>
                <w:vertAlign w:val="subscript"/>
              </w:rPr>
              <w:t>i</w:t>
            </w:r>
            <w:r w:rsidRPr="009515D2">
              <w:rPr>
                <w:b/>
                <w:bCs/>
                <w:sz w:val="22"/>
                <w:szCs w:val="22"/>
              </w:rPr>
              <w:t xml:space="preserve">: </w:t>
            </w:r>
            <w:r w:rsidRPr="009515D2">
              <w:rPr>
                <w:b/>
                <w:bCs/>
                <w:i/>
                <w:iCs/>
                <w:sz w:val="22"/>
                <w:szCs w:val="22"/>
              </w:rPr>
              <w:t>C</w:t>
            </w:r>
            <w:r w:rsidRPr="009515D2">
              <w:rPr>
                <w:b/>
                <w:bCs/>
                <w:sz w:val="22"/>
                <w:szCs w:val="22"/>
                <w:vertAlign w:val="subscript"/>
              </w:rPr>
              <w:t>a</w:t>
            </w:r>
          </w:p>
        </w:tc>
        <w:tc>
          <w:tcPr>
            <w:tcW w:w="2009" w:type="dxa"/>
            <w:gridSpan w:val="2"/>
          </w:tcPr>
          <w:p w14:paraId="40711856" w14:textId="780A5EBB" w:rsidR="004B1EA4" w:rsidRPr="009515D2" w:rsidRDefault="004B1EA4" w:rsidP="00A85036">
            <w:pPr>
              <w:spacing w:line="276" w:lineRule="auto"/>
              <w:jc w:val="right"/>
              <w:rPr>
                <w:sz w:val="22"/>
                <w:szCs w:val="22"/>
              </w:rPr>
            </w:pPr>
          </w:p>
        </w:tc>
        <w:tc>
          <w:tcPr>
            <w:tcW w:w="1872" w:type="dxa"/>
            <w:gridSpan w:val="2"/>
          </w:tcPr>
          <w:p w14:paraId="4DBF7D9F" w14:textId="35722BE2" w:rsidR="004B1EA4" w:rsidRPr="009515D2" w:rsidRDefault="004B1EA4" w:rsidP="00A85036">
            <w:pPr>
              <w:spacing w:line="276" w:lineRule="auto"/>
              <w:jc w:val="right"/>
              <w:rPr>
                <w:sz w:val="22"/>
                <w:szCs w:val="22"/>
              </w:rPr>
            </w:pPr>
          </w:p>
        </w:tc>
      </w:tr>
      <w:tr w:rsidR="00772D20" w:rsidRPr="009515D2" w14:paraId="51DA29E8" w14:textId="77777777" w:rsidTr="00772D20">
        <w:tc>
          <w:tcPr>
            <w:tcW w:w="1980" w:type="dxa"/>
            <w:tcBorders>
              <w:top w:val="single" w:sz="4" w:space="0" w:color="auto"/>
              <w:bottom w:val="single" w:sz="4" w:space="0" w:color="auto"/>
            </w:tcBorders>
          </w:tcPr>
          <w:p w14:paraId="62ADA420" w14:textId="77777777" w:rsidR="00772D20" w:rsidRPr="009515D2" w:rsidRDefault="00772D20" w:rsidP="00A85036">
            <w:pPr>
              <w:spacing w:line="276" w:lineRule="auto"/>
              <w:jc w:val="right"/>
              <w:rPr>
                <w:sz w:val="22"/>
                <w:szCs w:val="22"/>
              </w:rPr>
            </w:pPr>
          </w:p>
        </w:tc>
        <w:tc>
          <w:tcPr>
            <w:tcW w:w="536" w:type="dxa"/>
            <w:tcBorders>
              <w:top w:val="single" w:sz="4" w:space="0" w:color="auto"/>
              <w:bottom w:val="single" w:sz="4" w:space="0" w:color="auto"/>
            </w:tcBorders>
          </w:tcPr>
          <w:p w14:paraId="3A7E3FE9" w14:textId="77777777" w:rsidR="00772D20" w:rsidRPr="009515D2" w:rsidRDefault="00772D20"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86690C8"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31CD18E8"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41445D"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87395"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4EA70620" w14:textId="595CDB1A"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8A2E226" w14:textId="5A4E6C2E" w:rsidR="00772D20" w:rsidRPr="009515D2" w:rsidRDefault="00772D20" w:rsidP="00A85036">
            <w:pPr>
              <w:spacing w:line="276" w:lineRule="auto"/>
              <w:jc w:val="right"/>
              <w:rPr>
                <w:sz w:val="22"/>
                <w:szCs w:val="22"/>
              </w:rPr>
            </w:pPr>
            <w:r w:rsidRPr="009515D2">
              <w:rPr>
                <w:i/>
                <w:iCs/>
                <w:sz w:val="22"/>
                <w:szCs w:val="22"/>
              </w:rPr>
              <w:t>p</w:t>
            </w:r>
          </w:p>
        </w:tc>
        <w:tc>
          <w:tcPr>
            <w:tcW w:w="996" w:type="dxa"/>
          </w:tcPr>
          <w:p w14:paraId="1BCAB48F" w14:textId="4FB93CCB" w:rsidR="00772D20" w:rsidRPr="009515D2" w:rsidRDefault="00772D20" w:rsidP="00A85036">
            <w:pPr>
              <w:spacing w:line="276" w:lineRule="auto"/>
              <w:jc w:val="right"/>
              <w:rPr>
                <w:sz w:val="22"/>
                <w:szCs w:val="22"/>
              </w:rPr>
            </w:pPr>
          </w:p>
        </w:tc>
        <w:tc>
          <w:tcPr>
            <w:tcW w:w="1013" w:type="dxa"/>
          </w:tcPr>
          <w:p w14:paraId="4A7D8307" w14:textId="4644929C" w:rsidR="00772D20" w:rsidRPr="009515D2" w:rsidRDefault="00772D20" w:rsidP="00A85036">
            <w:pPr>
              <w:spacing w:line="276" w:lineRule="auto"/>
              <w:jc w:val="right"/>
              <w:rPr>
                <w:sz w:val="22"/>
                <w:szCs w:val="22"/>
              </w:rPr>
            </w:pPr>
          </w:p>
        </w:tc>
        <w:tc>
          <w:tcPr>
            <w:tcW w:w="996" w:type="dxa"/>
          </w:tcPr>
          <w:p w14:paraId="4C187C68" w14:textId="0DF68B24" w:rsidR="00772D20" w:rsidRPr="009515D2" w:rsidRDefault="00772D20" w:rsidP="00A85036">
            <w:pPr>
              <w:spacing w:line="276" w:lineRule="auto"/>
              <w:jc w:val="right"/>
              <w:rPr>
                <w:i/>
                <w:iCs/>
                <w:sz w:val="22"/>
                <w:szCs w:val="22"/>
              </w:rPr>
            </w:pPr>
          </w:p>
        </w:tc>
        <w:tc>
          <w:tcPr>
            <w:tcW w:w="876" w:type="dxa"/>
          </w:tcPr>
          <w:p w14:paraId="62698BF4" w14:textId="178CC1E1" w:rsidR="00772D20" w:rsidRPr="009515D2" w:rsidRDefault="00772D20" w:rsidP="00A85036">
            <w:pPr>
              <w:spacing w:line="276" w:lineRule="auto"/>
              <w:jc w:val="right"/>
              <w:rPr>
                <w:i/>
                <w:iCs/>
                <w:sz w:val="22"/>
                <w:szCs w:val="22"/>
              </w:rPr>
            </w:pPr>
          </w:p>
        </w:tc>
      </w:tr>
      <w:tr w:rsidR="00772D20" w:rsidRPr="009515D2" w14:paraId="49896A63" w14:textId="77777777" w:rsidTr="00772D20">
        <w:tc>
          <w:tcPr>
            <w:tcW w:w="1980" w:type="dxa"/>
            <w:tcBorders>
              <w:top w:val="single" w:sz="4" w:space="0" w:color="auto"/>
            </w:tcBorders>
          </w:tcPr>
          <w:p w14:paraId="39869AF3" w14:textId="08DB46EA" w:rsidR="00772D20" w:rsidRPr="009515D2" w:rsidRDefault="00772D20"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BF324CE"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D7EC72" w14:textId="6CAEED55" w:rsidR="00772D20" w:rsidRPr="009515D2" w:rsidRDefault="008D46B4" w:rsidP="00A85036">
            <w:pPr>
              <w:spacing w:line="276" w:lineRule="auto"/>
              <w:jc w:val="right"/>
              <w:rPr>
                <w:sz w:val="22"/>
                <w:szCs w:val="22"/>
              </w:rPr>
            </w:pPr>
            <w:r>
              <w:rPr>
                <w:sz w:val="22"/>
                <w:szCs w:val="22"/>
              </w:rPr>
              <w:t>10.54</w:t>
            </w:r>
          </w:p>
        </w:tc>
        <w:tc>
          <w:tcPr>
            <w:tcW w:w="1012" w:type="dxa"/>
            <w:tcBorders>
              <w:top w:val="single" w:sz="4" w:space="0" w:color="auto"/>
            </w:tcBorders>
          </w:tcPr>
          <w:p w14:paraId="2B96A3C3" w14:textId="7265AC6C" w:rsidR="00772D20" w:rsidRPr="009515D2" w:rsidRDefault="008D46B4" w:rsidP="00A85036">
            <w:pPr>
              <w:spacing w:line="276" w:lineRule="auto"/>
              <w:jc w:val="right"/>
              <w:rPr>
                <w:b/>
                <w:bCs/>
                <w:sz w:val="22"/>
                <w:szCs w:val="22"/>
              </w:rPr>
            </w:pPr>
            <w:r>
              <w:rPr>
                <w:b/>
                <w:bCs/>
                <w:sz w:val="22"/>
                <w:szCs w:val="22"/>
              </w:rPr>
              <w:t>0.001</w:t>
            </w:r>
          </w:p>
        </w:tc>
        <w:tc>
          <w:tcPr>
            <w:tcW w:w="996" w:type="dxa"/>
            <w:tcBorders>
              <w:top w:val="single" w:sz="4" w:space="0" w:color="auto"/>
            </w:tcBorders>
          </w:tcPr>
          <w:p w14:paraId="4D153B38" w14:textId="363BB4CC" w:rsidR="00772D20" w:rsidRPr="009515D2" w:rsidRDefault="00A747FF" w:rsidP="00A85036">
            <w:pPr>
              <w:spacing w:line="276" w:lineRule="auto"/>
              <w:jc w:val="right"/>
              <w:rPr>
                <w:sz w:val="22"/>
                <w:szCs w:val="22"/>
              </w:rPr>
            </w:pPr>
            <w:r>
              <w:rPr>
                <w:sz w:val="22"/>
                <w:szCs w:val="22"/>
              </w:rPr>
              <w:t>9.97</w:t>
            </w:r>
          </w:p>
        </w:tc>
        <w:tc>
          <w:tcPr>
            <w:tcW w:w="1013" w:type="dxa"/>
            <w:tcBorders>
              <w:top w:val="single" w:sz="4" w:space="0" w:color="auto"/>
            </w:tcBorders>
          </w:tcPr>
          <w:p w14:paraId="428DA2D8" w14:textId="5E64488E" w:rsidR="008D46B4" w:rsidRPr="009515D2" w:rsidRDefault="008D46B4" w:rsidP="008D46B4">
            <w:pPr>
              <w:spacing w:line="276" w:lineRule="auto"/>
              <w:jc w:val="right"/>
              <w:rPr>
                <w:b/>
                <w:bCs/>
                <w:sz w:val="22"/>
                <w:szCs w:val="22"/>
              </w:rPr>
            </w:pPr>
            <w:r>
              <w:rPr>
                <w:b/>
                <w:bCs/>
                <w:sz w:val="22"/>
                <w:szCs w:val="22"/>
              </w:rPr>
              <w:t>0.00</w:t>
            </w:r>
            <w:r w:rsidR="00A747FF">
              <w:rPr>
                <w:b/>
                <w:bCs/>
                <w:sz w:val="22"/>
                <w:szCs w:val="22"/>
              </w:rPr>
              <w:t>2</w:t>
            </w:r>
          </w:p>
        </w:tc>
        <w:tc>
          <w:tcPr>
            <w:tcW w:w="996" w:type="dxa"/>
            <w:tcBorders>
              <w:top w:val="single" w:sz="4" w:space="0" w:color="auto"/>
            </w:tcBorders>
          </w:tcPr>
          <w:p w14:paraId="4EAD0798" w14:textId="514F7EC4" w:rsidR="00772D20" w:rsidRPr="009515D2" w:rsidRDefault="004654D8" w:rsidP="00A85036">
            <w:pPr>
              <w:spacing w:line="276" w:lineRule="auto"/>
              <w:jc w:val="right"/>
              <w:rPr>
                <w:sz w:val="22"/>
                <w:szCs w:val="22"/>
              </w:rPr>
            </w:pPr>
            <w:r>
              <w:rPr>
                <w:sz w:val="22"/>
                <w:szCs w:val="22"/>
              </w:rPr>
              <w:t>0.0</w:t>
            </w:r>
            <w:r w:rsidR="000C5833">
              <w:rPr>
                <w:sz w:val="22"/>
                <w:szCs w:val="22"/>
              </w:rPr>
              <w:t>1</w:t>
            </w:r>
          </w:p>
        </w:tc>
        <w:tc>
          <w:tcPr>
            <w:tcW w:w="1013" w:type="dxa"/>
            <w:tcBorders>
              <w:top w:val="single" w:sz="4" w:space="0" w:color="auto"/>
            </w:tcBorders>
          </w:tcPr>
          <w:p w14:paraId="5F0924DD" w14:textId="5EB748FE" w:rsidR="00772D20" w:rsidRPr="004654D8" w:rsidRDefault="004654D8" w:rsidP="00A85036">
            <w:pPr>
              <w:spacing w:line="276" w:lineRule="auto"/>
              <w:jc w:val="right"/>
              <w:rPr>
                <w:sz w:val="22"/>
                <w:szCs w:val="22"/>
              </w:rPr>
            </w:pPr>
            <w:r w:rsidRPr="004654D8">
              <w:rPr>
                <w:sz w:val="22"/>
                <w:szCs w:val="22"/>
              </w:rPr>
              <w:t>0.</w:t>
            </w:r>
            <w:r w:rsidR="000C5833">
              <w:rPr>
                <w:sz w:val="22"/>
                <w:szCs w:val="22"/>
              </w:rPr>
              <w:t>913</w:t>
            </w:r>
          </w:p>
        </w:tc>
        <w:tc>
          <w:tcPr>
            <w:tcW w:w="996" w:type="dxa"/>
          </w:tcPr>
          <w:p w14:paraId="7CD81988" w14:textId="35769B81" w:rsidR="00772D20" w:rsidRPr="009515D2" w:rsidRDefault="00772D20" w:rsidP="00A85036">
            <w:pPr>
              <w:spacing w:line="276" w:lineRule="auto"/>
              <w:jc w:val="right"/>
              <w:rPr>
                <w:sz w:val="22"/>
                <w:szCs w:val="22"/>
              </w:rPr>
            </w:pPr>
          </w:p>
        </w:tc>
        <w:tc>
          <w:tcPr>
            <w:tcW w:w="1013" w:type="dxa"/>
          </w:tcPr>
          <w:p w14:paraId="09588227" w14:textId="63D675EB" w:rsidR="00772D20" w:rsidRPr="009515D2" w:rsidRDefault="00772D20" w:rsidP="00A85036">
            <w:pPr>
              <w:spacing w:line="276" w:lineRule="auto"/>
              <w:jc w:val="right"/>
              <w:rPr>
                <w:b/>
                <w:bCs/>
                <w:sz w:val="22"/>
                <w:szCs w:val="22"/>
              </w:rPr>
            </w:pPr>
          </w:p>
        </w:tc>
        <w:tc>
          <w:tcPr>
            <w:tcW w:w="996" w:type="dxa"/>
          </w:tcPr>
          <w:p w14:paraId="2385BC81" w14:textId="5F6FECA6" w:rsidR="00772D20" w:rsidRPr="009515D2" w:rsidRDefault="00772D20" w:rsidP="00A85036">
            <w:pPr>
              <w:spacing w:line="276" w:lineRule="auto"/>
              <w:jc w:val="right"/>
              <w:rPr>
                <w:sz w:val="22"/>
                <w:szCs w:val="22"/>
              </w:rPr>
            </w:pPr>
          </w:p>
        </w:tc>
        <w:tc>
          <w:tcPr>
            <w:tcW w:w="876" w:type="dxa"/>
          </w:tcPr>
          <w:p w14:paraId="5C9D6C64" w14:textId="2E5A760F" w:rsidR="00772D20" w:rsidRPr="009515D2" w:rsidRDefault="00772D20" w:rsidP="00A85036">
            <w:pPr>
              <w:spacing w:line="276" w:lineRule="auto"/>
              <w:jc w:val="right"/>
              <w:rPr>
                <w:i/>
                <w:iCs/>
                <w:sz w:val="22"/>
                <w:szCs w:val="22"/>
              </w:rPr>
            </w:pPr>
          </w:p>
        </w:tc>
      </w:tr>
      <w:tr w:rsidR="00772D20" w:rsidRPr="009515D2" w14:paraId="6B28A648" w14:textId="77777777" w:rsidTr="009D6E5B">
        <w:trPr>
          <w:trHeight w:val="60"/>
        </w:trPr>
        <w:tc>
          <w:tcPr>
            <w:tcW w:w="1980" w:type="dxa"/>
          </w:tcPr>
          <w:p w14:paraId="37C3382C" w14:textId="2321B3F4" w:rsidR="00772D20" w:rsidRPr="009515D2" w:rsidRDefault="00772D20" w:rsidP="00A85036">
            <w:pPr>
              <w:spacing w:line="276" w:lineRule="auto"/>
              <w:jc w:val="right"/>
              <w:rPr>
                <w:sz w:val="22"/>
                <w:szCs w:val="22"/>
              </w:rPr>
            </w:pPr>
            <w:r w:rsidRPr="009515D2">
              <w:rPr>
                <w:sz w:val="22"/>
                <w:szCs w:val="22"/>
              </w:rPr>
              <w:t>Inoculation (I)</w:t>
            </w:r>
          </w:p>
        </w:tc>
        <w:tc>
          <w:tcPr>
            <w:tcW w:w="536" w:type="dxa"/>
          </w:tcPr>
          <w:p w14:paraId="574ED284"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Pr>
          <w:p w14:paraId="05EEE654" w14:textId="75CB2A8C" w:rsidR="00772D20" w:rsidRPr="009515D2" w:rsidRDefault="008D46B4" w:rsidP="00A85036">
            <w:pPr>
              <w:spacing w:line="276" w:lineRule="auto"/>
              <w:jc w:val="right"/>
              <w:rPr>
                <w:sz w:val="22"/>
                <w:szCs w:val="22"/>
              </w:rPr>
            </w:pPr>
            <w:r>
              <w:rPr>
                <w:sz w:val="22"/>
                <w:szCs w:val="22"/>
              </w:rPr>
              <w:t>0.65</w:t>
            </w:r>
          </w:p>
        </w:tc>
        <w:tc>
          <w:tcPr>
            <w:tcW w:w="1012" w:type="dxa"/>
          </w:tcPr>
          <w:p w14:paraId="3906C5DC" w14:textId="5105980C" w:rsidR="00772D20" w:rsidRPr="009515D2" w:rsidRDefault="008D46B4" w:rsidP="00A85036">
            <w:pPr>
              <w:spacing w:line="276" w:lineRule="auto"/>
              <w:jc w:val="right"/>
              <w:rPr>
                <w:sz w:val="22"/>
                <w:szCs w:val="22"/>
              </w:rPr>
            </w:pPr>
            <w:r>
              <w:rPr>
                <w:sz w:val="22"/>
                <w:szCs w:val="22"/>
              </w:rPr>
              <w:t>0.421</w:t>
            </w:r>
          </w:p>
        </w:tc>
        <w:tc>
          <w:tcPr>
            <w:tcW w:w="996" w:type="dxa"/>
          </w:tcPr>
          <w:p w14:paraId="53E15C3E" w14:textId="4C254606" w:rsidR="00772D20" w:rsidRPr="009515D2" w:rsidRDefault="008D46B4" w:rsidP="00A85036">
            <w:pPr>
              <w:spacing w:line="276" w:lineRule="auto"/>
              <w:jc w:val="right"/>
              <w:rPr>
                <w:sz w:val="22"/>
                <w:szCs w:val="22"/>
              </w:rPr>
            </w:pPr>
            <w:r>
              <w:rPr>
                <w:sz w:val="22"/>
                <w:szCs w:val="22"/>
              </w:rPr>
              <w:t>0.</w:t>
            </w:r>
            <w:r w:rsidR="00A747FF">
              <w:rPr>
                <w:sz w:val="22"/>
                <w:szCs w:val="22"/>
              </w:rPr>
              <w:t>34</w:t>
            </w:r>
          </w:p>
        </w:tc>
        <w:tc>
          <w:tcPr>
            <w:tcW w:w="1013" w:type="dxa"/>
          </w:tcPr>
          <w:p w14:paraId="079C8FC4" w14:textId="5E096C68" w:rsidR="00772D20" w:rsidRPr="009515D2" w:rsidRDefault="008D46B4" w:rsidP="00A85036">
            <w:pPr>
              <w:spacing w:line="276" w:lineRule="auto"/>
              <w:jc w:val="right"/>
              <w:rPr>
                <w:sz w:val="22"/>
                <w:szCs w:val="22"/>
              </w:rPr>
            </w:pPr>
            <w:r>
              <w:rPr>
                <w:sz w:val="22"/>
                <w:szCs w:val="22"/>
              </w:rPr>
              <w:t>0.</w:t>
            </w:r>
            <w:r w:rsidR="00A747FF">
              <w:rPr>
                <w:sz w:val="22"/>
                <w:szCs w:val="22"/>
              </w:rPr>
              <w:t>561</w:t>
            </w:r>
          </w:p>
        </w:tc>
        <w:tc>
          <w:tcPr>
            <w:tcW w:w="996" w:type="dxa"/>
          </w:tcPr>
          <w:p w14:paraId="1C44127E" w14:textId="47D51476" w:rsidR="00772D20" w:rsidRPr="009515D2" w:rsidRDefault="004654D8" w:rsidP="00A85036">
            <w:pPr>
              <w:spacing w:line="276" w:lineRule="auto"/>
              <w:jc w:val="right"/>
              <w:rPr>
                <w:sz w:val="22"/>
                <w:szCs w:val="22"/>
              </w:rPr>
            </w:pPr>
            <w:r>
              <w:rPr>
                <w:sz w:val="22"/>
                <w:szCs w:val="22"/>
              </w:rPr>
              <w:t>0.2</w:t>
            </w:r>
            <w:r w:rsidR="000C5833">
              <w:rPr>
                <w:sz w:val="22"/>
                <w:szCs w:val="22"/>
              </w:rPr>
              <w:t>8</w:t>
            </w:r>
          </w:p>
        </w:tc>
        <w:tc>
          <w:tcPr>
            <w:tcW w:w="1013" w:type="dxa"/>
          </w:tcPr>
          <w:p w14:paraId="7A863FC4" w14:textId="2D7AE862" w:rsidR="00772D20" w:rsidRPr="009515D2" w:rsidRDefault="004654D8" w:rsidP="00A85036">
            <w:pPr>
              <w:spacing w:line="276" w:lineRule="auto"/>
              <w:jc w:val="right"/>
              <w:rPr>
                <w:sz w:val="22"/>
                <w:szCs w:val="22"/>
              </w:rPr>
            </w:pPr>
            <w:r>
              <w:rPr>
                <w:sz w:val="22"/>
                <w:szCs w:val="22"/>
              </w:rPr>
              <w:t>0.</w:t>
            </w:r>
            <w:r w:rsidR="000C5833">
              <w:rPr>
                <w:sz w:val="22"/>
                <w:szCs w:val="22"/>
              </w:rPr>
              <w:t>597</w:t>
            </w:r>
          </w:p>
        </w:tc>
        <w:tc>
          <w:tcPr>
            <w:tcW w:w="996" w:type="dxa"/>
          </w:tcPr>
          <w:p w14:paraId="0B4933CC" w14:textId="3E00819E" w:rsidR="00772D20" w:rsidRPr="009515D2" w:rsidRDefault="00772D20" w:rsidP="00A85036">
            <w:pPr>
              <w:spacing w:line="276" w:lineRule="auto"/>
              <w:jc w:val="right"/>
              <w:rPr>
                <w:sz w:val="22"/>
                <w:szCs w:val="22"/>
              </w:rPr>
            </w:pPr>
          </w:p>
        </w:tc>
        <w:tc>
          <w:tcPr>
            <w:tcW w:w="1013" w:type="dxa"/>
          </w:tcPr>
          <w:p w14:paraId="1254DAAD" w14:textId="051CD413" w:rsidR="00772D20" w:rsidRPr="009515D2" w:rsidRDefault="00772D20" w:rsidP="00A85036">
            <w:pPr>
              <w:spacing w:line="276" w:lineRule="auto"/>
              <w:jc w:val="right"/>
              <w:rPr>
                <w:sz w:val="22"/>
                <w:szCs w:val="22"/>
              </w:rPr>
            </w:pPr>
          </w:p>
        </w:tc>
        <w:tc>
          <w:tcPr>
            <w:tcW w:w="996" w:type="dxa"/>
          </w:tcPr>
          <w:p w14:paraId="5C55CFD9" w14:textId="44BF9751" w:rsidR="00772D20" w:rsidRPr="009515D2" w:rsidRDefault="00772D20" w:rsidP="00A85036">
            <w:pPr>
              <w:spacing w:line="276" w:lineRule="auto"/>
              <w:jc w:val="right"/>
              <w:rPr>
                <w:sz w:val="22"/>
                <w:szCs w:val="22"/>
              </w:rPr>
            </w:pPr>
          </w:p>
        </w:tc>
        <w:tc>
          <w:tcPr>
            <w:tcW w:w="876" w:type="dxa"/>
          </w:tcPr>
          <w:p w14:paraId="6313B017" w14:textId="7060984C" w:rsidR="00772D20" w:rsidRPr="009515D2" w:rsidRDefault="00772D20" w:rsidP="00A85036">
            <w:pPr>
              <w:spacing w:line="276" w:lineRule="auto"/>
              <w:jc w:val="right"/>
              <w:rPr>
                <w:sz w:val="22"/>
                <w:szCs w:val="22"/>
              </w:rPr>
            </w:pPr>
          </w:p>
        </w:tc>
      </w:tr>
      <w:tr w:rsidR="00772D20" w:rsidRPr="009515D2" w14:paraId="276C464A" w14:textId="77777777" w:rsidTr="009D6E5B">
        <w:tc>
          <w:tcPr>
            <w:tcW w:w="1980" w:type="dxa"/>
            <w:tcBorders>
              <w:bottom w:val="single" w:sz="4" w:space="0" w:color="auto"/>
            </w:tcBorders>
          </w:tcPr>
          <w:p w14:paraId="117FFFF0" w14:textId="538B42F4" w:rsidR="00772D20" w:rsidRPr="009515D2" w:rsidRDefault="00772D20"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68A5441" w14:textId="3CBA14BA" w:rsidR="00772D20" w:rsidRPr="009515D2" w:rsidRDefault="00772D20"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33CF390D" w14:textId="3691D34C" w:rsidR="00772D20" w:rsidRPr="009515D2" w:rsidRDefault="008D46B4" w:rsidP="00A85036">
            <w:pPr>
              <w:spacing w:line="276" w:lineRule="auto"/>
              <w:jc w:val="right"/>
              <w:rPr>
                <w:sz w:val="22"/>
                <w:szCs w:val="22"/>
              </w:rPr>
            </w:pPr>
            <w:r>
              <w:rPr>
                <w:sz w:val="22"/>
                <w:szCs w:val="22"/>
              </w:rPr>
              <w:t>3.06</w:t>
            </w:r>
          </w:p>
        </w:tc>
        <w:tc>
          <w:tcPr>
            <w:tcW w:w="1012" w:type="dxa"/>
            <w:tcBorders>
              <w:bottom w:val="single" w:sz="4" w:space="0" w:color="auto"/>
            </w:tcBorders>
          </w:tcPr>
          <w:p w14:paraId="2FCC6FE1" w14:textId="56383A1A" w:rsidR="00772D20" w:rsidRPr="009515D2" w:rsidRDefault="008D46B4" w:rsidP="00A85036">
            <w:pPr>
              <w:spacing w:line="276" w:lineRule="auto"/>
              <w:jc w:val="right"/>
              <w:rPr>
                <w:i/>
                <w:iCs/>
                <w:sz w:val="22"/>
                <w:szCs w:val="22"/>
              </w:rPr>
            </w:pPr>
            <w:r>
              <w:rPr>
                <w:i/>
                <w:iCs/>
                <w:sz w:val="22"/>
                <w:szCs w:val="22"/>
              </w:rPr>
              <w:t>0.080</w:t>
            </w:r>
          </w:p>
        </w:tc>
        <w:tc>
          <w:tcPr>
            <w:tcW w:w="996" w:type="dxa"/>
            <w:tcBorders>
              <w:bottom w:val="single" w:sz="4" w:space="0" w:color="auto"/>
            </w:tcBorders>
          </w:tcPr>
          <w:p w14:paraId="50ECE181" w14:textId="7D740BA8" w:rsidR="00772D20" w:rsidRPr="009515D2" w:rsidRDefault="008D46B4" w:rsidP="00A85036">
            <w:pPr>
              <w:spacing w:line="276" w:lineRule="auto"/>
              <w:jc w:val="right"/>
              <w:rPr>
                <w:sz w:val="22"/>
                <w:szCs w:val="22"/>
              </w:rPr>
            </w:pPr>
            <w:r>
              <w:rPr>
                <w:sz w:val="22"/>
                <w:szCs w:val="22"/>
              </w:rPr>
              <w:t>0.</w:t>
            </w:r>
            <w:r w:rsidR="00A747FF">
              <w:rPr>
                <w:sz w:val="22"/>
                <w:szCs w:val="22"/>
              </w:rPr>
              <w:t>01</w:t>
            </w:r>
          </w:p>
        </w:tc>
        <w:tc>
          <w:tcPr>
            <w:tcW w:w="1013" w:type="dxa"/>
            <w:tcBorders>
              <w:bottom w:val="single" w:sz="4" w:space="0" w:color="auto"/>
            </w:tcBorders>
          </w:tcPr>
          <w:p w14:paraId="2A93F8BE" w14:textId="4BEEF89A" w:rsidR="00772D20" w:rsidRPr="009515D2" w:rsidRDefault="008D46B4" w:rsidP="00A85036">
            <w:pPr>
              <w:spacing w:line="276" w:lineRule="auto"/>
              <w:jc w:val="right"/>
              <w:rPr>
                <w:sz w:val="22"/>
                <w:szCs w:val="22"/>
              </w:rPr>
            </w:pPr>
            <w:r>
              <w:rPr>
                <w:sz w:val="22"/>
                <w:szCs w:val="22"/>
              </w:rPr>
              <w:t>0.</w:t>
            </w:r>
            <w:r w:rsidR="00A747FF">
              <w:rPr>
                <w:sz w:val="22"/>
                <w:szCs w:val="22"/>
              </w:rPr>
              <w:t>929</w:t>
            </w:r>
          </w:p>
        </w:tc>
        <w:tc>
          <w:tcPr>
            <w:tcW w:w="996" w:type="dxa"/>
            <w:tcBorders>
              <w:bottom w:val="single" w:sz="4" w:space="0" w:color="auto"/>
            </w:tcBorders>
          </w:tcPr>
          <w:p w14:paraId="09BA5390" w14:textId="25F3D33E" w:rsidR="00772D20" w:rsidRPr="009515D2" w:rsidRDefault="000C5833" w:rsidP="00A85036">
            <w:pPr>
              <w:spacing w:line="276" w:lineRule="auto"/>
              <w:jc w:val="right"/>
              <w:rPr>
                <w:sz w:val="22"/>
                <w:szCs w:val="22"/>
              </w:rPr>
            </w:pPr>
            <w:r>
              <w:rPr>
                <w:sz w:val="22"/>
                <w:szCs w:val="22"/>
              </w:rPr>
              <w:t>1.40</w:t>
            </w:r>
          </w:p>
        </w:tc>
        <w:tc>
          <w:tcPr>
            <w:tcW w:w="1013" w:type="dxa"/>
            <w:tcBorders>
              <w:bottom w:val="single" w:sz="4" w:space="0" w:color="auto"/>
            </w:tcBorders>
          </w:tcPr>
          <w:p w14:paraId="4C247A2D" w14:textId="697AEEFC" w:rsidR="00772D20" w:rsidRPr="009515D2" w:rsidRDefault="004654D8" w:rsidP="00A85036">
            <w:pPr>
              <w:spacing w:line="276" w:lineRule="auto"/>
              <w:jc w:val="right"/>
              <w:rPr>
                <w:sz w:val="22"/>
                <w:szCs w:val="22"/>
              </w:rPr>
            </w:pPr>
            <w:r>
              <w:rPr>
                <w:sz w:val="22"/>
                <w:szCs w:val="22"/>
              </w:rPr>
              <w:t>0.</w:t>
            </w:r>
            <w:r w:rsidR="000C5833">
              <w:rPr>
                <w:sz w:val="22"/>
                <w:szCs w:val="22"/>
              </w:rPr>
              <w:t>237</w:t>
            </w:r>
          </w:p>
        </w:tc>
        <w:tc>
          <w:tcPr>
            <w:tcW w:w="996" w:type="dxa"/>
          </w:tcPr>
          <w:p w14:paraId="2E6FF966" w14:textId="4ACB9D39" w:rsidR="00772D20" w:rsidRPr="009515D2" w:rsidRDefault="00772D20" w:rsidP="00A85036">
            <w:pPr>
              <w:spacing w:line="276" w:lineRule="auto"/>
              <w:jc w:val="right"/>
              <w:rPr>
                <w:sz w:val="22"/>
                <w:szCs w:val="22"/>
              </w:rPr>
            </w:pPr>
          </w:p>
        </w:tc>
        <w:tc>
          <w:tcPr>
            <w:tcW w:w="1013" w:type="dxa"/>
          </w:tcPr>
          <w:p w14:paraId="18BF8ADC" w14:textId="5526C11F" w:rsidR="00772D20" w:rsidRPr="009515D2" w:rsidRDefault="00772D20" w:rsidP="00A85036">
            <w:pPr>
              <w:spacing w:line="276" w:lineRule="auto"/>
              <w:jc w:val="right"/>
              <w:rPr>
                <w:b/>
                <w:bCs/>
                <w:sz w:val="22"/>
                <w:szCs w:val="22"/>
              </w:rPr>
            </w:pPr>
          </w:p>
        </w:tc>
        <w:tc>
          <w:tcPr>
            <w:tcW w:w="996" w:type="dxa"/>
          </w:tcPr>
          <w:p w14:paraId="073ED45F" w14:textId="1E0C33AA" w:rsidR="00772D20" w:rsidRPr="009515D2" w:rsidRDefault="00772D20" w:rsidP="00A85036">
            <w:pPr>
              <w:spacing w:line="276" w:lineRule="auto"/>
              <w:jc w:val="right"/>
              <w:rPr>
                <w:sz w:val="22"/>
                <w:szCs w:val="22"/>
              </w:rPr>
            </w:pPr>
          </w:p>
        </w:tc>
        <w:tc>
          <w:tcPr>
            <w:tcW w:w="876" w:type="dxa"/>
          </w:tcPr>
          <w:p w14:paraId="1065E7B4" w14:textId="6F86B64A" w:rsidR="00772D20" w:rsidRPr="009515D2" w:rsidRDefault="00772D20" w:rsidP="00A85036">
            <w:pPr>
              <w:spacing w:line="276" w:lineRule="auto"/>
              <w:jc w:val="right"/>
              <w:rPr>
                <w:sz w:val="22"/>
                <w:szCs w:val="22"/>
              </w:rPr>
            </w:pPr>
          </w:p>
        </w:tc>
      </w:tr>
    </w:tbl>
    <w:p w14:paraId="7FD152BB" w14:textId="77777777" w:rsidR="007A2F1C" w:rsidRDefault="007A2F1C" w:rsidP="00A754EC">
      <w:pPr>
        <w:spacing w:line="360" w:lineRule="auto"/>
      </w:pPr>
    </w:p>
    <w:p w14:paraId="41234A95" w14:textId="376B4BCA" w:rsidR="0033651D" w:rsidRDefault="007A2F1C" w:rsidP="009D6E5B">
      <w:pPr>
        <w:spacing w:line="48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00F00703">
        <w:rPr>
          <w:i/>
          <w:iCs/>
        </w:rPr>
        <w:t xml:space="preserve"> </w:t>
      </w:r>
      <w:proofErr w:type="spellStart"/>
      <w:r w:rsidR="00F00703">
        <w:rPr>
          <w:i/>
          <w:iCs/>
        </w:rPr>
        <w:t>C</w:t>
      </w:r>
      <w:r w:rsidR="00F00703">
        <w:rPr>
          <w:vertAlign w:val="subscript"/>
        </w:rPr>
        <w:t>i</w:t>
      </w:r>
      <w:r w:rsidR="00F00703">
        <w:t>:</w:t>
      </w:r>
      <w:r w:rsidR="00F00703">
        <w:rPr>
          <w:i/>
          <w:iCs/>
        </w:rPr>
        <w:t>C</w:t>
      </w:r>
      <w:r w:rsidR="00F00703">
        <w:rPr>
          <w:vertAlign w:val="subscript"/>
        </w:rPr>
        <w:t>a</w:t>
      </w:r>
      <w:proofErr w:type="spellEnd"/>
      <w:r w:rsidR="00F00703">
        <w:t>=ratio of intercellular CO</w:t>
      </w:r>
      <w:r w:rsidR="00F00703">
        <w:rPr>
          <w:vertAlign w:val="subscript"/>
        </w:rPr>
        <w:t>2</w:t>
      </w:r>
      <w:r w:rsidR="00F00703">
        <w:t xml:space="preserve"> to atmospheric CO</w:t>
      </w:r>
      <w:r w:rsidR="00F00703">
        <w:rPr>
          <w:vertAlign w:val="subscript"/>
        </w:rPr>
        <w:t>2</w:t>
      </w:r>
      <w:r>
        <w:t>.</w:t>
      </w:r>
    </w:p>
    <w:p w14:paraId="3310B983" w14:textId="315F42E4" w:rsidR="003B6FAA" w:rsidRDefault="003B6FAA" w:rsidP="001A31D4">
      <w:pPr>
        <w:spacing w:line="480" w:lineRule="auto"/>
        <w:rPr>
          <w:b/>
          <w:bCs/>
        </w:rPr>
      </w:pPr>
      <w:r>
        <w:rPr>
          <w:b/>
          <w:bCs/>
        </w:rPr>
        <w:lastRenderedPageBreak/>
        <w:t xml:space="preserve">Figure </w:t>
      </w:r>
      <w:r w:rsidR="00F640C8">
        <w:rPr>
          <w:b/>
          <w:bCs/>
        </w:rPr>
        <w:t>5</w:t>
      </w:r>
    </w:p>
    <w:p w14:paraId="04F5D345" w14:textId="59DAC5F6" w:rsidR="003B6FAA" w:rsidRDefault="003B6FAA" w:rsidP="001A31D4">
      <w:pPr>
        <w:spacing w:line="480" w:lineRule="auto"/>
        <w:rPr>
          <w:b/>
          <w:bCs/>
        </w:rPr>
      </w:pPr>
    </w:p>
    <w:p w14:paraId="1E3BD203" w14:textId="4C8E1DA0" w:rsidR="003B6FAA" w:rsidRPr="00A85036" w:rsidRDefault="005214CF" w:rsidP="001A31D4">
      <w:pPr>
        <w:spacing w:line="480" w:lineRule="auto"/>
      </w:pPr>
      <w:r>
        <w:rPr>
          <w:b/>
          <w:bCs/>
        </w:rPr>
        <w:t xml:space="preserve">Figure </w:t>
      </w:r>
      <w:r w:rsidR="00F640C8">
        <w:rPr>
          <w:b/>
          <w:bCs/>
        </w:rPr>
        <w:t>5</w:t>
      </w:r>
      <w:r>
        <w:t xml:space="preserve"> </w:t>
      </w:r>
      <w:r w:rsidRPr="001B10F7">
        <w:t>Effects</w:t>
      </w:r>
      <w:r>
        <w:t xml:space="preserve"> of soil nitrogen fertilization and inoculation on </w:t>
      </w:r>
      <w:r>
        <w:rPr>
          <w:i/>
          <w:iCs/>
        </w:rPr>
        <w:t>G. max</w:t>
      </w:r>
      <w:r>
        <w:t xml:space="preserve"> net photosynthesis (panel A), 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r w:rsidR="003B6FAA">
        <w:rPr>
          <w:i/>
          <w:iCs/>
        </w:rPr>
        <w:br w:type="page"/>
      </w:r>
    </w:p>
    <w:p w14:paraId="1C5FC593" w14:textId="11BD1784" w:rsidR="007A2F1C" w:rsidRDefault="00AF1559" w:rsidP="009D6E5B">
      <w:pPr>
        <w:spacing w:line="480" w:lineRule="auto"/>
        <w:rPr>
          <w:i/>
          <w:iCs/>
        </w:rPr>
      </w:pPr>
      <w:r>
        <w:rPr>
          <w:i/>
          <w:iCs/>
        </w:rPr>
        <w:lastRenderedPageBreak/>
        <w:t>Tradeoffs between nitrogen and water usage</w:t>
      </w:r>
    </w:p>
    <w:p w14:paraId="192E5AB2" w14:textId="7657E477" w:rsidR="00C377A1" w:rsidRDefault="00957D32" w:rsidP="009D6E5B">
      <w:pPr>
        <w:spacing w:line="480" w:lineRule="auto"/>
        <w:ind w:firstLine="720"/>
      </w:pPr>
      <w:r w:rsidRPr="00957D32">
        <w:rPr>
          <w:i/>
          <w:iCs/>
        </w:rPr>
        <w:t>PNUE</w:t>
      </w:r>
      <w:r w:rsidR="00021BEB">
        <w:t xml:space="preserve"> was determined through an interaction between nitrogen fertilization and inoculation (Table </w:t>
      </w:r>
      <w:r w:rsidR="0048004A">
        <w:t>4</w:t>
      </w:r>
      <w:r w:rsidR="00021BEB">
        <w:t xml:space="preserve">; Fig. </w:t>
      </w:r>
      <w:r w:rsidR="00F640C8">
        <w:t>6</w:t>
      </w:r>
      <w:r w:rsidR="003A7574">
        <w:t>A</w:t>
      </w:r>
      <w:r w:rsidR="00021BEB">
        <w:t>).</w:t>
      </w:r>
      <w:r w:rsidR="00C377A1">
        <w:t xml:space="preserve"> This interaction indicated that inoculated individuals grown under low nitrogen fertilization (12.</w:t>
      </w:r>
      <w:r w:rsidR="000C5833">
        <w:t>60</w:t>
      </w:r>
      <w:r w:rsidR="00C377A1" w:rsidRPr="008E75B9">
        <w:sym w:font="Symbol" w:char="F0B1"/>
      </w:r>
      <w:r w:rsidR="00C377A1">
        <w:t>0.</w:t>
      </w:r>
      <w:r w:rsidR="00C24060">
        <w:t>6</w:t>
      </w:r>
      <w:r w:rsidR="000C5833">
        <w:t>2</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N s</w:t>
      </w:r>
      <w:r w:rsidR="00C377A1">
        <w:rPr>
          <w:vertAlign w:val="superscript"/>
        </w:rPr>
        <w:t>-1</w:t>
      </w:r>
      <w:r w:rsidR="00C377A1">
        <w:t>) had</w:t>
      </w:r>
      <w:r w:rsidR="000C5833">
        <w:t xml:space="preserve"> 17.3%</w:t>
      </w:r>
      <w:r w:rsidR="00C377A1">
        <w:t xml:space="preserve"> lower </w:t>
      </w:r>
      <w:r w:rsidR="00C377A1">
        <w:rPr>
          <w:i/>
          <w:iCs/>
        </w:rPr>
        <w:t>PNUE</w:t>
      </w:r>
      <w:r w:rsidR="00C377A1">
        <w:t xml:space="preserve"> than non-inoculated individuals also grown under low nitrogen fertilization (1</w:t>
      </w:r>
      <w:r w:rsidR="00C24060">
        <w:t>5</w:t>
      </w:r>
      <w:r w:rsidR="00C377A1">
        <w:t>.</w:t>
      </w:r>
      <w:r w:rsidR="000C5833">
        <w:t>23</w:t>
      </w:r>
      <w:r w:rsidR="00C377A1" w:rsidRPr="008E75B9">
        <w:sym w:font="Symbol" w:char="F0B1"/>
      </w:r>
      <w:r w:rsidR="00C377A1">
        <w:t>0.6</w:t>
      </w:r>
      <w:r w:rsidR="000C5833">
        <w:t>4</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N s</w:t>
      </w:r>
      <w:r w:rsidR="00C377A1">
        <w:rPr>
          <w:vertAlign w:val="superscript"/>
        </w:rPr>
        <w:t>-1</w:t>
      </w:r>
      <w:r w:rsidR="0072033E">
        <w:t>; Tukey: p=0.0</w:t>
      </w:r>
      <w:r w:rsidR="000C5833">
        <w:t>24</w:t>
      </w:r>
      <w:r w:rsidR="00C377A1">
        <w:t>), with no difference in inoculation treatments under high nitrogen fertilization (Tukey: p=0.</w:t>
      </w:r>
      <w:r w:rsidR="000C5833">
        <w:t>799</w:t>
      </w:r>
      <w:r w:rsidR="0072033E">
        <w:t>)</w:t>
      </w:r>
      <w:r w:rsidR="00C377A1">
        <w:t xml:space="preserve">. We also observed a strong negative effect of soil nitrogen fertilization on </w:t>
      </w:r>
      <w:r w:rsidR="00C377A1">
        <w:rPr>
          <w:i/>
          <w:iCs/>
        </w:rPr>
        <w:t>PNUE</w:t>
      </w:r>
      <w:r w:rsidR="00C377A1">
        <w:t>, where individuals grown under high nitrogen fertilization (</w:t>
      </w:r>
      <w:r w:rsidR="0072033E">
        <w:t>8.</w:t>
      </w:r>
      <w:r w:rsidR="000C5833">
        <w:t>34</w:t>
      </w:r>
      <w:r w:rsidR="00C377A1" w:rsidRPr="008E75B9">
        <w:sym w:font="Symbol" w:char="F0B1"/>
      </w:r>
      <w:r w:rsidR="0072033E">
        <w:t>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xml:space="preserve">) had </w:t>
      </w:r>
      <w:r w:rsidR="000C5833">
        <w:t>40.1</w:t>
      </w:r>
      <w:r w:rsidR="00C377A1">
        <w:t xml:space="preserve">% lower </w:t>
      </w:r>
      <w:r w:rsidR="00C377A1" w:rsidRPr="0072033E">
        <w:rPr>
          <w:i/>
          <w:iCs/>
        </w:rPr>
        <w:t>PNUE</w:t>
      </w:r>
      <w:r w:rsidR="00C377A1">
        <w:t xml:space="preserve"> than those grown under low nitrogen fertilization (</w:t>
      </w:r>
      <w:r w:rsidR="0072033E">
        <w:t>13.</w:t>
      </w:r>
      <w:r w:rsidR="00C24060">
        <w:t>9</w:t>
      </w:r>
      <w:r w:rsidR="000C5833">
        <w:t>2</w:t>
      </w:r>
      <w:r w:rsidR="00C377A1" w:rsidRPr="008E75B9">
        <w:sym w:font="Symbol" w:char="F0B1"/>
      </w:r>
      <w:r w:rsidR="0072033E">
        <w:t>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N s</w:t>
      </w:r>
      <w:r w:rsidR="00C377A1">
        <w:rPr>
          <w:vertAlign w:val="superscript"/>
        </w:rPr>
        <w:t>-1</w:t>
      </w:r>
      <w:r w:rsidR="00C377A1">
        <w:t>; Tukey: p</w:t>
      </w:r>
      <w:r w:rsidR="0072033E">
        <w:t>&lt;0.001</w:t>
      </w:r>
      <w:r w:rsidR="00C377A1">
        <w:t xml:space="preserve">). There was no individual inoculation effect on </w:t>
      </w:r>
      <w:r w:rsidR="00C377A1" w:rsidRPr="0072033E">
        <w:rPr>
          <w:i/>
          <w:iCs/>
        </w:rPr>
        <w:t>PNUE</w:t>
      </w:r>
      <w:r w:rsidR="00C377A1">
        <w:t xml:space="preserve"> (Table 4; Fig. </w:t>
      </w:r>
      <w:r w:rsidR="00F640C8">
        <w:t>6</w:t>
      </w:r>
      <w:r w:rsidR="00C377A1">
        <w:t>A).</w:t>
      </w:r>
    </w:p>
    <w:p w14:paraId="2A95FC17" w14:textId="6B709386" w:rsidR="00061330" w:rsidRDefault="00C24060" w:rsidP="009D6E5B">
      <w:pPr>
        <w:spacing w:line="480" w:lineRule="auto"/>
        <w:ind w:firstLine="720"/>
      </w:pPr>
      <w:r>
        <w:t xml:space="preserve">There was no effect of nitrogen fertilization, inoculation, or any observable interaction between fertilization and inoculation on </w:t>
      </w:r>
      <w:proofErr w:type="spellStart"/>
      <w:r w:rsidR="00957D32" w:rsidRPr="00957D32">
        <w:rPr>
          <w:i/>
          <w:iCs/>
        </w:rPr>
        <w:t>iWUE</w:t>
      </w:r>
      <w:proofErr w:type="spellEnd"/>
      <w:r w:rsidR="003A7574">
        <w:t xml:space="preserve"> (Table </w:t>
      </w:r>
      <w:r w:rsidR="0048004A">
        <w:t>4</w:t>
      </w:r>
      <w:r w:rsidR="003A7574">
        <w:t xml:space="preserve">; Fig. </w:t>
      </w:r>
      <w:r w:rsidR="00F640C8">
        <w:t>6</w:t>
      </w:r>
      <w:r w:rsidR="003A7574">
        <w:t>B)</w:t>
      </w:r>
      <w:r w:rsidR="00751149">
        <w:t>.</w:t>
      </w:r>
    </w:p>
    <w:p w14:paraId="404E21FC" w14:textId="7FDA434D" w:rsidR="00AF1559" w:rsidRDefault="00751149" w:rsidP="009D6E5B">
      <w:pPr>
        <w:spacing w:line="480" w:lineRule="auto"/>
        <w:ind w:firstLine="720"/>
      </w:pPr>
      <w:r>
        <w:t xml:space="preserve">Increasing nitrogen fertilization generally increased </w:t>
      </w:r>
      <w:proofErr w:type="spellStart"/>
      <w:r w:rsidR="00957D32">
        <w:rPr>
          <w:i/>
          <w:iCs/>
        </w:rPr>
        <w:t>N</w:t>
      </w:r>
      <w:r w:rsidR="00957D32">
        <w:rPr>
          <w:vertAlign w:val="subscript"/>
        </w:rPr>
        <w:t>area</w:t>
      </w:r>
      <w:r w:rsidR="00957D32">
        <w:t>:</w:t>
      </w:r>
      <w:r w:rsidR="00957D32">
        <w:rPr>
          <w:i/>
          <w:iCs/>
        </w:rPr>
        <w:t>g</w:t>
      </w:r>
      <w:r w:rsidR="00957D32">
        <w:rPr>
          <w:vertAlign w:val="subscript"/>
        </w:rPr>
        <w:t>s</w:t>
      </w:r>
      <w:proofErr w:type="spellEnd"/>
      <w:r w:rsidR="005214CF" w:rsidRPr="00477955">
        <w:t xml:space="preserve"> </w:t>
      </w:r>
      <w:r w:rsidR="005214CF">
        <w:t xml:space="preserve">(Table </w:t>
      </w:r>
      <w:r w:rsidR="0048004A">
        <w:t>4</w:t>
      </w:r>
      <w:r w:rsidR="005214CF">
        <w:t xml:space="preserve">; Fig </w:t>
      </w:r>
      <w:r w:rsidR="00F640C8">
        <w:t>6</w:t>
      </w:r>
      <w:r w:rsidR="005214CF">
        <w:t>C)</w:t>
      </w:r>
      <w:r w:rsidR="00957D32">
        <w:t xml:space="preserve"> and</w:t>
      </w:r>
      <w:r w:rsidR="00C24060">
        <w:t xml:space="preserve"> marginally increased</w:t>
      </w:r>
      <w:r w:rsidR="00957D32">
        <w:t xml:space="preserve"> </w:t>
      </w:r>
      <w:proofErr w:type="spellStart"/>
      <w:r w:rsidR="00957D32" w:rsidRPr="00957D32">
        <w:rPr>
          <w:i/>
          <w:iCs/>
        </w:rPr>
        <w:t>V</w:t>
      </w:r>
      <w:r w:rsidR="00957D32">
        <w:rPr>
          <w:vertAlign w:val="subscript"/>
        </w:rPr>
        <w:t>cmax</w:t>
      </w:r>
      <w:r w:rsidR="00957D32">
        <w:t>:</w:t>
      </w:r>
      <w:r w:rsidR="00957D32" w:rsidRPr="00957D32">
        <w:rPr>
          <w:i/>
          <w:iCs/>
        </w:rPr>
        <w:t>g</w:t>
      </w:r>
      <w:r w:rsidR="00957D32">
        <w:rPr>
          <w:vertAlign w:val="subscript"/>
        </w:rPr>
        <w:t>s</w:t>
      </w:r>
      <w:proofErr w:type="spellEnd"/>
      <w:r w:rsidR="00957D32" w:rsidRPr="00957D32">
        <w:t xml:space="preserve"> </w:t>
      </w:r>
      <w:r w:rsidR="005214CF">
        <w:t xml:space="preserve">(Table </w:t>
      </w:r>
      <w:r w:rsidR="0048004A">
        <w:t>4</w:t>
      </w:r>
      <w:r w:rsidR="005214CF">
        <w:t xml:space="preserve">; Fig </w:t>
      </w:r>
      <w:r w:rsidR="00F640C8">
        <w:t>6</w:t>
      </w:r>
      <w:r w:rsidR="005214CF">
        <w:t>D)</w:t>
      </w:r>
      <w:r>
        <w:t>.</w:t>
      </w:r>
      <w:r w:rsidR="008C56B6">
        <w:t xml:space="preserve"> </w:t>
      </w:r>
      <w:r w:rsidR="00EA4E30">
        <w:t>Individuals grown under high nitrogen fertilization</w:t>
      </w:r>
      <w:r w:rsidR="008C56B6">
        <w:t xml:space="preserve"> (</w:t>
      </w:r>
      <w:r w:rsidR="00FE31B0">
        <w:t>9.</w:t>
      </w:r>
      <w:r w:rsidR="00EA4E30">
        <w:t>54</w:t>
      </w:r>
      <w:r w:rsidR="00FE31B0" w:rsidRPr="008E75B9">
        <w:sym w:font="Symbol" w:char="F0B1"/>
      </w:r>
      <w:r w:rsidR="00FE31B0">
        <w:t>0.</w:t>
      </w:r>
      <w:r w:rsidR="00EA4E30">
        <w:t>45</w:t>
      </w:r>
      <w:r w:rsidR="00FE31B0">
        <w:t xml:space="preserve"> g N s mol</w:t>
      </w:r>
      <w:r w:rsidR="00FE31B0">
        <w:rPr>
          <w:vertAlign w:val="superscript"/>
        </w:rPr>
        <w:t>-1</w:t>
      </w:r>
      <w:r w:rsidR="00FE31B0">
        <w:t xml:space="preserve"> H</w:t>
      </w:r>
      <w:r w:rsidR="00FE31B0">
        <w:rPr>
          <w:vertAlign w:val="subscript"/>
        </w:rPr>
        <w:t>2</w:t>
      </w:r>
      <w:r w:rsidR="00FE31B0">
        <w:t>O</w:t>
      </w:r>
      <w:r w:rsidR="008C56B6">
        <w:t xml:space="preserve">) had </w:t>
      </w:r>
      <w:r w:rsidR="00EA4E30">
        <w:t>68.3</w:t>
      </w:r>
      <w:r w:rsidR="008C56B6">
        <w:t xml:space="preserve">% higher </w:t>
      </w:r>
      <w:proofErr w:type="spellStart"/>
      <w:r w:rsidR="008C56B6">
        <w:rPr>
          <w:i/>
          <w:iCs/>
        </w:rPr>
        <w:t>N</w:t>
      </w:r>
      <w:r w:rsidR="008C56B6">
        <w:rPr>
          <w:vertAlign w:val="subscript"/>
        </w:rPr>
        <w:t>area</w:t>
      </w:r>
      <w:r w:rsidR="008C56B6">
        <w:t>:</w:t>
      </w:r>
      <w:r w:rsidR="008C56B6">
        <w:rPr>
          <w:i/>
          <w:iCs/>
        </w:rPr>
        <w:t>g</w:t>
      </w:r>
      <w:r w:rsidR="008C56B6">
        <w:rPr>
          <w:vertAlign w:val="subscript"/>
        </w:rPr>
        <w:t>s</w:t>
      </w:r>
      <w:proofErr w:type="spellEnd"/>
      <w:r w:rsidR="008C56B6">
        <w:t xml:space="preserve"> than those grown under low nitrogen fertilization (</w:t>
      </w:r>
      <w:r w:rsidR="00EA4E30">
        <w:t>5.67</w:t>
      </w:r>
      <w:r w:rsidR="008C56B6" w:rsidRPr="008E75B9">
        <w:sym w:font="Symbol" w:char="F0B1"/>
      </w:r>
      <w:r w:rsidR="00FE31B0">
        <w:t>0.</w:t>
      </w:r>
      <w:r w:rsidR="00EA4E30">
        <w:t xml:space="preserve">0.44 </w:t>
      </w:r>
      <w:r w:rsidR="008C56B6">
        <w:t>g N s mol</w:t>
      </w:r>
      <w:r w:rsidR="008C56B6">
        <w:rPr>
          <w:vertAlign w:val="superscript"/>
        </w:rPr>
        <w:t>-1</w:t>
      </w:r>
      <w:r w:rsidR="008C56B6">
        <w:t xml:space="preserve"> </w:t>
      </w:r>
      <w:r w:rsidR="00FE31B0">
        <w:t>H</w:t>
      </w:r>
      <w:r w:rsidR="00FE31B0">
        <w:rPr>
          <w:vertAlign w:val="subscript"/>
        </w:rPr>
        <w:t>2</w:t>
      </w:r>
      <w:r w:rsidR="00FE31B0">
        <w:t>O</w:t>
      </w:r>
      <w:r w:rsidR="00EA4E30">
        <w:t>;</w:t>
      </w:r>
      <w:r w:rsidR="00FE31B0">
        <w:t xml:space="preserve"> Tukey: p&lt;0.001</w:t>
      </w:r>
      <w:r w:rsidR="008C56B6">
        <w:t>)</w:t>
      </w:r>
      <w:r w:rsidR="00FE31B0">
        <w:t>. There was no observable inoculation effect or interaction between fertilization and inoculation on</w:t>
      </w:r>
      <w:r w:rsidR="00EA4E30" w:rsidRPr="00EA4E30">
        <w:rPr>
          <w:i/>
          <w:iCs/>
        </w:rPr>
        <w:t xml:space="preserve"> </w:t>
      </w:r>
      <w:proofErr w:type="spellStart"/>
      <w:r w:rsidR="00EA4E30">
        <w:rPr>
          <w:i/>
          <w:iCs/>
        </w:rPr>
        <w:t>N</w:t>
      </w:r>
      <w:r w:rsidR="00EA4E30">
        <w:rPr>
          <w:vertAlign w:val="subscript"/>
        </w:rPr>
        <w:t>area</w:t>
      </w:r>
      <w:proofErr w:type="spellEnd"/>
      <w:r w:rsidR="00EA4E30">
        <w:t xml:space="preserve">: </w:t>
      </w:r>
      <w:proofErr w:type="spellStart"/>
      <w:r w:rsidR="00EA4E30">
        <w:rPr>
          <w:i/>
          <w:iCs/>
        </w:rPr>
        <w:t>g</w:t>
      </w:r>
      <w:r w:rsidR="00EA4E30">
        <w:rPr>
          <w:vertAlign w:val="subscript"/>
        </w:rPr>
        <w:t>s</w:t>
      </w:r>
      <w:proofErr w:type="spellEnd"/>
      <w:r w:rsidR="00EA4E30" w:rsidRPr="00477955">
        <w:t xml:space="preserve"> </w:t>
      </w:r>
      <w:r w:rsidR="00EA4E30">
        <w:t xml:space="preserve">and </w:t>
      </w:r>
      <w:r w:rsidR="00EA4E30" w:rsidRPr="00957D32">
        <w:rPr>
          <w:i/>
          <w:iCs/>
        </w:rPr>
        <w:t>V</w:t>
      </w:r>
      <w:r w:rsidR="00EA4E30">
        <w:rPr>
          <w:vertAlign w:val="subscript"/>
        </w:rPr>
        <w:t>cmax</w:t>
      </w:r>
      <w:r w:rsidR="00EA4E30">
        <w:t xml:space="preserve">: </w:t>
      </w:r>
      <w:proofErr w:type="spellStart"/>
      <w:r w:rsidR="00EA4E30" w:rsidRPr="00957D32">
        <w:rPr>
          <w:i/>
          <w:iCs/>
        </w:rPr>
        <w:t>g</w:t>
      </w:r>
      <w:r w:rsidR="00EA4E30">
        <w:rPr>
          <w:vertAlign w:val="subscript"/>
        </w:rPr>
        <w:t>s</w:t>
      </w:r>
      <w:proofErr w:type="spellEnd"/>
      <w:r w:rsidR="00EA4E30" w:rsidRPr="00EA4E30">
        <w:t xml:space="preserve"> </w:t>
      </w:r>
      <w:r w:rsidR="00FE31B0">
        <w:t>(Table 4).</w:t>
      </w:r>
    </w:p>
    <w:p w14:paraId="56F80B48" w14:textId="77777777" w:rsidR="00AF1559" w:rsidRDefault="00AF1559" w:rsidP="00A85036">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0E2441EB" w14:textId="21261934" w:rsidR="008D6E2F" w:rsidRDefault="00AF1559" w:rsidP="009D6E5B">
      <w:pPr>
        <w:spacing w:line="480" w:lineRule="auto"/>
      </w:pPr>
      <w:r>
        <w:rPr>
          <w:b/>
          <w:bCs/>
        </w:rPr>
        <w:lastRenderedPageBreak/>
        <w:t xml:space="preserve">Table </w:t>
      </w:r>
      <w:r w:rsidR="00EB0C0F">
        <w:rPr>
          <w:b/>
          <w:bCs/>
        </w:rPr>
        <w:t>4</w:t>
      </w:r>
      <w:r>
        <w:t xml:space="preserve"> Analysis of variance results exploring effect of soil nitrogen fertilization, inoculation with </w:t>
      </w:r>
      <w:r>
        <w:rPr>
          <w:i/>
          <w:iCs/>
        </w:rPr>
        <w:t>B. japonicum</w:t>
      </w:r>
      <w:r>
        <w:t>, and interactions between soil nitrogen fertilization and inoculation on tradeoffs between nitrogen and water usage*</w:t>
      </w:r>
    </w:p>
    <w:p w14:paraId="4DA193F7" w14:textId="77777777" w:rsidR="00A754EC" w:rsidRDefault="00A754EC" w:rsidP="009D6E5B">
      <w:pPr>
        <w:spacing w:line="480" w:lineRule="auto"/>
      </w:pP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rsidRPr="009515D2" w14:paraId="18D67BC5" w14:textId="77777777" w:rsidTr="00AF1559">
        <w:tc>
          <w:tcPr>
            <w:tcW w:w="2516" w:type="dxa"/>
            <w:gridSpan w:val="2"/>
            <w:tcBorders>
              <w:bottom w:val="single" w:sz="4" w:space="0" w:color="auto"/>
            </w:tcBorders>
          </w:tcPr>
          <w:p w14:paraId="182B1290"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4773E066" w14:textId="05BF929C" w:rsidR="00AF1559" w:rsidRPr="009515D2" w:rsidRDefault="00AF1559" w:rsidP="00A85036">
            <w:pPr>
              <w:spacing w:line="276" w:lineRule="auto"/>
              <w:jc w:val="right"/>
              <w:rPr>
                <w:b/>
                <w:bCs/>
                <w:sz w:val="22"/>
                <w:szCs w:val="22"/>
                <w:vertAlign w:val="subscript"/>
              </w:rPr>
            </w:pPr>
            <w:r w:rsidRPr="009515D2">
              <w:rPr>
                <w:b/>
                <w:bCs/>
                <w:i/>
                <w:iCs/>
                <w:sz w:val="22"/>
                <w:szCs w:val="22"/>
              </w:rPr>
              <w:t>PNUE</w:t>
            </w:r>
          </w:p>
        </w:tc>
        <w:tc>
          <w:tcPr>
            <w:tcW w:w="2009" w:type="dxa"/>
            <w:gridSpan w:val="2"/>
            <w:tcBorders>
              <w:bottom w:val="single" w:sz="4" w:space="0" w:color="auto"/>
            </w:tcBorders>
          </w:tcPr>
          <w:p w14:paraId="43748AD6" w14:textId="4FF8045F"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iWUE</w:t>
            </w:r>
            <w:proofErr w:type="spellEnd"/>
          </w:p>
        </w:tc>
        <w:tc>
          <w:tcPr>
            <w:tcW w:w="2009" w:type="dxa"/>
            <w:gridSpan w:val="2"/>
            <w:tcBorders>
              <w:bottom w:val="single" w:sz="4" w:space="0" w:color="auto"/>
            </w:tcBorders>
          </w:tcPr>
          <w:p w14:paraId="68FF0F27" w14:textId="66990E21"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1BF53C16" w14:textId="431B529F" w:rsidR="00AF1559" w:rsidRPr="009515D2" w:rsidRDefault="00AF1559" w:rsidP="00A85036">
            <w:pPr>
              <w:spacing w:line="276" w:lineRule="auto"/>
              <w:jc w:val="right"/>
              <w:rPr>
                <w:b/>
                <w:bCs/>
                <w:sz w:val="22"/>
                <w:szCs w:val="22"/>
              </w:rPr>
            </w:pPr>
            <w:proofErr w:type="spellStart"/>
            <w:r w:rsidRPr="009515D2">
              <w:rPr>
                <w:b/>
                <w:bCs/>
                <w:i/>
                <w:iCs/>
                <w:sz w:val="22"/>
                <w:szCs w:val="22"/>
              </w:rPr>
              <w:t>V</w:t>
            </w:r>
            <w:r w:rsidRPr="009515D2">
              <w:rPr>
                <w:b/>
                <w:bCs/>
                <w:sz w:val="22"/>
                <w:szCs w:val="22"/>
                <w:vertAlign w:val="subscript"/>
              </w:rPr>
              <w:t>cmax</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r>
      <w:tr w:rsidR="00AF1559" w:rsidRPr="009515D2" w14:paraId="555037E2" w14:textId="77777777" w:rsidTr="00AF1559">
        <w:tc>
          <w:tcPr>
            <w:tcW w:w="1980" w:type="dxa"/>
            <w:tcBorders>
              <w:top w:val="single" w:sz="4" w:space="0" w:color="auto"/>
              <w:bottom w:val="single" w:sz="4" w:space="0" w:color="auto"/>
            </w:tcBorders>
          </w:tcPr>
          <w:p w14:paraId="77570317"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601E70FB"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AE12F1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BD954E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B9A4AC6"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93384B1"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8765051"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DF42158"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9B018B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3B105F6" w14:textId="77777777" w:rsidR="00AF1559" w:rsidRPr="009515D2" w:rsidRDefault="00AF1559" w:rsidP="00A85036">
            <w:pPr>
              <w:spacing w:line="276" w:lineRule="auto"/>
              <w:jc w:val="right"/>
              <w:rPr>
                <w:sz w:val="22"/>
                <w:szCs w:val="22"/>
              </w:rPr>
            </w:pPr>
            <w:r w:rsidRPr="009515D2">
              <w:rPr>
                <w:i/>
                <w:iCs/>
                <w:sz w:val="22"/>
                <w:szCs w:val="22"/>
              </w:rPr>
              <w:t>p</w:t>
            </w:r>
          </w:p>
        </w:tc>
      </w:tr>
      <w:tr w:rsidR="002C4FBE" w:rsidRPr="009515D2" w14:paraId="793DC0B0" w14:textId="77777777" w:rsidTr="00AF1559">
        <w:tc>
          <w:tcPr>
            <w:tcW w:w="1980" w:type="dxa"/>
            <w:tcBorders>
              <w:top w:val="single" w:sz="4" w:space="0" w:color="auto"/>
            </w:tcBorders>
          </w:tcPr>
          <w:p w14:paraId="017CBD49" w14:textId="77777777" w:rsidR="002C4FBE" w:rsidRPr="009515D2" w:rsidRDefault="002C4FBE"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9764761"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9D0E03" w14:textId="64D698BA" w:rsidR="002C4FBE" w:rsidRPr="009515D2" w:rsidRDefault="000C5833" w:rsidP="00A85036">
            <w:pPr>
              <w:spacing w:line="276" w:lineRule="auto"/>
              <w:jc w:val="right"/>
              <w:rPr>
                <w:sz w:val="22"/>
                <w:szCs w:val="22"/>
              </w:rPr>
            </w:pPr>
            <w:r>
              <w:rPr>
                <w:sz w:val="22"/>
                <w:szCs w:val="22"/>
              </w:rPr>
              <w:t>77.73</w:t>
            </w:r>
          </w:p>
        </w:tc>
        <w:tc>
          <w:tcPr>
            <w:tcW w:w="1012" w:type="dxa"/>
            <w:tcBorders>
              <w:top w:val="single" w:sz="4" w:space="0" w:color="auto"/>
            </w:tcBorders>
          </w:tcPr>
          <w:p w14:paraId="592F49CA" w14:textId="7219AA22" w:rsidR="002C4FBE"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62EB17D" w14:textId="3F8ED8F5" w:rsidR="002C4FBE" w:rsidRPr="009515D2" w:rsidRDefault="000C5833" w:rsidP="00A85036">
            <w:pPr>
              <w:spacing w:line="276" w:lineRule="auto"/>
              <w:jc w:val="right"/>
              <w:rPr>
                <w:sz w:val="22"/>
                <w:szCs w:val="22"/>
              </w:rPr>
            </w:pPr>
            <w:r>
              <w:rPr>
                <w:sz w:val="22"/>
                <w:szCs w:val="22"/>
              </w:rPr>
              <w:t>&lt;0.01</w:t>
            </w:r>
          </w:p>
        </w:tc>
        <w:tc>
          <w:tcPr>
            <w:tcW w:w="1013" w:type="dxa"/>
            <w:tcBorders>
              <w:top w:val="single" w:sz="4" w:space="0" w:color="auto"/>
            </w:tcBorders>
          </w:tcPr>
          <w:p w14:paraId="485BB97D" w14:textId="2603B0AC" w:rsidR="002C4FBE" w:rsidRPr="009F14D5" w:rsidRDefault="000C5833" w:rsidP="00A85036">
            <w:pPr>
              <w:spacing w:line="276" w:lineRule="auto"/>
              <w:jc w:val="right"/>
              <w:rPr>
                <w:sz w:val="22"/>
                <w:szCs w:val="22"/>
              </w:rPr>
            </w:pPr>
            <w:r w:rsidRPr="009F14D5">
              <w:rPr>
                <w:sz w:val="22"/>
                <w:szCs w:val="22"/>
              </w:rPr>
              <w:t>0.974</w:t>
            </w:r>
          </w:p>
        </w:tc>
        <w:tc>
          <w:tcPr>
            <w:tcW w:w="996" w:type="dxa"/>
            <w:tcBorders>
              <w:top w:val="single" w:sz="4" w:space="0" w:color="auto"/>
            </w:tcBorders>
          </w:tcPr>
          <w:p w14:paraId="01E7C947" w14:textId="5B233092" w:rsidR="002C4FBE" w:rsidRPr="009515D2" w:rsidRDefault="00EA4E30" w:rsidP="00A85036">
            <w:pPr>
              <w:spacing w:line="276" w:lineRule="auto"/>
              <w:jc w:val="right"/>
              <w:rPr>
                <w:sz w:val="22"/>
                <w:szCs w:val="22"/>
              </w:rPr>
            </w:pPr>
            <w:r>
              <w:rPr>
                <w:sz w:val="22"/>
                <w:szCs w:val="22"/>
              </w:rPr>
              <w:t>38.07</w:t>
            </w:r>
          </w:p>
        </w:tc>
        <w:tc>
          <w:tcPr>
            <w:tcW w:w="1013" w:type="dxa"/>
            <w:tcBorders>
              <w:top w:val="single" w:sz="4" w:space="0" w:color="auto"/>
            </w:tcBorders>
          </w:tcPr>
          <w:p w14:paraId="34216C9B" w14:textId="6CAFEBEE" w:rsidR="002C4FBE" w:rsidRPr="009515D2" w:rsidRDefault="00EA4E30" w:rsidP="00A85036">
            <w:pPr>
              <w:spacing w:line="276" w:lineRule="auto"/>
              <w:jc w:val="right"/>
              <w:rPr>
                <w:b/>
                <w:bCs/>
                <w:sz w:val="22"/>
                <w:szCs w:val="22"/>
              </w:rPr>
            </w:pPr>
            <w:r>
              <w:rPr>
                <w:b/>
                <w:bCs/>
                <w:sz w:val="22"/>
                <w:szCs w:val="22"/>
              </w:rPr>
              <w:t>&lt;0.001</w:t>
            </w:r>
          </w:p>
        </w:tc>
        <w:tc>
          <w:tcPr>
            <w:tcW w:w="996" w:type="dxa"/>
            <w:tcBorders>
              <w:top w:val="single" w:sz="4" w:space="0" w:color="auto"/>
            </w:tcBorders>
          </w:tcPr>
          <w:p w14:paraId="0150388D" w14:textId="51977C8A" w:rsidR="002C4FBE" w:rsidRPr="009515D2" w:rsidRDefault="00C24060" w:rsidP="00A85036">
            <w:pPr>
              <w:spacing w:line="276" w:lineRule="auto"/>
              <w:jc w:val="right"/>
              <w:rPr>
                <w:sz w:val="22"/>
                <w:szCs w:val="22"/>
              </w:rPr>
            </w:pPr>
            <w:r>
              <w:rPr>
                <w:sz w:val="22"/>
                <w:szCs w:val="22"/>
              </w:rPr>
              <w:t>3.</w:t>
            </w:r>
            <w:r w:rsidR="000C5833">
              <w:rPr>
                <w:sz w:val="22"/>
                <w:szCs w:val="22"/>
              </w:rPr>
              <w:t>46</w:t>
            </w:r>
          </w:p>
        </w:tc>
        <w:tc>
          <w:tcPr>
            <w:tcW w:w="1013" w:type="dxa"/>
            <w:tcBorders>
              <w:top w:val="single" w:sz="4" w:space="0" w:color="auto"/>
            </w:tcBorders>
          </w:tcPr>
          <w:p w14:paraId="7D963337" w14:textId="4E313DD7" w:rsidR="002C4FBE" w:rsidRPr="00C24060" w:rsidRDefault="00C24060" w:rsidP="00A85036">
            <w:pPr>
              <w:spacing w:line="276" w:lineRule="auto"/>
              <w:jc w:val="right"/>
              <w:rPr>
                <w:i/>
                <w:iCs/>
                <w:sz w:val="22"/>
                <w:szCs w:val="22"/>
              </w:rPr>
            </w:pPr>
            <w:r w:rsidRPr="00C24060">
              <w:rPr>
                <w:i/>
                <w:iCs/>
                <w:sz w:val="22"/>
                <w:szCs w:val="22"/>
              </w:rPr>
              <w:t>0.0</w:t>
            </w:r>
            <w:r w:rsidR="000C5833">
              <w:rPr>
                <w:i/>
                <w:iCs/>
                <w:sz w:val="22"/>
                <w:szCs w:val="22"/>
              </w:rPr>
              <w:t>63</w:t>
            </w:r>
          </w:p>
        </w:tc>
      </w:tr>
      <w:tr w:rsidR="002C4FBE" w:rsidRPr="009515D2" w14:paraId="1EABCC44" w14:textId="77777777" w:rsidTr="00EB0C0F">
        <w:tc>
          <w:tcPr>
            <w:tcW w:w="1980" w:type="dxa"/>
          </w:tcPr>
          <w:p w14:paraId="51161FFD" w14:textId="77777777" w:rsidR="002C4FBE" w:rsidRPr="009515D2" w:rsidRDefault="002C4FBE" w:rsidP="00A85036">
            <w:pPr>
              <w:spacing w:line="276" w:lineRule="auto"/>
              <w:jc w:val="right"/>
              <w:rPr>
                <w:sz w:val="22"/>
                <w:szCs w:val="22"/>
              </w:rPr>
            </w:pPr>
            <w:r w:rsidRPr="009515D2">
              <w:rPr>
                <w:sz w:val="22"/>
                <w:szCs w:val="22"/>
              </w:rPr>
              <w:t>Inoculation (I)</w:t>
            </w:r>
          </w:p>
        </w:tc>
        <w:tc>
          <w:tcPr>
            <w:tcW w:w="536" w:type="dxa"/>
          </w:tcPr>
          <w:p w14:paraId="58D61715"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Pr>
          <w:p w14:paraId="2840693B" w14:textId="5F13E734" w:rsidR="002C4FBE" w:rsidRPr="009515D2" w:rsidRDefault="000C5833" w:rsidP="00A85036">
            <w:pPr>
              <w:spacing w:line="276" w:lineRule="auto"/>
              <w:jc w:val="right"/>
              <w:rPr>
                <w:sz w:val="22"/>
                <w:szCs w:val="22"/>
              </w:rPr>
            </w:pPr>
            <w:r>
              <w:rPr>
                <w:sz w:val="22"/>
                <w:szCs w:val="22"/>
              </w:rPr>
              <w:t>2.06</w:t>
            </w:r>
          </w:p>
        </w:tc>
        <w:tc>
          <w:tcPr>
            <w:tcW w:w="1012" w:type="dxa"/>
          </w:tcPr>
          <w:p w14:paraId="4A11C5CA" w14:textId="4B2320AE" w:rsidR="002C4FBE" w:rsidRPr="009515D2" w:rsidRDefault="000C5833" w:rsidP="00A85036">
            <w:pPr>
              <w:spacing w:line="276" w:lineRule="auto"/>
              <w:jc w:val="right"/>
              <w:rPr>
                <w:sz w:val="22"/>
                <w:szCs w:val="22"/>
              </w:rPr>
            </w:pPr>
            <w:r>
              <w:rPr>
                <w:sz w:val="22"/>
                <w:szCs w:val="22"/>
              </w:rPr>
              <w:t>0.152</w:t>
            </w:r>
          </w:p>
        </w:tc>
        <w:tc>
          <w:tcPr>
            <w:tcW w:w="996" w:type="dxa"/>
          </w:tcPr>
          <w:p w14:paraId="26DDA98E" w14:textId="044BDDF9" w:rsidR="002C4FBE" w:rsidRPr="009515D2" w:rsidRDefault="000C5833" w:rsidP="00A85036">
            <w:pPr>
              <w:spacing w:line="276" w:lineRule="auto"/>
              <w:jc w:val="right"/>
              <w:rPr>
                <w:sz w:val="22"/>
                <w:szCs w:val="22"/>
              </w:rPr>
            </w:pPr>
            <w:r>
              <w:rPr>
                <w:sz w:val="22"/>
                <w:szCs w:val="22"/>
              </w:rPr>
              <w:t>0.30</w:t>
            </w:r>
          </w:p>
        </w:tc>
        <w:tc>
          <w:tcPr>
            <w:tcW w:w="1013" w:type="dxa"/>
          </w:tcPr>
          <w:p w14:paraId="20BE77E4" w14:textId="26860013" w:rsidR="002C4FBE" w:rsidRPr="009515D2" w:rsidRDefault="000C5833" w:rsidP="00A85036">
            <w:pPr>
              <w:spacing w:line="276" w:lineRule="auto"/>
              <w:jc w:val="right"/>
              <w:rPr>
                <w:sz w:val="22"/>
                <w:szCs w:val="22"/>
              </w:rPr>
            </w:pPr>
            <w:r>
              <w:rPr>
                <w:sz w:val="22"/>
                <w:szCs w:val="22"/>
              </w:rPr>
              <w:t>0.586</w:t>
            </w:r>
          </w:p>
        </w:tc>
        <w:tc>
          <w:tcPr>
            <w:tcW w:w="996" w:type="dxa"/>
          </w:tcPr>
          <w:p w14:paraId="460A2E5C" w14:textId="7F9C9210" w:rsidR="002C4FBE" w:rsidRPr="009515D2" w:rsidRDefault="00EA4E30" w:rsidP="00A85036">
            <w:pPr>
              <w:spacing w:line="276" w:lineRule="auto"/>
              <w:jc w:val="right"/>
              <w:rPr>
                <w:sz w:val="22"/>
                <w:szCs w:val="22"/>
              </w:rPr>
            </w:pPr>
            <w:r>
              <w:rPr>
                <w:sz w:val="22"/>
                <w:szCs w:val="22"/>
              </w:rPr>
              <w:t>&lt;0.01</w:t>
            </w:r>
          </w:p>
        </w:tc>
        <w:tc>
          <w:tcPr>
            <w:tcW w:w="1013" w:type="dxa"/>
          </w:tcPr>
          <w:p w14:paraId="0FA152AC" w14:textId="23A56570" w:rsidR="002C4FBE" w:rsidRPr="009515D2" w:rsidRDefault="00EA4E30" w:rsidP="00A85036">
            <w:pPr>
              <w:spacing w:line="276" w:lineRule="auto"/>
              <w:jc w:val="right"/>
              <w:rPr>
                <w:sz w:val="22"/>
                <w:szCs w:val="22"/>
              </w:rPr>
            </w:pPr>
            <w:r>
              <w:rPr>
                <w:sz w:val="22"/>
                <w:szCs w:val="22"/>
              </w:rPr>
              <w:t>0.967</w:t>
            </w:r>
          </w:p>
        </w:tc>
        <w:tc>
          <w:tcPr>
            <w:tcW w:w="996" w:type="dxa"/>
          </w:tcPr>
          <w:p w14:paraId="3AED3C65" w14:textId="6E8FD181" w:rsidR="002C4FBE" w:rsidRPr="009515D2" w:rsidRDefault="00C24060" w:rsidP="00A85036">
            <w:pPr>
              <w:spacing w:line="276" w:lineRule="auto"/>
              <w:jc w:val="right"/>
              <w:rPr>
                <w:sz w:val="22"/>
                <w:szCs w:val="22"/>
              </w:rPr>
            </w:pPr>
            <w:r>
              <w:rPr>
                <w:sz w:val="22"/>
                <w:szCs w:val="22"/>
              </w:rPr>
              <w:t>0.</w:t>
            </w:r>
            <w:r w:rsidR="000C5833">
              <w:rPr>
                <w:sz w:val="22"/>
                <w:szCs w:val="22"/>
              </w:rPr>
              <w:t>06</w:t>
            </w:r>
          </w:p>
        </w:tc>
        <w:tc>
          <w:tcPr>
            <w:tcW w:w="1013" w:type="dxa"/>
          </w:tcPr>
          <w:p w14:paraId="3A32B31A" w14:textId="236E1129" w:rsidR="002C4FBE" w:rsidRPr="00C24060" w:rsidRDefault="00C24060" w:rsidP="00A85036">
            <w:pPr>
              <w:spacing w:line="276" w:lineRule="auto"/>
              <w:jc w:val="right"/>
              <w:rPr>
                <w:sz w:val="22"/>
                <w:szCs w:val="22"/>
              </w:rPr>
            </w:pPr>
            <w:r w:rsidRPr="00C24060">
              <w:rPr>
                <w:sz w:val="22"/>
                <w:szCs w:val="22"/>
              </w:rPr>
              <w:t>0.</w:t>
            </w:r>
            <w:r w:rsidR="000C5833">
              <w:rPr>
                <w:sz w:val="22"/>
                <w:szCs w:val="22"/>
              </w:rPr>
              <w:t>811</w:t>
            </w:r>
          </w:p>
        </w:tc>
      </w:tr>
      <w:tr w:rsidR="002C4FBE" w:rsidRPr="009515D2" w14:paraId="1A42C81E" w14:textId="77777777" w:rsidTr="00EB0C0F">
        <w:tc>
          <w:tcPr>
            <w:tcW w:w="1980" w:type="dxa"/>
            <w:tcBorders>
              <w:bottom w:val="single" w:sz="4" w:space="0" w:color="auto"/>
            </w:tcBorders>
          </w:tcPr>
          <w:p w14:paraId="3FC82232" w14:textId="77777777" w:rsidR="002C4FBE" w:rsidRPr="009515D2" w:rsidRDefault="002C4FBE"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BD4BBAA"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2B30715B" w14:textId="250194B3" w:rsidR="002C4FBE" w:rsidRPr="009515D2" w:rsidRDefault="000C5833" w:rsidP="00A85036">
            <w:pPr>
              <w:spacing w:line="276" w:lineRule="auto"/>
              <w:jc w:val="right"/>
              <w:rPr>
                <w:sz w:val="22"/>
                <w:szCs w:val="22"/>
              </w:rPr>
            </w:pPr>
            <w:r>
              <w:rPr>
                <w:sz w:val="22"/>
                <w:szCs w:val="22"/>
              </w:rPr>
              <w:t>7.42</w:t>
            </w:r>
          </w:p>
        </w:tc>
        <w:tc>
          <w:tcPr>
            <w:tcW w:w="1012" w:type="dxa"/>
            <w:tcBorders>
              <w:bottom w:val="single" w:sz="4" w:space="0" w:color="auto"/>
            </w:tcBorders>
          </w:tcPr>
          <w:p w14:paraId="7C7968A0" w14:textId="27D159B6" w:rsidR="002C4FBE" w:rsidRPr="009515D2" w:rsidRDefault="000C5833" w:rsidP="00A85036">
            <w:pPr>
              <w:spacing w:line="276" w:lineRule="auto"/>
              <w:jc w:val="right"/>
              <w:rPr>
                <w:b/>
                <w:bCs/>
                <w:sz w:val="22"/>
                <w:szCs w:val="22"/>
              </w:rPr>
            </w:pPr>
            <w:r>
              <w:rPr>
                <w:b/>
                <w:bCs/>
                <w:sz w:val="22"/>
                <w:szCs w:val="22"/>
              </w:rPr>
              <w:t>0.006</w:t>
            </w:r>
          </w:p>
        </w:tc>
        <w:tc>
          <w:tcPr>
            <w:tcW w:w="996" w:type="dxa"/>
            <w:tcBorders>
              <w:bottom w:val="single" w:sz="4" w:space="0" w:color="auto"/>
            </w:tcBorders>
          </w:tcPr>
          <w:p w14:paraId="58AFC7A5" w14:textId="0B844203" w:rsidR="002C4FBE" w:rsidRPr="009515D2" w:rsidRDefault="000C5833" w:rsidP="00A85036">
            <w:pPr>
              <w:spacing w:line="276" w:lineRule="auto"/>
              <w:jc w:val="right"/>
              <w:rPr>
                <w:sz w:val="22"/>
                <w:szCs w:val="22"/>
              </w:rPr>
            </w:pPr>
            <w:r>
              <w:rPr>
                <w:sz w:val="22"/>
                <w:szCs w:val="22"/>
              </w:rPr>
              <w:t>1.36</w:t>
            </w:r>
          </w:p>
        </w:tc>
        <w:tc>
          <w:tcPr>
            <w:tcW w:w="1013" w:type="dxa"/>
            <w:tcBorders>
              <w:bottom w:val="single" w:sz="4" w:space="0" w:color="auto"/>
            </w:tcBorders>
          </w:tcPr>
          <w:p w14:paraId="6A8AF927" w14:textId="59C90AC3" w:rsidR="002C4FBE" w:rsidRPr="009515D2" w:rsidRDefault="000C5833" w:rsidP="00A85036">
            <w:pPr>
              <w:spacing w:line="276" w:lineRule="auto"/>
              <w:jc w:val="right"/>
              <w:rPr>
                <w:sz w:val="22"/>
                <w:szCs w:val="22"/>
              </w:rPr>
            </w:pPr>
            <w:r>
              <w:rPr>
                <w:sz w:val="22"/>
                <w:szCs w:val="22"/>
              </w:rPr>
              <w:t>0.243</w:t>
            </w:r>
          </w:p>
        </w:tc>
        <w:tc>
          <w:tcPr>
            <w:tcW w:w="996" w:type="dxa"/>
            <w:tcBorders>
              <w:bottom w:val="single" w:sz="4" w:space="0" w:color="auto"/>
            </w:tcBorders>
          </w:tcPr>
          <w:p w14:paraId="708542CE" w14:textId="2C6455ED" w:rsidR="002C4FBE" w:rsidRPr="009515D2" w:rsidRDefault="00EA4E30" w:rsidP="00A85036">
            <w:pPr>
              <w:spacing w:line="276" w:lineRule="auto"/>
              <w:jc w:val="right"/>
              <w:rPr>
                <w:sz w:val="22"/>
                <w:szCs w:val="22"/>
              </w:rPr>
            </w:pPr>
            <w:r>
              <w:rPr>
                <w:sz w:val="22"/>
                <w:szCs w:val="22"/>
              </w:rPr>
              <w:t>1.20</w:t>
            </w:r>
          </w:p>
        </w:tc>
        <w:tc>
          <w:tcPr>
            <w:tcW w:w="1013" w:type="dxa"/>
            <w:tcBorders>
              <w:bottom w:val="single" w:sz="4" w:space="0" w:color="auto"/>
            </w:tcBorders>
          </w:tcPr>
          <w:p w14:paraId="4360B96B" w14:textId="3272310B" w:rsidR="002C4FBE" w:rsidRPr="009515D2" w:rsidRDefault="00EA4E30" w:rsidP="00A85036">
            <w:pPr>
              <w:spacing w:line="276" w:lineRule="auto"/>
              <w:jc w:val="right"/>
              <w:rPr>
                <w:sz w:val="22"/>
                <w:szCs w:val="22"/>
              </w:rPr>
            </w:pPr>
            <w:r>
              <w:rPr>
                <w:sz w:val="22"/>
                <w:szCs w:val="22"/>
              </w:rPr>
              <w:t>0.274</w:t>
            </w:r>
          </w:p>
        </w:tc>
        <w:tc>
          <w:tcPr>
            <w:tcW w:w="996" w:type="dxa"/>
            <w:tcBorders>
              <w:bottom w:val="single" w:sz="4" w:space="0" w:color="auto"/>
            </w:tcBorders>
          </w:tcPr>
          <w:p w14:paraId="70B61CF4" w14:textId="675F055F" w:rsidR="002C4FBE" w:rsidRPr="009515D2" w:rsidRDefault="00C24060" w:rsidP="00A85036">
            <w:pPr>
              <w:spacing w:line="276" w:lineRule="auto"/>
              <w:jc w:val="right"/>
              <w:rPr>
                <w:sz w:val="22"/>
                <w:szCs w:val="22"/>
              </w:rPr>
            </w:pPr>
            <w:r>
              <w:rPr>
                <w:sz w:val="22"/>
                <w:szCs w:val="22"/>
              </w:rPr>
              <w:t>0.</w:t>
            </w:r>
            <w:r w:rsidR="000C5833">
              <w:rPr>
                <w:sz w:val="22"/>
                <w:szCs w:val="22"/>
              </w:rPr>
              <w:t>25</w:t>
            </w:r>
          </w:p>
        </w:tc>
        <w:tc>
          <w:tcPr>
            <w:tcW w:w="1013" w:type="dxa"/>
            <w:tcBorders>
              <w:bottom w:val="single" w:sz="4" w:space="0" w:color="auto"/>
            </w:tcBorders>
          </w:tcPr>
          <w:p w14:paraId="1581A9BD" w14:textId="35C82904" w:rsidR="002C4FBE" w:rsidRPr="00C24060" w:rsidRDefault="00C24060" w:rsidP="00A85036">
            <w:pPr>
              <w:spacing w:line="276" w:lineRule="auto"/>
              <w:jc w:val="right"/>
              <w:rPr>
                <w:sz w:val="22"/>
                <w:szCs w:val="22"/>
              </w:rPr>
            </w:pPr>
            <w:r w:rsidRPr="00C24060">
              <w:rPr>
                <w:sz w:val="22"/>
                <w:szCs w:val="22"/>
              </w:rPr>
              <w:t>0.</w:t>
            </w:r>
            <w:r w:rsidR="000C5833">
              <w:rPr>
                <w:sz w:val="22"/>
                <w:szCs w:val="22"/>
              </w:rPr>
              <w:t>619</w:t>
            </w:r>
          </w:p>
        </w:tc>
      </w:tr>
    </w:tbl>
    <w:p w14:paraId="194973AA" w14:textId="77777777" w:rsidR="00AF1559" w:rsidRDefault="00AF1559" w:rsidP="00A754EC">
      <w:pPr>
        <w:spacing w:line="360" w:lineRule="auto"/>
      </w:pPr>
    </w:p>
    <w:p w14:paraId="009D9BCF" w14:textId="1D0EEF39" w:rsidR="00AF1559" w:rsidRDefault="00AF1559" w:rsidP="009D6E5B">
      <w:pPr>
        <w:spacing w:line="48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r w:rsidRPr="00F072DB">
        <w:t>:</w:t>
      </w:r>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r w:rsidRPr="00982BDD">
        <w:t>:</w:t>
      </w:r>
      <w:r w:rsidRPr="00982BDD">
        <w:rPr>
          <w:i/>
          <w:iCs/>
        </w:rPr>
        <w:t>g</w:t>
      </w:r>
      <w:r w:rsidRPr="00982BDD">
        <w:rPr>
          <w:vertAlign w:val="subscript"/>
        </w:rPr>
        <w:t>s</w:t>
      </w:r>
      <w:proofErr w:type="spellEnd"/>
      <w:r>
        <w:t>=ratio of temperature unstandardized</w:t>
      </w:r>
      <w:r w:rsidRPr="002B7BC1">
        <w:rPr>
          <w:i/>
          <w:iCs/>
        </w:rPr>
        <w:t xml:space="preserve"> </w:t>
      </w:r>
      <w:r>
        <w:rPr>
          <w:i/>
          <w:iCs/>
        </w:rPr>
        <w:t>V</w:t>
      </w:r>
      <w:r>
        <w:rPr>
          <w:vertAlign w:val="subscript"/>
        </w:rPr>
        <w:t>cmax</w:t>
      </w:r>
      <w:r>
        <w:t xml:space="preserve"> to </w:t>
      </w:r>
      <w:proofErr w:type="spellStart"/>
      <w:r>
        <w:rPr>
          <w:i/>
          <w:iCs/>
        </w:rPr>
        <w:t>g</w:t>
      </w:r>
      <w:r>
        <w:rPr>
          <w:vertAlign w:val="subscript"/>
        </w:rPr>
        <w:t>s</w:t>
      </w:r>
      <w:proofErr w:type="spellEnd"/>
      <w:r>
        <w:t>.</w:t>
      </w:r>
    </w:p>
    <w:p w14:paraId="73A30839" w14:textId="77777777" w:rsidR="002C4FBE" w:rsidRDefault="002C4FBE" w:rsidP="009D6E5B">
      <w:pPr>
        <w:spacing w:line="480" w:lineRule="auto"/>
      </w:pPr>
    </w:p>
    <w:p w14:paraId="6F402091" w14:textId="396F086D" w:rsidR="002C4FBE" w:rsidRDefault="002C4FBE" w:rsidP="00A85036">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430837C0" w:rsidR="005F0602" w:rsidRDefault="005F0602" w:rsidP="009D6E5B">
      <w:pPr>
        <w:spacing w:line="480" w:lineRule="auto"/>
        <w:rPr>
          <w:b/>
          <w:bCs/>
        </w:rPr>
      </w:pPr>
      <w:r>
        <w:rPr>
          <w:b/>
          <w:bCs/>
        </w:rPr>
        <w:lastRenderedPageBreak/>
        <w:t xml:space="preserve">Figure </w:t>
      </w:r>
      <w:r w:rsidR="00F640C8">
        <w:rPr>
          <w:b/>
          <w:bCs/>
        </w:rPr>
        <w:t>6</w:t>
      </w:r>
    </w:p>
    <w:p w14:paraId="4BD407F2" w14:textId="28F60E05" w:rsidR="005F0602" w:rsidRDefault="0029276A" w:rsidP="009D6E5B">
      <w:pPr>
        <w:spacing w:line="480" w:lineRule="auto"/>
        <w:rPr>
          <w:b/>
          <w:bCs/>
        </w:rPr>
      </w:pPr>
      <w:r>
        <w:rPr>
          <w:b/>
          <w:bCs/>
          <w:noProof/>
        </w:rPr>
        <w:drawing>
          <wp:inline distT="0" distB="0" distL="0" distR="0" wp14:anchorId="0284AF96" wp14:editId="302BB0AF">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6484937F" w14:textId="2B90B321" w:rsidR="00E2103C" w:rsidRPr="008B6B1D" w:rsidRDefault="00C4037A" w:rsidP="00A85036">
      <w:pPr>
        <w:spacing w:line="480" w:lineRule="auto"/>
      </w:pPr>
      <w:r>
        <w:rPr>
          <w:b/>
          <w:bCs/>
        </w:rPr>
        <w:t xml:space="preserve">Figure </w:t>
      </w:r>
      <w:r w:rsidR="00F640C8">
        <w:rPr>
          <w:b/>
          <w:bCs/>
        </w:rPr>
        <w:t>6</w:t>
      </w:r>
      <w:r>
        <w:t xml:space="preserve"> </w:t>
      </w:r>
      <w:r w:rsidRPr="001B10F7">
        <w:t>Effects</w:t>
      </w:r>
      <w:r>
        <w:t xml:space="preserve"> of soil nitrogen fertilization and inoculation on </w:t>
      </w:r>
      <w:r>
        <w:rPr>
          <w:i/>
          <w:iCs/>
        </w:rPr>
        <w:t>G. max</w:t>
      </w:r>
      <w:r>
        <w:t xml:space="preserve"> photosynthetic nitrogen use efficiency (panel A), intrinsic water-use efficiency (panel B), the ratio of leaf nitrogen per leaf area to stomatal conductance (panel C), and the ratio of the maximum Rubisco carboxylation rate to stomatal conductance </w:t>
      </w:r>
      <w:r>
        <w:rPr>
          <w:color w:val="000000"/>
        </w:rPr>
        <w:t>(panel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E20C33">
        <w:rPr>
          <w:rFonts w:eastAsia="Times New Roman" w:cs="Times New Roman"/>
          <w:color w:val="000000" w:themeColor="text1"/>
        </w:rPr>
        <w:t>p</w:t>
      </w:r>
      <w:r w:rsidR="0079226D" w:rsidRPr="6E1ABADC">
        <w:rPr>
          <w:rFonts w:eastAsia="Times New Roman" w:cs="Times New Roman"/>
          <w:color w:val="000000" w:themeColor="text1"/>
        </w:rPr>
        <w:t>&lt;0.05).</w:t>
      </w:r>
      <w:r w:rsidR="00E2103C">
        <w:rPr>
          <w:b/>
          <w:bCs/>
        </w:rPr>
        <w:br w:type="page"/>
      </w:r>
    </w:p>
    <w:p w14:paraId="17A662CB" w14:textId="3B9F2CC0" w:rsidR="00772287" w:rsidRDefault="00E2103C" w:rsidP="008B6B1D">
      <w:pPr>
        <w:spacing w:line="480" w:lineRule="auto"/>
        <w:rPr>
          <w:b/>
          <w:bCs/>
        </w:rPr>
      </w:pPr>
      <w:r>
        <w:rPr>
          <w:b/>
          <w:bCs/>
        </w:rPr>
        <w:lastRenderedPageBreak/>
        <w:t>D</w:t>
      </w:r>
      <w:r w:rsidR="00754725">
        <w:rPr>
          <w:b/>
          <w:bCs/>
        </w:rPr>
        <w:t>iscussion</w:t>
      </w:r>
    </w:p>
    <w:p w14:paraId="72658BC1" w14:textId="0A5603CA" w:rsidR="004035F7" w:rsidRDefault="004035F7" w:rsidP="008B6B1D">
      <w:pPr>
        <w:spacing w:line="480" w:lineRule="auto"/>
        <w:ind w:firstLine="720"/>
      </w:pPr>
      <w:r>
        <w:t xml:space="preserve">Photosynthetic least-cost theory suggests that plants acclimate to growing conditions by </w:t>
      </w:r>
      <w:r w:rsidR="00DA006B">
        <w:t>maximizing photosynthetic carbon gain at the lowest summed c</w:t>
      </w:r>
      <w:r>
        <w:t xml:space="preserve">osts of nitrogen and water use </w:t>
      </w:r>
      <w:r>
        <w:fldChar w:fldCharType="begin" w:fldLock="1"/>
      </w:r>
      <w:r w:rsidR="001A5E20">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ecology","type":"article-journal","volume":"17"},"uris":["http://www.mendeley.com/documents/?uuid=e847e008-126f-46c3-a215-d3160662c7ab"]}],"mendeley":{"formattedCitation":"(Wright &lt;i&gt;et al.&lt;/i&gt;, 2003; Prentice &lt;i&gt;et al.&lt;/i&gt;, 2014)","plainTextFormattedCitation":"(Wright et al., 2003; Prentice et al., 2014)","previouslyFormattedCitation":"(Wright &lt;i&gt;et al.&lt;/i&gt;, 2003; Prentice &lt;i&gt;et al.&lt;/i&gt;, 2014)"},"properties":{"noteIndex":0},"schema":"https://github.com/citation-style-language/schema/raw/master/csl-citation.json"}</w:instrText>
      </w:r>
      <w:r>
        <w:fldChar w:fldCharType="separate"/>
      </w:r>
      <w:r w:rsidR="00F13EBD" w:rsidRPr="00F13EBD">
        <w:rPr>
          <w:noProof/>
        </w:rPr>
        <w:t xml:space="preserve">(Wright </w:t>
      </w:r>
      <w:r w:rsidR="00F13EBD" w:rsidRPr="00F13EBD">
        <w:rPr>
          <w:i/>
          <w:noProof/>
        </w:rPr>
        <w:t>et al.</w:t>
      </w:r>
      <w:r w:rsidR="00F13EBD" w:rsidRPr="00F13EBD">
        <w:rPr>
          <w:noProof/>
        </w:rPr>
        <w:t xml:space="preserve">, 2003; Prentice </w:t>
      </w:r>
      <w:r w:rsidR="00F13EBD" w:rsidRPr="00F13EBD">
        <w:rPr>
          <w:i/>
          <w:noProof/>
        </w:rPr>
        <w:t>et al.</w:t>
      </w:r>
      <w:r w:rsidR="00F13EBD" w:rsidRPr="00F13EBD">
        <w:rPr>
          <w:noProof/>
        </w:rPr>
        <w:t>, 2014)</w:t>
      </w:r>
      <w:r>
        <w:fldChar w:fldCharType="end"/>
      </w:r>
      <w:r>
        <w:t xml:space="preserve">. All else equal, the theory predicts that an increase in soil nitrogen availability should increase in water use efficiency and decrease in nitrogen use efficiency through an increase in leaf nitrogen allocation per stomatal conductance </w:t>
      </w:r>
      <w:r>
        <w:fldChar w:fldCharType="begin" w:fldLock="1"/>
      </w:r>
      <w:r w:rsidR="001A5E20">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&lt;i&gt;et al.&lt;/i&gt;, 2020)","plainTextFormattedCitation":"(Paillassa et al., 2020)","previouslyFormattedCitation":"(Paillassa &lt;i&gt;et al.&lt;/i&gt;, 2020)"},"properties":{"noteIndex":0},"schema":"https://github.com/citation-style-language/schema/raw/master/csl-citation.json"}</w:instrText>
      </w:r>
      <w:r>
        <w:fldChar w:fldCharType="separate"/>
      </w:r>
      <w:r w:rsidR="00F13EBD" w:rsidRPr="00F13EBD">
        <w:rPr>
          <w:noProof/>
        </w:rPr>
        <w:t xml:space="preserve">(Paillassa </w:t>
      </w:r>
      <w:r w:rsidR="00F13EBD" w:rsidRPr="00F13EBD">
        <w:rPr>
          <w:i/>
          <w:noProof/>
        </w:rPr>
        <w:t>et al.</w:t>
      </w:r>
      <w:r w:rsidR="00F13EBD" w:rsidRPr="00F13EBD">
        <w:rPr>
          <w:noProof/>
        </w:rPr>
        <w:t>, 2020)</w:t>
      </w:r>
      <w:r>
        <w:fldChar w:fldCharType="end"/>
      </w:r>
      <w:r>
        <w:t xml:space="preserve">. However, the cost of nutrient use, and therefore the magnitude of nitrogen-water use tradeoffs, might vary in species different nutrient acquisition strategies due to differential costs of nutrient acquisition </w:t>
      </w:r>
      <w:r>
        <w:fldChar w:fldCharType="begin" w:fldLock="1"/>
      </w:r>
      <w:r w:rsidR="001A5E2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&lt;i&gt;et al.&lt;/i&gt;, 2014; Terrer &lt;i&gt;et al.&lt;/i&gt;, 2018; Perkowski &lt;i&gt;et al.&lt;/i&gt;, 2021)","plainTextFormattedCitation":"(Brzostek et al., 2014; Terrer et al., 2018; Perkowski et al., 2021)","previouslyFormattedCitation":"(Brzostek &lt;i&gt;et al.&lt;/i&gt;, 2014; Terrer &lt;i&gt;et al.&lt;/i&gt;, 2018; Perkowski &lt;i&gt;et al.&lt;/i&gt;, 2021)"},"properties":{"noteIndex":0},"schema":"https://github.com/citation-style-language/schema/raw/master/csl-citation.json"}</w:instrText>
      </w:r>
      <w:r>
        <w:fldChar w:fldCharType="separate"/>
      </w:r>
      <w:r w:rsidR="00F13EBD" w:rsidRPr="00F13EBD">
        <w:rPr>
          <w:noProof/>
        </w:rPr>
        <w:t xml:space="preserve">(Brzostek </w:t>
      </w:r>
      <w:r w:rsidR="00F13EBD" w:rsidRPr="00F13EBD">
        <w:rPr>
          <w:i/>
          <w:noProof/>
        </w:rPr>
        <w:t>et al.</w:t>
      </w:r>
      <w:r w:rsidR="00F13EBD" w:rsidRPr="00F13EBD">
        <w:rPr>
          <w:noProof/>
        </w:rPr>
        <w:t xml:space="preserve">, 2014; Terrer </w:t>
      </w:r>
      <w:r w:rsidR="00F13EBD" w:rsidRPr="00F13EBD">
        <w:rPr>
          <w:i/>
          <w:noProof/>
        </w:rPr>
        <w:t>et al.</w:t>
      </w:r>
      <w:r w:rsidR="00F13EBD" w:rsidRPr="00F13EBD">
        <w:rPr>
          <w:noProof/>
        </w:rPr>
        <w:t xml:space="preserve">, 2018; Perkowski </w:t>
      </w:r>
      <w:r w:rsidR="00F13EBD" w:rsidRPr="00F13EBD">
        <w:rPr>
          <w:i/>
          <w:noProof/>
        </w:rPr>
        <w:t>et al.</w:t>
      </w:r>
      <w:r w:rsidR="00F13EBD" w:rsidRPr="00F13EBD">
        <w:rPr>
          <w:noProof/>
        </w:rPr>
        <w:t>, 2021)</w:t>
      </w:r>
      <w:r>
        <w:fldChar w:fldCharType="end"/>
      </w:r>
      <w:r>
        <w:t xml:space="preserve"> and may</w:t>
      </w:r>
      <w:r w:rsidR="00CE771F">
        <w:t xml:space="preserve"> also</w:t>
      </w:r>
      <w:r>
        <w:t xml:space="preserve"> depend on whole plant nutrient demand to build and maintain structures that support whole plant growth </w:t>
      </w:r>
      <w:r>
        <w:fldChar w:fldCharType="begin" w:fldLock="1"/>
      </w:r>
      <w:r w:rsidR="001A5E20">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&lt;i&gt;et al.&lt;/i&gt;, 2020)","plainTextFormattedCitation":"(LeBauer &amp; Treseder, 2008; Liang et al., 2020)","previouslyFormattedCitation":"(LeBauer &amp; Treseder, 2008; Liang &lt;i&gt;et al.&lt;/i&gt;, 2020)"},"properties":{"noteIndex":0},"schema":"https://github.com/citation-style-language/schema/raw/master/csl-citation.json"}</w:instrText>
      </w:r>
      <w:r>
        <w:fldChar w:fldCharType="separate"/>
      </w:r>
      <w:r w:rsidR="00F13EBD" w:rsidRPr="00F13EBD">
        <w:rPr>
          <w:noProof/>
        </w:rPr>
        <w:t xml:space="preserve">(LeBauer &amp; Treseder, 2008; Liang </w:t>
      </w:r>
      <w:r w:rsidR="00F13EBD" w:rsidRPr="00F13EBD">
        <w:rPr>
          <w:i/>
          <w:noProof/>
        </w:rPr>
        <w:t>et al.</w:t>
      </w:r>
      <w:r w:rsidR="00F13EBD" w:rsidRPr="00F13EBD">
        <w:rPr>
          <w:noProof/>
        </w:rPr>
        <w:t>, 2020)</w:t>
      </w:r>
      <w:r>
        <w:fldChar w:fldCharType="end"/>
      </w:r>
      <w:r>
        <w:t xml:space="preserve">. In this experiment, we grew </w:t>
      </w:r>
      <w:r>
        <w:rPr>
          <w:i/>
          <w:iCs/>
        </w:rPr>
        <w:t>G. max</w:t>
      </w:r>
      <w:r>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w:t>
      </w:r>
    </w:p>
    <w:p w14:paraId="4D12C9DD" w14:textId="77777777" w:rsidR="00F4560A" w:rsidRDefault="00F4560A" w:rsidP="008B6B1D">
      <w:pPr>
        <w:spacing w:line="480" w:lineRule="auto"/>
        <w:ind w:firstLine="720"/>
      </w:pPr>
    </w:p>
    <w:p w14:paraId="580720B6" w14:textId="51A8363F" w:rsidR="00DA006B" w:rsidRDefault="00DA006B" w:rsidP="008B6B1D">
      <w:pPr>
        <w:spacing w:line="480" w:lineRule="auto"/>
        <w:ind w:left="720"/>
      </w:pPr>
      <w:r>
        <w:t>[</w:t>
      </w:r>
      <w:commentRangeStart w:id="5"/>
      <w:r w:rsidRPr="00723F29">
        <w:rPr>
          <w:b/>
          <w:bCs/>
        </w:rPr>
        <w:t>Main point #1</w:t>
      </w:r>
      <w:r>
        <w:t xml:space="preserve">: </w:t>
      </w:r>
      <w:commentRangeEnd w:id="5"/>
      <w:r w:rsidR="00950F50">
        <w:rPr>
          <w:rStyle w:val="CommentReference"/>
          <w:rFonts w:eastAsia="Times New Roman" w:cs="Times New Roman"/>
        </w:rPr>
        <w:commentReference w:id="5"/>
      </w:r>
      <w:r>
        <w:t>stronger whole plant than leaf level responses to soil N</w:t>
      </w:r>
      <w:r w:rsidR="00D35783">
        <w:t>.</w:t>
      </w:r>
      <w:r w:rsidR="00723F29">
        <w:t xml:space="preserve"> </w:t>
      </w:r>
      <w:r w:rsidR="00D35783">
        <w:t>M</w:t>
      </w:r>
      <w:r w:rsidR="00723F29">
        <w:t xml:space="preserve">ight have </w:t>
      </w:r>
      <w:r w:rsidR="00125358">
        <w:t>diminished</w:t>
      </w:r>
      <w:r w:rsidR="00723F29">
        <w:t xml:space="preserve"> expected PLCT nitrogen-water use tradeoffs</w:t>
      </w:r>
      <w:r w:rsidR="00ED1773">
        <w:t>. Important to consider whole plant responses when leaf acclimation responses deviate from those expected from theory</w:t>
      </w:r>
      <w:r>
        <w:t>]</w:t>
      </w:r>
    </w:p>
    <w:p w14:paraId="16D020B7" w14:textId="2ED06786" w:rsidR="00723F29" w:rsidRDefault="00723F29" w:rsidP="008B6B1D">
      <w:pPr>
        <w:spacing w:line="480" w:lineRule="auto"/>
        <w:ind w:firstLine="720"/>
      </w:pPr>
    </w:p>
    <w:p w14:paraId="07A0FCB2" w14:textId="523CD655" w:rsidR="00D35783" w:rsidRDefault="00D35783" w:rsidP="008B6B1D">
      <w:pPr>
        <w:spacing w:line="480" w:lineRule="auto"/>
        <w:ind w:left="720"/>
      </w:pPr>
      <w:r>
        <w:t>[</w:t>
      </w:r>
      <w:commentRangeStart w:id="6"/>
      <w:r>
        <w:rPr>
          <w:b/>
          <w:bCs/>
        </w:rPr>
        <w:t>Main point #2</w:t>
      </w:r>
      <w:r>
        <w:t xml:space="preserve">: </w:t>
      </w:r>
      <w:commentRangeEnd w:id="6"/>
      <w:r w:rsidR="000E7D92">
        <w:rPr>
          <w:rStyle w:val="CommentReference"/>
          <w:rFonts w:eastAsia="Times New Roman" w:cs="Times New Roman"/>
        </w:rPr>
        <w:commentReference w:id="6"/>
      </w:r>
      <w:r>
        <w:t xml:space="preserve">strong effects of inoculation on whole plant responses under low soil N, no effect of inoculation on nitrogen-water </w:t>
      </w:r>
      <w:proofErr w:type="gramStart"/>
      <w:r>
        <w:t>use</w:t>
      </w:r>
      <w:proofErr w:type="gramEnd"/>
      <w:r>
        <w:t xml:space="preserve"> tradeoffs except for stimulation in leaf N. Hard to tell if this is driven by PLCT-expected strategy or just a pattern of N-fixation </w:t>
      </w:r>
      <w:r>
        <w:lastRenderedPageBreak/>
        <w:t>strategy. N-fixers usually seem to have higher leaf N than non-fixers</w:t>
      </w:r>
      <w:r w:rsidR="00125358">
        <w:t>. Stimulation in total leaf area with inoculation under low soil N could have exacerbated diminishing nitrogen-water tradeoffs with increasing soil N</w:t>
      </w:r>
      <w:r>
        <w:t>]</w:t>
      </w:r>
    </w:p>
    <w:p w14:paraId="186FD6A0" w14:textId="77777777" w:rsidR="00D35783" w:rsidRDefault="00D35783" w:rsidP="008B6B1D">
      <w:pPr>
        <w:spacing w:line="480" w:lineRule="auto"/>
        <w:ind w:left="720"/>
      </w:pPr>
    </w:p>
    <w:p w14:paraId="0C205254" w14:textId="73BFFBFE" w:rsidR="00D35783" w:rsidRDefault="00D35783" w:rsidP="008B6B1D">
      <w:pPr>
        <w:spacing w:line="480" w:lineRule="auto"/>
        <w:ind w:left="720"/>
      </w:pPr>
      <w:r>
        <w:t>[</w:t>
      </w:r>
      <w:commentRangeStart w:id="7"/>
      <w:r w:rsidRPr="00D35783">
        <w:rPr>
          <w:b/>
          <w:bCs/>
        </w:rPr>
        <w:t>Main point #3</w:t>
      </w:r>
      <w:r>
        <w:t xml:space="preserve">: </w:t>
      </w:r>
      <w:commentRangeEnd w:id="7"/>
      <w:r w:rsidR="00950F50">
        <w:rPr>
          <w:rStyle w:val="CommentReference"/>
          <w:rFonts w:eastAsia="Times New Roman" w:cs="Times New Roman"/>
        </w:rPr>
        <w:commentReference w:id="7"/>
      </w:r>
      <w:r>
        <w:t xml:space="preserve">effects of inoculation </w:t>
      </w:r>
      <w:r w:rsidR="00125358">
        <w:t>on total leaf area/carbon costs to acquire nitrogen/leaf nitrogen allocation</w:t>
      </w:r>
      <w:r>
        <w:t xml:space="preserve"> diminish with increasing N. This could be driven by shift away from N fixation and toward direct uptake with fertilization, as costs to acquire nitrogen become similar between pathways]</w:t>
      </w:r>
    </w:p>
    <w:p w14:paraId="10EA2C96" w14:textId="66E7477E" w:rsidR="00F4560A" w:rsidRDefault="00BB1C61" w:rsidP="008B6B1D">
      <w:pPr>
        <w:spacing w:line="480" w:lineRule="auto"/>
        <w:ind w:left="720"/>
      </w:pPr>
      <w:commentRangeStart w:id="8"/>
      <w:commentRangeEnd w:id="8"/>
      <w:r>
        <w:rPr>
          <w:rStyle w:val="CommentReference"/>
          <w:rFonts w:eastAsia="Times New Roman" w:cs="Times New Roman"/>
        </w:rPr>
        <w:commentReference w:id="8"/>
      </w:r>
    </w:p>
    <w:p w14:paraId="6EE2234E" w14:textId="3B4D343D" w:rsidR="001D4CE3" w:rsidRDefault="001D4CE3" w:rsidP="008B6B1D">
      <w:pPr>
        <w:spacing w:line="480" w:lineRule="auto"/>
      </w:pPr>
      <w:r>
        <w:rPr>
          <w:i/>
          <w:iCs/>
        </w:rPr>
        <w:t>Study limitations</w:t>
      </w:r>
    </w:p>
    <w:p w14:paraId="6A873158" w14:textId="04BC35E7" w:rsidR="001B21C7" w:rsidRPr="001D4CE3" w:rsidRDefault="001D4CE3" w:rsidP="008B6B1D">
      <w:pPr>
        <w:spacing w:line="480" w:lineRule="auto"/>
        <w:ind w:firstLine="720"/>
      </w:pPr>
      <w:r>
        <w:t xml:space="preserve">This study </w:t>
      </w:r>
      <w:r w:rsidR="00125358">
        <w:t>has</w:t>
      </w:r>
      <w:r>
        <w:t xml:space="preserve"> a few limitations that deserve recognition and limit the generality of our observed responses. First, effects of soil nitrogen fertilization on root nodulation may be nonlinear, as inferred from root nodulation data in</w:t>
      </w:r>
      <w:r w:rsidR="001B21C7">
        <w:t xml:space="preserve"> </w:t>
      </w:r>
      <w:r w:rsidR="001B21C7">
        <w:fldChar w:fldCharType="begin" w:fldLock="1"/>
      </w:r>
      <w:r w:rsidR="001A5E20">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&lt;i&gt;et al.&lt;/i&gt;, 2021)","manualFormatting":"Perkowski et al. (2021)","plainTextFormattedCitation":"(Perkowski et al., 2021)","previouslyFormattedCitation":"(Perkowski &lt;i&gt;et al.&lt;/i&gt;, 2021)"},"properties":{"noteIndex":0},"schema":"https://github.com/citation-style-language/schema/raw/master/csl-citation.json"}</w:instrText>
      </w:r>
      <w:r w:rsidR="001B21C7">
        <w:fldChar w:fldCharType="separate"/>
      </w:r>
      <w:r w:rsidR="001B21C7" w:rsidRPr="001B21C7">
        <w:rPr>
          <w:noProof/>
        </w:rPr>
        <w:t>Perkowski et al.</w:t>
      </w:r>
      <w:r w:rsidR="001B21C7">
        <w:rPr>
          <w:noProof/>
        </w:rPr>
        <w:t xml:space="preserve"> (</w:t>
      </w:r>
      <w:r w:rsidR="001B21C7" w:rsidRPr="001B21C7">
        <w:rPr>
          <w:noProof/>
        </w:rPr>
        <w:t>2021)</w:t>
      </w:r>
      <w:r w:rsidR="001B21C7">
        <w:fldChar w:fldCharType="end"/>
      </w:r>
      <w:r w:rsidR="001B21C7">
        <w:t xml:space="preserve">, and a two-point fertilization experiment such as the one done here is </w:t>
      </w:r>
      <w:r w:rsidR="0079226D">
        <w:t>not</w:t>
      </w:r>
      <w:r w:rsidR="001B21C7">
        <w:t xml:space="preserve"> equipped to address </w:t>
      </w:r>
      <w:r w:rsidR="0079226D">
        <w:t xml:space="preserve">possible </w:t>
      </w:r>
      <w:r w:rsidR="001B21C7">
        <w:t xml:space="preserve">nonlinearities </w:t>
      </w:r>
      <w:r w:rsidR="0079226D">
        <w:t>that might explain the interaction between soil nitrogen fertilization and root nodulation.</w:t>
      </w:r>
      <w:r w:rsidR="001B21C7">
        <w:t xml:space="preserve"> Future work should consider conducting similar experiments using a larger suite of nitrogen fertilization treatments than what is presented here. Additionally, this study used a single </w:t>
      </w:r>
      <w:r w:rsidR="00F4560A">
        <w:t xml:space="preserve">plant </w:t>
      </w:r>
      <w:r w:rsidR="001B21C7">
        <w:t>species and a</w:t>
      </w:r>
      <w:r w:rsidR="00BB5F98">
        <w:t>n inoculant comprising a</w:t>
      </w:r>
      <w:r w:rsidR="001B21C7">
        <w:t xml:space="preserve"> single </w:t>
      </w:r>
      <w:r w:rsidR="00F4560A">
        <w:t>bacterial</w:t>
      </w:r>
      <w:r w:rsidR="001B21C7">
        <w:t xml:space="preserve"> species. While this did allow us to isolate mechanisms that</w:t>
      </w:r>
      <w:r w:rsidR="00F4560A">
        <w:t xml:space="preserve"> drove </w:t>
      </w:r>
      <w:r w:rsidR="00F4560A">
        <w:rPr>
          <w:i/>
          <w:iCs/>
        </w:rPr>
        <w:t>G. max</w:t>
      </w:r>
      <w:r w:rsidR="00F4560A">
        <w:t xml:space="preserve"> responses to nitrogen fertilization and inoculation </w:t>
      </w:r>
      <w:r w:rsidR="001B21C7">
        <w:t>independent of phylogeny or genetic diversity, future work should consider conducting similar experiments using a suite of legum</w:t>
      </w:r>
      <w:r w:rsidR="000F1E36">
        <w:t>inous species</w:t>
      </w:r>
      <w:r w:rsidR="001B21C7">
        <w:t xml:space="preserve">, as well as a suite of different </w:t>
      </w:r>
      <w:r w:rsidR="001B21C7">
        <w:rPr>
          <w:i/>
          <w:iCs/>
        </w:rPr>
        <w:t>Rhizobium</w:t>
      </w:r>
      <w:r w:rsidR="001B21C7">
        <w:t xml:space="preserve"> </w:t>
      </w:r>
      <w:r w:rsidR="00B55208">
        <w:t xml:space="preserve">or other </w:t>
      </w:r>
      <w:r w:rsidR="00B55208">
        <w:rPr>
          <w:i/>
          <w:iCs/>
        </w:rPr>
        <w:t>Actinobacteria</w:t>
      </w:r>
      <w:r w:rsidR="00B55208">
        <w:t xml:space="preserve"> </w:t>
      </w:r>
      <w:r w:rsidR="001B21C7">
        <w:t xml:space="preserve">cocktails. Doing so would better allow us to generalize patterns observed here, and better replicate soil microbial communities observed in nature. </w:t>
      </w:r>
    </w:p>
    <w:p w14:paraId="735E4205" w14:textId="671BF499" w:rsidR="00E33726" w:rsidRDefault="00E33726" w:rsidP="008B6B1D">
      <w:pPr>
        <w:spacing w:line="480" w:lineRule="auto"/>
        <w:rPr>
          <w:i/>
          <w:iCs/>
        </w:rPr>
      </w:pPr>
    </w:p>
    <w:p w14:paraId="368377DC" w14:textId="7E90BA3E" w:rsidR="00E33726" w:rsidRDefault="00E33726" w:rsidP="008B6B1D">
      <w:pPr>
        <w:spacing w:line="480" w:lineRule="auto"/>
        <w:rPr>
          <w:i/>
          <w:iCs/>
        </w:rPr>
      </w:pPr>
      <w:r>
        <w:rPr>
          <w:i/>
          <w:iCs/>
        </w:rPr>
        <w:t>Conclusions</w:t>
      </w:r>
    </w:p>
    <w:p w14:paraId="36658C05" w14:textId="25FAA2F0" w:rsidR="00F4560A" w:rsidRDefault="00125358" w:rsidP="008B6B1D">
      <w:pPr>
        <w:spacing w:line="480" w:lineRule="auto"/>
      </w:pPr>
      <w:r w:rsidRPr="00125358">
        <w:rPr>
          <w:highlight w:val="yellow"/>
        </w:rPr>
        <w:t>[add concluding paragraph here]</w:t>
      </w:r>
    </w:p>
    <w:p w14:paraId="7934AA15" w14:textId="77777777" w:rsidR="00F4560A" w:rsidRDefault="00F4560A" w:rsidP="008B6B1D">
      <w:pPr>
        <w:spacing w:line="480" w:lineRule="auto"/>
      </w:pPr>
    </w:p>
    <w:p w14:paraId="73395A6C" w14:textId="2CE57134" w:rsidR="001B21C7" w:rsidRDefault="001B21C7" w:rsidP="008B6B1D">
      <w:pPr>
        <w:spacing w:line="480" w:lineRule="auto"/>
      </w:pPr>
      <w:r>
        <w:rPr>
          <w:b/>
          <w:bCs/>
        </w:rPr>
        <w:t>Acknowledgements</w:t>
      </w:r>
    </w:p>
    <w:p w14:paraId="287FB464" w14:textId="4A8030D7" w:rsidR="004A35A3" w:rsidRDefault="004A35A3" w:rsidP="008B6B1D">
      <w:pPr>
        <w:spacing w:line="480" w:lineRule="auto"/>
      </w:pPr>
      <w:r>
        <w:t xml:space="preserve">We would like to thank </w:t>
      </w:r>
      <w:r w:rsidR="00B55208">
        <w:t xml:space="preserve">Dr. </w:t>
      </w:r>
      <w:r>
        <w:t xml:space="preserve">Jeffrey </w:t>
      </w:r>
      <w:proofErr w:type="spellStart"/>
      <w:r>
        <w:t>Chieppa</w:t>
      </w:r>
      <w:proofErr w:type="spellEnd"/>
      <w:r>
        <w:t xml:space="preserve"> and </w:t>
      </w:r>
      <w:proofErr w:type="spellStart"/>
      <w:r>
        <w:t>Ezinwanne</w:t>
      </w:r>
      <w:proofErr w:type="spellEnd"/>
      <w:r>
        <w:t xml:space="preserve"> </w:t>
      </w:r>
      <w:proofErr w:type="spellStart"/>
      <w:r>
        <w:t>Ezekannagha</w:t>
      </w:r>
      <w:proofErr w:type="spellEnd"/>
      <w:r>
        <w:t xml:space="preserve"> for their extensive help with generating CO</w:t>
      </w:r>
      <w:r>
        <w:rPr>
          <w:vertAlign w:val="subscript"/>
        </w:rPr>
        <w:t>2</w:t>
      </w:r>
      <w:r>
        <w:t xml:space="preserve"> response curves</w:t>
      </w:r>
      <w:r w:rsidR="00451CDF">
        <w:t xml:space="preserve"> and</w:t>
      </w:r>
      <w:r>
        <w:t xml:space="preserve"> dark respiration measurements, and </w:t>
      </w:r>
      <w:r w:rsidR="00451CDF">
        <w:t xml:space="preserve">assistance with the </w:t>
      </w:r>
      <w:r>
        <w:t xml:space="preserve">experiment harvest. We would also like to thank Gwendolyn Wagner and Garrison Garza for their help with </w:t>
      </w:r>
      <w:r w:rsidR="000424C7">
        <w:t xml:space="preserve">the </w:t>
      </w:r>
      <w:r>
        <w:t>experiment harvest</w:t>
      </w:r>
      <w:r w:rsidR="000424C7">
        <w:t xml:space="preserve">, and members of the </w:t>
      </w:r>
      <w:proofErr w:type="spellStart"/>
      <w:r w:rsidR="000424C7">
        <w:t>Schwilk</w:t>
      </w:r>
      <w:proofErr w:type="spellEnd"/>
      <w:r w:rsidR="000424C7">
        <w:t xml:space="preserve"> and van </w:t>
      </w:r>
      <w:proofErr w:type="spellStart"/>
      <w:r w:rsidR="000424C7">
        <w:t>Gestel</w:t>
      </w:r>
      <w:proofErr w:type="spellEnd"/>
      <w:r w:rsidR="000424C7">
        <w:t xml:space="preserve"> lab for analysis feedback</w:t>
      </w:r>
      <w:r>
        <w:t>. NGS acknowledges funding support from the NSF (</w:t>
      </w:r>
      <w:r w:rsidRPr="00F33193">
        <w:t>DEB-2045968</w:t>
      </w:r>
      <w:r>
        <w:t xml:space="preserve">), </w:t>
      </w:r>
      <w:commentRangeStart w:id="9"/>
      <w:r>
        <w:t>Eric and Wendy Schmidt and</w:t>
      </w:r>
      <w:ins w:id="10" w:author="Nick Smith" w:date="2022-06-04T12:36:00Z">
        <w:r w:rsidR="00482C17">
          <w:t xml:space="preserve"> the</w:t>
        </w:r>
      </w:ins>
      <w:r>
        <w:t xml:space="preserve"> Schmidt Futures</w:t>
      </w:r>
      <w:ins w:id="11" w:author="Nick Smith" w:date="2022-06-04T12:36:00Z">
        <w:r w:rsidR="00482C17">
          <w:t xml:space="preserve"> VESRI program</w:t>
        </w:r>
        <w:commentRangeEnd w:id="9"/>
        <w:r w:rsidR="00482C17">
          <w:rPr>
            <w:rStyle w:val="CommentReference"/>
            <w:rFonts w:eastAsia="Times New Roman" w:cs="Times New Roman"/>
          </w:rPr>
          <w:commentReference w:id="9"/>
        </w:r>
      </w:ins>
      <w:r>
        <w:t>, and Texas Tech University.</w:t>
      </w:r>
    </w:p>
    <w:p w14:paraId="0ED32DAC" w14:textId="77777777" w:rsidR="004A35A3" w:rsidRDefault="004A35A3" w:rsidP="008B6B1D">
      <w:pPr>
        <w:spacing w:line="480" w:lineRule="auto"/>
      </w:pPr>
    </w:p>
    <w:p w14:paraId="2498C7DF" w14:textId="35A7DBEC" w:rsidR="00774D67" w:rsidRDefault="00774D67" w:rsidP="008B6B1D">
      <w:pPr>
        <w:spacing w:line="480" w:lineRule="auto"/>
        <w:rPr>
          <w:b/>
          <w:bCs/>
        </w:rPr>
      </w:pPr>
      <w:r>
        <w:rPr>
          <w:b/>
          <w:bCs/>
        </w:rPr>
        <w:t>Author contributions</w:t>
      </w:r>
    </w:p>
    <w:p w14:paraId="03ACC920" w14:textId="6CEA7B1D" w:rsidR="00774D67" w:rsidRPr="00774D67" w:rsidRDefault="00303F2D" w:rsidP="008B6B1D">
      <w:pPr>
        <w:spacing w:line="480" w:lineRule="auto"/>
      </w:pPr>
      <w:r>
        <w:t>EAP coordinated leaf physiological measurements, conducted data analysis, wrote the first draft of the manuscript, and</w:t>
      </w:r>
      <w:r w:rsidR="00BB1D36">
        <w:t xml:space="preserve"> made revisions based on collaborator and reviewer feedback.</w:t>
      </w:r>
      <w:r>
        <w:t xml:space="preserve"> </w:t>
      </w:r>
      <w:r w:rsidR="00BE2568">
        <w:t>JT designed</w:t>
      </w:r>
      <w:r w:rsidR="000424C7">
        <w:t xml:space="preserve"> the experiment</w:t>
      </w:r>
      <w:r w:rsidR="00F008CB">
        <w:t xml:space="preserve"> with NGS and EAP</w:t>
      </w:r>
      <w:r w:rsidR="000424C7">
        <w:t>,</w:t>
      </w:r>
      <w:r w:rsidR="00BE2568">
        <w:t xml:space="preserve"> carried out the experiment, </w:t>
      </w:r>
      <w:r w:rsidR="00BB1D36">
        <w:t xml:space="preserve">and contributed to manuscript revisions. HG assisted with post-experiment harvest </w:t>
      </w:r>
      <w:r w:rsidR="000424C7">
        <w:t>and</w:t>
      </w:r>
      <w:r w:rsidR="00BB1D36">
        <w:t xml:space="preserve"> contributed to manuscript revisions. NGS oversaw experiment progress, assisted with the post-experiment harvest, and contributed to manuscript revisions. All authors support publication of this manuscript to </w:t>
      </w:r>
      <w:r w:rsidR="00BB1D36" w:rsidRPr="00BB1D36">
        <w:rPr>
          <w:highlight w:val="yellow"/>
        </w:rPr>
        <w:t>XX</w:t>
      </w:r>
      <w:r w:rsidR="00BB1D36">
        <w:t>.</w:t>
      </w:r>
    </w:p>
    <w:p w14:paraId="7644E0A0" w14:textId="77777777" w:rsidR="00774D67" w:rsidRPr="00774D67" w:rsidRDefault="00774D67" w:rsidP="008B6B1D">
      <w:pPr>
        <w:spacing w:line="480" w:lineRule="auto"/>
      </w:pPr>
    </w:p>
    <w:p w14:paraId="4E523BAD" w14:textId="77777777" w:rsidR="00774D67" w:rsidRDefault="00774D67" w:rsidP="008B6B1D">
      <w:pPr>
        <w:spacing w:line="480" w:lineRule="auto"/>
      </w:pPr>
      <w:r>
        <w:rPr>
          <w:b/>
          <w:bCs/>
        </w:rPr>
        <w:t>Data Availability Statement</w:t>
      </w:r>
    </w:p>
    <w:p w14:paraId="6CB735A2" w14:textId="18ADE776" w:rsidR="00774D67" w:rsidRPr="00774D67" w:rsidRDefault="00774D67" w:rsidP="008B6B1D">
      <w:pPr>
        <w:spacing w:line="480" w:lineRule="auto"/>
      </w:pPr>
      <w:r>
        <w:lastRenderedPageBreak/>
        <w:t>All statistical analyses and plots were created in R version 4.</w:t>
      </w:r>
      <w:r w:rsidR="00BB1D36">
        <w:t>2</w:t>
      </w:r>
      <w:r>
        <w:t>.</w:t>
      </w:r>
      <w:r w:rsidR="00BB1D36">
        <w:t>0</w:t>
      </w:r>
      <w:r>
        <w:t xml:space="preserve">. All R code and data for this manuscript are available in a GitHub repository at &lt;insert URL here&gt; (&lt;insert DOI from </w:t>
      </w:r>
      <w:proofErr w:type="spellStart"/>
      <w:r>
        <w:t>Zenodo</w:t>
      </w:r>
      <w:proofErr w:type="spellEnd"/>
      <w:r>
        <w:t xml:space="preserve"> here&gt;).</w:t>
      </w:r>
    </w:p>
    <w:p w14:paraId="70D78CE6" w14:textId="6D045050" w:rsidR="00772287" w:rsidRDefault="00772287" w:rsidP="00A754EC">
      <w:pPr>
        <w:spacing w:line="360" w:lineRule="auto"/>
        <w:rPr>
          <w:b/>
          <w:bCs/>
        </w:rPr>
      </w:pPr>
      <w:r>
        <w:rPr>
          <w:b/>
          <w:bCs/>
        </w:rPr>
        <w:br w:type="page"/>
      </w:r>
    </w:p>
    <w:p w14:paraId="3C39CC0B" w14:textId="7129AB24" w:rsidR="007A2F1C" w:rsidRDefault="00772287" w:rsidP="008B6B1D">
      <w:pPr>
        <w:spacing w:line="480" w:lineRule="auto"/>
        <w:rPr>
          <w:b/>
          <w:bCs/>
        </w:rPr>
      </w:pPr>
      <w:r>
        <w:rPr>
          <w:b/>
          <w:bCs/>
        </w:rPr>
        <w:lastRenderedPageBreak/>
        <w:t>References</w:t>
      </w:r>
    </w:p>
    <w:p w14:paraId="156C09E6" w14:textId="568383EF" w:rsidR="00237528" w:rsidRPr="00237528" w:rsidRDefault="00772287" w:rsidP="00237528">
      <w:pPr>
        <w:widowControl w:val="0"/>
        <w:autoSpaceDE w:val="0"/>
        <w:autoSpaceDN w:val="0"/>
        <w:adjustRightInd w:val="0"/>
        <w:spacing w:line="480" w:lineRule="auto"/>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00237528" w:rsidRPr="00237528">
        <w:rPr>
          <w:rFonts w:cs="Times New Roman"/>
          <w:b/>
          <w:bCs/>
          <w:noProof/>
        </w:rPr>
        <w:t>Allen K, Fisher JB, Phillips RP, Powers JS, Brzostek ER</w:t>
      </w:r>
      <w:r w:rsidR="00237528" w:rsidRPr="00237528">
        <w:rPr>
          <w:rFonts w:cs="Times New Roman"/>
          <w:noProof/>
        </w:rPr>
        <w:t xml:space="preserve">. </w:t>
      </w:r>
      <w:r w:rsidR="00237528" w:rsidRPr="00237528">
        <w:rPr>
          <w:rFonts w:cs="Times New Roman"/>
          <w:b/>
          <w:bCs/>
          <w:noProof/>
        </w:rPr>
        <w:t>2020</w:t>
      </w:r>
      <w:r w:rsidR="00237528" w:rsidRPr="00237528">
        <w:rPr>
          <w:rFonts w:cs="Times New Roman"/>
          <w:noProof/>
        </w:rPr>
        <w:t xml:space="preserve">. Modeling the carbon cost of plant nitrogen and phosphorus uptake across temperate and tropical forests. </w:t>
      </w:r>
      <w:r w:rsidR="00237528" w:rsidRPr="00237528">
        <w:rPr>
          <w:rFonts w:cs="Times New Roman"/>
          <w:i/>
          <w:iCs/>
          <w:noProof/>
        </w:rPr>
        <w:t>Frontiers in Forests and Global Change</w:t>
      </w:r>
      <w:r w:rsidR="00237528" w:rsidRPr="00237528">
        <w:rPr>
          <w:rFonts w:cs="Times New Roman"/>
          <w:noProof/>
        </w:rPr>
        <w:t xml:space="preserve"> </w:t>
      </w:r>
      <w:r w:rsidR="00237528" w:rsidRPr="00237528">
        <w:rPr>
          <w:rFonts w:cs="Times New Roman"/>
          <w:b/>
          <w:bCs/>
          <w:noProof/>
        </w:rPr>
        <w:t>3</w:t>
      </w:r>
      <w:r w:rsidR="00237528" w:rsidRPr="00237528">
        <w:rPr>
          <w:rFonts w:cs="Times New Roman"/>
          <w:noProof/>
        </w:rPr>
        <w:t>: 1–12.</w:t>
      </w:r>
    </w:p>
    <w:p w14:paraId="6CC48382"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Barber SA</w:t>
      </w:r>
      <w:r w:rsidRPr="00237528">
        <w:rPr>
          <w:rFonts w:cs="Times New Roman"/>
          <w:noProof/>
        </w:rPr>
        <w:t xml:space="preserve">. </w:t>
      </w:r>
      <w:r w:rsidRPr="00237528">
        <w:rPr>
          <w:rFonts w:cs="Times New Roman"/>
          <w:b/>
          <w:bCs/>
          <w:noProof/>
        </w:rPr>
        <w:t>1962</w:t>
      </w:r>
      <w:r w:rsidRPr="00237528">
        <w:rPr>
          <w:rFonts w:cs="Times New Roman"/>
          <w:noProof/>
        </w:rPr>
        <w:t xml:space="preserve">. A diffusion and mass-flow concept of soil nutrient availability. </w:t>
      </w:r>
      <w:r w:rsidRPr="00237528">
        <w:rPr>
          <w:rFonts w:cs="Times New Roman"/>
          <w:i/>
          <w:iCs/>
          <w:noProof/>
        </w:rPr>
        <w:t>Soil Science</w:t>
      </w:r>
      <w:r w:rsidRPr="00237528">
        <w:rPr>
          <w:rFonts w:cs="Times New Roman"/>
          <w:noProof/>
        </w:rPr>
        <w:t xml:space="preserve"> </w:t>
      </w:r>
      <w:r w:rsidRPr="00237528">
        <w:rPr>
          <w:rFonts w:cs="Times New Roman"/>
          <w:b/>
          <w:bCs/>
          <w:noProof/>
        </w:rPr>
        <w:t>93</w:t>
      </w:r>
      <w:r w:rsidRPr="00237528">
        <w:rPr>
          <w:rFonts w:cs="Times New Roman"/>
          <w:noProof/>
        </w:rPr>
        <w:t>: 39–49.</w:t>
      </w:r>
    </w:p>
    <w:p w14:paraId="49F612F4"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Bates D, Mächler M, Bolker B, Walker S</w:t>
      </w:r>
      <w:r w:rsidRPr="00237528">
        <w:rPr>
          <w:rFonts w:cs="Times New Roman"/>
          <w:noProof/>
        </w:rPr>
        <w:t xml:space="preserve">. </w:t>
      </w:r>
      <w:r w:rsidRPr="00237528">
        <w:rPr>
          <w:rFonts w:cs="Times New Roman"/>
          <w:b/>
          <w:bCs/>
          <w:noProof/>
        </w:rPr>
        <w:t>2015</w:t>
      </w:r>
      <w:r w:rsidRPr="00237528">
        <w:rPr>
          <w:rFonts w:cs="Times New Roman"/>
          <w:noProof/>
        </w:rPr>
        <w:t xml:space="preserve">. Fitting linear mixed-effects models using lme4. </w:t>
      </w:r>
      <w:r w:rsidRPr="00237528">
        <w:rPr>
          <w:rFonts w:cs="Times New Roman"/>
          <w:i/>
          <w:iCs/>
          <w:noProof/>
        </w:rPr>
        <w:t>Journal of Statistical Software</w:t>
      </w:r>
      <w:r w:rsidRPr="00237528">
        <w:rPr>
          <w:rFonts w:cs="Times New Roman"/>
          <w:noProof/>
        </w:rPr>
        <w:t xml:space="preserve"> </w:t>
      </w:r>
      <w:r w:rsidRPr="00237528">
        <w:rPr>
          <w:rFonts w:cs="Times New Roman"/>
          <w:b/>
          <w:bCs/>
          <w:noProof/>
        </w:rPr>
        <w:t>67</w:t>
      </w:r>
      <w:r w:rsidRPr="00237528">
        <w:rPr>
          <w:rFonts w:cs="Times New Roman"/>
          <w:noProof/>
        </w:rPr>
        <w:t>: 1–48.</w:t>
      </w:r>
    </w:p>
    <w:p w14:paraId="0041F6E2"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Bernacchi CJ, Singsaas EL, Pimentel C, Portis AR, Long SP</w:t>
      </w:r>
      <w:r w:rsidRPr="00237528">
        <w:rPr>
          <w:rFonts w:cs="Times New Roman"/>
          <w:noProof/>
        </w:rPr>
        <w:t xml:space="preserve">. </w:t>
      </w:r>
      <w:r w:rsidRPr="00237528">
        <w:rPr>
          <w:rFonts w:cs="Times New Roman"/>
          <w:b/>
          <w:bCs/>
          <w:noProof/>
        </w:rPr>
        <w:t>2001</w:t>
      </w:r>
      <w:r w:rsidRPr="00237528">
        <w:rPr>
          <w:rFonts w:cs="Times New Roman"/>
          <w:noProof/>
        </w:rPr>
        <w:t xml:space="preserve">. Improved temperature response functions for models of Rubisco-limited photosynthesis. </w:t>
      </w:r>
      <w:r w:rsidRPr="00237528">
        <w:rPr>
          <w:rFonts w:cs="Times New Roman"/>
          <w:i/>
          <w:iCs/>
          <w:noProof/>
        </w:rPr>
        <w:t>Plant, Cell and Environment</w:t>
      </w:r>
      <w:r w:rsidRPr="00237528">
        <w:rPr>
          <w:rFonts w:cs="Times New Roman"/>
          <w:noProof/>
        </w:rPr>
        <w:t xml:space="preserve"> </w:t>
      </w:r>
      <w:r w:rsidRPr="00237528">
        <w:rPr>
          <w:rFonts w:cs="Times New Roman"/>
          <w:b/>
          <w:bCs/>
          <w:noProof/>
        </w:rPr>
        <w:t>24</w:t>
      </w:r>
      <w:r w:rsidRPr="00237528">
        <w:rPr>
          <w:rFonts w:cs="Times New Roman"/>
          <w:noProof/>
        </w:rPr>
        <w:t>: 253–259.</w:t>
      </w:r>
    </w:p>
    <w:p w14:paraId="7DA8E037"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Brzostek ER, Fisher JB, Phillips RP</w:t>
      </w:r>
      <w:r w:rsidRPr="00237528">
        <w:rPr>
          <w:rFonts w:cs="Times New Roman"/>
          <w:noProof/>
        </w:rPr>
        <w:t xml:space="preserve">. </w:t>
      </w:r>
      <w:r w:rsidRPr="00237528">
        <w:rPr>
          <w:rFonts w:cs="Times New Roman"/>
          <w:b/>
          <w:bCs/>
          <w:noProof/>
        </w:rPr>
        <w:t>2014</w:t>
      </w:r>
      <w:r w:rsidRPr="00237528">
        <w:rPr>
          <w:rFonts w:cs="Times New Roman"/>
          <w:noProof/>
        </w:rPr>
        <w:t xml:space="preserve">. Modeling the carbon cost of plant nitrogen acquisition: Mycorrhizal trade-offs and multipath resistance uptake improve predictions of retranslocation. </w:t>
      </w:r>
      <w:r w:rsidRPr="00237528">
        <w:rPr>
          <w:rFonts w:cs="Times New Roman"/>
          <w:i/>
          <w:iCs/>
          <w:noProof/>
        </w:rPr>
        <w:t>Journal of Geophysical Research: Biogeosciences</w:t>
      </w:r>
      <w:r w:rsidRPr="00237528">
        <w:rPr>
          <w:rFonts w:cs="Times New Roman"/>
          <w:noProof/>
        </w:rPr>
        <w:t xml:space="preserve"> </w:t>
      </w:r>
      <w:r w:rsidRPr="00237528">
        <w:rPr>
          <w:rFonts w:cs="Times New Roman"/>
          <w:b/>
          <w:bCs/>
          <w:noProof/>
        </w:rPr>
        <w:t>119</w:t>
      </w:r>
      <w:r w:rsidRPr="00237528">
        <w:rPr>
          <w:rFonts w:cs="Times New Roman"/>
          <w:noProof/>
        </w:rPr>
        <w:t>: 1684–1697.</w:t>
      </w:r>
    </w:p>
    <w:p w14:paraId="52AE8CF3"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 xml:space="preserve">Davies-Barnard T, Meyerholt J, Zaehle S, Friedlingstein P, Brovkin V, Fan Y, Fisher RA, Jones CD, Lee H, Peano D, </w:t>
      </w:r>
      <w:r w:rsidRPr="00237528">
        <w:rPr>
          <w:rFonts w:cs="Times New Roman"/>
          <w:b/>
          <w:bCs/>
          <w:i/>
          <w:iCs/>
          <w:noProof/>
        </w:rPr>
        <w:t>et al.</w:t>
      </w:r>
      <w:r w:rsidRPr="00237528">
        <w:rPr>
          <w:rFonts w:cs="Times New Roman"/>
          <w:noProof/>
        </w:rPr>
        <w:t xml:space="preserve"> </w:t>
      </w:r>
      <w:r w:rsidRPr="00237528">
        <w:rPr>
          <w:rFonts w:cs="Times New Roman"/>
          <w:b/>
          <w:bCs/>
          <w:noProof/>
        </w:rPr>
        <w:t>2020</w:t>
      </w:r>
      <w:r w:rsidRPr="00237528">
        <w:rPr>
          <w:rFonts w:cs="Times New Roman"/>
          <w:noProof/>
        </w:rPr>
        <w:t xml:space="preserve">. Nitrogen cycling in CMIP6 land surface models: progress and limitations. </w:t>
      </w:r>
      <w:r w:rsidRPr="00237528">
        <w:rPr>
          <w:rFonts w:cs="Times New Roman"/>
          <w:i/>
          <w:iCs/>
          <w:noProof/>
        </w:rPr>
        <w:t>Biogeosciences</w:t>
      </w:r>
      <w:r w:rsidRPr="00237528">
        <w:rPr>
          <w:rFonts w:cs="Times New Roman"/>
          <w:noProof/>
        </w:rPr>
        <w:t xml:space="preserve"> </w:t>
      </w:r>
      <w:r w:rsidRPr="00237528">
        <w:rPr>
          <w:rFonts w:cs="Times New Roman"/>
          <w:b/>
          <w:bCs/>
          <w:noProof/>
        </w:rPr>
        <w:t>17</w:t>
      </w:r>
      <w:r w:rsidRPr="00237528">
        <w:rPr>
          <w:rFonts w:cs="Times New Roman"/>
          <w:noProof/>
        </w:rPr>
        <w:t>: 5129–5148.</w:t>
      </w:r>
    </w:p>
    <w:p w14:paraId="0D622EF5"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Dong N, Prentice IC, Evans BJ, Caddy-Retalic S, Lowe AJ, Wright IJ</w:t>
      </w:r>
      <w:r w:rsidRPr="00237528">
        <w:rPr>
          <w:rFonts w:cs="Times New Roman"/>
          <w:noProof/>
        </w:rPr>
        <w:t xml:space="preserve">. </w:t>
      </w:r>
      <w:r w:rsidRPr="00237528">
        <w:rPr>
          <w:rFonts w:cs="Times New Roman"/>
          <w:b/>
          <w:bCs/>
          <w:noProof/>
        </w:rPr>
        <w:t>2017</w:t>
      </w:r>
      <w:r w:rsidRPr="00237528">
        <w:rPr>
          <w:rFonts w:cs="Times New Roman"/>
          <w:noProof/>
        </w:rPr>
        <w:t xml:space="preserve">. Leaf nitrogen from first principles: field evidence for adaptive variation with climate. </w:t>
      </w:r>
      <w:r w:rsidRPr="00237528">
        <w:rPr>
          <w:rFonts w:cs="Times New Roman"/>
          <w:i/>
          <w:iCs/>
          <w:noProof/>
        </w:rPr>
        <w:t>Biogeosciences</w:t>
      </w:r>
      <w:r w:rsidRPr="00237528">
        <w:rPr>
          <w:rFonts w:cs="Times New Roman"/>
          <w:noProof/>
        </w:rPr>
        <w:t xml:space="preserve"> </w:t>
      </w:r>
      <w:r w:rsidRPr="00237528">
        <w:rPr>
          <w:rFonts w:cs="Times New Roman"/>
          <w:b/>
          <w:bCs/>
          <w:noProof/>
        </w:rPr>
        <w:t>14</w:t>
      </w:r>
      <w:r w:rsidRPr="00237528">
        <w:rPr>
          <w:rFonts w:cs="Times New Roman"/>
          <w:noProof/>
        </w:rPr>
        <w:t>: 481–495.</w:t>
      </w:r>
    </w:p>
    <w:p w14:paraId="0AB016F8"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Dong N, Prentice IC, Wright IJ, Evans BJ, Togashi HF, Caddy-Retalic S, McInerney FA, Sparrow B, Leitch E, Lowe AJ</w:t>
      </w:r>
      <w:r w:rsidRPr="00237528">
        <w:rPr>
          <w:rFonts w:cs="Times New Roman"/>
          <w:noProof/>
        </w:rPr>
        <w:t xml:space="preserve">. </w:t>
      </w:r>
      <w:r w:rsidRPr="00237528">
        <w:rPr>
          <w:rFonts w:cs="Times New Roman"/>
          <w:b/>
          <w:bCs/>
          <w:noProof/>
        </w:rPr>
        <w:t>2020</w:t>
      </w:r>
      <w:r w:rsidRPr="00237528">
        <w:rPr>
          <w:rFonts w:cs="Times New Roman"/>
          <w:noProof/>
        </w:rPr>
        <w:t xml:space="preserve">. Components of leaf‐trait variation along environmental gradients. </w:t>
      </w:r>
      <w:r w:rsidRPr="00237528">
        <w:rPr>
          <w:rFonts w:cs="Times New Roman"/>
          <w:i/>
          <w:iCs/>
          <w:noProof/>
        </w:rPr>
        <w:t>New Phytologist</w:t>
      </w:r>
      <w:r w:rsidRPr="00237528">
        <w:rPr>
          <w:rFonts w:cs="Times New Roman"/>
          <w:noProof/>
        </w:rPr>
        <w:t xml:space="preserve"> </w:t>
      </w:r>
      <w:r w:rsidRPr="00237528">
        <w:rPr>
          <w:rFonts w:cs="Times New Roman"/>
          <w:b/>
          <w:bCs/>
          <w:noProof/>
        </w:rPr>
        <w:t>228</w:t>
      </w:r>
      <w:r w:rsidRPr="00237528">
        <w:rPr>
          <w:rFonts w:cs="Times New Roman"/>
          <w:noProof/>
        </w:rPr>
        <w:t>: 82–94.</w:t>
      </w:r>
    </w:p>
    <w:p w14:paraId="206DD0C8"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lastRenderedPageBreak/>
        <w:t>Duursma R</w:t>
      </w:r>
      <w:r w:rsidRPr="00237528">
        <w:rPr>
          <w:rFonts w:cs="Times New Roman"/>
          <w:noProof/>
        </w:rPr>
        <w:t xml:space="preserve">. </w:t>
      </w:r>
      <w:r w:rsidRPr="00237528">
        <w:rPr>
          <w:rFonts w:cs="Times New Roman"/>
          <w:b/>
          <w:bCs/>
          <w:noProof/>
        </w:rPr>
        <w:t>2015</w:t>
      </w:r>
      <w:r w:rsidRPr="00237528">
        <w:rPr>
          <w:rFonts w:cs="Times New Roman"/>
          <w:noProof/>
        </w:rPr>
        <w:t xml:space="preserve">. Plantecophys - An R package for analyzing and modelling leaf gas exchange data. </w:t>
      </w:r>
      <w:r w:rsidRPr="00237528">
        <w:rPr>
          <w:rFonts w:cs="Times New Roman"/>
          <w:i/>
          <w:iCs/>
          <w:noProof/>
        </w:rPr>
        <w:t>PLos ONE</w:t>
      </w:r>
      <w:r w:rsidRPr="00237528">
        <w:rPr>
          <w:rFonts w:cs="Times New Roman"/>
          <w:noProof/>
        </w:rPr>
        <w:t xml:space="preserve"> </w:t>
      </w:r>
      <w:r w:rsidRPr="00237528">
        <w:rPr>
          <w:rFonts w:cs="Times New Roman"/>
          <w:b/>
          <w:bCs/>
          <w:noProof/>
        </w:rPr>
        <w:t>10</w:t>
      </w:r>
      <w:r w:rsidRPr="00237528">
        <w:rPr>
          <w:rFonts w:cs="Times New Roman"/>
          <w:noProof/>
        </w:rPr>
        <w:t>: e0143346.</w:t>
      </w:r>
    </w:p>
    <w:p w14:paraId="2FEF5456"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Evans JR</w:t>
      </w:r>
      <w:r w:rsidRPr="00237528">
        <w:rPr>
          <w:rFonts w:cs="Times New Roman"/>
          <w:noProof/>
        </w:rPr>
        <w:t xml:space="preserve">. </w:t>
      </w:r>
      <w:r w:rsidRPr="00237528">
        <w:rPr>
          <w:rFonts w:cs="Times New Roman"/>
          <w:b/>
          <w:bCs/>
          <w:noProof/>
        </w:rPr>
        <w:t>1989</w:t>
      </w:r>
      <w:r w:rsidRPr="00237528">
        <w:rPr>
          <w:rFonts w:cs="Times New Roman"/>
          <w:noProof/>
        </w:rPr>
        <w:t xml:space="preserve">. Photosynthesis and nitrogen relationships in leaves of C3 plants. </w:t>
      </w:r>
      <w:r w:rsidRPr="00237528">
        <w:rPr>
          <w:rFonts w:cs="Times New Roman"/>
          <w:i/>
          <w:iCs/>
          <w:noProof/>
        </w:rPr>
        <w:t>Oecologia</w:t>
      </w:r>
      <w:r w:rsidRPr="00237528">
        <w:rPr>
          <w:rFonts w:cs="Times New Roman"/>
          <w:noProof/>
        </w:rPr>
        <w:t xml:space="preserve"> </w:t>
      </w:r>
      <w:r w:rsidRPr="00237528">
        <w:rPr>
          <w:rFonts w:cs="Times New Roman"/>
          <w:b/>
          <w:bCs/>
          <w:noProof/>
        </w:rPr>
        <w:t>78</w:t>
      </w:r>
      <w:r w:rsidRPr="00237528">
        <w:rPr>
          <w:rFonts w:cs="Times New Roman"/>
          <w:noProof/>
        </w:rPr>
        <w:t>: 9–19.</w:t>
      </w:r>
    </w:p>
    <w:p w14:paraId="0B832C41"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Evans JR, Seemann JR</w:t>
      </w:r>
      <w:r w:rsidRPr="00237528">
        <w:rPr>
          <w:rFonts w:cs="Times New Roman"/>
          <w:noProof/>
        </w:rPr>
        <w:t xml:space="preserve">. </w:t>
      </w:r>
      <w:r w:rsidRPr="00237528">
        <w:rPr>
          <w:rFonts w:cs="Times New Roman"/>
          <w:b/>
          <w:bCs/>
          <w:noProof/>
        </w:rPr>
        <w:t>1989</w:t>
      </w:r>
      <w:r w:rsidRPr="00237528">
        <w:rPr>
          <w:rFonts w:cs="Times New Roman"/>
          <w:noProof/>
        </w:rPr>
        <w:t xml:space="preserve">. The allocation of protein nitrogen in the photosynthetic apparatus: costs, consequences, and control. </w:t>
      </w:r>
      <w:r w:rsidRPr="00237528">
        <w:rPr>
          <w:rFonts w:cs="Times New Roman"/>
          <w:i/>
          <w:iCs/>
          <w:noProof/>
        </w:rPr>
        <w:t>Photosynthesis</w:t>
      </w:r>
      <w:r w:rsidRPr="00237528">
        <w:rPr>
          <w:rFonts w:cs="Times New Roman"/>
          <w:noProof/>
        </w:rPr>
        <w:t xml:space="preserve"> </w:t>
      </w:r>
      <w:r w:rsidRPr="00237528">
        <w:rPr>
          <w:rFonts w:cs="Times New Roman"/>
          <w:b/>
          <w:bCs/>
          <w:noProof/>
        </w:rPr>
        <w:t>8</w:t>
      </w:r>
      <w:r w:rsidRPr="00237528">
        <w:rPr>
          <w:rFonts w:cs="Times New Roman"/>
          <w:noProof/>
        </w:rPr>
        <w:t>: 183–205.</w:t>
      </w:r>
    </w:p>
    <w:p w14:paraId="42457841"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Farquhar GD, von Caemmerer S, Berry JA</w:t>
      </w:r>
      <w:r w:rsidRPr="00237528">
        <w:rPr>
          <w:rFonts w:cs="Times New Roman"/>
          <w:noProof/>
        </w:rPr>
        <w:t xml:space="preserve">. </w:t>
      </w:r>
      <w:r w:rsidRPr="00237528">
        <w:rPr>
          <w:rFonts w:cs="Times New Roman"/>
          <w:b/>
          <w:bCs/>
          <w:noProof/>
        </w:rPr>
        <w:t>1980</w:t>
      </w:r>
      <w:r w:rsidRPr="00237528">
        <w:rPr>
          <w:rFonts w:cs="Times New Roman"/>
          <w:noProof/>
        </w:rPr>
        <w:t>. A biochemical model of photosynthetic CO</w:t>
      </w:r>
      <w:r w:rsidRPr="00237528">
        <w:rPr>
          <w:rFonts w:cs="Times New Roman"/>
          <w:i/>
          <w:iCs/>
          <w:noProof/>
        </w:rPr>
        <w:t>2</w:t>
      </w:r>
      <w:r w:rsidRPr="00237528">
        <w:rPr>
          <w:rFonts w:cs="Times New Roman"/>
          <w:noProof/>
        </w:rPr>
        <w:t xml:space="preserve"> assimilation in leaves of C3 species. </w:t>
      </w:r>
      <w:r w:rsidRPr="00237528">
        <w:rPr>
          <w:rFonts w:cs="Times New Roman"/>
          <w:i/>
          <w:iCs/>
          <w:noProof/>
        </w:rPr>
        <w:t>Planta</w:t>
      </w:r>
      <w:r w:rsidRPr="00237528">
        <w:rPr>
          <w:rFonts w:cs="Times New Roman"/>
          <w:noProof/>
        </w:rPr>
        <w:t xml:space="preserve"> </w:t>
      </w:r>
      <w:r w:rsidRPr="00237528">
        <w:rPr>
          <w:rFonts w:cs="Times New Roman"/>
          <w:b/>
          <w:bCs/>
          <w:noProof/>
        </w:rPr>
        <w:t>149</w:t>
      </w:r>
      <w:r w:rsidRPr="00237528">
        <w:rPr>
          <w:rFonts w:cs="Times New Roman"/>
          <w:noProof/>
        </w:rPr>
        <w:t>: 78–90.</w:t>
      </w:r>
    </w:p>
    <w:p w14:paraId="7E2329C1"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 xml:space="preserve">Firn J, McGree JM, Harvey E, Flores-Moreno H, Schütz M, Buckley YM, Borer ET, Seabloom EW, La Pierre KJ, MacDougall AS, </w:t>
      </w:r>
      <w:r w:rsidRPr="00237528">
        <w:rPr>
          <w:rFonts w:cs="Times New Roman"/>
          <w:b/>
          <w:bCs/>
          <w:i/>
          <w:iCs/>
          <w:noProof/>
        </w:rPr>
        <w:t>et al.</w:t>
      </w:r>
      <w:r w:rsidRPr="00237528">
        <w:rPr>
          <w:rFonts w:cs="Times New Roman"/>
          <w:noProof/>
        </w:rPr>
        <w:t xml:space="preserve"> </w:t>
      </w:r>
      <w:r w:rsidRPr="00237528">
        <w:rPr>
          <w:rFonts w:cs="Times New Roman"/>
          <w:b/>
          <w:bCs/>
          <w:noProof/>
        </w:rPr>
        <w:t>2019</w:t>
      </w:r>
      <w:r w:rsidRPr="00237528">
        <w:rPr>
          <w:rFonts w:cs="Times New Roman"/>
          <w:noProof/>
        </w:rPr>
        <w:t xml:space="preserve">. Leaf nutrients, not specific leaf area, are consistent indicators of elevated nutrient inputs. </w:t>
      </w:r>
      <w:r w:rsidRPr="00237528">
        <w:rPr>
          <w:rFonts w:cs="Times New Roman"/>
          <w:i/>
          <w:iCs/>
          <w:noProof/>
        </w:rPr>
        <w:t>Nature Ecology &amp; Evolution</w:t>
      </w:r>
      <w:r w:rsidRPr="00237528">
        <w:rPr>
          <w:rFonts w:cs="Times New Roman"/>
          <w:noProof/>
        </w:rPr>
        <w:t xml:space="preserve"> </w:t>
      </w:r>
      <w:r w:rsidRPr="00237528">
        <w:rPr>
          <w:rFonts w:cs="Times New Roman"/>
          <w:b/>
          <w:bCs/>
          <w:noProof/>
        </w:rPr>
        <w:t>3</w:t>
      </w:r>
      <w:r w:rsidRPr="00237528">
        <w:rPr>
          <w:rFonts w:cs="Times New Roman"/>
          <w:noProof/>
        </w:rPr>
        <w:t>: 400–406.</w:t>
      </w:r>
    </w:p>
    <w:p w14:paraId="2605D0A5"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Fisher JB, Sitch S, Malhi Y, Fisher RA, Huntingford C, Tan S-Y</w:t>
      </w:r>
      <w:r w:rsidRPr="00237528">
        <w:rPr>
          <w:rFonts w:cs="Times New Roman"/>
          <w:noProof/>
        </w:rPr>
        <w:t xml:space="preserve">. </w:t>
      </w:r>
      <w:r w:rsidRPr="00237528">
        <w:rPr>
          <w:rFonts w:cs="Times New Roman"/>
          <w:b/>
          <w:bCs/>
          <w:noProof/>
        </w:rPr>
        <w:t>2010</w:t>
      </w:r>
      <w:r w:rsidRPr="00237528">
        <w:rPr>
          <w:rFonts w:cs="Times New Roman"/>
          <w:noProof/>
        </w:rPr>
        <w:t xml:space="preserve">. Carbon cost of plant nitrogen acquisition: A mechanistic, globally applicable model of plant nitrogen uptake, retranslocation, and fixation. </w:t>
      </w:r>
      <w:r w:rsidRPr="00237528">
        <w:rPr>
          <w:rFonts w:cs="Times New Roman"/>
          <w:i/>
          <w:iCs/>
          <w:noProof/>
        </w:rPr>
        <w:t>Global Biogeochemical Cycles</w:t>
      </w:r>
      <w:r w:rsidRPr="00237528">
        <w:rPr>
          <w:rFonts w:cs="Times New Roman"/>
          <w:noProof/>
        </w:rPr>
        <w:t xml:space="preserve"> </w:t>
      </w:r>
      <w:r w:rsidRPr="00237528">
        <w:rPr>
          <w:rFonts w:cs="Times New Roman"/>
          <w:b/>
          <w:bCs/>
          <w:noProof/>
        </w:rPr>
        <w:t>24</w:t>
      </w:r>
      <w:r w:rsidRPr="00237528">
        <w:rPr>
          <w:rFonts w:cs="Times New Roman"/>
          <w:noProof/>
        </w:rPr>
        <w:t>: 1–17.</w:t>
      </w:r>
    </w:p>
    <w:p w14:paraId="48220369"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Fox J, Weisberg S</w:t>
      </w:r>
      <w:r w:rsidRPr="00237528">
        <w:rPr>
          <w:rFonts w:cs="Times New Roman"/>
          <w:noProof/>
        </w:rPr>
        <w:t xml:space="preserve">. </w:t>
      </w:r>
      <w:r w:rsidRPr="00237528">
        <w:rPr>
          <w:rFonts w:cs="Times New Roman"/>
          <w:b/>
          <w:bCs/>
          <w:noProof/>
        </w:rPr>
        <w:t>2019</w:t>
      </w:r>
      <w:r w:rsidRPr="00237528">
        <w:rPr>
          <w:rFonts w:cs="Times New Roman"/>
          <w:noProof/>
        </w:rPr>
        <w:t xml:space="preserve">. </w:t>
      </w:r>
      <w:r w:rsidRPr="00237528">
        <w:rPr>
          <w:rFonts w:cs="Times New Roman"/>
          <w:i/>
          <w:iCs/>
          <w:noProof/>
        </w:rPr>
        <w:t>An R companion to applied regression</w:t>
      </w:r>
      <w:r w:rsidRPr="00237528">
        <w:rPr>
          <w:rFonts w:cs="Times New Roman"/>
          <w:noProof/>
        </w:rPr>
        <w:t>. Thousand Oaks, California: Sage.</w:t>
      </w:r>
    </w:p>
    <w:p w14:paraId="5BE9B932"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Friedlingstein P, Meinshausen M, Arora VK, Jones CD, Anav A, Liddicoat SK, Knutti R</w:t>
      </w:r>
      <w:r w:rsidRPr="00237528">
        <w:rPr>
          <w:rFonts w:cs="Times New Roman"/>
          <w:noProof/>
        </w:rPr>
        <w:t xml:space="preserve">. </w:t>
      </w:r>
      <w:r w:rsidRPr="00237528">
        <w:rPr>
          <w:rFonts w:cs="Times New Roman"/>
          <w:b/>
          <w:bCs/>
          <w:noProof/>
        </w:rPr>
        <w:t>2014</w:t>
      </w:r>
      <w:r w:rsidRPr="00237528">
        <w:rPr>
          <w:rFonts w:cs="Times New Roman"/>
          <w:noProof/>
        </w:rPr>
        <w:t xml:space="preserve">. Uncertainties in CMIP5 climate projections due to carbon cycle feedbacks. </w:t>
      </w:r>
      <w:r w:rsidRPr="00237528">
        <w:rPr>
          <w:rFonts w:cs="Times New Roman"/>
          <w:i/>
          <w:iCs/>
          <w:noProof/>
        </w:rPr>
        <w:t>Journal of Climate</w:t>
      </w:r>
      <w:r w:rsidRPr="00237528">
        <w:rPr>
          <w:rFonts w:cs="Times New Roman"/>
          <w:noProof/>
        </w:rPr>
        <w:t xml:space="preserve"> </w:t>
      </w:r>
      <w:r w:rsidRPr="00237528">
        <w:rPr>
          <w:rFonts w:cs="Times New Roman"/>
          <w:b/>
          <w:bCs/>
          <w:noProof/>
        </w:rPr>
        <w:t>27</w:t>
      </w:r>
      <w:r w:rsidRPr="00237528">
        <w:rPr>
          <w:rFonts w:cs="Times New Roman"/>
          <w:noProof/>
        </w:rPr>
        <w:t>: 511–526.</w:t>
      </w:r>
    </w:p>
    <w:p w14:paraId="30729C24"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 xml:space="preserve">Heskel MA, O’Sullivan OS, Reich PB, Tjoelker MG, Weerasinghe KWLK, Penillard A, Egerton JJG, Creek D, Bloomfield KJ, Xiang J, </w:t>
      </w:r>
      <w:r w:rsidRPr="00237528">
        <w:rPr>
          <w:rFonts w:cs="Times New Roman"/>
          <w:b/>
          <w:bCs/>
          <w:i/>
          <w:iCs/>
          <w:noProof/>
        </w:rPr>
        <w:t>et al.</w:t>
      </w:r>
      <w:r w:rsidRPr="00237528">
        <w:rPr>
          <w:rFonts w:cs="Times New Roman"/>
          <w:noProof/>
        </w:rPr>
        <w:t xml:space="preserve"> </w:t>
      </w:r>
      <w:r w:rsidRPr="00237528">
        <w:rPr>
          <w:rFonts w:cs="Times New Roman"/>
          <w:b/>
          <w:bCs/>
          <w:noProof/>
        </w:rPr>
        <w:t>2016</w:t>
      </w:r>
      <w:r w:rsidRPr="00237528">
        <w:rPr>
          <w:rFonts w:cs="Times New Roman"/>
          <w:noProof/>
        </w:rPr>
        <w:t xml:space="preserve">. Convergence in the temperature response of leaf respiration across biomes and plant functional types. </w:t>
      </w:r>
      <w:r w:rsidRPr="00237528">
        <w:rPr>
          <w:rFonts w:cs="Times New Roman"/>
          <w:i/>
          <w:iCs/>
          <w:noProof/>
        </w:rPr>
        <w:t xml:space="preserve">Proceedings of the </w:t>
      </w:r>
      <w:r w:rsidRPr="00237528">
        <w:rPr>
          <w:rFonts w:cs="Times New Roman"/>
          <w:i/>
          <w:iCs/>
          <w:noProof/>
        </w:rPr>
        <w:lastRenderedPageBreak/>
        <w:t>National Academy of Sciences</w:t>
      </w:r>
      <w:r w:rsidRPr="00237528">
        <w:rPr>
          <w:rFonts w:cs="Times New Roman"/>
          <w:noProof/>
        </w:rPr>
        <w:t xml:space="preserve"> </w:t>
      </w:r>
      <w:r w:rsidRPr="00237528">
        <w:rPr>
          <w:rFonts w:cs="Times New Roman"/>
          <w:b/>
          <w:bCs/>
          <w:noProof/>
        </w:rPr>
        <w:t>113</w:t>
      </w:r>
      <w:r w:rsidRPr="00237528">
        <w:rPr>
          <w:rFonts w:cs="Times New Roman"/>
          <w:noProof/>
        </w:rPr>
        <w:t>: 3832–3837.</w:t>
      </w:r>
    </w:p>
    <w:p w14:paraId="37DCD6EA"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Hoagland DR, Arnon DI</w:t>
      </w:r>
      <w:r w:rsidRPr="00237528">
        <w:rPr>
          <w:rFonts w:cs="Times New Roman"/>
          <w:noProof/>
        </w:rPr>
        <w:t xml:space="preserve">. </w:t>
      </w:r>
      <w:r w:rsidRPr="00237528">
        <w:rPr>
          <w:rFonts w:cs="Times New Roman"/>
          <w:b/>
          <w:bCs/>
          <w:noProof/>
        </w:rPr>
        <w:t>1950</w:t>
      </w:r>
      <w:r w:rsidRPr="00237528">
        <w:rPr>
          <w:rFonts w:cs="Times New Roman"/>
          <w:noProof/>
        </w:rPr>
        <w:t xml:space="preserve">. The water-culture method for growing plants without soil. </w:t>
      </w:r>
      <w:r w:rsidRPr="00237528">
        <w:rPr>
          <w:rFonts w:cs="Times New Roman"/>
          <w:i/>
          <w:iCs/>
          <w:noProof/>
        </w:rPr>
        <w:t>California Agricultural Experiment Station: 347</w:t>
      </w:r>
      <w:r w:rsidRPr="00237528">
        <w:rPr>
          <w:rFonts w:cs="Times New Roman"/>
          <w:noProof/>
        </w:rPr>
        <w:t xml:space="preserve"> </w:t>
      </w:r>
      <w:r w:rsidRPr="00237528">
        <w:rPr>
          <w:rFonts w:cs="Times New Roman"/>
          <w:b/>
          <w:bCs/>
          <w:noProof/>
        </w:rPr>
        <w:t>347</w:t>
      </w:r>
      <w:r w:rsidRPr="00237528">
        <w:rPr>
          <w:rFonts w:cs="Times New Roman"/>
          <w:noProof/>
        </w:rPr>
        <w:t>: 1–32.</w:t>
      </w:r>
    </w:p>
    <w:p w14:paraId="2E2D8D93"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Hungate BA, Dukes JS, Shaw MR, Luo Y, Field CB</w:t>
      </w:r>
      <w:r w:rsidRPr="00237528">
        <w:rPr>
          <w:rFonts w:cs="Times New Roman"/>
          <w:noProof/>
        </w:rPr>
        <w:t xml:space="preserve">. </w:t>
      </w:r>
      <w:r w:rsidRPr="00237528">
        <w:rPr>
          <w:rFonts w:cs="Times New Roman"/>
          <w:b/>
          <w:bCs/>
          <w:noProof/>
        </w:rPr>
        <w:t>2003</w:t>
      </w:r>
      <w:r w:rsidRPr="00237528">
        <w:rPr>
          <w:rFonts w:cs="Times New Roman"/>
          <w:noProof/>
        </w:rPr>
        <w:t xml:space="preserve">. Nitrogen and climate change. </w:t>
      </w:r>
      <w:r w:rsidRPr="00237528">
        <w:rPr>
          <w:rFonts w:cs="Times New Roman"/>
          <w:i/>
          <w:iCs/>
          <w:noProof/>
        </w:rPr>
        <w:t>Science</w:t>
      </w:r>
      <w:r w:rsidRPr="00237528">
        <w:rPr>
          <w:rFonts w:cs="Times New Roman"/>
          <w:noProof/>
        </w:rPr>
        <w:t xml:space="preserve"> </w:t>
      </w:r>
      <w:r w:rsidRPr="00237528">
        <w:rPr>
          <w:rFonts w:cs="Times New Roman"/>
          <w:b/>
          <w:bCs/>
          <w:noProof/>
        </w:rPr>
        <w:t>302</w:t>
      </w:r>
      <w:r w:rsidRPr="00237528">
        <w:rPr>
          <w:rFonts w:cs="Times New Roman"/>
          <w:noProof/>
        </w:rPr>
        <w:t>: 1512–1513.</w:t>
      </w:r>
    </w:p>
    <w:p w14:paraId="249D0D95"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IPCC</w:t>
      </w:r>
      <w:r w:rsidRPr="00237528">
        <w:rPr>
          <w:rFonts w:cs="Times New Roman"/>
          <w:noProof/>
        </w:rPr>
        <w:t xml:space="preserve">. </w:t>
      </w:r>
      <w:r w:rsidRPr="00237528">
        <w:rPr>
          <w:rFonts w:cs="Times New Roman"/>
          <w:b/>
          <w:bCs/>
          <w:noProof/>
        </w:rPr>
        <w:t>2013</w:t>
      </w:r>
      <w:r w:rsidRPr="00237528">
        <w:rPr>
          <w:rFonts w:cs="Times New Roman"/>
          <w:noProof/>
        </w:rPr>
        <w:t xml:space="preserve">. </w:t>
      </w:r>
      <w:r w:rsidRPr="00237528">
        <w:rPr>
          <w:rFonts w:cs="Times New Roman"/>
          <w:i/>
          <w:iCs/>
          <w:noProof/>
        </w:rPr>
        <w:t>Climate Change 2013: The Physical Science Basis. Contribution of Working Group I to the Fifth Assessment Report of the Intergovernmental Panel on Climate Change</w:t>
      </w:r>
      <w:r w:rsidRPr="00237528">
        <w:rPr>
          <w:rFonts w:cs="Times New Roman"/>
          <w:noProof/>
        </w:rPr>
        <w:t>.</w:t>
      </w:r>
    </w:p>
    <w:p w14:paraId="381EC40D"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Katabuchi M</w:t>
      </w:r>
      <w:r w:rsidRPr="00237528">
        <w:rPr>
          <w:rFonts w:cs="Times New Roman"/>
          <w:noProof/>
        </w:rPr>
        <w:t xml:space="preserve">. </w:t>
      </w:r>
      <w:r w:rsidRPr="00237528">
        <w:rPr>
          <w:rFonts w:cs="Times New Roman"/>
          <w:b/>
          <w:bCs/>
          <w:noProof/>
        </w:rPr>
        <w:t>2015</w:t>
      </w:r>
      <w:r w:rsidRPr="00237528">
        <w:rPr>
          <w:rFonts w:cs="Times New Roman"/>
          <w:noProof/>
        </w:rPr>
        <w:t xml:space="preserve">. LeafArea: An R package for rapid digital analysis of leaf area. </w:t>
      </w:r>
      <w:r w:rsidRPr="00237528">
        <w:rPr>
          <w:rFonts w:cs="Times New Roman"/>
          <w:i/>
          <w:iCs/>
          <w:noProof/>
        </w:rPr>
        <w:t>Ecological Research</w:t>
      </w:r>
      <w:r w:rsidRPr="00237528">
        <w:rPr>
          <w:rFonts w:cs="Times New Roman"/>
          <w:noProof/>
        </w:rPr>
        <w:t xml:space="preserve"> </w:t>
      </w:r>
      <w:r w:rsidRPr="00237528">
        <w:rPr>
          <w:rFonts w:cs="Times New Roman"/>
          <w:b/>
          <w:bCs/>
          <w:noProof/>
        </w:rPr>
        <w:t>30</w:t>
      </w:r>
      <w:r w:rsidRPr="00237528">
        <w:rPr>
          <w:rFonts w:cs="Times New Roman"/>
          <w:noProof/>
        </w:rPr>
        <w:t>: 1073–1077.</w:t>
      </w:r>
    </w:p>
    <w:p w14:paraId="0F540609"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Kattge J, Knorr W</w:t>
      </w:r>
      <w:r w:rsidRPr="00237528">
        <w:rPr>
          <w:rFonts w:cs="Times New Roman"/>
          <w:noProof/>
        </w:rPr>
        <w:t xml:space="preserve">. </w:t>
      </w:r>
      <w:r w:rsidRPr="00237528">
        <w:rPr>
          <w:rFonts w:cs="Times New Roman"/>
          <w:b/>
          <w:bCs/>
          <w:noProof/>
        </w:rPr>
        <w:t>2007</w:t>
      </w:r>
      <w:r w:rsidRPr="00237528">
        <w:rPr>
          <w:rFonts w:cs="Times New Roman"/>
          <w:noProof/>
        </w:rPr>
        <w:t xml:space="preserve">. Temperature acclimation in a biochemical model of photosynthesis: a reanalysis of data from 36 species. </w:t>
      </w:r>
      <w:r w:rsidRPr="00237528">
        <w:rPr>
          <w:rFonts w:cs="Times New Roman"/>
          <w:i/>
          <w:iCs/>
          <w:noProof/>
        </w:rPr>
        <w:t>Plant, Cell &amp; Environment</w:t>
      </w:r>
      <w:r w:rsidRPr="00237528">
        <w:rPr>
          <w:rFonts w:cs="Times New Roman"/>
          <w:noProof/>
        </w:rPr>
        <w:t xml:space="preserve"> </w:t>
      </w:r>
      <w:r w:rsidRPr="00237528">
        <w:rPr>
          <w:rFonts w:cs="Times New Roman"/>
          <w:b/>
          <w:bCs/>
          <w:noProof/>
        </w:rPr>
        <w:t>30</w:t>
      </w:r>
      <w:r w:rsidRPr="00237528">
        <w:rPr>
          <w:rFonts w:cs="Times New Roman"/>
          <w:noProof/>
        </w:rPr>
        <w:t>: 1176–1190.</w:t>
      </w:r>
    </w:p>
    <w:p w14:paraId="25783C8C"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Kenward MG, Roger JH</w:t>
      </w:r>
      <w:r w:rsidRPr="00237528">
        <w:rPr>
          <w:rFonts w:cs="Times New Roman"/>
          <w:noProof/>
        </w:rPr>
        <w:t xml:space="preserve">. </w:t>
      </w:r>
      <w:r w:rsidRPr="00237528">
        <w:rPr>
          <w:rFonts w:cs="Times New Roman"/>
          <w:b/>
          <w:bCs/>
          <w:noProof/>
        </w:rPr>
        <w:t>1997</w:t>
      </w:r>
      <w:r w:rsidRPr="00237528">
        <w:rPr>
          <w:rFonts w:cs="Times New Roman"/>
          <w:noProof/>
        </w:rPr>
        <w:t xml:space="preserve">. Small sample inference for fixed effects from restricted maximum likelihood. </w:t>
      </w:r>
      <w:r w:rsidRPr="00237528">
        <w:rPr>
          <w:rFonts w:cs="Times New Roman"/>
          <w:i/>
          <w:iCs/>
          <w:noProof/>
        </w:rPr>
        <w:t>Biometrics</w:t>
      </w:r>
      <w:r w:rsidRPr="00237528">
        <w:rPr>
          <w:rFonts w:cs="Times New Roman"/>
          <w:noProof/>
        </w:rPr>
        <w:t xml:space="preserve"> </w:t>
      </w:r>
      <w:r w:rsidRPr="00237528">
        <w:rPr>
          <w:rFonts w:cs="Times New Roman"/>
          <w:b/>
          <w:bCs/>
          <w:noProof/>
        </w:rPr>
        <w:t>53</w:t>
      </w:r>
      <w:r w:rsidRPr="00237528">
        <w:rPr>
          <w:rFonts w:cs="Times New Roman"/>
          <w:noProof/>
        </w:rPr>
        <w:t>: 983.</w:t>
      </w:r>
    </w:p>
    <w:p w14:paraId="10B77FF5"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LeBauer DS, Treseder K</w:t>
      </w:r>
      <w:r w:rsidRPr="00237528">
        <w:rPr>
          <w:rFonts w:cs="Times New Roman"/>
          <w:noProof/>
        </w:rPr>
        <w:t xml:space="preserve">. </w:t>
      </w:r>
      <w:r w:rsidRPr="00237528">
        <w:rPr>
          <w:rFonts w:cs="Times New Roman"/>
          <w:b/>
          <w:bCs/>
          <w:noProof/>
        </w:rPr>
        <w:t>2008</w:t>
      </w:r>
      <w:r w:rsidRPr="00237528">
        <w:rPr>
          <w:rFonts w:cs="Times New Roman"/>
          <w:noProof/>
        </w:rPr>
        <w:t xml:space="preserve">. Nitrogen limitation of net primary productivity. </w:t>
      </w:r>
      <w:r w:rsidRPr="00237528">
        <w:rPr>
          <w:rFonts w:cs="Times New Roman"/>
          <w:i/>
          <w:iCs/>
          <w:noProof/>
        </w:rPr>
        <w:t>Ecology</w:t>
      </w:r>
      <w:r w:rsidRPr="00237528">
        <w:rPr>
          <w:rFonts w:cs="Times New Roman"/>
          <w:noProof/>
        </w:rPr>
        <w:t xml:space="preserve"> </w:t>
      </w:r>
      <w:r w:rsidRPr="00237528">
        <w:rPr>
          <w:rFonts w:cs="Times New Roman"/>
          <w:b/>
          <w:bCs/>
          <w:noProof/>
        </w:rPr>
        <w:t>89</w:t>
      </w:r>
      <w:r w:rsidRPr="00237528">
        <w:rPr>
          <w:rFonts w:cs="Times New Roman"/>
          <w:noProof/>
        </w:rPr>
        <w:t>: 371–379.</w:t>
      </w:r>
    </w:p>
    <w:p w14:paraId="6AB49D36"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Lenth R</w:t>
      </w:r>
      <w:r w:rsidRPr="00237528">
        <w:rPr>
          <w:rFonts w:cs="Times New Roman"/>
          <w:noProof/>
        </w:rPr>
        <w:t xml:space="preserve">. </w:t>
      </w:r>
      <w:r w:rsidRPr="00237528">
        <w:rPr>
          <w:rFonts w:cs="Times New Roman"/>
          <w:b/>
          <w:bCs/>
          <w:noProof/>
        </w:rPr>
        <w:t>2019</w:t>
      </w:r>
      <w:r w:rsidRPr="00237528">
        <w:rPr>
          <w:rFonts w:cs="Times New Roman"/>
          <w:noProof/>
        </w:rPr>
        <w:t>. emmeans: estimated marginal means, aka least-squares means.</w:t>
      </w:r>
    </w:p>
    <w:p w14:paraId="2E001E33"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 xml:space="preserve">Liang X, Zhang T, Lu X, Ellsworth DS, BassiriRad H, You C, Wang D, He P, Deng Q, Liu H, </w:t>
      </w:r>
      <w:r w:rsidRPr="00237528">
        <w:rPr>
          <w:rFonts w:cs="Times New Roman"/>
          <w:b/>
          <w:bCs/>
          <w:i/>
          <w:iCs/>
          <w:noProof/>
        </w:rPr>
        <w:t>et al.</w:t>
      </w:r>
      <w:r w:rsidRPr="00237528">
        <w:rPr>
          <w:rFonts w:cs="Times New Roman"/>
          <w:noProof/>
        </w:rPr>
        <w:t xml:space="preserve"> </w:t>
      </w:r>
      <w:r w:rsidRPr="00237528">
        <w:rPr>
          <w:rFonts w:cs="Times New Roman"/>
          <w:b/>
          <w:bCs/>
          <w:noProof/>
        </w:rPr>
        <w:t>2020</w:t>
      </w:r>
      <w:r w:rsidRPr="00237528">
        <w:rPr>
          <w:rFonts w:cs="Times New Roman"/>
          <w:noProof/>
        </w:rPr>
        <w:t xml:space="preserve">. Global response patterns of plant photosynthesis to nitrogen addition: A meta‐analysis. </w:t>
      </w:r>
      <w:r w:rsidRPr="00237528">
        <w:rPr>
          <w:rFonts w:cs="Times New Roman"/>
          <w:i/>
          <w:iCs/>
          <w:noProof/>
        </w:rPr>
        <w:t>Global Change Biology</w:t>
      </w:r>
      <w:r w:rsidRPr="00237528">
        <w:rPr>
          <w:rFonts w:cs="Times New Roman"/>
          <w:noProof/>
        </w:rPr>
        <w:t xml:space="preserve"> </w:t>
      </w:r>
      <w:r w:rsidRPr="00237528">
        <w:rPr>
          <w:rFonts w:cs="Times New Roman"/>
          <w:b/>
          <w:bCs/>
          <w:noProof/>
        </w:rPr>
        <w:t>26</w:t>
      </w:r>
      <w:r w:rsidRPr="00237528">
        <w:rPr>
          <w:rFonts w:cs="Times New Roman"/>
          <w:noProof/>
        </w:rPr>
        <w:t>: 3585–3600.</w:t>
      </w:r>
    </w:p>
    <w:p w14:paraId="55934E7C"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Lu J, Yang J, Keitel C, Yin L, Wang P, Cheng W, Dijkstra FA</w:t>
      </w:r>
      <w:r w:rsidRPr="00237528">
        <w:rPr>
          <w:rFonts w:cs="Times New Roman"/>
          <w:noProof/>
        </w:rPr>
        <w:t xml:space="preserve">. </w:t>
      </w:r>
      <w:r w:rsidRPr="00237528">
        <w:rPr>
          <w:rFonts w:cs="Times New Roman"/>
          <w:b/>
          <w:bCs/>
          <w:noProof/>
        </w:rPr>
        <w:t>2022</w:t>
      </w:r>
      <w:r w:rsidRPr="00237528">
        <w:rPr>
          <w:rFonts w:cs="Times New Roman"/>
          <w:noProof/>
        </w:rPr>
        <w:t xml:space="preserve">. Belowground Carbon Efficiency for Nitrogen and Phosphorus Acquisition Varies Between Lolium perenne and Trifolium repens and Depends on Phosphorus Fertilization. </w:t>
      </w:r>
      <w:r w:rsidRPr="00237528">
        <w:rPr>
          <w:rFonts w:cs="Times New Roman"/>
          <w:i/>
          <w:iCs/>
          <w:noProof/>
        </w:rPr>
        <w:t>Frontiers in Plant Science</w:t>
      </w:r>
      <w:r w:rsidRPr="00237528">
        <w:rPr>
          <w:rFonts w:cs="Times New Roman"/>
          <w:noProof/>
        </w:rPr>
        <w:t xml:space="preserve"> </w:t>
      </w:r>
      <w:r w:rsidRPr="00237528">
        <w:rPr>
          <w:rFonts w:cs="Times New Roman"/>
          <w:b/>
          <w:bCs/>
          <w:noProof/>
        </w:rPr>
        <w:t>13</w:t>
      </w:r>
      <w:r w:rsidRPr="00237528">
        <w:rPr>
          <w:rFonts w:cs="Times New Roman"/>
          <w:noProof/>
        </w:rPr>
        <w:t>: 1–9.</w:t>
      </w:r>
    </w:p>
    <w:p w14:paraId="0F36E196"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Marschner H, Dell B</w:t>
      </w:r>
      <w:r w:rsidRPr="00237528">
        <w:rPr>
          <w:rFonts w:cs="Times New Roman"/>
          <w:noProof/>
        </w:rPr>
        <w:t xml:space="preserve">. </w:t>
      </w:r>
      <w:r w:rsidRPr="00237528">
        <w:rPr>
          <w:rFonts w:cs="Times New Roman"/>
          <w:b/>
          <w:bCs/>
          <w:noProof/>
        </w:rPr>
        <w:t>1994</w:t>
      </w:r>
      <w:r w:rsidRPr="00237528">
        <w:rPr>
          <w:rFonts w:cs="Times New Roman"/>
          <w:noProof/>
        </w:rPr>
        <w:t xml:space="preserve">. Nutrient uptake in mycorrhizal symbiosis. </w:t>
      </w:r>
      <w:r w:rsidRPr="00237528">
        <w:rPr>
          <w:rFonts w:cs="Times New Roman"/>
          <w:i/>
          <w:iCs/>
          <w:noProof/>
        </w:rPr>
        <w:t>Plant and Soil</w:t>
      </w:r>
      <w:r w:rsidRPr="00237528">
        <w:rPr>
          <w:rFonts w:cs="Times New Roman"/>
          <w:noProof/>
        </w:rPr>
        <w:t xml:space="preserve"> </w:t>
      </w:r>
      <w:r w:rsidRPr="00237528">
        <w:rPr>
          <w:rFonts w:cs="Times New Roman"/>
          <w:b/>
          <w:bCs/>
          <w:noProof/>
        </w:rPr>
        <w:t>159</w:t>
      </w:r>
      <w:r w:rsidRPr="00237528">
        <w:rPr>
          <w:rFonts w:cs="Times New Roman"/>
          <w:noProof/>
        </w:rPr>
        <w:t>: 89–</w:t>
      </w:r>
      <w:r w:rsidRPr="00237528">
        <w:rPr>
          <w:rFonts w:cs="Times New Roman"/>
          <w:noProof/>
        </w:rPr>
        <w:lastRenderedPageBreak/>
        <w:t>102.</w:t>
      </w:r>
    </w:p>
    <w:p w14:paraId="4778F89B"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 xml:space="preserve">Medlyn BE, Dreyer E, Ellsworth DS, Forstreuter M, Harley PC, Kirschbaum MUF, Le Roux X, Montpied P, Strassemeyer J, Walcroft A, </w:t>
      </w:r>
      <w:r w:rsidRPr="00237528">
        <w:rPr>
          <w:rFonts w:cs="Times New Roman"/>
          <w:b/>
          <w:bCs/>
          <w:i/>
          <w:iCs/>
          <w:noProof/>
        </w:rPr>
        <w:t>et al.</w:t>
      </w:r>
      <w:r w:rsidRPr="00237528">
        <w:rPr>
          <w:rFonts w:cs="Times New Roman"/>
          <w:noProof/>
        </w:rPr>
        <w:t xml:space="preserve"> </w:t>
      </w:r>
      <w:r w:rsidRPr="00237528">
        <w:rPr>
          <w:rFonts w:cs="Times New Roman"/>
          <w:b/>
          <w:bCs/>
          <w:noProof/>
        </w:rPr>
        <w:t>2002</w:t>
      </w:r>
      <w:r w:rsidRPr="00237528">
        <w:rPr>
          <w:rFonts w:cs="Times New Roman"/>
          <w:noProof/>
        </w:rPr>
        <w:t xml:space="preserve">. Temperature response of parameters of a biochemically based model of photosynthesis. II. A review of experimental data. </w:t>
      </w:r>
      <w:r w:rsidRPr="00237528">
        <w:rPr>
          <w:rFonts w:cs="Times New Roman"/>
          <w:i/>
          <w:iCs/>
          <w:noProof/>
        </w:rPr>
        <w:t>Plant, Cell &amp; Environment</w:t>
      </w:r>
      <w:r w:rsidRPr="00237528">
        <w:rPr>
          <w:rFonts w:cs="Times New Roman"/>
          <w:noProof/>
        </w:rPr>
        <w:t xml:space="preserve"> </w:t>
      </w:r>
      <w:r w:rsidRPr="00237528">
        <w:rPr>
          <w:rFonts w:cs="Times New Roman"/>
          <w:b/>
          <w:bCs/>
          <w:noProof/>
        </w:rPr>
        <w:t>25</w:t>
      </w:r>
      <w:r w:rsidRPr="00237528">
        <w:rPr>
          <w:rFonts w:cs="Times New Roman"/>
          <w:noProof/>
        </w:rPr>
        <w:t>: 1167–1179.</w:t>
      </w:r>
    </w:p>
    <w:p w14:paraId="06E6263B"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O’Sullivan OS, Weerasinghe KWLK, Evans JR, Egerton JJG, Tjoelker MG, Atkin OK</w:t>
      </w:r>
      <w:r w:rsidRPr="00237528">
        <w:rPr>
          <w:rFonts w:cs="Times New Roman"/>
          <w:noProof/>
        </w:rPr>
        <w:t xml:space="preserve">. </w:t>
      </w:r>
      <w:r w:rsidRPr="00237528">
        <w:rPr>
          <w:rFonts w:cs="Times New Roman"/>
          <w:b/>
          <w:bCs/>
          <w:noProof/>
        </w:rPr>
        <w:t>2013</w:t>
      </w:r>
      <w:r w:rsidRPr="00237528">
        <w:rPr>
          <w:rFonts w:cs="Times New Roman"/>
          <w:noProof/>
        </w:rPr>
        <w:t>. High-resolution temperature responses of leaf respiration in snow gum (</w:t>
      </w:r>
      <w:r w:rsidRPr="00237528">
        <w:rPr>
          <w:rFonts w:cs="Times New Roman"/>
          <w:i/>
          <w:iCs/>
          <w:noProof/>
        </w:rPr>
        <w:t>Eucalyptus pauciflora</w:t>
      </w:r>
      <w:r w:rsidRPr="00237528">
        <w:rPr>
          <w:rFonts w:cs="Times New Roman"/>
          <w:noProof/>
        </w:rPr>
        <w:t xml:space="preserve">) reveal high-temperature limits to respiratory function. </w:t>
      </w:r>
      <w:r w:rsidRPr="00237528">
        <w:rPr>
          <w:rFonts w:cs="Times New Roman"/>
          <w:i/>
          <w:iCs/>
          <w:noProof/>
        </w:rPr>
        <w:t>Plant, Cell &amp; Environment</w:t>
      </w:r>
      <w:r w:rsidRPr="00237528">
        <w:rPr>
          <w:rFonts w:cs="Times New Roman"/>
          <w:noProof/>
        </w:rPr>
        <w:t xml:space="preserve"> </w:t>
      </w:r>
      <w:r w:rsidRPr="00237528">
        <w:rPr>
          <w:rFonts w:cs="Times New Roman"/>
          <w:b/>
          <w:bCs/>
          <w:noProof/>
        </w:rPr>
        <w:t>36</w:t>
      </w:r>
      <w:r w:rsidRPr="00237528">
        <w:rPr>
          <w:rFonts w:cs="Times New Roman"/>
          <w:noProof/>
        </w:rPr>
        <w:t>: 1268–1284.</w:t>
      </w:r>
    </w:p>
    <w:p w14:paraId="465569B1"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Oreskes N, Shrader-Frechette K, Belitz K</w:t>
      </w:r>
      <w:r w:rsidRPr="00237528">
        <w:rPr>
          <w:rFonts w:cs="Times New Roman"/>
          <w:noProof/>
        </w:rPr>
        <w:t xml:space="preserve">. </w:t>
      </w:r>
      <w:r w:rsidRPr="00237528">
        <w:rPr>
          <w:rFonts w:cs="Times New Roman"/>
          <w:b/>
          <w:bCs/>
          <w:noProof/>
        </w:rPr>
        <w:t>1994</w:t>
      </w:r>
      <w:r w:rsidRPr="00237528">
        <w:rPr>
          <w:rFonts w:cs="Times New Roman"/>
          <w:noProof/>
        </w:rPr>
        <w:t xml:space="preserve">. Verification , Validation , and Confirmation of Numerical Models in the Earth Sciences. </w:t>
      </w:r>
      <w:r w:rsidRPr="00237528">
        <w:rPr>
          <w:rFonts w:cs="Times New Roman"/>
          <w:i/>
          <w:iCs/>
          <w:noProof/>
        </w:rPr>
        <w:t>Science</w:t>
      </w:r>
      <w:r w:rsidRPr="00237528">
        <w:rPr>
          <w:rFonts w:cs="Times New Roman"/>
          <w:noProof/>
        </w:rPr>
        <w:t xml:space="preserve"> </w:t>
      </w:r>
      <w:r w:rsidRPr="00237528">
        <w:rPr>
          <w:rFonts w:cs="Times New Roman"/>
          <w:b/>
          <w:bCs/>
          <w:noProof/>
        </w:rPr>
        <w:t>263</w:t>
      </w:r>
      <w:r w:rsidRPr="00237528">
        <w:rPr>
          <w:rFonts w:cs="Times New Roman"/>
          <w:noProof/>
        </w:rPr>
        <w:t>: 641–646.</w:t>
      </w:r>
    </w:p>
    <w:p w14:paraId="55C49759"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 xml:space="preserve">Paillassa J, Wright IJ, Prentice IC, Pepin S, Smith NG, Ethier G, Westerband AC, Lamarque LJ, Wang H, Cornwell WK, </w:t>
      </w:r>
      <w:r w:rsidRPr="00237528">
        <w:rPr>
          <w:rFonts w:cs="Times New Roman"/>
          <w:b/>
          <w:bCs/>
          <w:i/>
          <w:iCs/>
          <w:noProof/>
        </w:rPr>
        <w:t>et al.</w:t>
      </w:r>
      <w:r w:rsidRPr="00237528">
        <w:rPr>
          <w:rFonts w:cs="Times New Roman"/>
          <w:noProof/>
        </w:rPr>
        <w:t xml:space="preserve"> </w:t>
      </w:r>
      <w:r w:rsidRPr="00237528">
        <w:rPr>
          <w:rFonts w:cs="Times New Roman"/>
          <w:b/>
          <w:bCs/>
          <w:noProof/>
        </w:rPr>
        <w:t>2020</w:t>
      </w:r>
      <w:r w:rsidRPr="00237528">
        <w:rPr>
          <w:rFonts w:cs="Times New Roman"/>
          <w:noProof/>
        </w:rPr>
        <w:t xml:space="preserve">. When and where soil is important to modify the carbon and water economy of leaves. </w:t>
      </w:r>
      <w:r w:rsidRPr="00237528">
        <w:rPr>
          <w:rFonts w:cs="Times New Roman"/>
          <w:i/>
          <w:iCs/>
          <w:noProof/>
        </w:rPr>
        <w:t>New Phytologist</w:t>
      </w:r>
      <w:r w:rsidRPr="00237528">
        <w:rPr>
          <w:rFonts w:cs="Times New Roman"/>
          <w:noProof/>
        </w:rPr>
        <w:t xml:space="preserve"> </w:t>
      </w:r>
      <w:r w:rsidRPr="00237528">
        <w:rPr>
          <w:rFonts w:cs="Times New Roman"/>
          <w:b/>
          <w:bCs/>
          <w:noProof/>
        </w:rPr>
        <w:t>228</w:t>
      </w:r>
      <w:r w:rsidRPr="00237528">
        <w:rPr>
          <w:rFonts w:cs="Times New Roman"/>
          <w:noProof/>
        </w:rPr>
        <w:t>: 121–135.</w:t>
      </w:r>
    </w:p>
    <w:p w14:paraId="71EF0852"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Perkowski EA, Waring EF, Smith NG</w:t>
      </w:r>
      <w:r w:rsidRPr="00237528">
        <w:rPr>
          <w:rFonts w:cs="Times New Roman"/>
          <w:noProof/>
        </w:rPr>
        <w:t xml:space="preserve">. </w:t>
      </w:r>
      <w:r w:rsidRPr="00237528">
        <w:rPr>
          <w:rFonts w:cs="Times New Roman"/>
          <w:b/>
          <w:bCs/>
          <w:noProof/>
        </w:rPr>
        <w:t>2021</w:t>
      </w:r>
      <w:r w:rsidRPr="00237528">
        <w:rPr>
          <w:rFonts w:cs="Times New Roman"/>
          <w:noProof/>
        </w:rPr>
        <w:t xml:space="preserve">. Root mass carbon costs to acquire nitrogen are determined by nitrogen and light availability in two species with different nitrogen acquisition strategies (A Rogers, Ed.). </w:t>
      </w:r>
      <w:r w:rsidRPr="00237528">
        <w:rPr>
          <w:rFonts w:cs="Times New Roman"/>
          <w:i/>
          <w:iCs/>
          <w:noProof/>
        </w:rPr>
        <w:t>Journal of Experimental Botany</w:t>
      </w:r>
      <w:r w:rsidRPr="00237528">
        <w:rPr>
          <w:rFonts w:cs="Times New Roman"/>
          <w:noProof/>
        </w:rPr>
        <w:t xml:space="preserve"> </w:t>
      </w:r>
      <w:r w:rsidRPr="00237528">
        <w:rPr>
          <w:rFonts w:cs="Times New Roman"/>
          <w:b/>
          <w:bCs/>
          <w:noProof/>
        </w:rPr>
        <w:t>72</w:t>
      </w:r>
      <w:r w:rsidRPr="00237528">
        <w:rPr>
          <w:rFonts w:cs="Times New Roman"/>
          <w:noProof/>
        </w:rPr>
        <w:t>: 5766–5776.</w:t>
      </w:r>
    </w:p>
    <w:p w14:paraId="7A1F2D91"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Phillips RP, Finzi AC, Bernhardt ES</w:t>
      </w:r>
      <w:r w:rsidRPr="00237528">
        <w:rPr>
          <w:rFonts w:cs="Times New Roman"/>
          <w:noProof/>
        </w:rPr>
        <w:t xml:space="preserve">. </w:t>
      </w:r>
      <w:r w:rsidRPr="00237528">
        <w:rPr>
          <w:rFonts w:cs="Times New Roman"/>
          <w:b/>
          <w:bCs/>
          <w:noProof/>
        </w:rPr>
        <w:t>2011</w:t>
      </w:r>
      <w:r w:rsidRPr="00237528">
        <w:rPr>
          <w:rFonts w:cs="Times New Roman"/>
          <w:noProof/>
        </w:rPr>
        <w:t xml:space="preserve">. Enhanced root exudation induces microbial feedbacks to N cycling in a pine forest under long-term CO2 fumigation. </w:t>
      </w:r>
      <w:r w:rsidRPr="00237528">
        <w:rPr>
          <w:rFonts w:cs="Times New Roman"/>
          <w:i/>
          <w:iCs/>
          <w:noProof/>
        </w:rPr>
        <w:t>Ecology Letters</w:t>
      </w:r>
      <w:r w:rsidRPr="00237528">
        <w:rPr>
          <w:rFonts w:cs="Times New Roman"/>
          <w:noProof/>
        </w:rPr>
        <w:t xml:space="preserve"> </w:t>
      </w:r>
      <w:r w:rsidRPr="00237528">
        <w:rPr>
          <w:rFonts w:cs="Times New Roman"/>
          <w:b/>
          <w:bCs/>
          <w:noProof/>
        </w:rPr>
        <w:t>14</w:t>
      </w:r>
      <w:r w:rsidRPr="00237528">
        <w:rPr>
          <w:rFonts w:cs="Times New Roman"/>
          <w:noProof/>
        </w:rPr>
        <w:t>: 187–194.</w:t>
      </w:r>
    </w:p>
    <w:p w14:paraId="19241694"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Poorter H, Bühler J, Van Dusschoten D, Climent J, Postma JA</w:t>
      </w:r>
      <w:r w:rsidRPr="00237528">
        <w:rPr>
          <w:rFonts w:cs="Times New Roman"/>
          <w:noProof/>
        </w:rPr>
        <w:t xml:space="preserve">. </w:t>
      </w:r>
      <w:r w:rsidRPr="00237528">
        <w:rPr>
          <w:rFonts w:cs="Times New Roman"/>
          <w:b/>
          <w:bCs/>
          <w:noProof/>
        </w:rPr>
        <w:t>2012</w:t>
      </w:r>
      <w:r w:rsidRPr="00237528">
        <w:rPr>
          <w:rFonts w:cs="Times New Roman"/>
          <w:noProof/>
        </w:rPr>
        <w:t xml:space="preserve">. Pot size matters: A meta-analysis of the effects of rooting volume on plant growth. </w:t>
      </w:r>
      <w:r w:rsidRPr="00237528">
        <w:rPr>
          <w:rFonts w:cs="Times New Roman"/>
          <w:i/>
          <w:iCs/>
          <w:noProof/>
        </w:rPr>
        <w:t>Functional Plant Biology</w:t>
      </w:r>
      <w:r w:rsidRPr="00237528">
        <w:rPr>
          <w:rFonts w:cs="Times New Roman"/>
          <w:noProof/>
        </w:rPr>
        <w:t xml:space="preserve"> </w:t>
      </w:r>
      <w:r w:rsidRPr="00237528">
        <w:rPr>
          <w:rFonts w:cs="Times New Roman"/>
          <w:b/>
          <w:bCs/>
          <w:noProof/>
        </w:rPr>
        <w:t>39</w:t>
      </w:r>
      <w:r w:rsidRPr="00237528">
        <w:rPr>
          <w:rFonts w:cs="Times New Roman"/>
          <w:noProof/>
        </w:rPr>
        <w:t>: 839–850.</w:t>
      </w:r>
    </w:p>
    <w:p w14:paraId="1882EBD5"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lastRenderedPageBreak/>
        <w:t>Prentice IC, Dong N, Gleason SM, Maire V, Wright IJ</w:t>
      </w:r>
      <w:r w:rsidRPr="00237528">
        <w:rPr>
          <w:rFonts w:cs="Times New Roman"/>
          <w:noProof/>
        </w:rPr>
        <w:t xml:space="preserve">. </w:t>
      </w:r>
      <w:r w:rsidRPr="00237528">
        <w:rPr>
          <w:rFonts w:cs="Times New Roman"/>
          <w:b/>
          <w:bCs/>
          <w:noProof/>
        </w:rPr>
        <w:t>2014</w:t>
      </w:r>
      <w:r w:rsidRPr="00237528">
        <w:rPr>
          <w:rFonts w:cs="Times New Roman"/>
          <w:noProof/>
        </w:rPr>
        <w:t xml:space="preserve">. Balancing the costs of carbon gain and water transport: testing a new theoretical framework for plant functional ecology. </w:t>
      </w:r>
      <w:r w:rsidRPr="00237528">
        <w:rPr>
          <w:rFonts w:cs="Times New Roman"/>
          <w:i/>
          <w:iCs/>
          <w:noProof/>
        </w:rPr>
        <w:t>Ecology Letters</w:t>
      </w:r>
      <w:r w:rsidRPr="00237528">
        <w:rPr>
          <w:rFonts w:cs="Times New Roman"/>
          <w:noProof/>
        </w:rPr>
        <w:t xml:space="preserve"> </w:t>
      </w:r>
      <w:r w:rsidRPr="00237528">
        <w:rPr>
          <w:rFonts w:cs="Times New Roman"/>
          <w:b/>
          <w:bCs/>
          <w:noProof/>
        </w:rPr>
        <w:t>17</w:t>
      </w:r>
      <w:r w:rsidRPr="00237528">
        <w:rPr>
          <w:rFonts w:cs="Times New Roman"/>
          <w:noProof/>
        </w:rPr>
        <w:t>: 82–91.</w:t>
      </w:r>
    </w:p>
    <w:p w14:paraId="719E0977"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Prentice IC, Liang X, Medlyn BE, Wang Y-P</w:t>
      </w:r>
      <w:r w:rsidRPr="00237528">
        <w:rPr>
          <w:rFonts w:cs="Times New Roman"/>
          <w:noProof/>
        </w:rPr>
        <w:t xml:space="preserve">. </w:t>
      </w:r>
      <w:r w:rsidRPr="00237528">
        <w:rPr>
          <w:rFonts w:cs="Times New Roman"/>
          <w:b/>
          <w:bCs/>
          <w:noProof/>
        </w:rPr>
        <w:t>2015</w:t>
      </w:r>
      <w:r w:rsidRPr="00237528">
        <w:rPr>
          <w:rFonts w:cs="Times New Roman"/>
          <w:noProof/>
        </w:rPr>
        <w:t xml:space="preserve">. Reliable, robust and realistic: The three R’s of next-generation land-surface modelling. </w:t>
      </w:r>
      <w:r w:rsidRPr="00237528">
        <w:rPr>
          <w:rFonts w:cs="Times New Roman"/>
          <w:i/>
          <w:iCs/>
          <w:noProof/>
        </w:rPr>
        <w:t>Atmospheric Chemistry and Physics</w:t>
      </w:r>
      <w:r w:rsidRPr="00237528">
        <w:rPr>
          <w:rFonts w:cs="Times New Roman"/>
          <w:noProof/>
        </w:rPr>
        <w:t xml:space="preserve"> </w:t>
      </w:r>
      <w:r w:rsidRPr="00237528">
        <w:rPr>
          <w:rFonts w:cs="Times New Roman"/>
          <w:b/>
          <w:bCs/>
          <w:noProof/>
        </w:rPr>
        <w:t>15</w:t>
      </w:r>
      <w:r w:rsidRPr="00237528">
        <w:rPr>
          <w:rFonts w:cs="Times New Roman"/>
          <w:noProof/>
        </w:rPr>
        <w:t>: 5987–6005.</w:t>
      </w:r>
    </w:p>
    <w:p w14:paraId="56DE182F"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R Core Team</w:t>
      </w:r>
      <w:r w:rsidRPr="00237528">
        <w:rPr>
          <w:rFonts w:cs="Times New Roman"/>
          <w:noProof/>
        </w:rPr>
        <w:t xml:space="preserve">. </w:t>
      </w:r>
      <w:r w:rsidRPr="00237528">
        <w:rPr>
          <w:rFonts w:cs="Times New Roman"/>
          <w:b/>
          <w:bCs/>
          <w:noProof/>
        </w:rPr>
        <w:t>2021</w:t>
      </w:r>
      <w:r w:rsidRPr="00237528">
        <w:rPr>
          <w:rFonts w:cs="Times New Roman"/>
          <w:noProof/>
        </w:rPr>
        <w:t>. R: A language and environment for statistical computing.</w:t>
      </w:r>
    </w:p>
    <w:p w14:paraId="2152A9F4"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 xml:space="preserve">Rogers A, Medlyn BE, Dukes JS, Bonan G, von Caemmerer S, Dietze MC, Kattge J, Leakey ADB, Mercado LM, Niinemets Ü, </w:t>
      </w:r>
      <w:r w:rsidRPr="00237528">
        <w:rPr>
          <w:rFonts w:cs="Times New Roman"/>
          <w:b/>
          <w:bCs/>
          <w:i/>
          <w:iCs/>
          <w:noProof/>
        </w:rPr>
        <w:t>et al.</w:t>
      </w:r>
      <w:r w:rsidRPr="00237528">
        <w:rPr>
          <w:rFonts w:cs="Times New Roman"/>
          <w:noProof/>
        </w:rPr>
        <w:t xml:space="preserve"> </w:t>
      </w:r>
      <w:r w:rsidRPr="00237528">
        <w:rPr>
          <w:rFonts w:cs="Times New Roman"/>
          <w:b/>
          <w:bCs/>
          <w:noProof/>
        </w:rPr>
        <w:t>2017</w:t>
      </w:r>
      <w:r w:rsidRPr="00237528">
        <w:rPr>
          <w:rFonts w:cs="Times New Roman"/>
          <w:noProof/>
        </w:rPr>
        <w:t xml:space="preserve">. A roadmap for improving the representation of photosynthesis in Earth system models. </w:t>
      </w:r>
      <w:r w:rsidRPr="00237528">
        <w:rPr>
          <w:rFonts w:cs="Times New Roman"/>
          <w:i/>
          <w:iCs/>
          <w:noProof/>
        </w:rPr>
        <w:t>New Phytologist</w:t>
      </w:r>
      <w:r w:rsidRPr="00237528">
        <w:rPr>
          <w:rFonts w:cs="Times New Roman"/>
          <w:noProof/>
        </w:rPr>
        <w:t xml:space="preserve"> </w:t>
      </w:r>
      <w:r w:rsidRPr="00237528">
        <w:rPr>
          <w:rFonts w:cs="Times New Roman"/>
          <w:b/>
          <w:bCs/>
          <w:noProof/>
        </w:rPr>
        <w:t>213</w:t>
      </w:r>
      <w:r w:rsidRPr="00237528">
        <w:rPr>
          <w:rFonts w:cs="Times New Roman"/>
          <w:noProof/>
        </w:rPr>
        <w:t>: 22–42.</w:t>
      </w:r>
    </w:p>
    <w:p w14:paraId="7B4EB82C"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Schneider CA, Rasband WS, Eliceiri KW</w:t>
      </w:r>
      <w:r w:rsidRPr="00237528">
        <w:rPr>
          <w:rFonts w:cs="Times New Roman"/>
          <w:noProof/>
        </w:rPr>
        <w:t xml:space="preserve">. </w:t>
      </w:r>
      <w:r w:rsidRPr="00237528">
        <w:rPr>
          <w:rFonts w:cs="Times New Roman"/>
          <w:b/>
          <w:bCs/>
          <w:noProof/>
        </w:rPr>
        <w:t>2012</w:t>
      </w:r>
      <w:r w:rsidRPr="00237528">
        <w:rPr>
          <w:rFonts w:cs="Times New Roman"/>
          <w:noProof/>
        </w:rPr>
        <w:t xml:space="preserve">. NIH Image to ImageJ: 25 years of image analysis. </w:t>
      </w:r>
      <w:r w:rsidRPr="00237528">
        <w:rPr>
          <w:rFonts w:cs="Times New Roman"/>
          <w:i/>
          <w:iCs/>
          <w:noProof/>
        </w:rPr>
        <w:t>Nature methods</w:t>
      </w:r>
      <w:r w:rsidRPr="00237528">
        <w:rPr>
          <w:rFonts w:cs="Times New Roman"/>
          <w:noProof/>
        </w:rPr>
        <w:t xml:space="preserve"> </w:t>
      </w:r>
      <w:r w:rsidRPr="00237528">
        <w:rPr>
          <w:rFonts w:cs="Times New Roman"/>
          <w:b/>
          <w:bCs/>
          <w:noProof/>
        </w:rPr>
        <w:t>9</w:t>
      </w:r>
      <w:r w:rsidRPr="00237528">
        <w:rPr>
          <w:rFonts w:cs="Times New Roman"/>
          <w:noProof/>
        </w:rPr>
        <w:t>: 671–675.</w:t>
      </w:r>
    </w:p>
    <w:p w14:paraId="15FC7B94"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Smith NG, Dukes JS</w:t>
      </w:r>
      <w:r w:rsidRPr="00237528">
        <w:rPr>
          <w:rFonts w:cs="Times New Roman"/>
          <w:noProof/>
        </w:rPr>
        <w:t xml:space="preserve">. </w:t>
      </w:r>
      <w:r w:rsidRPr="00237528">
        <w:rPr>
          <w:rFonts w:cs="Times New Roman"/>
          <w:b/>
          <w:bCs/>
          <w:noProof/>
        </w:rPr>
        <w:t>2013</w:t>
      </w:r>
      <w:r w:rsidRPr="00237528">
        <w:rPr>
          <w:rFonts w:cs="Times New Roman"/>
          <w:noProof/>
        </w:rPr>
        <w:t>. Plant respiration and photosynthesis in global-scale models: Incorporating acclimation to temperature and CO</w:t>
      </w:r>
      <w:r w:rsidRPr="00237528">
        <w:rPr>
          <w:rFonts w:cs="Times New Roman"/>
          <w:noProof/>
          <w:vertAlign w:val="subscript"/>
        </w:rPr>
        <w:t>2</w:t>
      </w:r>
      <w:r w:rsidRPr="00237528">
        <w:rPr>
          <w:rFonts w:cs="Times New Roman"/>
          <w:noProof/>
        </w:rPr>
        <w:t xml:space="preserve">. </w:t>
      </w:r>
      <w:r w:rsidRPr="00237528">
        <w:rPr>
          <w:rFonts w:cs="Times New Roman"/>
          <w:i/>
          <w:iCs/>
          <w:noProof/>
        </w:rPr>
        <w:t>Global Change Biology</w:t>
      </w:r>
      <w:r w:rsidRPr="00237528">
        <w:rPr>
          <w:rFonts w:cs="Times New Roman"/>
          <w:noProof/>
        </w:rPr>
        <w:t xml:space="preserve"> </w:t>
      </w:r>
      <w:r w:rsidRPr="00237528">
        <w:rPr>
          <w:rFonts w:cs="Times New Roman"/>
          <w:b/>
          <w:bCs/>
          <w:noProof/>
        </w:rPr>
        <w:t>19</w:t>
      </w:r>
      <w:r w:rsidRPr="00237528">
        <w:rPr>
          <w:rFonts w:cs="Times New Roman"/>
          <w:noProof/>
        </w:rPr>
        <w:t>: 45–63.</w:t>
      </w:r>
    </w:p>
    <w:p w14:paraId="121D9F88"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 xml:space="preserve">Smith NG, Keenan TF, Prentice IC, Wang H, Wright IJ, Niinemets Ü, Crous KY, Domingues TF, Guerrieri R, Ishida F oko, </w:t>
      </w:r>
      <w:r w:rsidRPr="00237528">
        <w:rPr>
          <w:rFonts w:cs="Times New Roman"/>
          <w:b/>
          <w:bCs/>
          <w:i/>
          <w:iCs/>
          <w:noProof/>
        </w:rPr>
        <w:t>et al.</w:t>
      </w:r>
      <w:r w:rsidRPr="00237528">
        <w:rPr>
          <w:rFonts w:cs="Times New Roman"/>
          <w:noProof/>
        </w:rPr>
        <w:t xml:space="preserve"> </w:t>
      </w:r>
      <w:r w:rsidRPr="00237528">
        <w:rPr>
          <w:rFonts w:cs="Times New Roman"/>
          <w:b/>
          <w:bCs/>
          <w:noProof/>
        </w:rPr>
        <w:t>2019</w:t>
      </w:r>
      <w:r w:rsidRPr="00237528">
        <w:rPr>
          <w:rFonts w:cs="Times New Roman"/>
          <w:noProof/>
        </w:rPr>
        <w:t xml:space="preserve">. Global photosynthetic capacity is optimized to the environment (S Niu, Ed.). </w:t>
      </w:r>
      <w:r w:rsidRPr="00237528">
        <w:rPr>
          <w:rFonts w:cs="Times New Roman"/>
          <w:i/>
          <w:iCs/>
          <w:noProof/>
        </w:rPr>
        <w:t>Ecology Letters</w:t>
      </w:r>
      <w:r w:rsidRPr="00237528">
        <w:rPr>
          <w:rFonts w:cs="Times New Roman"/>
          <w:noProof/>
        </w:rPr>
        <w:t xml:space="preserve"> </w:t>
      </w:r>
      <w:r w:rsidRPr="00237528">
        <w:rPr>
          <w:rFonts w:cs="Times New Roman"/>
          <w:b/>
          <w:bCs/>
          <w:noProof/>
        </w:rPr>
        <w:t>22</w:t>
      </w:r>
      <w:r w:rsidRPr="00237528">
        <w:rPr>
          <w:rFonts w:cs="Times New Roman"/>
          <w:noProof/>
        </w:rPr>
        <w:t>: 506–517.</w:t>
      </w:r>
    </w:p>
    <w:p w14:paraId="157DD1D1"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Smith SE, Read DJ</w:t>
      </w:r>
      <w:r w:rsidRPr="00237528">
        <w:rPr>
          <w:rFonts w:cs="Times New Roman"/>
          <w:noProof/>
        </w:rPr>
        <w:t xml:space="preserve">. </w:t>
      </w:r>
      <w:r w:rsidRPr="00237528">
        <w:rPr>
          <w:rFonts w:cs="Times New Roman"/>
          <w:b/>
          <w:bCs/>
          <w:noProof/>
        </w:rPr>
        <w:t>2008</w:t>
      </w:r>
      <w:r w:rsidRPr="00237528">
        <w:rPr>
          <w:rFonts w:cs="Times New Roman"/>
          <w:noProof/>
        </w:rPr>
        <w:t xml:space="preserve">. </w:t>
      </w:r>
      <w:r w:rsidRPr="00237528">
        <w:rPr>
          <w:rFonts w:cs="Times New Roman"/>
          <w:i/>
          <w:iCs/>
          <w:noProof/>
        </w:rPr>
        <w:t>Mycorrhizal Symbiosis</w:t>
      </w:r>
      <w:r w:rsidRPr="00237528">
        <w:rPr>
          <w:rFonts w:cs="Times New Roman"/>
          <w:noProof/>
        </w:rPr>
        <w:t>.</w:t>
      </w:r>
    </w:p>
    <w:p w14:paraId="16E6F540"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Terrer C, Vicca S, Stocker BD, Hungate BA, Phillips RP, Reich PB, Finzi AC, Prentice IC</w:t>
      </w:r>
      <w:r w:rsidRPr="00237528">
        <w:rPr>
          <w:rFonts w:cs="Times New Roman"/>
          <w:noProof/>
        </w:rPr>
        <w:t xml:space="preserve">. </w:t>
      </w:r>
      <w:r w:rsidRPr="00237528">
        <w:rPr>
          <w:rFonts w:cs="Times New Roman"/>
          <w:b/>
          <w:bCs/>
          <w:noProof/>
        </w:rPr>
        <w:t>2018</w:t>
      </w:r>
      <w:r w:rsidRPr="00237528">
        <w:rPr>
          <w:rFonts w:cs="Times New Roman"/>
          <w:noProof/>
        </w:rPr>
        <w:t xml:space="preserve">. Ecosystem responses to elevated &lt;scp&gt;CO&lt;/scp&gt; </w:t>
      </w:r>
      <w:r w:rsidRPr="00237528">
        <w:rPr>
          <w:rFonts w:cs="Times New Roman"/>
          <w:noProof/>
          <w:vertAlign w:val="subscript"/>
        </w:rPr>
        <w:t>2</w:t>
      </w:r>
      <w:r w:rsidRPr="00237528">
        <w:rPr>
          <w:rFonts w:cs="Times New Roman"/>
          <w:noProof/>
        </w:rPr>
        <w:t xml:space="preserve"> governed by plant–soil interactions and the cost of nitrogen acquisition. </w:t>
      </w:r>
      <w:r w:rsidRPr="00237528">
        <w:rPr>
          <w:rFonts w:cs="Times New Roman"/>
          <w:i/>
          <w:iCs/>
          <w:noProof/>
        </w:rPr>
        <w:t>New Phytologist</w:t>
      </w:r>
      <w:r w:rsidRPr="00237528">
        <w:rPr>
          <w:rFonts w:cs="Times New Roman"/>
          <w:noProof/>
        </w:rPr>
        <w:t xml:space="preserve"> </w:t>
      </w:r>
      <w:r w:rsidRPr="00237528">
        <w:rPr>
          <w:rFonts w:cs="Times New Roman"/>
          <w:b/>
          <w:bCs/>
          <w:noProof/>
        </w:rPr>
        <w:t>217</w:t>
      </w:r>
      <w:r w:rsidRPr="00237528">
        <w:rPr>
          <w:rFonts w:cs="Times New Roman"/>
          <w:noProof/>
        </w:rPr>
        <w:t>: 507–522.</w:t>
      </w:r>
    </w:p>
    <w:p w14:paraId="355B662D"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Udvardi M, Poole PS</w:t>
      </w:r>
      <w:r w:rsidRPr="00237528">
        <w:rPr>
          <w:rFonts w:cs="Times New Roman"/>
          <w:noProof/>
        </w:rPr>
        <w:t xml:space="preserve">. </w:t>
      </w:r>
      <w:r w:rsidRPr="00237528">
        <w:rPr>
          <w:rFonts w:cs="Times New Roman"/>
          <w:b/>
          <w:bCs/>
          <w:noProof/>
        </w:rPr>
        <w:t>2013</w:t>
      </w:r>
      <w:r w:rsidRPr="00237528">
        <w:rPr>
          <w:rFonts w:cs="Times New Roman"/>
          <w:noProof/>
        </w:rPr>
        <w:t xml:space="preserve">. Transport and metabolism in legume-rhizobia symbioses. </w:t>
      </w:r>
      <w:r w:rsidRPr="00237528">
        <w:rPr>
          <w:rFonts w:cs="Times New Roman"/>
          <w:i/>
          <w:iCs/>
          <w:noProof/>
        </w:rPr>
        <w:t>Annual Review of Plant Biology</w:t>
      </w:r>
      <w:r w:rsidRPr="00237528">
        <w:rPr>
          <w:rFonts w:cs="Times New Roman"/>
          <w:noProof/>
        </w:rPr>
        <w:t xml:space="preserve"> </w:t>
      </w:r>
      <w:r w:rsidRPr="00237528">
        <w:rPr>
          <w:rFonts w:cs="Times New Roman"/>
          <w:b/>
          <w:bCs/>
          <w:noProof/>
        </w:rPr>
        <w:t>64</w:t>
      </w:r>
      <w:r w:rsidRPr="00237528">
        <w:rPr>
          <w:rFonts w:cs="Times New Roman"/>
          <w:noProof/>
        </w:rPr>
        <w:t>: 781–805.</w:t>
      </w:r>
    </w:p>
    <w:p w14:paraId="0E6BA298"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lastRenderedPageBreak/>
        <w:t>Vance CP, Heichel GH</w:t>
      </w:r>
      <w:r w:rsidRPr="00237528">
        <w:rPr>
          <w:rFonts w:cs="Times New Roman"/>
          <w:noProof/>
        </w:rPr>
        <w:t xml:space="preserve">. </w:t>
      </w:r>
      <w:r w:rsidRPr="00237528">
        <w:rPr>
          <w:rFonts w:cs="Times New Roman"/>
          <w:b/>
          <w:bCs/>
          <w:noProof/>
        </w:rPr>
        <w:t>1991</w:t>
      </w:r>
      <w:r w:rsidRPr="00237528">
        <w:rPr>
          <w:rFonts w:cs="Times New Roman"/>
          <w:noProof/>
        </w:rPr>
        <w:t xml:space="preserve">. Carbon in N2 fixation: Limitation or exquisite adaptation. </w:t>
      </w:r>
      <w:r w:rsidRPr="00237528">
        <w:rPr>
          <w:rFonts w:cs="Times New Roman"/>
          <w:i/>
          <w:iCs/>
          <w:noProof/>
        </w:rPr>
        <w:t>Annual Review of Plant Physiology and Plant Molecular Biology</w:t>
      </w:r>
      <w:r w:rsidRPr="00237528">
        <w:rPr>
          <w:rFonts w:cs="Times New Roman"/>
          <w:noProof/>
        </w:rPr>
        <w:t xml:space="preserve"> </w:t>
      </w:r>
      <w:r w:rsidRPr="00237528">
        <w:rPr>
          <w:rFonts w:cs="Times New Roman"/>
          <w:b/>
          <w:bCs/>
          <w:noProof/>
        </w:rPr>
        <w:t>42</w:t>
      </w:r>
      <w:r w:rsidRPr="00237528">
        <w:rPr>
          <w:rFonts w:cs="Times New Roman"/>
          <w:noProof/>
        </w:rPr>
        <w:t>: 373–392.</w:t>
      </w:r>
    </w:p>
    <w:p w14:paraId="52495751"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Wen Z, White PJ, Shen J, Lambers H</w:t>
      </w:r>
      <w:r w:rsidRPr="00237528">
        <w:rPr>
          <w:rFonts w:cs="Times New Roman"/>
          <w:noProof/>
        </w:rPr>
        <w:t xml:space="preserve">. </w:t>
      </w:r>
      <w:r w:rsidRPr="00237528">
        <w:rPr>
          <w:rFonts w:cs="Times New Roman"/>
          <w:b/>
          <w:bCs/>
          <w:noProof/>
        </w:rPr>
        <w:t>2022</w:t>
      </w:r>
      <w:r w:rsidRPr="00237528">
        <w:rPr>
          <w:rFonts w:cs="Times New Roman"/>
          <w:noProof/>
        </w:rPr>
        <w:t xml:space="preserve">. Linking root exudation to belowground economic traits for resource acquisition. </w:t>
      </w:r>
      <w:r w:rsidRPr="00237528">
        <w:rPr>
          <w:rFonts w:cs="Times New Roman"/>
          <w:i/>
          <w:iCs/>
          <w:noProof/>
        </w:rPr>
        <w:t>New Phytologist</w:t>
      </w:r>
      <w:r w:rsidRPr="00237528">
        <w:rPr>
          <w:rFonts w:cs="Times New Roman"/>
          <w:noProof/>
        </w:rPr>
        <w:t xml:space="preserve"> </w:t>
      </w:r>
      <w:r w:rsidRPr="00237528">
        <w:rPr>
          <w:rFonts w:cs="Times New Roman"/>
          <w:b/>
          <w:bCs/>
          <w:noProof/>
        </w:rPr>
        <w:t>233</w:t>
      </w:r>
      <w:r w:rsidRPr="00237528">
        <w:rPr>
          <w:rFonts w:cs="Times New Roman"/>
          <w:noProof/>
        </w:rPr>
        <w:t>: 1620–1635.</w:t>
      </w:r>
    </w:p>
    <w:p w14:paraId="62A79DCF" w14:textId="77777777" w:rsidR="00237528" w:rsidRPr="00237528" w:rsidRDefault="00237528" w:rsidP="00237528">
      <w:pPr>
        <w:widowControl w:val="0"/>
        <w:autoSpaceDE w:val="0"/>
        <w:autoSpaceDN w:val="0"/>
        <w:adjustRightInd w:val="0"/>
        <w:spacing w:line="480" w:lineRule="auto"/>
        <w:rPr>
          <w:rFonts w:cs="Times New Roman"/>
          <w:noProof/>
        </w:rPr>
      </w:pPr>
      <w:r w:rsidRPr="00237528">
        <w:rPr>
          <w:rFonts w:cs="Times New Roman"/>
          <w:b/>
          <w:bCs/>
          <w:noProof/>
        </w:rPr>
        <w:t>Wright IJ, Reich PB, Westoby M</w:t>
      </w:r>
      <w:r w:rsidRPr="00237528">
        <w:rPr>
          <w:rFonts w:cs="Times New Roman"/>
          <w:noProof/>
        </w:rPr>
        <w:t xml:space="preserve">. </w:t>
      </w:r>
      <w:r w:rsidRPr="00237528">
        <w:rPr>
          <w:rFonts w:cs="Times New Roman"/>
          <w:b/>
          <w:bCs/>
          <w:noProof/>
        </w:rPr>
        <w:t>2003</w:t>
      </w:r>
      <w:r w:rsidRPr="00237528">
        <w:rPr>
          <w:rFonts w:cs="Times New Roman"/>
          <w:noProof/>
        </w:rPr>
        <w:t xml:space="preserve">. Least-cost input mixtures of water and nitrogen for photosynthesis. </w:t>
      </w:r>
      <w:r w:rsidRPr="00237528">
        <w:rPr>
          <w:rFonts w:cs="Times New Roman"/>
          <w:i/>
          <w:iCs/>
          <w:noProof/>
        </w:rPr>
        <w:t>The American Naturalist</w:t>
      </w:r>
      <w:r w:rsidRPr="00237528">
        <w:rPr>
          <w:rFonts w:cs="Times New Roman"/>
          <w:noProof/>
        </w:rPr>
        <w:t xml:space="preserve"> </w:t>
      </w:r>
      <w:r w:rsidRPr="00237528">
        <w:rPr>
          <w:rFonts w:cs="Times New Roman"/>
          <w:b/>
          <w:bCs/>
          <w:noProof/>
        </w:rPr>
        <w:t>161</w:t>
      </w:r>
      <w:r w:rsidRPr="00237528">
        <w:rPr>
          <w:rFonts w:cs="Times New Roman"/>
          <w:noProof/>
        </w:rPr>
        <w:t>: 98–111.</w:t>
      </w:r>
    </w:p>
    <w:p w14:paraId="66976A81" w14:textId="535DF0CE" w:rsidR="00772287" w:rsidRPr="00754725" w:rsidRDefault="00772287" w:rsidP="00237528">
      <w:pPr>
        <w:widowControl w:val="0"/>
        <w:autoSpaceDE w:val="0"/>
        <w:autoSpaceDN w:val="0"/>
        <w:adjustRightInd w:val="0"/>
        <w:spacing w:line="480" w:lineRule="auto"/>
        <w:rPr>
          <w:b/>
          <w:bCs/>
        </w:rPr>
      </w:pPr>
      <w:r>
        <w:rPr>
          <w:b/>
          <w:bCs/>
        </w:rPr>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09:45:00Z" w:initials="PEA">
    <w:p w14:paraId="1B0AB548" w14:textId="14CD3FE1" w:rsidR="00072D81" w:rsidRDefault="00072D81" w:rsidP="007320E5">
      <w:pPr>
        <w:pStyle w:val="CommentText"/>
      </w:pPr>
      <w:r>
        <w:rPr>
          <w:rStyle w:val="CommentReference"/>
        </w:rPr>
        <w:annotationRef/>
      </w:r>
      <w:r>
        <w:t>Open to suggestions!</w:t>
      </w:r>
    </w:p>
  </w:comment>
  <w:comment w:id="1" w:author="Nick Smith" w:date="2022-06-04T11:57:00Z" w:initials="NGS">
    <w:p w14:paraId="27E54AE4" w14:textId="536701E4" w:rsidR="00072D81" w:rsidRDefault="00072D81">
      <w:pPr>
        <w:pStyle w:val="CommentText"/>
      </w:pPr>
      <w:r>
        <w:rPr>
          <w:rStyle w:val="CommentReference"/>
        </w:rPr>
        <w:annotationRef/>
      </w:r>
      <w:r>
        <w:t>I’d maybe wait for a “main conclusion” to use here</w:t>
      </w:r>
    </w:p>
  </w:comment>
  <w:comment w:id="2" w:author="Perkowski, Evan A" w:date="2022-07-12T17:05:00Z" w:initials="PEA">
    <w:p w14:paraId="44EC6C88" w14:textId="469586A9" w:rsidR="00237528" w:rsidRDefault="00237528">
      <w:pPr>
        <w:pStyle w:val="CommentText"/>
      </w:pPr>
      <w:r>
        <w:rPr>
          <w:rStyle w:val="CommentReference"/>
        </w:rPr>
        <w:annotationRef/>
      </w:r>
      <w:r>
        <w:t>Check once article comes through via doc delivery</w:t>
      </w:r>
    </w:p>
  </w:comment>
  <w:comment w:id="3" w:author="Perkowski, Evan A" w:date="2022-05-13T13:42:00Z" w:initials="PEA">
    <w:p w14:paraId="003F850E" w14:textId="476E9931" w:rsidR="00072D81" w:rsidRDefault="00072D81">
      <w:pPr>
        <w:pStyle w:val="CommentText"/>
      </w:pPr>
      <w:r>
        <w:rPr>
          <w:rStyle w:val="CommentReference"/>
        </w:rPr>
        <w:annotationRef/>
      </w:r>
      <w:r>
        <w:t>Joseph, is this correct? I took a stab at a number, but couldn’t remember how long you had put the soil in the steam sterilizer</w:t>
      </w:r>
    </w:p>
  </w:comment>
  <w:comment w:id="4" w:author="Perkowski, Evan A" w:date="2022-06-09T14:18:00Z" w:initials="PEA">
    <w:p w14:paraId="6F8B68A6" w14:textId="77777777" w:rsidR="008B6B1D" w:rsidRDefault="008B6B1D" w:rsidP="008B6B1D">
      <w:pPr>
        <w:pStyle w:val="CommentText"/>
      </w:pPr>
      <w:r>
        <w:rPr>
          <w:rStyle w:val="CommentReference"/>
        </w:rPr>
        <w:annotationRef/>
      </w:r>
      <w:r>
        <w:t>Change panel C to Nag + Nbg</w:t>
      </w:r>
    </w:p>
  </w:comment>
  <w:comment w:id="5" w:author="Nick Smith" w:date="2022-06-04T12:30:00Z" w:initials="NGS">
    <w:p w14:paraId="571CEF61" w14:textId="7B92AD6F" w:rsidR="00950F50" w:rsidRDefault="00950F50">
      <w:pPr>
        <w:pStyle w:val="CommentText"/>
      </w:pPr>
      <w:r>
        <w:rPr>
          <w:rStyle w:val="CommentReference"/>
        </w:rPr>
        <w:annotationRef/>
      </w:r>
      <w:r>
        <w:t>I like this one and you could maybe broaden it to include inoculation as well</w:t>
      </w:r>
      <w:r w:rsidR="008A60A5">
        <w:t>. Additional main point is that aspects of PCLT need to likely consider whole plant effects</w:t>
      </w:r>
    </w:p>
  </w:comment>
  <w:comment w:id="6" w:author="Nick Smith" w:date="2022-06-04T12:32:00Z" w:initials="NGS">
    <w:p w14:paraId="6C18348B" w14:textId="1B38B5DD" w:rsidR="000E7D92" w:rsidRDefault="000E7D92">
      <w:pPr>
        <w:pStyle w:val="CommentText"/>
      </w:pPr>
      <w:r>
        <w:rPr>
          <w:rStyle w:val="CommentReference"/>
        </w:rPr>
        <w:annotationRef/>
      </w:r>
      <w:r>
        <w:t>Not so sure about this one?</w:t>
      </w:r>
    </w:p>
  </w:comment>
  <w:comment w:id="7" w:author="Nick Smith" w:date="2022-06-04T12:31:00Z" w:initials="NGS">
    <w:p w14:paraId="26A05523" w14:textId="7A2FD791" w:rsidR="00950F50" w:rsidRDefault="00950F50">
      <w:pPr>
        <w:pStyle w:val="CommentText"/>
      </w:pPr>
      <w:r>
        <w:rPr>
          <w:rStyle w:val="CommentReference"/>
        </w:rPr>
        <w:annotationRef/>
      </w:r>
      <w:r>
        <w:t>I like this one too!</w:t>
      </w:r>
    </w:p>
  </w:comment>
  <w:comment w:id="8" w:author="Nick Smith" w:date="2022-06-04T12:33:00Z" w:initials="NGS">
    <w:p w14:paraId="0B957133" w14:textId="77777777" w:rsidR="00BB1C61" w:rsidRDefault="00BB1C61">
      <w:pPr>
        <w:pStyle w:val="CommentText"/>
      </w:pPr>
      <w:r>
        <w:rPr>
          <w:rStyle w:val="CommentReference"/>
        </w:rPr>
        <w:annotationRef/>
      </w:r>
      <w:r>
        <w:t>Another way to think of main points is to think of what models should be doing as a result of your study. E.g.,</w:t>
      </w:r>
    </w:p>
    <w:p w14:paraId="326BE73A" w14:textId="77777777" w:rsidR="00BB1C61" w:rsidRDefault="00BB1C61">
      <w:pPr>
        <w:pStyle w:val="CommentText"/>
      </w:pPr>
    </w:p>
    <w:p w14:paraId="5AD8D30D" w14:textId="0A6F52B0" w:rsidR="00BB1C61" w:rsidRDefault="00BB1C61" w:rsidP="00BB1C61">
      <w:pPr>
        <w:pStyle w:val="CommentText"/>
        <w:numPr>
          <w:ilvl w:val="0"/>
          <w:numId w:val="5"/>
        </w:numPr>
      </w:pPr>
      <w:r>
        <w:t xml:space="preserve">Stop assuming link between soil N-leaf N-photosynthesis. Soil N-leaf N link is </w:t>
      </w:r>
      <w:r w:rsidR="00FE43A0">
        <w:t xml:space="preserve">maybe </w:t>
      </w:r>
      <w:r>
        <w:t xml:space="preserve">fine, but the leaf N-photosynthesis link is not (could also show this with </w:t>
      </w:r>
      <w:r w:rsidR="0007464E">
        <w:t>a</w:t>
      </w:r>
      <w:r>
        <w:t xml:space="preserve"> figure)</w:t>
      </w:r>
    </w:p>
    <w:p w14:paraId="77F242B1" w14:textId="77777777" w:rsidR="00BB1C61" w:rsidRDefault="00BB1C61" w:rsidP="00BB1C61">
      <w:pPr>
        <w:pStyle w:val="CommentText"/>
        <w:numPr>
          <w:ilvl w:val="0"/>
          <w:numId w:val="5"/>
        </w:numPr>
      </w:pPr>
      <w:r>
        <w:t>Need to be able to simulation whole plant C-cost to obtain N under varying soil N and in species with different acquisition strategies</w:t>
      </w:r>
    </w:p>
    <w:p w14:paraId="7E3D999B" w14:textId="77777777" w:rsidR="00BB1C61" w:rsidRDefault="00BB1C61" w:rsidP="00BB1C61">
      <w:pPr>
        <w:pStyle w:val="CommentText"/>
        <w:numPr>
          <w:ilvl w:val="0"/>
          <w:numId w:val="5"/>
        </w:numPr>
      </w:pPr>
      <w:r>
        <w:t>Need to simulate change in acquisition strategy with leaf N</w:t>
      </w:r>
    </w:p>
    <w:p w14:paraId="4E54EE94" w14:textId="4927DC84" w:rsidR="00BB1C61" w:rsidRDefault="00BB1C61" w:rsidP="00BB1C61">
      <w:pPr>
        <w:pStyle w:val="CommentText"/>
        <w:numPr>
          <w:ilvl w:val="0"/>
          <w:numId w:val="5"/>
        </w:numPr>
      </w:pPr>
      <w:r>
        <w:t>Need to simulate change in biomass with increasing N uptake that is independent of leaf photosynthesis</w:t>
      </w:r>
    </w:p>
  </w:comment>
  <w:comment w:id="9" w:author="Nick Smith" w:date="2022-06-04T12:36:00Z" w:initials="NGS">
    <w:p w14:paraId="60D4A7B5" w14:textId="0A10AF8A" w:rsidR="00482C17" w:rsidRDefault="00482C17">
      <w:pPr>
        <w:pStyle w:val="CommentText"/>
      </w:pPr>
      <w:r>
        <w:rPr>
          <w:rStyle w:val="CommentReference"/>
        </w:rPr>
        <w:annotationRef/>
      </w:r>
      <w:r>
        <w:t>Will need to find the proper wording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B548" w15:done="0"/>
  <w15:commentEx w15:paraId="27E54AE4" w15:paraIdParent="1B0AB548" w15:done="0"/>
  <w15:commentEx w15:paraId="44EC6C88" w15:done="0"/>
  <w15:commentEx w15:paraId="003F850E" w15:done="0"/>
  <w15:commentEx w15:paraId="6F8B68A6" w15:done="0"/>
  <w15:commentEx w15:paraId="571CEF61" w15:done="0"/>
  <w15:commentEx w15:paraId="6C18348B" w15:done="0"/>
  <w15:commentEx w15:paraId="26A05523" w15:done="0"/>
  <w15:commentEx w15:paraId="4E54EE94" w15:done="0"/>
  <w15:commentEx w15:paraId="60D4A7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ED54" w16cex:dateUtc="2022-05-17T14:45:00Z"/>
  <w16cex:commentExtensible w16cex:durableId="26782849" w16cex:dateUtc="2022-07-12T22:05:00Z"/>
  <w16cex:commentExtensible w16cex:durableId="2628DEDC" w16cex:dateUtc="2022-05-13T18:42:00Z"/>
  <w16cex:commentExtensible w16cex:durableId="264C7FA4" w16cex:dateUtc="2022-06-09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B548" w16cid:durableId="262DED54"/>
  <w16cid:commentId w16cid:paraId="27E54AE4" w16cid:durableId="2645C712"/>
  <w16cid:commentId w16cid:paraId="44EC6C88" w16cid:durableId="26782849"/>
  <w16cid:commentId w16cid:paraId="003F850E" w16cid:durableId="2628DEDC"/>
  <w16cid:commentId w16cid:paraId="6F8B68A6" w16cid:durableId="264C7FA4"/>
  <w16cid:commentId w16cid:paraId="571CEF61" w16cid:durableId="2645CEE6"/>
  <w16cid:commentId w16cid:paraId="6C18348B" w16cid:durableId="2645CF6F"/>
  <w16cid:commentId w16cid:paraId="26A05523" w16cid:durableId="2645CF25"/>
  <w16cid:commentId w16cid:paraId="4E54EE94" w16cid:durableId="2645CF7D"/>
  <w16cid:commentId w16cid:paraId="60D4A7B5" w16cid:durableId="2645D0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972"/>
    <w:multiLevelType w:val="hybridMultilevel"/>
    <w:tmpl w:val="3E84DDC2"/>
    <w:lvl w:ilvl="0" w:tplc="C554C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6968">
    <w:abstractNumId w:val="5"/>
  </w:num>
  <w:num w:numId="2" w16cid:durableId="1090781271">
    <w:abstractNumId w:val="2"/>
  </w:num>
  <w:num w:numId="3" w16cid:durableId="484861162">
    <w:abstractNumId w:val="1"/>
  </w:num>
  <w:num w:numId="4" w16cid:durableId="619260975">
    <w:abstractNumId w:val="0"/>
  </w:num>
  <w:num w:numId="5" w16cid:durableId="1445265814">
    <w:abstractNumId w:val="4"/>
  </w:num>
  <w:num w:numId="6" w16cid:durableId="18194968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103A6"/>
    <w:rsid w:val="000137B5"/>
    <w:rsid w:val="00013F5C"/>
    <w:rsid w:val="00015827"/>
    <w:rsid w:val="00021BEB"/>
    <w:rsid w:val="000424C7"/>
    <w:rsid w:val="000443A6"/>
    <w:rsid w:val="00047FF3"/>
    <w:rsid w:val="00055528"/>
    <w:rsid w:val="00061330"/>
    <w:rsid w:val="00071365"/>
    <w:rsid w:val="00072D81"/>
    <w:rsid w:val="0007464E"/>
    <w:rsid w:val="0007680C"/>
    <w:rsid w:val="00080882"/>
    <w:rsid w:val="000846E5"/>
    <w:rsid w:val="00086E13"/>
    <w:rsid w:val="00091EA0"/>
    <w:rsid w:val="00096CD6"/>
    <w:rsid w:val="00097A1D"/>
    <w:rsid w:val="000A15F3"/>
    <w:rsid w:val="000A24B2"/>
    <w:rsid w:val="000B0465"/>
    <w:rsid w:val="000B35AF"/>
    <w:rsid w:val="000B69B8"/>
    <w:rsid w:val="000C5833"/>
    <w:rsid w:val="000D2FE4"/>
    <w:rsid w:val="000D5B61"/>
    <w:rsid w:val="000E1A24"/>
    <w:rsid w:val="000E40BD"/>
    <w:rsid w:val="000E7D92"/>
    <w:rsid w:val="000F0314"/>
    <w:rsid w:val="000F1E36"/>
    <w:rsid w:val="00106FCE"/>
    <w:rsid w:val="0011017D"/>
    <w:rsid w:val="00114DDF"/>
    <w:rsid w:val="00115F98"/>
    <w:rsid w:val="00116583"/>
    <w:rsid w:val="001227FA"/>
    <w:rsid w:val="00125358"/>
    <w:rsid w:val="00126F94"/>
    <w:rsid w:val="00131777"/>
    <w:rsid w:val="00140846"/>
    <w:rsid w:val="00140BC4"/>
    <w:rsid w:val="001438DB"/>
    <w:rsid w:val="00146410"/>
    <w:rsid w:val="001500C2"/>
    <w:rsid w:val="00150CFB"/>
    <w:rsid w:val="00166B47"/>
    <w:rsid w:val="00167EA8"/>
    <w:rsid w:val="0017601E"/>
    <w:rsid w:val="00181F29"/>
    <w:rsid w:val="00182295"/>
    <w:rsid w:val="00192404"/>
    <w:rsid w:val="001A31D4"/>
    <w:rsid w:val="001A4127"/>
    <w:rsid w:val="001A5E20"/>
    <w:rsid w:val="001A5F2D"/>
    <w:rsid w:val="001A743B"/>
    <w:rsid w:val="001B143E"/>
    <w:rsid w:val="001B21C7"/>
    <w:rsid w:val="001B3B2A"/>
    <w:rsid w:val="001C1F9E"/>
    <w:rsid w:val="001C6743"/>
    <w:rsid w:val="001D0903"/>
    <w:rsid w:val="001D15E4"/>
    <w:rsid w:val="001D4CE3"/>
    <w:rsid w:val="001D541B"/>
    <w:rsid w:val="001D79F3"/>
    <w:rsid w:val="001E4DC0"/>
    <w:rsid w:val="001F09BC"/>
    <w:rsid w:val="001F254A"/>
    <w:rsid w:val="001F2D5E"/>
    <w:rsid w:val="001F5FF5"/>
    <w:rsid w:val="00204F81"/>
    <w:rsid w:val="002177ED"/>
    <w:rsid w:val="00217A2E"/>
    <w:rsid w:val="0022275C"/>
    <w:rsid w:val="00224179"/>
    <w:rsid w:val="00231617"/>
    <w:rsid w:val="00235EDC"/>
    <w:rsid w:val="00237528"/>
    <w:rsid w:val="0025668C"/>
    <w:rsid w:val="00262143"/>
    <w:rsid w:val="00264E17"/>
    <w:rsid w:val="00265035"/>
    <w:rsid w:val="00266AD9"/>
    <w:rsid w:val="00266FA1"/>
    <w:rsid w:val="00267C61"/>
    <w:rsid w:val="00270350"/>
    <w:rsid w:val="00271F6C"/>
    <w:rsid w:val="00272DB1"/>
    <w:rsid w:val="00272E59"/>
    <w:rsid w:val="00283F06"/>
    <w:rsid w:val="00287D42"/>
    <w:rsid w:val="0029276A"/>
    <w:rsid w:val="00293580"/>
    <w:rsid w:val="002948B1"/>
    <w:rsid w:val="002948E0"/>
    <w:rsid w:val="00295B37"/>
    <w:rsid w:val="002A0FC6"/>
    <w:rsid w:val="002A5009"/>
    <w:rsid w:val="002C2B2A"/>
    <w:rsid w:val="002C2D4C"/>
    <w:rsid w:val="002C360E"/>
    <w:rsid w:val="002C4FBE"/>
    <w:rsid w:val="002C5045"/>
    <w:rsid w:val="002D044D"/>
    <w:rsid w:val="002D150D"/>
    <w:rsid w:val="002D49E3"/>
    <w:rsid w:val="002D7F0E"/>
    <w:rsid w:val="002E7D85"/>
    <w:rsid w:val="002F0BBB"/>
    <w:rsid w:val="002F24D6"/>
    <w:rsid w:val="002F3BA4"/>
    <w:rsid w:val="002F57B0"/>
    <w:rsid w:val="003003F0"/>
    <w:rsid w:val="003032DB"/>
    <w:rsid w:val="00303814"/>
    <w:rsid w:val="00303F2D"/>
    <w:rsid w:val="0030516D"/>
    <w:rsid w:val="0030650A"/>
    <w:rsid w:val="00310558"/>
    <w:rsid w:val="00322974"/>
    <w:rsid w:val="0033651D"/>
    <w:rsid w:val="00340D31"/>
    <w:rsid w:val="00345929"/>
    <w:rsid w:val="00350162"/>
    <w:rsid w:val="00351491"/>
    <w:rsid w:val="00351A75"/>
    <w:rsid w:val="00353731"/>
    <w:rsid w:val="00360D30"/>
    <w:rsid w:val="00371C20"/>
    <w:rsid w:val="00376DE0"/>
    <w:rsid w:val="0038171F"/>
    <w:rsid w:val="0038539A"/>
    <w:rsid w:val="003873F0"/>
    <w:rsid w:val="003918A1"/>
    <w:rsid w:val="00391A1D"/>
    <w:rsid w:val="003A7574"/>
    <w:rsid w:val="003B2924"/>
    <w:rsid w:val="003B410D"/>
    <w:rsid w:val="003B4F23"/>
    <w:rsid w:val="003B6FAA"/>
    <w:rsid w:val="003B782E"/>
    <w:rsid w:val="003C51C9"/>
    <w:rsid w:val="003C6063"/>
    <w:rsid w:val="003D3439"/>
    <w:rsid w:val="003D74E1"/>
    <w:rsid w:val="003E1FC7"/>
    <w:rsid w:val="003E355C"/>
    <w:rsid w:val="003F2A85"/>
    <w:rsid w:val="00400618"/>
    <w:rsid w:val="004035F7"/>
    <w:rsid w:val="004039EE"/>
    <w:rsid w:val="00403BBD"/>
    <w:rsid w:val="004111A1"/>
    <w:rsid w:val="00412BAB"/>
    <w:rsid w:val="00417C57"/>
    <w:rsid w:val="00421AE0"/>
    <w:rsid w:val="00421BAA"/>
    <w:rsid w:val="00430044"/>
    <w:rsid w:val="00431B7D"/>
    <w:rsid w:val="00433868"/>
    <w:rsid w:val="00437175"/>
    <w:rsid w:val="00440CFF"/>
    <w:rsid w:val="00443328"/>
    <w:rsid w:val="00447752"/>
    <w:rsid w:val="0045096E"/>
    <w:rsid w:val="00451CDF"/>
    <w:rsid w:val="00451ED1"/>
    <w:rsid w:val="00460656"/>
    <w:rsid w:val="00460EB9"/>
    <w:rsid w:val="00462729"/>
    <w:rsid w:val="0046396A"/>
    <w:rsid w:val="00464BF7"/>
    <w:rsid w:val="0046524E"/>
    <w:rsid w:val="004654D8"/>
    <w:rsid w:val="00467321"/>
    <w:rsid w:val="004764EB"/>
    <w:rsid w:val="00477955"/>
    <w:rsid w:val="0048004A"/>
    <w:rsid w:val="00482C17"/>
    <w:rsid w:val="0048753D"/>
    <w:rsid w:val="00490BC5"/>
    <w:rsid w:val="0049190E"/>
    <w:rsid w:val="00492888"/>
    <w:rsid w:val="004940A0"/>
    <w:rsid w:val="00497794"/>
    <w:rsid w:val="004A35A3"/>
    <w:rsid w:val="004A3DE5"/>
    <w:rsid w:val="004A6C35"/>
    <w:rsid w:val="004A6E69"/>
    <w:rsid w:val="004B1EA4"/>
    <w:rsid w:val="004B5E0F"/>
    <w:rsid w:val="004B7F18"/>
    <w:rsid w:val="004C0BD2"/>
    <w:rsid w:val="004C3C71"/>
    <w:rsid w:val="004C7C0C"/>
    <w:rsid w:val="004C7C69"/>
    <w:rsid w:val="004F4C11"/>
    <w:rsid w:val="00502BC6"/>
    <w:rsid w:val="005052B7"/>
    <w:rsid w:val="0051142F"/>
    <w:rsid w:val="00515D2D"/>
    <w:rsid w:val="005174E3"/>
    <w:rsid w:val="005214CF"/>
    <w:rsid w:val="00521B92"/>
    <w:rsid w:val="00524F9C"/>
    <w:rsid w:val="00526968"/>
    <w:rsid w:val="00532E28"/>
    <w:rsid w:val="00534BFA"/>
    <w:rsid w:val="0053745F"/>
    <w:rsid w:val="005379AB"/>
    <w:rsid w:val="00547EA6"/>
    <w:rsid w:val="00550616"/>
    <w:rsid w:val="00565C0A"/>
    <w:rsid w:val="00566FD1"/>
    <w:rsid w:val="00573C0E"/>
    <w:rsid w:val="005921A6"/>
    <w:rsid w:val="005942F6"/>
    <w:rsid w:val="00594F9B"/>
    <w:rsid w:val="005968A5"/>
    <w:rsid w:val="005A3AD9"/>
    <w:rsid w:val="005A73E0"/>
    <w:rsid w:val="005A7A45"/>
    <w:rsid w:val="005B21F4"/>
    <w:rsid w:val="005B6DED"/>
    <w:rsid w:val="005C40DF"/>
    <w:rsid w:val="005D006F"/>
    <w:rsid w:val="005D3C45"/>
    <w:rsid w:val="005E3C64"/>
    <w:rsid w:val="005E752C"/>
    <w:rsid w:val="005F0602"/>
    <w:rsid w:val="005F1477"/>
    <w:rsid w:val="005F5455"/>
    <w:rsid w:val="00601827"/>
    <w:rsid w:val="00602B12"/>
    <w:rsid w:val="00607987"/>
    <w:rsid w:val="0061158F"/>
    <w:rsid w:val="00611A5F"/>
    <w:rsid w:val="00613A93"/>
    <w:rsid w:val="006157EC"/>
    <w:rsid w:val="006160E5"/>
    <w:rsid w:val="006209EB"/>
    <w:rsid w:val="00621781"/>
    <w:rsid w:val="00621CDE"/>
    <w:rsid w:val="00642465"/>
    <w:rsid w:val="0065127B"/>
    <w:rsid w:val="00651708"/>
    <w:rsid w:val="00654A55"/>
    <w:rsid w:val="006569E0"/>
    <w:rsid w:val="0066049F"/>
    <w:rsid w:val="00674BF3"/>
    <w:rsid w:val="00675662"/>
    <w:rsid w:val="00684F12"/>
    <w:rsid w:val="00696F09"/>
    <w:rsid w:val="006A0837"/>
    <w:rsid w:val="006A394B"/>
    <w:rsid w:val="006A5366"/>
    <w:rsid w:val="006B734B"/>
    <w:rsid w:val="006C0352"/>
    <w:rsid w:val="006C060E"/>
    <w:rsid w:val="006C50B8"/>
    <w:rsid w:val="006C759F"/>
    <w:rsid w:val="006D1951"/>
    <w:rsid w:val="006D3E93"/>
    <w:rsid w:val="006D7E2D"/>
    <w:rsid w:val="006E0881"/>
    <w:rsid w:val="006E3A3D"/>
    <w:rsid w:val="006E7608"/>
    <w:rsid w:val="006F4B04"/>
    <w:rsid w:val="007022D1"/>
    <w:rsid w:val="0072033E"/>
    <w:rsid w:val="00723F29"/>
    <w:rsid w:val="00727F3E"/>
    <w:rsid w:val="0073086F"/>
    <w:rsid w:val="007320E5"/>
    <w:rsid w:val="00746CCB"/>
    <w:rsid w:val="00751149"/>
    <w:rsid w:val="00754725"/>
    <w:rsid w:val="00763DFE"/>
    <w:rsid w:val="00766809"/>
    <w:rsid w:val="00772287"/>
    <w:rsid w:val="00772D20"/>
    <w:rsid w:val="00774D67"/>
    <w:rsid w:val="007755C4"/>
    <w:rsid w:val="00777671"/>
    <w:rsid w:val="00786D44"/>
    <w:rsid w:val="00790B8B"/>
    <w:rsid w:val="0079226D"/>
    <w:rsid w:val="00792D5B"/>
    <w:rsid w:val="007935E9"/>
    <w:rsid w:val="007A082A"/>
    <w:rsid w:val="007A2F1C"/>
    <w:rsid w:val="007A66FD"/>
    <w:rsid w:val="007A7928"/>
    <w:rsid w:val="007B12CC"/>
    <w:rsid w:val="007B13FC"/>
    <w:rsid w:val="007B192C"/>
    <w:rsid w:val="007B1AFE"/>
    <w:rsid w:val="007B3063"/>
    <w:rsid w:val="007B6BD6"/>
    <w:rsid w:val="007B7C4F"/>
    <w:rsid w:val="007C1C57"/>
    <w:rsid w:val="007C2F39"/>
    <w:rsid w:val="007C6B38"/>
    <w:rsid w:val="007D0701"/>
    <w:rsid w:val="007D2877"/>
    <w:rsid w:val="007E5400"/>
    <w:rsid w:val="007E6FDF"/>
    <w:rsid w:val="007E743D"/>
    <w:rsid w:val="007F426D"/>
    <w:rsid w:val="007F4329"/>
    <w:rsid w:val="00806371"/>
    <w:rsid w:val="0081139F"/>
    <w:rsid w:val="00813CB8"/>
    <w:rsid w:val="00817E03"/>
    <w:rsid w:val="00831D90"/>
    <w:rsid w:val="00847557"/>
    <w:rsid w:val="0084793A"/>
    <w:rsid w:val="00850627"/>
    <w:rsid w:val="00850723"/>
    <w:rsid w:val="00852AF7"/>
    <w:rsid w:val="0085460C"/>
    <w:rsid w:val="00867812"/>
    <w:rsid w:val="0087300A"/>
    <w:rsid w:val="00876B7A"/>
    <w:rsid w:val="00884550"/>
    <w:rsid w:val="00885391"/>
    <w:rsid w:val="008854FF"/>
    <w:rsid w:val="008873DD"/>
    <w:rsid w:val="00887478"/>
    <w:rsid w:val="00895284"/>
    <w:rsid w:val="0089764A"/>
    <w:rsid w:val="008A60A5"/>
    <w:rsid w:val="008B6B1D"/>
    <w:rsid w:val="008C398A"/>
    <w:rsid w:val="008C4F5B"/>
    <w:rsid w:val="008C56B6"/>
    <w:rsid w:val="008D34FA"/>
    <w:rsid w:val="008D46B4"/>
    <w:rsid w:val="008D6E2F"/>
    <w:rsid w:val="008E2BDE"/>
    <w:rsid w:val="008E75B9"/>
    <w:rsid w:val="008E7FEB"/>
    <w:rsid w:val="008F26FA"/>
    <w:rsid w:val="008F457A"/>
    <w:rsid w:val="008F6058"/>
    <w:rsid w:val="009018A1"/>
    <w:rsid w:val="00902FD9"/>
    <w:rsid w:val="00912680"/>
    <w:rsid w:val="0091473E"/>
    <w:rsid w:val="009162CB"/>
    <w:rsid w:val="00916FB5"/>
    <w:rsid w:val="009214F3"/>
    <w:rsid w:val="00926F7B"/>
    <w:rsid w:val="009273E2"/>
    <w:rsid w:val="0093380B"/>
    <w:rsid w:val="00936914"/>
    <w:rsid w:val="00947B9C"/>
    <w:rsid w:val="00947C65"/>
    <w:rsid w:val="00950F50"/>
    <w:rsid w:val="009515D2"/>
    <w:rsid w:val="00956882"/>
    <w:rsid w:val="00957D32"/>
    <w:rsid w:val="00973FA7"/>
    <w:rsid w:val="00984B84"/>
    <w:rsid w:val="00987718"/>
    <w:rsid w:val="00987F23"/>
    <w:rsid w:val="00993546"/>
    <w:rsid w:val="00996C9F"/>
    <w:rsid w:val="009A02EE"/>
    <w:rsid w:val="009A5542"/>
    <w:rsid w:val="009A60BD"/>
    <w:rsid w:val="009B1682"/>
    <w:rsid w:val="009C62F2"/>
    <w:rsid w:val="009C63FC"/>
    <w:rsid w:val="009C6E53"/>
    <w:rsid w:val="009D2C98"/>
    <w:rsid w:val="009D3874"/>
    <w:rsid w:val="009D6499"/>
    <w:rsid w:val="009D6E5B"/>
    <w:rsid w:val="009D7ED8"/>
    <w:rsid w:val="009E304C"/>
    <w:rsid w:val="009E31F0"/>
    <w:rsid w:val="009E6ED3"/>
    <w:rsid w:val="009F0F34"/>
    <w:rsid w:val="009F14D5"/>
    <w:rsid w:val="00A03A1B"/>
    <w:rsid w:val="00A07AF4"/>
    <w:rsid w:val="00A10AB7"/>
    <w:rsid w:val="00A138D0"/>
    <w:rsid w:val="00A13B09"/>
    <w:rsid w:val="00A1612D"/>
    <w:rsid w:val="00A163C6"/>
    <w:rsid w:val="00A25EB2"/>
    <w:rsid w:val="00A30C53"/>
    <w:rsid w:val="00A3337F"/>
    <w:rsid w:val="00A33E81"/>
    <w:rsid w:val="00A33FE7"/>
    <w:rsid w:val="00A34369"/>
    <w:rsid w:val="00A433B8"/>
    <w:rsid w:val="00A44260"/>
    <w:rsid w:val="00A4564D"/>
    <w:rsid w:val="00A461D6"/>
    <w:rsid w:val="00A46FE6"/>
    <w:rsid w:val="00A57BBF"/>
    <w:rsid w:val="00A656A3"/>
    <w:rsid w:val="00A71069"/>
    <w:rsid w:val="00A73883"/>
    <w:rsid w:val="00A747FF"/>
    <w:rsid w:val="00A754EC"/>
    <w:rsid w:val="00A85036"/>
    <w:rsid w:val="00A9041E"/>
    <w:rsid w:val="00A97B6C"/>
    <w:rsid w:val="00A97E81"/>
    <w:rsid w:val="00AA5502"/>
    <w:rsid w:val="00AA6BAB"/>
    <w:rsid w:val="00AB17F0"/>
    <w:rsid w:val="00AB654B"/>
    <w:rsid w:val="00AC38E7"/>
    <w:rsid w:val="00AD6759"/>
    <w:rsid w:val="00AF1559"/>
    <w:rsid w:val="00AF17C1"/>
    <w:rsid w:val="00AF426E"/>
    <w:rsid w:val="00B035D5"/>
    <w:rsid w:val="00B11CB2"/>
    <w:rsid w:val="00B20D1B"/>
    <w:rsid w:val="00B310D2"/>
    <w:rsid w:val="00B33741"/>
    <w:rsid w:val="00B346E3"/>
    <w:rsid w:val="00B452E0"/>
    <w:rsid w:val="00B55208"/>
    <w:rsid w:val="00B601C0"/>
    <w:rsid w:val="00B62938"/>
    <w:rsid w:val="00B65114"/>
    <w:rsid w:val="00B84938"/>
    <w:rsid w:val="00B86B96"/>
    <w:rsid w:val="00B877FE"/>
    <w:rsid w:val="00B92FF2"/>
    <w:rsid w:val="00BA5B53"/>
    <w:rsid w:val="00BA75F3"/>
    <w:rsid w:val="00BB175D"/>
    <w:rsid w:val="00BB1C61"/>
    <w:rsid w:val="00BB1D36"/>
    <w:rsid w:val="00BB5F98"/>
    <w:rsid w:val="00BC0551"/>
    <w:rsid w:val="00BC7961"/>
    <w:rsid w:val="00BD310E"/>
    <w:rsid w:val="00BD4037"/>
    <w:rsid w:val="00BE2568"/>
    <w:rsid w:val="00BE583F"/>
    <w:rsid w:val="00BF3222"/>
    <w:rsid w:val="00BF7930"/>
    <w:rsid w:val="00C074CA"/>
    <w:rsid w:val="00C07F2A"/>
    <w:rsid w:val="00C15F8B"/>
    <w:rsid w:val="00C24060"/>
    <w:rsid w:val="00C26E3E"/>
    <w:rsid w:val="00C32E51"/>
    <w:rsid w:val="00C377A1"/>
    <w:rsid w:val="00C4037A"/>
    <w:rsid w:val="00C41A80"/>
    <w:rsid w:val="00C4618D"/>
    <w:rsid w:val="00C57242"/>
    <w:rsid w:val="00C6042C"/>
    <w:rsid w:val="00C64309"/>
    <w:rsid w:val="00C654B2"/>
    <w:rsid w:val="00C66EFD"/>
    <w:rsid w:val="00C70352"/>
    <w:rsid w:val="00C70400"/>
    <w:rsid w:val="00C72B7A"/>
    <w:rsid w:val="00C7318F"/>
    <w:rsid w:val="00C75D20"/>
    <w:rsid w:val="00C8325C"/>
    <w:rsid w:val="00C859D6"/>
    <w:rsid w:val="00CA0627"/>
    <w:rsid w:val="00CB446B"/>
    <w:rsid w:val="00CC06E6"/>
    <w:rsid w:val="00CC1CCF"/>
    <w:rsid w:val="00CC3B0A"/>
    <w:rsid w:val="00CC5E7B"/>
    <w:rsid w:val="00CE366A"/>
    <w:rsid w:val="00CE771F"/>
    <w:rsid w:val="00CF0D09"/>
    <w:rsid w:val="00CF48BE"/>
    <w:rsid w:val="00D0019D"/>
    <w:rsid w:val="00D01503"/>
    <w:rsid w:val="00D04ECF"/>
    <w:rsid w:val="00D05C84"/>
    <w:rsid w:val="00D14794"/>
    <w:rsid w:val="00D16FB9"/>
    <w:rsid w:val="00D17106"/>
    <w:rsid w:val="00D21DBD"/>
    <w:rsid w:val="00D272B1"/>
    <w:rsid w:val="00D279E9"/>
    <w:rsid w:val="00D3527E"/>
    <w:rsid w:val="00D35783"/>
    <w:rsid w:val="00D373FB"/>
    <w:rsid w:val="00D45E15"/>
    <w:rsid w:val="00D52C95"/>
    <w:rsid w:val="00D56C9D"/>
    <w:rsid w:val="00D6220B"/>
    <w:rsid w:val="00D634C4"/>
    <w:rsid w:val="00D64D0D"/>
    <w:rsid w:val="00D652DF"/>
    <w:rsid w:val="00D660CD"/>
    <w:rsid w:val="00D66A72"/>
    <w:rsid w:val="00D67D74"/>
    <w:rsid w:val="00D73281"/>
    <w:rsid w:val="00D80427"/>
    <w:rsid w:val="00D86784"/>
    <w:rsid w:val="00D87519"/>
    <w:rsid w:val="00D87CFC"/>
    <w:rsid w:val="00D9075F"/>
    <w:rsid w:val="00D90888"/>
    <w:rsid w:val="00D9618B"/>
    <w:rsid w:val="00DA006B"/>
    <w:rsid w:val="00DA425E"/>
    <w:rsid w:val="00DA72DC"/>
    <w:rsid w:val="00DB3A79"/>
    <w:rsid w:val="00DC1821"/>
    <w:rsid w:val="00DC3DBA"/>
    <w:rsid w:val="00DC4961"/>
    <w:rsid w:val="00DD0878"/>
    <w:rsid w:val="00DE2FE3"/>
    <w:rsid w:val="00DE33E1"/>
    <w:rsid w:val="00DE50D7"/>
    <w:rsid w:val="00E0208C"/>
    <w:rsid w:val="00E12B46"/>
    <w:rsid w:val="00E12FFE"/>
    <w:rsid w:val="00E16C50"/>
    <w:rsid w:val="00E16CA5"/>
    <w:rsid w:val="00E20912"/>
    <w:rsid w:val="00E20C33"/>
    <w:rsid w:val="00E2103C"/>
    <w:rsid w:val="00E217B4"/>
    <w:rsid w:val="00E23DE1"/>
    <w:rsid w:val="00E256F3"/>
    <w:rsid w:val="00E26AC6"/>
    <w:rsid w:val="00E27650"/>
    <w:rsid w:val="00E33726"/>
    <w:rsid w:val="00E353CB"/>
    <w:rsid w:val="00E372EE"/>
    <w:rsid w:val="00E44BFE"/>
    <w:rsid w:val="00E676AF"/>
    <w:rsid w:val="00E74A6D"/>
    <w:rsid w:val="00E83939"/>
    <w:rsid w:val="00E8768C"/>
    <w:rsid w:val="00E945AC"/>
    <w:rsid w:val="00EA0A3D"/>
    <w:rsid w:val="00EA15F8"/>
    <w:rsid w:val="00EA4E30"/>
    <w:rsid w:val="00EA5D43"/>
    <w:rsid w:val="00EB0C0F"/>
    <w:rsid w:val="00EB2706"/>
    <w:rsid w:val="00EB5CA3"/>
    <w:rsid w:val="00EC11A8"/>
    <w:rsid w:val="00EC2C0C"/>
    <w:rsid w:val="00EC6B47"/>
    <w:rsid w:val="00ED1628"/>
    <w:rsid w:val="00ED1773"/>
    <w:rsid w:val="00ED2735"/>
    <w:rsid w:val="00ED4CFC"/>
    <w:rsid w:val="00EE4443"/>
    <w:rsid w:val="00EE5B74"/>
    <w:rsid w:val="00EE601F"/>
    <w:rsid w:val="00EE796F"/>
    <w:rsid w:val="00EF1D97"/>
    <w:rsid w:val="00EF3C3C"/>
    <w:rsid w:val="00F00703"/>
    <w:rsid w:val="00F008CB"/>
    <w:rsid w:val="00F01DF2"/>
    <w:rsid w:val="00F073BB"/>
    <w:rsid w:val="00F07852"/>
    <w:rsid w:val="00F13EBD"/>
    <w:rsid w:val="00F15597"/>
    <w:rsid w:val="00F2556B"/>
    <w:rsid w:val="00F307CD"/>
    <w:rsid w:val="00F43CC6"/>
    <w:rsid w:val="00F4560A"/>
    <w:rsid w:val="00F5091C"/>
    <w:rsid w:val="00F57D74"/>
    <w:rsid w:val="00F633C1"/>
    <w:rsid w:val="00F640C8"/>
    <w:rsid w:val="00F645DB"/>
    <w:rsid w:val="00F706A9"/>
    <w:rsid w:val="00F75EB7"/>
    <w:rsid w:val="00F76F37"/>
    <w:rsid w:val="00F83744"/>
    <w:rsid w:val="00F871BB"/>
    <w:rsid w:val="00F87256"/>
    <w:rsid w:val="00F9445D"/>
    <w:rsid w:val="00FC0900"/>
    <w:rsid w:val="00FC4732"/>
    <w:rsid w:val="00FD1C5A"/>
    <w:rsid w:val="00FD777D"/>
    <w:rsid w:val="00FE31B0"/>
    <w:rsid w:val="00FE43A0"/>
    <w:rsid w:val="00FE5E18"/>
    <w:rsid w:val="00FE6DAB"/>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19BC5"/>
  <w14:defaultImageDpi w14:val="32767"/>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72D2-112C-D44E-B81D-5420291D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43</Pages>
  <Words>35320</Words>
  <Characters>201325</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236173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14</cp:revision>
  <dcterms:created xsi:type="dcterms:W3CDTF">2022-06-14T21:24:00Z</dcterms:created>
  <dcterms:modified xsi:type="dcterms:W3CDTF">2022-07-12T22:39:00Z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