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8CF0C" w14:textId="0CD85EF6" w:rsidR="00115F98" w:rsidRPr="00DA72DC" w:rsidRDefault="00754725" w:rsidP="00DA72DC">
      <w:pPr>
        <w:spacing w:line="480" w:lineRule="auto"/>
      </w:pPr>
      <w:r>
        <w:rPr>
          <w:b/>
          <w:bCs/>
        </w:rPr>
        <w:t>T</w:t>
      </w:r>
      <w:r w:rsidRPr="0070582B">
        <w:rPr>
          <w:b/>
          <w:bCs/>
        </w:rPr>
        <w:t>itle</w:t>
      </w:r>
      <w:r>
        <w:t xml:space="preserve">: </w:t>
      </w:r>
      <w:r w:rsidR="00FE4E0C">
        <w:t>Symbiotic nitrogen fixation reduces carbon costs of nitrogen acquisition under low, but not high, nitrogen availability</w:t>
      </w:r>
    </w:p>
    <w:p w14:paraId="296CE4EA" w14:textId="77777777" w:rsidR="00A754EC" w:rsidRDefault="00A754EC" w:rsidP="00DA72DC">
      <w:pPr>
        <w:spacing w:line="480" w:lineRule="auto"/>
        <w:rPr>
          <w:b/>
          <w:bCs/>
        </w:rPr>
      </w:pPr>
    </w:p>
    <w:p w14:paraId="12CF4620" w14:textId="649180BA" w:rsidR="00754725" w:rsidRPr="00AA5310" w:rsidRDefault="00754725" w:rsidP="00DA72DC">
      <w:pPr>
        <w:spacing w:line="480" w:lineRule="auto"/>
      </w:pPr>
      <w:r>
        <w:t>Evan A. Perkowski</w:t>
      </w:r>
      <w:r>
        <w:rPr>
          <w:vertAlign w:val="superscript"/>
        </w:rPr>
        <w:t>1</w:t>
      </w:r>
      <w:r>
        <w:t>, Joseph Terrones</w:t>
      </w:r>
      <w:r>
        <w:rPr>
          <w:vertAlign w:val="superscript"/>
        </w:rPr>
        <w:t>1</w:t>
      </w:r>
      <w:r>
        <w:t>, Hannah German</w:t>
      </w:r>
      <w:r>
        <w:rPr>
          <w:vertAlign w:val="superscript"/>
        </w:rPr>
        <w:t>1</w:t>
      </w:r>
      <w:r>
        <w:t>, Nicholas G. Smith</w:t>
      </w:r>
      <w:r>
        <w:rPr>
          <w:vertAlign w:val="superscript"/>
        </w:rPr>
        <w:t>1</w:t>
      </w:r>
      <w:r w:rsidR="00C56C83">
        <w:rPr>
          <w:vertAlign w:val="superscript"/>
        </w:rPr>
        <w:t>,*</w:t>
      </w:r>
    </w:p>
    <w:p w14:paraId="2E276304" w14:textId="667CFE6B" w:rsidR="00C56C83" w:rsidRDefault="00C56C83" w:rsidP="00DA72DC">
      <w:pPr>
        <w:spacing w:line="480" w:lineRule="auto"/>
        <w:rPr>
          <w:b/>
          <w:bCs/>
        </w:rPr>
      </w:pPr>
    </w:p>
    <w:p w14:paraId="11B70D55" w14:textId="4EB26DB4" w:rsidR="00754725" w:rsidRPr="00DA72DC" w:rsidRDefault="00754725" w:rsidP="00DA72DC">
      <w:pPr>
        <w:spacing w:line="480" w:lineRule="auto"/>
      </w:pPr>
      <w:r>
        <w:rPr>
          <w:vertAlign w:val="superscript"/>
        </w:rPr>
        <w:t>1</w:t>
      </w:r>
      <w:r>
        <w:t>Department of Biological Sciences, Texas Tech University, Lubbock, TX USA</w:t>
      </w:r>
    </w:p>
    <w:p w14:paraId="7F555C51" w14:textId="13A59BC8" w:rsidR="00A754EC" w:rsidRDefault="00A754EC" w:rsidP="00DA72DC">
      <w:pPr>
        <w:spacing w:line="480" w:lineRule="auto"/>
        <w:rPr>
          <w:b/>
        </w:rPr>
      </w:pPr>
    </w:p>
    <w:p w14:paraId="5355F908" w14:textId="3F3015F2" w:rsidR="00C56C83" w:rsidRPr="00984383" w:rsidRDefault="00C56C83" w:rsidP="00DA72DC">
      <w:pPr>
        <w:spacing w:line="480" w:lineRule="auto"/>
      </w:pPr>
      <w:r w:rsidRPr="00984383">
        <w:t>*Correspondence to:</w:t>
      </w:r>
    </w:p>
    <w:p w14:paraId="32C6C4D3" w14:textId="5A6DE2E4" w:rsidR="00C56C83" w:rsidRPr="00984383" w:rsidRDefault="00C56C83" w:rsidP="00DA72DC">
      <w:pPr>
        <w:spacing w:line="480" w:lineRule="auto"/>
      </w:pPr>
      <w:r w:rsidRPr="00984383">
        <w:t>Nicholas G. Smith</w:t>
      </w:r>
    </w:p>
    <w:p w14:paraId="44A62B08" w14:textId="20716E9A" w:rsidR="00C56C83" w:rsidRPr="00984383" w:rsidRDefault="00C56C83" w:rsidP="00DA72DC">
      <w:pPr>
        <w:spacing w:line="480" w:lineRule="auto"/>
      </w:pPr>
      <w:r w:rsidRPr="00984383">
        <w:t>2901 Main St.</w:t>
      </w:r>
    </w:p>
    <w:p w14:paraId="3AACC477" w14:textId="566EB1F3" w:rsidR="00C56C83" w:rsidRPr="00984383" w:rsidRDefault="00C56C83" w:rsidP="00DA72DC">
      <w:pPr>
        <w:spacing w:line="480" w:lineRule="auto"/>
      </w:pPr>
      <w:r w:rsidRPr="00984383">
        <w:t>Lubbock, TX 79409, USA</w:t>
      </w:r>
    </w:p>
    <w:p w14:paraId="6FADAC2A" w14:textId="7423F820" w:rsidR="00C56C83" w:rsidRPr="00984383" w:rsidRDefault="00C56C83" w:rsidP="00DA72DC">
      <w:pPr>
        <w:spacing w:line="480" w:lineRule="auto"/>
      </w:pPr>
      <w:r w:rsidRPr="00984383">
        <w:t>nick.smith@ttu.edu</w:t>
      </w:r>
    </w:p>
    <w:p w14:paraId="4F842D18" w14:textId="77777777" w:rsidR="00C56C83" w:rsidRDefault="00C56C83" w:rsidP="00DA72DC">
      <w:pPr>
        <w:spacing w:line="480" w:lineRule="auto"/>
        <w:rPr>
          <w:b/>
        </w:rPr>
      </w:pPr>
    </w:p>
    <w:p w14:paraId="36872CE1" w14:textId="7125BE74" w:rsidR="00754725" w:rsidRPr="002F526D" w:rsidRDefault="00754725" w:rsidP="00DA72DC">
      <w:pPr>
        <w:spacing w:line="480" w:lineRule="auto"/>
        <w:rPr>
          <w:b/>
        </w:rPr>
      </w:pPr>
      <w:r>
        <w:rPr>
          <w:b/>
        </w:rPr>
        <w:t>Manuscript details</w:t>
      </w:r>
    </w:p>
    <w:p w14:paraId="7AD173A6" w14:textId="16E53DEC" w:rsidR="00754725" w:rsidRDefault="00754725" w:rsidP="00DA72DC">
      <w:pPr>
        <w:spacing w:line="480" w:lineRule="auto"/>
        <w:rPr>
          <w:bCs/>
        </w:rPr>
      </w:pPr>
      <w:r w:rsidRPr="00895468">
        <w:rPr>
          <w:b/>
        </w:rPr>
        <w:t>Abstract:</w:t>
      </w:r>
      <w:r w:rsidR="00DA72DC" w:rsidRPr="00DA72DC">
        <w:rPr>
          <w:bCs/>
        </w:rPr>
        <w:t xml:space="preserve"> </w:t>
      </w:r>
      <w:r w:rsidR="00DA72DC">
        <w:rPr>
          <w:bCs/>
        </w:rPr>
        <w:t xml:space="preserve">XX </w:t>
      </w:r>
      <w:r w:rsidR="006569E0">
        <w:rPr>
          <w:bCs/>
        </w:rPr>
        <w:t>words</w:t>
      </w:r>
    </w:p>
    <w:p w14:paraId="504EA52F" w14:textId="73DC40BB" w:rsidR="00754725" w:rsidRDefault="00754725" w:rsidP="00DA72DC">
      <w:pPr>
        <w:spacing w:line="480" w:lineRule="auto"/>
        <w:rPr>
          <w:bCs/>
        </w:rPr>
      </w:pPr>
      <w:r w:rsidRPr="00006BDD">
        <w:rPr>
          <w:b/>
        </w:rPr>
        <w:t>Main text word count</w:t>
      </w:r>
      <w:r>
        <w:rPr>
          <w:bCs/>
        </w:rPr>
        <w:t>:</w:t>
      </w:r>
    </w:p>
    <w:p w14:paraId="7423DBE8" w14:textId="78AFD42E" w:rsidR="00754725" w:rsidRDefault="00754725" w:rsidP="00DA72DC">
      <w:pPr>
        <w:spacing w:line="480" w:lineRule="auto"/>
        <w:ind w:firstLine="720"/>
        <w:rPr>
          <w:bCs/>
        </w:rPr>
      </w:pPr>
      <w:r>
        <w:rPr>
          <w:bCs/>
        </w:rPr>
        <w:t xml:space="preserve">Introduction: </w:t>
      </w:r>
      <w:r w:rsidR="00DA72DC">
        <w:rPr>
          <w:bCs/>
        </w:rPr>
        <w:t xml:space="preserve">XX </w:t>
      </w:r>
      <w:r>
        <w:rPr>
          <w:bCs/>
        </w:rPr>
        <w:t>words</w:t>
      </w:r>
    </w:p>
    <w:p w14:paraId="1EB83956" w14:textId="5DA3D35B" w:rsidR="00754725" w:rsidRDefault="00754725" w:rsidP="00DA72DC">
      <w:pPr>
        <w:spacing w:line="480" w:lineRule="auto"/>
        <w:ind w:firstLine="720"/>
        <w:rPr>
          <w:bCs/>
        </w:rPr>
      </w:pPr>
      <w:r>
        <w:rPr>
          <w:bCs/>
        </w:rPr>
        <w:t xml:space="preserve">Methods: </w:t>
      </w:r>
      <w:r w:rsidR="00DA72DC">
        <w:rPr>
          <w:bCs/>
        </w:rPr>
        <w:t xml:space="preserve">XX </w:t>
      </w:r>
      <w:r>
        <w:rPr>
          <w:bCs/>
        </w:rPr>
        <w:t>words</w:t>
      </w:r>
    </w:p>
    <w:p w14:paraId="1C7C5B01" w14:textId="01CBEC84" w:rsidR="00754725" w:rsidRDefault="00754725" w:rsidP="00DA72DC">
      <w:pPr>
        <w:spacing w:line="480" w:lineRule="auto"/>
        <w:ind w:firstLine="720"/>
        <w:rPr>
          <w:bCs/>
        </w:rPr>
      </w:pPr>
      <w:r>
        <w:rPr>
          <w:bCs/>
        </w:rPr>
        <w:t xml:space="preserve">Results: </w:t>
      </w:r>
      <w:r w:rsidR="00DA72DC">
        <w:rPr>
          <w:bCs/>
        </w:rPr>
        <w:t xml:space="preserve">XX </w:t>
      </w:r>
      <w:r>
        <w:rPr>
          <w:bCs/>
        </w:rPr>
        <w:t>words (not including text in figures or tables)</w:t>
      </w:r>
    </w:p>
    <w:p w14:paraId="69BC0922" w14:textId="7C6ED460" w:rsidR="00754725" w:rsidRDefault="00754725" w:rsidP="00DA72DC">
      <w:pPr>
        <w:spacing w:line="480" w:lineRule="auto"/>
        <w:ind w:firstLine="720"/>
        <w:rPr>
          <w:bCs/>
        </w:rPr>
      </w:pPr>
      <w:r>
        <w:rPr>
          <w:bCs/>
        </w:rPr>
        <w:t>Discussion: XX words (XX % of total word count)</w:t>
      </w:r>
    </w:p>
    <w:p w14:paraId="6DB73A09" w14:textId="37B8AAF1" w:rsidR="00754725" w:rsidRDefault="00754725" w:rsidP="00DA72DC">
      <w:pPr>
        <w:spacing w:line="480" w:lineRule="auto"/>
        <w:rPr>
          <w:bCs/>
        </w:rPr>
      </w:pPr>
      <w:r w:rsidRPr="00006BDD">
        <w:rPr>
          <w:b/>
        </w:rPr>
        <w:t>References</w:t>
      </w:r>
      <w:r>
        <w:rPr>
          <w:bCs/>
        </w:rPr>
        <w:t>: XX</w:t>
      </w:r>
    </w:p>
    <w:p w14:paraId="293A5F8F" w14:textId="429A9376" w:rsidR="00754725" w:rsidRDefault="00754725" w:rsidP="00DA72DC">
      <w:pPr>
        <w:spacing w:line="480" w:lineRule="auto"/>
        <w:rPr>
          <w:bCs/>
        </w:rPr>
      </w:pPr>
      <w:r>
        <w:rPr>
          <w:b/>
        </w:rPr>
        <w:t>Tables and Figures</w:t>
      </w:r>
      <w:r>
        <w:rPr>
          <w:bCs/>
        </w:rPr>
        <w:t xml:space="preserve">: </w:t>
      </w:r>
      <w:r w:rsidR="006B734B">
        <w:rPr>
          <w:bCs/>
        </w:rPr>
        <w:t>5</w:t>
      </w:r>
      <w:r>
        <w:rPr>
          <w:bCs/>
        </w:rPr>
        <w:t xml:space="preserve"> tables, </w:t>
      </w:r>
      <w:r w:rsidR="001B24E0">
        <w:rPr>
          <w:bCs/>
        </w:rPr>
        <w:t>5</w:t>
      </w:r>
      <w:r>
        <w:rPr>
          <w:bCs/>
        </w:rPr>
        <w:t xml:space="preserve"> figures</w:t>
      </w:r>
    </w:p>
    <w:p w14:paraId="3F70C731" w14:textId="6490DDFE" w:rsidR="00754725" w:rsidRPr="00F73BB7" w:rsidRDefault="00754725" w:rsidP="00DA72DC">
      <w:pPr>
        <w:spacing w:line="480" w:lineRule="auto"/>
        <w:rPr>
          <w:bCs/>
        </w:rPr>
      </w:pPr>
      <w:r>
        <w:rPr>
          <w:b/>
        </w:rPr>
        <w:lastRenderedPageBreak/>
        <w:t>Supplemental Information</w:t>
      </w:r>
      <w:r>
        <w:rPr>
          <w:bCs/>
        </w:rPr>
        <w:t>: This manuscript reports XX tables and XX figures as supplemental information</w:t>
      </w:r>
      <w:r>
        <w:rPr>
          <w:b/>
        </w:rPr>
        <w:br w:type="page"/>
      </w:r>
    </w:p>
    <w:p w14:paraId="2A46FF76" w14:textId="037BDE8E" w:rsidR="00754725" w:rsidRDefault="003B6FAA" w:rsidP="00BB5F98">
      <w:pPr>
        <w:spacing w:line="480" w:lineRule="auto"/>
        <w:rPr>
          <w:b/>
          <w:bCs/>
        </w:rPr>
      </w:pPr>
      <w:r>
        <w:rPr>
          <w:b/>
          <w:bCs/>
        </w:rPr>
        <w:lastRenderedPageBreak/>
        <w:t>Abstract</w:t>
      </w:r>
    </w:p>
    <w:p w14:paraId="1D49131E" w14:textId="7822D2E8" w:rsidR="001A31D4" w:rsidRDefault="007A08C0" w:rsidP="00BB5F98">
      <w:pPr>
        <w:spacing w:line="480" w:lineRule="auto"/>
      </w:pPr>
      <w:r>
        <w:t>Many plant species form symbiotic associations with nitrogen fixing bacteria. Through this symbiosis, plants give photosynthate to the bacteria in exchange for nitrogen fixed from the atmosphere. This symbiosis forms an important link between carbon and nitrogen cycles in many ecosystems.</w:t>
      </w:r>
      <w:r w:rsidR="005E6154">
        <w:t xml:space="preserve"> However, the economics of this relationship under different background soil nitrogen availabilities are not well understood. </w:t>
      </w:r>
      <w:r w:rsidR="001A1184">
        <w:t>Here, we</w:t>
      </w:r>
      <w:r w:rsidR="005E6154">
        <w:t xml:space="preserve"> used a manipulation experiment to examine how the costs of nitrogen acquisition vary under a factorial combination of soil nitrogen availability and nitrogen fixing bacteria inoculation in</w:t>
      </w:r>
      <w:r w:rsidR="001A1184">
        <w:t xml:space="preserve"> </w:t>
      </w:r>
      <w:r w:rsidR="001A1184">
        <w:rPr>
          <w:i/>
          <w:iCs/>
        </w:rPr>
        <w:t xml:space="preserve">Glycine max </w:t>
      </w:r>
      <w:r w:rsidR="001A1184" w:rsidRPr="00462729">
        <w:t>L. (</w:t>
      </w:r>
      <w:proofErr w:type="spellStart"/>
      <w:r w:rsidR="001A1184" w:rsidRPr="00462729">
        <w:t>Merr</w:t>
      </w:r>
      <w:proofErr w:type="spellEnd"/>
      <w:r w:rsidR="001A1184" w:rsidRPr="00462729">
        <w:t>.)</w:t>
      </w:r>
      <w:r w:rsidR="005E6154">
        <w:t>.</w:t>
      </w:r>
      <w:r w:rsidR="001A1184">
        <w:t xml:space="preserve"> </w:t>
      </w:r>
      <w:r w:rsidR="00CA5FBB">
        <w:t xml:space="preserve">After a 7-week growth period, we </w:t>
      </w:r>
      <w:r w:rsidR="001A1184">
        <w:t>measured</w:t>
      </w:r>
      <w:r w:rsidR="005E6154">
        <w:t xml:space="preserve"> root, stem, leaf, and nodule</w:t>
      </w:r>
      <w:r w:rsidR="007C5DE3">
        <w:t xml:space="preserve"> biomass as well as</w:t>
      </w:r>
      <w:r w:rsidR="005E6154">
        <w:t xml:space="preserve"> carbon and nitrogen </w:t>
      </w:r>
      <w:proofErr w:type="gramStart"/>
      <w:r w:rsidR="007C5DE3">
        <w:t>amounts</w:t>
      </w:r>
      <w:proofErr w:type="gramEnd"/>
      <w:r w:rsidR="007C5DE3">
        <w:t xml:space="preserve"> of each organ. We used this information to assess</w:t>
      </w:r>
      <w:r w:rsidR="001A1184">
        <w:t xml:space="preserve"> structural carbon costs to acquire nitrogen, plant investments to nitrogen fixation, leaf nitrogen allocation, and whole plant growth. We found that structural carbon costs to acquire nitrogen </w:t>
      </w:r>
      <w:r w:rsidR="007C5DE3">
        <w:t xml:space="preserve">decreased with inoculation </w:t>
      </w:r>
      <w:r w:rsidR="0070788B">
        <w:t>in the low soil nitrogen availability treatment, but were unaffected by inoculation in the high soil nitrogen fertilization treatment</w:t>
      </w:r>
      <w:r w:rsidR="007C5DE3">
        <w:t>.</w:t>
      </w:r>
      <w:r w:rsidR="0070788B">
        <w:t xml:space="preserve"> The treatment differences were the result of greater plant nitrogen, rather than any change in belowground carbon allocation.</w:t>
      </w:r>
      <w:r w:rsidR="00571371">
        <w:t xml:space="preserve"> These results suggest that symbioses with nitrogen fixing bacteria reduce carbon costs of nitrogen acquisition, but only when soil nitrogen is low. This helps to explain the prevalence of plants capable of forming these associations in less fertile areas and demonstrates patterns that can help guide models linking carbon and nitrogen cycles in terrestrial ecosystems.</w:t>
      </w:r>
    </w:p>
    <w:p w14:paraId="6C178996" w14:textId="77777777" w:rsidR="003B6FAA" w:rsidRDefault="003B6FAA" w:rsidP="00BB5F98">
      <w:pPr>
        <w:spacing w:line="480" w:lineRule="auto"/>
        <w:rPr>
          <w:b/>
          <w:bCs/>
        </w:rPr>
      </w:pPr>
    </w:p>
    <w:p w14:paraId="5679DE14" w14:textId="44358146" w:rsidR="00754725" w:rsidRDefault="003B6FAA" w:rsidP="00BB5F98">
      <w:pPr>
        <w:spacing w:line="480" w:lineRule="auto"/>
        <w:rPr>
          <w:b/>
          <w:bCs/>
        </w:rPr>
      </w:pPr>
      <w:r>
        <w:rPr>
          <w:b/>
          <w:bCs/>
        </w:rPr>
        <w:t>Keywords</w:t>
      </w:r>
    </w:p>
    <w:p w14:paraId="60F62E0F" w14:textId="1BD42533" w:rsidR="003B6FAA" w:rsidRPr="00091EA0" w:rsidRDefault="00B62938" w:rsidP="00BB5F98">
      <w:pPr>
        <w:spacing w:line="480" w:lineRule="auto"/>
      </w:pPr>
      <w:r>
        <w:t>n</w:t>
      </w:r>
      <w:r w:rsidR="00091EA0" w:rsidRPr="00091EA0">
        <w:t>itrogen fixation</w:t>
      </w:r>
      <w:r w:rsidR="00091EA0">
        <w:t>; whole plant growth; greenhouse; crops; nutrient acquisition strategy</w:t>
      </w:r>
      <w:r w:rsidR="003B6FAA" w:rsidRPr="00091EA0">
        <w:br w:type="page"/>
      </w:r>
    </w:p>
    <w:p w14:paraId="71A9F274" w14:textId="38991947" w:rsidR="00C654B2" w:rsidRDefault="003B6FAA" w:rsidP="00642465">
      <w:pPr>
        <w:spacing w:line="480" w:lineRule="auto"/>
      </w:pPr>
      <w:r>
        <w:rPr>
          <w:b/>
          <w:bCs/>
        </w:rPr>
        <w:lastRenderedPageBreak/>
        <w:t>Introduction</w:t>
      </w:r>
    </w:p>
    <w:p w14:paraId="337B3508" w14:textId="69102A78" w:rsidR="001B766A" w:rsidRDefault="00521B92" w:rsidP="003C2C84">
      <w:pPr>
        <w:spacing w:line="480" w:lineRule="auto"/>
        <w:ind w:firstLine="720"/>
      </w:pPr>
      <w:r>
        <w:t xml:space="preserve">Terrestrial </w:t>
      </w:r>
      <w:r w:rsidR="00C654B2">
        <w:t>eco</w:t>
      </w:r>
      <w:r>
        <w:t>system</w:t>
      </w:r>
      <w:r w:rsidR="00FD4D4C">
        <w:t xml:space="preserve"> processe</w:t>
      </w:r>
      <w:r>
        <w:t>s are regulated</w:t>
      </w:r>
      <w:r w:rsidR="00FD4D4C">
        <w:t>, in part,</w:t>
      </w:r>
      <w:r>
        <w:t xml:space="preserve"> by </w:t>
      </w:r>
      <w:r w:rsidR="00FD4D4C">
        <w:t xml:space="preserve">interactions between </w:t>
      </w:r>
      <w:r>
        <w:t>carbon and nitrogen cycles</w:t>
      </w:r>
      <w:r w:rsidR="009A02EE">
        <w:t>. As a result, terrestrial biosphere models</w:t>
      </w:r>
      <w:r w:rsidR="00DA72DC">
        <w:t xml:space="preserve"> are</w:t>
      </w:r>
      <w:r w:rsidR="00F01DF2">
        <w:t xml:space="preserve"> beginning to include coupled carbon and nitrogen cycle</w:t>
      </w:r>
      <w:r w:rsidR="00EE601F">
        <w:t>s</w:t>
      </w:r>
      <w:r w:rsidR="00FD4D4C">
        <w:t xml:space="preserve"> to more realistically </w:t>
      </w:r>
      <w:r w:rsidR="00F01DF2">
        <w:t xml:space="preserve">simulate past, present, and future </w:t>
      </w:r>
      <w:r w:rsidR="00813CB8">
        <w:t xml:space="preserve">atmosphere-biosphere </w:t>
      </w:r>
      <w:r w:rsidR="00F01DF2">
        <w:t>fluxes</w:t>
      </w:r>
      <w:r w:rsidR="007B6971">
        <w:t xml:space="preserve"> </w:t>
      </w:r>
      <w:r w:rsidR="00D32CFF">
        <w:fldChar w:fldCharType="begin" w:fldLock="1"/>
      </w:r>
      <w:r w:rsidR="00D32CFF">
        <w:instrText>ADDIN CSL_CITATION {"citationItems":[{"id":"ITEM-1","itemData":{"author":[{"dropping-particle":"","family":"Oreskes","given":"Naomi","non-dropping-particle":"","parse-names":false,"suffix":""},{"dropping-particle":"","family":"Shrader-Frechette","given":"Kristin","non-dropping-particle":"","parse-names":false,"suffix":""},{"dropping-particle":"","family":"Belitz","given":"Kenneth","non-dropping-particle":"","parse-names":false,"suffix":""}],"container-title":"Science","id":"ITEM-1","issue":"5147","issued":{"date-parts":[["1994"]]},"page":"641-646","title":"Verification , Validation , and Confirmation of Numerical Models in the Earth Sciences","type":"article-journal","volume":"263"},"uris":["http://www.mendeley.com/documents/?uuid=530c7891-debc-430a-985c-fd6877ad0617"]},{"id":"ITEM-2","itemData":{"DOI":"10.1126/science.1091390","ISSN":"0036-8075","abstract":"To develop low-energy architecture, designers need knowledge about passive cooling techniques and shading devices. This paper focuses on the impact of management strategies for external mobile shadings and cooling by natural ventilation. Various control rules are simulated for both techniques. Resulting energy demand and comfort conditions are discussed. For shadings, strategies based on both internal temperature and solar irradiation set points are shown to be more efficient than strategies based on solar irradiation or internal temperature alone. For natural ventilation, strategies limiting the flow rate when outside temperature exceeds internal temperature are found to have no major impact on comfort conditions for the Belgian weather. A flow rate limitation when external temperature drops is found to be efficient to save energy. Objectives of this paper are to show that management choices have a real impact on energy and comfort criteria and to help designers to choose the adequate management rules for their projects. © 2005 Elsevier Ltd. All rights reserved.","author":[{"dropping-particle":"","family":"Hungate","given":"Bruce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B","non-dropping-particle":"","parse-names":false,"suffix":""}],"container-title":"Science","id":"ITEM-2","issue":"5650","issued":{"date-parts":[["2003","11","28"]]},"note":"Models that incorporate nutrient cycling predict much less CO2 sequestration (i.e. uptake via photosynthesis) than models that lack these feedbacks. \n\nTherefore, models that do not include nutrient feedbacks tend to overestimate carbon uptake under CO2, and may not be as realistic as those that include nutrient cycling","page":"1512-1513","title":"Nitrogen and climate change","type":"article-journal","volume":"302"},"uris":["http://www.mendeley.com/documents/?uuid=27d5f9a2-ef0f-4622-8624-6b2e99d109bc"]},{"id":"ITEM-3","itemData":{"DOI":"10.5194/acp-15-5987-2015","ISSN":"16807324","abstract":"Land surface models (LSMs) are increasingly called upon to represent not only the exchanges of energy, water and momentum across the land-atmosphere interface (their original purpose in climate models), but also how ecosystems and water resources respond to climate and atmospheric environment, and how these responses in turn influence land-atmosphere fluxes of carbon dioxide (CO2), trace gases and other species that affect the composition and chemistry of the atmosphere. However, the LSMs embedded in state-of-the-art climate models differ in how they represent fundamental aspects of the hydrological and carbon cycles, resulting in large inter-model differences and sometimes faulty predictions. These \"third-generation\" LSMs respect the close coupling of the carbon and water cycles through plants, but otherwise tend to be under-constrained, and have not taken full advantage of robust hydrological parameterizations that were independently developed in offline models. Benchmarking, combining multiple sources of atmospheric, biospheric and hydrological data, should be a required component of LSM development, but this field has been relatively poorly supported and intermittently pursued. Moreover, benchmarking alone is not sufficient to ensure that models improve. Increasing complexity may increase realism but decrease reliability and robustness, by increasing the number of poorly known model parameters. In contrast, simplifying the representation of complex processes by stochastic parameterization (the representation of unresolved processes by statistical distributions of values) has been shown to improve model reliability and realism in both atmospheric and land-surface modelling contexts. We provide examples for important processes in hydrology (the generation of runoff and flow routing in heterogeneous catchments) and biology (carbon uptake by species-diverse ecosystems). We propose that the way forward for next-generation complex LSMs will include: (a) representations of biological and hydrological processes based on the implementation of multiple internal constraints; (b) systematic application of benchmarking and data assimilation techniques to optimize parameter values and thereby test the structural adequacy of models; and (c) stochastic parameterization of unresolved variability, applied in both the hydrological and the biological domains.","author":[{"dropping-particle":"","family":"Prentice","given":"I Colin","non-dropping-particle":"","parse-names":false,"suffix":""},{"dropping-particle":"","family":"Liang","given":"Xu","non-dropping-particle":"","parse-names":false,"suffix":""},{"dropping-particle":"","family":"Medlyn","given":"Belinda E","non-dropping-particle":"","parse-names":false,"suffix":""},{"dropping-particle":"","family":"Wang","given":"Ying-Ping","non-dropping-particle":"","parse-names":false,"suffix":""}],"container-title":"Atmospheric Chemistry and Physics","id":"ITEM-3","issued":{"date-parts":[["2015"]]},"page":"5987-6005","title":"Reliable, robust and realistic: The three R's of next-generation land-surface modelling","type":"article-journal","volume":"15"},"uris":["http://www.mendeley.com/documents/?uuid=4c863f36-0f41-4a37-8b69-328cc4526cd9"]}],"mendeley":{"formattedCitation":"(Oreskes &lt;i&gt;et al.&lt;/i&gt;, 1994; Hungate &lt;i&gt;et al.&lt;/i&gt;, 2003; Prentice &lt;i&gt;et al.&lt;/i&gt;, 2015)","plainTextFormattedCitation":"(Oreskes et al., 1994; Hungate et al., 2003; Prentice et al., 2015)","previouslyFormattedCitation":"(Oreskes &lt;i&gt;et al.&lt;/i&gt;, 1994; Hungate &lt;i&gt;et al.&lt;/i&gt;, 2003; Prentice &lt;i&gt;et al.&lt;/i&gt;, 2015)"},"properties":{"noteIndex":0},"schema":"https://github.com/citation-style-language/schema/raw/master/csl-citation.json"}</w:instrText>
      </w:r>
      <w:r w:rsidR="00D32CFF">
        <w:fldChar w:fldCharType="separate"/>
      </w:r>
      <w:r w:rsidR="00D32CFF" w:rsidRPr="00D32CFF">
        <w:rPr>
          <w:noProof/>
        </w:rPr>
        <w:t xml:space="preserve">(Oreskes </w:t>
      </w:r>
      <w:r w:rsidR="00D32CFF" w:rsidRPr="00D32CFF">
        <w:rPr>
          <w:i/>
          <w:noProof/>
        </w:rPr>
        <w:t>et al.</w:t>
      </w:r>
      <w:r w:rsidR="00D32CFF" w:rsidRPr="00D32CFF">
        <w:rPr>
          <w:noProof/>
        </w:rPr>
        <w:t xml:space="preserve">, 1994; Hungate </w:t>
      </w:r>
      <w:r w:rsidR="00D32CFF" w:rsidRPr="00D32CFF">
        <w:rPr>
          <w:i/>
          <w:noProof/>
        </w:rPr>
        <w:t>et al.</w:t>
      </w:r>
      <w:r w:rsidR="00D32CFF" w:rsidRPr="00D32CFF">
        <w:rPr>
          <w:noProof/>
        </w:rPr>
        <w:t xml:space="preserve">, 2003; Prentice </w:t>
      </w:r>
      <w:r w:rsidR="00D32CFF" w:rsidRPr="00D32CFF">
        <w:rPr>
          <w:i/>
          <w:noProof/>
        </w:rPr>
        <w:t>et al.</w:t>
      </w:r>
      <w:r w:rsidR="00D32CFF" w:rsidRPr="00D32CFF">
        <w:rPr>
          <w:noProof/>
        </w:rPr>
        <w:t>, 2015)</w:t>
      </w:r>
      <w:r w:rsidR="00D32CFF">
        <w:fldChar w:fldCharType="end"/>
      </w:r>
      <w:r w:rsidR="009A02EE">
        <w:t xml:space="preserve">. </w:t>
      </w:r>
      <w:r w:rsidR="00EE601F">
        <w:t xml:space="preserve">Carbon and nutrient flux simulations </w:t>
      </w:r>
      <w:r w:rsidR="00F21CD4">
        <w:t>tend to</w:t>
      </w:r>
      <w:r w:rsidR="00B310D2">
        <w:t xml:space="preserve"> </w:t>
      </w:r>
      <w:r w:rsidR="00EE601F">
        <w:t xml:space="preserve">converge across terrestrial biosphere model products using past and present climate scenarios; however, </w:t>
      </w:r>
      <w:r w:rsidR="00F21CD4">
        <w:t>often</w:t>
      </w:r>
      <w:r w:rsidR="00B310D2">
        <w:t xml:space="preserve"> </w:t>
      </w:r>
      <w:r w:rsidR="00EE601F">
        <w:t>diverge</w:t>
      </w:r>
      <w:r w:rsidR="00806371">
        <w:t xml:space="preserve"> </w:t>
      </w:r>
      <w:r w:rsidR="00EE601F">
        <w:t>under future environmental change scenarios</w:t>
      </w:r>
      <w:r w:rsidR="00D32CFF">
        <w:t xml:space="preserve"> </w:t>
      </w:r>
      <w:r w:rsidR="00D32CFF">
        <w:fldChar w:fldCharType="begin" w:fldLock="1"/>
      </w:r>
      <w:r w:rsidR="00D32CFF">
        <w:instrText>ADDIN CSL_CITATION {"citationItems":[{"id":"ITEM-1","itemData":{"DOI":"10.1175/JCLI-D-12-00579.1","ISSN":"08948755","abstract":"In the context of phase 5 of the Coupled Model Intercomparison Project, most climate simulations use prescribed atmospheric CO2 concentration and therefore do not interactively include the effect of carbon cycle feedbacks. However, the representative concentration pathway 8.5 (RCP8.5) scenario has additionally been run by earth system models with prescribed CO2 emissions. This paper analyzes the climate projections of 11 earth system models (ESMs) that performed both emission-driven and concentration-driven RCP8.5 simulations.When forced by RCP8.5 CO2 emissions, models simulate a large spread in atmospheric CO2; the simulated 2100 concentrations range between 795 and 1145 ppm. Seven out of the 11 ESMs simulate a larger CO2 (on average by 44 ppm, 985 ± 97ppm by 2100) and hence higher radiative forcing (by 0.25Wm-2) when driven by CO2 emissions than for the concentration-driven scenarios (941 ppm). However, most of these models already overestimate the present-day CO2, with the present-day biases reasonably well correlated with future atmospheric concentrations' departure from the prescribed concentration. The uncertainty in CO2 projections is mainly attributable to uncertainties in the response of the land carbon cycle. As a result of simulated higher CO2 concentrations than in the concentration-driven simulations, temperature projections are generally higher when ESMs are driven with CO2 emissions. Global surface temperature change by 2100 (relative to present day) increased by 3.9° ± 0.9°C for the emission-driven simulations compared to 3.7° ± 0.7°C in the concentration-driven simulations. Although the lower ends are comparable in both sets of simulations, the highest climate projections are significantly warmer in the emission-driven simulations because of stronger carbon cycle feedbacks. © 2014 American Meteorological Society.","author":[{"dropping-particle":"","family":"Friedlingstein","given":"Pierre","non-dropping-particle":"","parse-names":false,"suffix":""},{"dropping-particle":"","family":"Meinshausen","given":"Malte","non-dropping-particle":"","parse-names":false,"suffix":""},{"dropping-particle":"","family":"Arora","given":"Vivek K","non-dropping-particle":"","parse-names":false,"suffix":""},{"dropping-particle":"","family":"Jones","given":"Chris D","non-dropping-particle":"","parse-names":false,"suffix":""},{"dropping-particle":"","family":"Anav","given":"Alessandro","non-dropping-particle":"","parse-names":false,"suffix":""},{"dropping-particle":"","family":"Liddicoat","given":"Spencer K","non-dropping-particle":"","parse-names":false,"suffix":""},{"dropping-particle":"","family":"Knutti","given":"Reto","non-dropping-particle":"","parse-names":false,"suffix":""}],"container-title":"Journal of Climate","id":"ITEM-1","issue":"2","issued":{"date-parts":[["2014"]]},"page":"511-526","title":"Uncertainties in CMIP5 climate projections due to carbon cycle feedbacks","type":"article-journal","volume":"27"},"uris":["http://www.mendeley.com/documents/?uuid=f76674cd-7d72-4223-b90c-11753b09878b"]},{"id":"ITEM-2","itemData":{"DOI":"10.5194/bg-17-5129-2020","ISSN":"1726-4189","abstract":"The nitrogen cycle and its effect on carbon uptake in the terrestrial biosphere is a recent progression in earth system models. As with any new component of a model, it is important to understand the behaviour, strengths, and limitations of the various process representations. Here we assess and compare five land surface models with nitro- gen cycles that are used as the terrestrial components of some of the earth system models in CMIP6. The land sur- face models were run offline with a common spin-up and forcing protocol. We use a historical control simulation and two perturbations to assess the model nitrogen-related per- formances: a simulation with atmospheric carbon dioxide increased by 200 ppm and one with nitrogen deposition in- creased by 50 kgN ha−1 yr−1. There is generally greater vari- ability in productivity response between models to increased nitrogen than to carbon dioxide. Across the five models the response to carbon dioxide globally was 5 % to 20 % and the response to nitrogen was 2 % to 24 %. The models are not evenly distributed within the ensemble range, with two of the models having low productivity response to nitrogen and another one with low response to elevated atmospheric car- bon dioxide, compared to the other models. In all five mod- els individual grid cells tend to exhibit bimodality, with ei- ther a strong response to increased nitrogen or atmospheric carbon dioxide but rarely to both to an equal extent. How- ever, this local effect does not scale to either the regional or global level. The global and tropical responses are gen- erally more accurately modelled than boreal, tundra, or other high-latitude areas compared to observations. These results are due to divergent choices in the representation of key nitrogen cycle processes. They show the need for more obser- vational studies to enhance understanding of nitrogen cycle processes, especially nitrogen-use efficiency and biological nitrogen fixation.","author":[{"dropping-particle":"","family":"Davies-Barnard","given":"Taraka","non-dropping-particle":"","parse-names":false,"suffix":""},{"dropping-particle":"","family":"Meyerholt","given":"Johannes","non-dropping-particle":"","parse-names":false,"suffix":""},{"dropping-particle":"","family":"Zaehle","given":"Sönke","non-dropping-particle":"","parse-names":false,"suffix":""},{"dropping-particle":"","family":"Friedlingstein","given":"Pierre","non-dropping-particle":"","parse-names":false,"suffix":""},{"dropping-particle":"","family":"Brovkin","given":"Victor","non-dropping-particle":"","parse-names":false,"suffix":""},{"dropping-particle":"","family":"Fan","given":"Yuanchao","non-dropping-particle":"","parse-names":false,"suffix":""},{"dropping-particle":"","family":"Fisher","given":"Rosie A","non-dropping-particle":"","parse-names":false,"suffix":""},{"dropping-particle":"","family":"Jones","given":"Chris D","non-dropping-particle":"","parse-names":false,"suffix":""},{"dropping-particle":"","family":"Lee","given":"Hanna","non-dropping-particle":"","parse-names":false,"suffix":""},{"dropping-particle":"","family":"Peano","given":"Daniele","non-dropping-particle":"","parse-names":false,"suffix":""},{"dropping-particle":"","family":"Smith","given":"Benjamin","non-dropping-particle":"","parse-names":false,"suffix":""},{"dropping-particle":"","family":"Wårlind","given":"David","non-dropping-particle":"","parse-names":false,"suffix":""},{"dropping-particle":"","family":"Wiltshire","given":"Andy J","non-dropping-particle":"","parse-names":false,"suffix":""}],"container-title":"Biogeosciences","id":"ITEM-2","issue":"20","issued":{"date-parts":[["2020","10","23"]]},"page":"5129-5148","title":"Nitrogen cycling in CMIP6 land surface models: progress and limitations","type":"article-journal","volume":"17"},"uris":["http://www.mendeley.com/documents/?uuid=43d491c9-cd44-49f7-b593-8d040e1f230f"]}],"mendeley":{"formattedCitation":"(Friedlingstein &lt;i&gt;et al.&lt;/i&gt;, 2014; Davies-Barnard &lt;i&gt;et al.&lt;/i&gt;, 2020)","plainTextFormattedCitation":"(Friedlingstein et al., 2014; Davies-Barnard et al., 2020)","previouslyFormattedCitation":"(Friedlingstein &lt;i&gt;et al.&lt;/i&gt;, 2014; Davies-Barnard &lt;i&gt;et al.&lt;/i&gt;, 2020)"},"properties":{"noteIndex":0},"schema":"https://github.com/citation-style-language/schema/raw/master/csl-citation.json"}</w:instrText>
      </w:r>
      <w:r w:rsidR="00D32CFF">
        <w:fldChar w:fldCharType="separate"/>
      </w:r>
      <w:r w:rsidR="00D32CFF" w:rsidRPr="00D32CFF">
        <w:rPr>
          <w:noProof/>
        </w:rPr>
        <w:t xml:space="preserve">(Friedlingstein </w:t>
      </w:r>
      <w:r w:rsidR="00D32CFF" w:rsidRPr="00D32CFF">
        <w:rPr>
          <w:i/>
          <w:noProof/>
        </w:rPr>
        <w:t>et al.</w:t>
      </w:r>
      <w:r w:rsidR="00D32CFF" w:rsidRPr="00D32CFF">
        <w:rPr>
          <w:noProof/>
        </w:rPr>
        <w:t xml:space="preserve">, 2014; Davies-Barnard </w:t>
      </w:r>
      <w:r w:rsidR="00D32CFF" w:rsidRPr="00D32CFF">
        <w:rPr>
          <w:i/>
          <w:noProof/>
        </w:rPr>
        <w:t>et al.</w:t>
      </w:r>
      <w:r w:rsidR="00D32CFF" w:rsidRPr="00D32CFF">
        <w:rPr>
          <w:noProof/>
        </w:rPr>
        <w:t>, 2020)</w:t>
      </w:r>
      <w:r w:rsidR="00D32CFF">
        <w:fldChar w:fldCharType="end"/>
      </w:r>
      <w:r w:rsidR="009A02EE">
        <w:t xml:space="preserve">. </w:t>
      </w:r>
      <w:r w:rsidR="00EE601F">
        <w:t>This</w:t>
      </w:r>
      <w:r w:rsidR="00573C0E">
        <w:t xml:space="preserve"> </w:t>
      </w:r>
      <w:r w:rsidR="00EE601F">
        <w:t xml:space="preserve">could be due to an incomplete understanding of how changing environments modify processes </w:t>
      </w:r>
      <w:r w:rsidR="00443328">
        <w:t xml:space="preserve">that </w:t>
      </w:r>
      <w:r w:rsidR="007E743D">
        <w:t>link</w:t>
      </w:r>
      <w:r w:rsidR="00EE601F">
        <w:t xml:space="preserve"> </w:t>
      </w:r>
      <w:r w:rsidR="00443328">
        <w:t>ecosystem carbon and nitrogen cycles</w:t>
      </w:r>
      <w:r w:rsidR="00D32CFF">
        <w:t xml:space="preserve"> </w:t>
      </w:r>
      <w:r w:rsidR="00D32CFF">
        <w:fldChar w:fldCharType="begin" w:fldLock="1"/>
      </w:r>
      <w:r w:rsidR="00D32CFF">
        <w:instrText>ADDIN CSL_CITATION {"citationItems":[{"id":"ITEM-1","itemData":{"DOI":"10.1038/nplants.2015.80","ISSN":"2055-0278","author":[{"dropping-particle":"","family":"Fay","given":"Philip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 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Plants","id":"ITEM-1","issue":"7","issued":{"date-parts":[["2015","7","6"]]},"page":"15080","title":"Grassland productivity limited by multiple nutrients","type":"article-journal","volume":"1"},"uris":["http://www.mendeley.com/documents/?uuid=a62c0db7-4b0d-43d0-870c-34311e8a7ebe"]},{"id":"ITEM-2","itemData":{"DOI":"10.1038/ngeo2413","ISSN":"1752-0894","author":[{"dropping-particle":"","family":"Wieder","given":"William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Geoscience","id":"ITEM-2","issue":"6","issued":{"date-parts":[["2015","6","20"]]},"page":"441-444","title":"Future productivity and carbon storage limited by terrestrial nutrient availability","type":"article-journal","volume":"8"},"uris":["http://www.mendeley.com/documents/?uuid=ec005334-3b59-4670-9a5b-915a944b890d"]},{"id":"ITEM-3","itemData":{"DOI":"10.5194/bg-13-1491-2016","ISSN":"1726-4189","abstract":"Abstract. Including a terrestrial nitrogen (N) cycle in Earth system models has led to substantial attenuation of predicted biosphere–climate feedbacks. However, the magnitude of this attenuation remains uncertain. A particularly important but highly uncertain process is biological nitrogen fixation (BNF), which is the largest natural input of N to land ecosystems globally. In order to quantify this uncertainty and estimate likely effects on terrestrial biosphere dynamics, we applied six alternative formulations of BNF spanning the range of process formulations in current state-of-the-art biosphere models within a common framework, the O-CN model: a global map of static BNF rates, two empirical relationships between BNF and other ecosystem variables (net primary productivity and evapotranspiration), two process-oriented formulations based on plant N status, and an optimality-based approach. We examined the resulting differences in model predictions under ambient and elevated atmospheric [CO2] and found that the predicted global BNF rates and their spatial distribution for contemporary conditions were broadly comparable, ranging from 108 to 148 Tg N yr−1 (median: 128 Tg N yr−1), despite distinct regional patterns associated with the assumptions of each approach. Notwithstanding, model responses in BNF rates to elevated levels of atmospheric [CO2] (+200 ppm) ranged between −4 Tg N yr−1 (−3 %) and 56 Tg N yr−1 (+42 %) (median: 7 Tg N yr−1 (+8 %)). As a consequence, future projections of global ecosystem carbon (C) storage (+281 to +353 Pg C, or +13 to +16 %) as well as N2O emission (−1.6 to +0.5 Tg N yr−1, or −19 to +7 %) differed significantly across the different model formulations. Our results emphasize the importance of better understanding the nature and magnitude of BNF responses to change-induced perturbations, particularly through new empirical perturbation experiments and improved model representation.","author":[{"dropping-particle":"","family":"Meyerholt","given":"Johannes","non-dropping-particle":"","parse-names":false,"suffix":""},{"dropping-particle":"","family":"Zaehle","given":"Sönke","non-dropping-particle":"","parse-names":false,"suffix":""},{"dropping-particle":"","family":"Smith","given":"Matthew J","non-dropping-particle":"","parse-names":false,"suffix":""}],"container-title":"Biogeosciences","id":"ITEM-3","issue":"5","issued":{"date-parts":[["2016","3","10"]]},"page":"1491-1518","title":"Variability of projected terrestrial biosphere responses to elevated levels of atmospheric CO&lt;sub&gt;2&lt;/sub&gt; due to uncertainty in biological nitrogen fixation","type":"article-journal","volume":"13"},"uris":["http://www.mendeley.com/documents/?uuid=9487a723-d3bb-47ae-a4b8-a1988bc11afb"]}],"mendeley":{"formattedCitation":"(Wieder &lt;i&gt;et al.&lt;/i&gt;, 2015; Fay &lt;i&gt;et al.&lt;/i&gt;, 2015; Meyerholt &lt;i&gt;et al.&lt;/i&gt;, 2016)","plainTextFormattedCitation":"(Wieder et al., 2015; Fay et al., 2015; Meyerholt et al., 2016)","previouslyFormattedCitation":"(Wieder &lt;i&gt;et al.&lt;/i&gt;, 2015; Fay &lt;i&gt;et al.&lt;/i&gt;, 2015; Meyerholt &lt;i&gt;et al.&lt;/i&gt;, 2016)"},"properties":{"noteIndex":0},"schema":"https://github.com/citation-style-language/schema/raw/master/csl-citation.json"}</w:instrText>
      </w:r>
      <w:r w:rsidR="00D32CFF">
        <w:fldChar w:fldCharType="separate"/>
      </w:r>
      <w:r w:rsidR="00D32CFF" w:rsidRPr="00D32CFF">
        <w:rPr>
          <w:noProof/>
        </w:rPr>
        <w:t xml:space="preserve">(Wieder </w:t>
      </w:r>
      <w:r w:rsidR="00D32CFF" w:rsidRPr="00D32CFF">
        <w:rPr>
          <w:i/>
          <w:noProof/>
        </w:rPr>
        <w:t>et al.</w:t>
      </w:r>
      <w:r w:rsidR="00D32CFF" w:rsidRPr="00D32CFF">
        <w:rPr>
          <w:noProof/>
        </w:rPr>
        <w:t xml:space="preserve">, 2015; Fay </w:t>
      </w:r>
      <w:r w:rsidR="00D32CFF" w:rsidRPr="00D32CFF">
        <w:rPr>
          <w:i/>
          <w:noProof/>
        </w:rPr>
        <w:t>et al.</w:t>
      </w:r>
      <w:r w:rsidR="00D32CFF" w:rsidRPr="00D32CFF">
        <w:rPr>
          <w:noProof/>
        </w:rPr>
        <w:t xml:space="preserve">, 2015; Meyerholt </w:t>
      </w:r>
      <w:r w:rsidR="00D32CFF" w:rsidRPr="00D32CFF">
        <w:rPr>
          <w:i/>
          <w:noProof/>
        </w:rPr>
        <w:t>et al.</w:t>
      </w:r>
      <w:r w:rsidR="00D32CFF" w:rsidRPr="00D32CFF">
        <w:rPr>
          <w:noProof/>
        </w:rPr>
        <w:t>, 2016)</w:t>
      </w:r>
      <w:r w:rsidR="00D32CFF">
        <w:fldChar w:fldCharType="end"/>
      </w:r>
      <w:r w:rsidR="00E12B46">
        <w:t>.</w:t>
      </w:r>
    </w:p>
    <w:p w14:paraId="4996F93B" w14:textId="36D0F1A0" w:rsidR="00A67AC8" w:rsidRDefault="00391A1D" w:rsidP="00FF04C4">
      <w:pPr>
        <w:spacing w:line="480" w:lineRule="auto"/>
        <w:ind w:firstLine="720"/>
      </w:pPr>
      <w:r>
        <w:t xml:space="preserve">Plant nitrogen acquisition is one process in terrestrial </w:t>
      </w:r>
      <w:r w:rsidR="00D61DA5">
        <w:t>eco</w:t>
      </w:r>
      <w:r>
        <w:t>systems</w:t>
      </w:r>
      <w:r w:rsidR="00D61DA5">
        <w:t xml:space="preserve"> that links</w:t>
      </w:r>
      <w:r>
        <w:t xml:space="preserve"> carbon and nitrogen cycles. </w:t>
      </w:r>
      <w:r w:rsidR="00FB54EF">
        <w:t xml:space="preserve">Plants acquire nutrients by allocating </w:t>
      </w:r>
      <w:r w:rsidR="00FA37A7">
        <w:t xml:space="preserve">photosynthetically derived </w:t>
      </w:r>
      <w:r w:rsidR="00FB54EF">
        <w:t xml:space="preserve">carbon belowground in exchange for nitrogen </w:t>
      </w:r>
      <w:r w:rsidR="00FA37A7">
        <w:t xml:space="preserve">through different nitrogen acquisition strategies. These nitrogen acquisition strategies can include </w:t>
      </w:r>
      <w:r w:rsidR="00FB54EF">
        <w:t xml:space="preserve">direct uptake </w:t>
      </w:r>
      <w:r w:rsidR="00F21CD4">
        <w:t>pathways such as mass flow or diffusion</w:t>
      </w:r>
      <w:r w:rsidR="009D1104">
        <w:t xml:space="preserve"> </w:t>
      </w:r>
      <w:r w:rsidR="009D1104">
        <w:fldChar w:fldCharType="begin" w:fldLock="1"/>
      </w:r>
      <w:r w:rsidR="009D1104">
        <w:instrText>ADDIN CSL_CITATION {"citationItems":[{"id":"ITEM-1","itemData":{"author":[{"dropping-particle":"","family":"Barber","given":"Stanley A","non-dropping-particle":"","parse-names":false,"suffix":""}],"container-title":"Soil Science","id":"ITEM-1","issue":"1","issued":{"date-parts":[["1962"]]},"page":"39-49","title":"A diffusion and mass-flow concept of soil nutrient availability","type":"article-journal","volume":"93"},"uris":["http://www.mendeley.com/documents/?uuid=2b8b2e7b-43ff-48ef-8d35-cfedb99403c0"]}],"mendeley":{"formattedCitation":"(Barber, 1962)","plainTextFormattedCitation":"(Barber, 1962)","previouslyFormattedCitation":"(Barber, 1962)"},"properties":{"noteIndex":0},"schema":"https://github.com/citation-style-language/schema/raw/master/csl-citation.json"}</w:instrText>
      </w:r>
      <w:r w:rsidR="009D1104">
        <w:fldChar w:fldCharType="separate"/>
      </w:r>
      <w:r w:rsidR="009D1104" w:rsidRPr="009D1104">
        <w:rPr>
          <w:noProof/>
        </w:rPr>
        <w:t>(Barber, 1962)</w:t>
      </w:r>
      <w:r w:rsidR="009D1104">
        <w:fldChar w:fldCharType="end"/>
      </w:r>
      <w:r w:rsidR="00F21CD4">
        <w:t xml:space="preserve">, symbioses with mycorrhizal fungi </w:t>
      </w:r>
      <w:r w:rsidR="002548F5">
        <w:t>or symbiotic nitrogen-fixing bacteria</w:t>
      </w:r>
      <w:r w:rsidR="009D1104">
        <w:t xml:space="preserve"> </w:t>
      </w:r>
      <w:r w:rsidR="009D1104">
        <w:fldChar w:fldCharType="begin" w:fldLock="1"/>
      </w:r>
      <w:r w:rsidR="009D1104">
        <w:instrText>ADDIN CSL_CITATION {"citationItems":[{"id":"ITEM-1","itemData":{"DOI":"10.1146/annurev.arplant.42.1.373","ISSN":"10402519","author":[{"dropping-particle":"","family":"Vance","given":"C P","non-dropping-particle":"","parse-names":false,"suffix":""},{"dropping-particle":"","family":"Heichel","given":"G H","non-dropping-particle":"","parse-names":false,"suffix":""}],"container-title":"Annual Review of Plant Physiology and Plant Molecular Biology","id":"ITEM-1","issue":"1","issued":{"date-parts":[["1991"]]},"page":"373-392","title":"Carbon in N2 fixation: Limitation or exquisite adaptation","type":"article-journal","volume":"42"},"uris":["http://www.mendeley.com/documents/?uuid=36558238-2378-4a2c-8e53-61020c7abe7e"]},{"id":"ITEM-2","itemData":{"DOI":"10.1007/BF00000098","ISSN":"0032079X","abstract":"The role of mycorrhizal fungi in acquisition of mineral nutrients by host plants is examined for three groups of mycorrhizas. These are; the ectomycorrhizas (ECM), the ericoid mycorrhizas (EM), and the vesicular-arbuscular mycorrhizas (VAM). Mycorrhizal infection may affect the mineral nutrition of the host plant directly by enhancing plant growth through nutrient acquisition by the fungus, or indirectly by modifying transpiration rates and the composition of rhizosphere microflora. A capacity for the external hyphae to take up and deliver nutrients to the plant has been demonstrated for the following nutrients and mycorrhizas; P (VAM, EM, ECM), NH4+ (VAM, EM, ECM), NO3- (ECM), K (VAM, ECM), Ca (VAM, EM), SO42- (VAM), Cu (VAM), Zn (VAM) and Fe (EM). In experimental chambers, the external hyphae of VAM can deliver up to 80% of plant P, 25% of plant N, 10% of plant K, 25% of plant Zn and 60% of plant Cu. Knowledge of the role of mycorrhiza in the uptake of nutrients other than P and N is limited because definitive studies are few, especially for the ECM. Although further quantification is required, it is feasible that the external hyphae may provide a significant delivery system for N, K, Cu and Zn in addition to P in many soils. Proposals that ECM and VAM fungi contribute substantially to the Mg, B and Fe nutrition of the host plant have not been substantiated. ECM and EM fungi produce ectoenzymes which provide host plants with the potential to access organic N and P forms that are normally unavailable to VAM fungi or to non mycorrhizal roots. The relative contribution of these nutrient sources requires quantification in the field. Further basic research, including the quantification of nutrient uptake and transport by fungal hyphae in soil and regulation at the fungal-plant interface, is essential to support the selection and utilization of mycorrhizal fungi on a commercial scale. © 1993 Kluwer Academic Publishers.","author":[{"dropping-particle":"","family":"Marschner","given":"Horst","non-dropping-particle":"","parse-names":false,"suffix":""},{"dropping-particle":"","family":"Dell","given":"B","non-dropping-particle":"","parse-names":false,"suffix":""}],"container-title":"Plant and Soil","id":"ITEM-2","issue":"1","issued":{"date-parts":[["1994"]]},"page":"89-102","title":"Nutrient uptake in mycorrhizal symbiosis","type":"article-journal","volume":"159"},"uris":["http://www.mendeley.com/documents/?uuid=dff89f71-2a39-4c7a-866e-2a3c8ad22d5f"]},{"id":"ITEM-3","itemData":{"author":[{"dropping-particle":"","family":"Smith","given":"Sally E","non-dropping-particle":"","parse-names":false,"suffix":""},{"dropping-particle":"","family":"Read","given":"David J","non-dropping-particle":"","parse-names":false,"suffix":""}],"id":"ITEM-3","issued":{"date-parts":[["2008"]]},"title":"Mycorrhizal Symbiosis","type":"book"},"uris":["http://www.mendeley.com/documents/?uuid=7de52699-7fb0-461b-b0db-02c8da38a432"]},{"id":"ITEM-4","itemData":{"DOI":"10.1146/annurev-arplant-050312-120235","ISSN":"15435008","PMID":"23451778","abstract":"Symbiotic nitrogen fixation by rhizobia in legume root nodules injects approximately 40 million tonnes of nitrogen into agricultural systems each year. In exchange for reduced nitrogen from the bacteria, the plant provides rhizobia with reduced carbon and all the essential nutrients required for bacterial metabolism. Symbiotic nitrogen fixation requires exquisite integration of plant and bacterial metabolism. Central to this integration are transporters of both the plant and the rhizobia, which transfer elements and compounds across various plant membranes and the two bacterial membranes. Here we review current knowledge of legume and rhizobial transport and metabolism as they relate to symbiotic nitrogen fixation. Although all legume-rhizobia symbioses have many metabolic features in common, there are also interesting differences between them, which show that evolution has solved metabolic problems in different ways to achieve effective symbiosis in different systems. © Copyright ©2013 by Annual Reviews. All rights reserved.","author":[{"dropping-particle":"","family":"Udvardi","given":"Michael","non-dropping-particle":"","parse-names":false,"suffix":""},{"dropping-particle":"","family":"Poole","given":"Philip S","non-dropping-particle":"","parse-names":false,"suffix":""}],"container-title":"Annual Review of Plant Biology","id":"ITEM-4","issued":{"date-parts":[["2013"]]},"page":"781-805","title":"Transport and metabolism in legume-rhizobia symbioses","type":"article-journal","volume":"64"},"uris":["http://www.mendeley.com/documents/?uuid=57ffd0b8-bd14-4c07-8d99-a513aed36ee6"]}],"mendeley":{"formattedCitation":"(Vance &amp; Heichel, 1991; Marschner &amp; Dell, 1994; Smith &amp; Read, 2008; Udvardi &amp; Poole, 2013)","plainTextFormattedCitation":"(Vance &amp; Heichel, 1991; Marschner &amp; Dell, 1994; Smith &amp; Read, 2008; Udvardi &amp; Poole, 2013)","previouslyFormattedCitation":"(Vance &amp; Heichel, 1991; Marschner &amp; Dell, 1994; Smith &amp; Read, 2008; Udvardi &amp; Poole, 2013)"},"properties":{"noteIndex":0},"schema":"https://github.com/citation-style-language/schema/raw/master/csl-citation.json"}</w:instrText>
      </w:r>
      <w:r w:rsidR="009D1104">
        <w:fldChar w:fldCharType="separate"/>
      </w:r>
      <w:r w:rsidR="009D1104" w:rsidRPr="009D1104">
        <w:rPr>
          <w:noProof/>
        </w:rPr>
        <w:t>(Vance &amp; Heichel, 1991; Marschner &amp; Dell, 1994; Smith &amp; Read, 2008; Udvardi &amp; Poole, 2013)</w:t>
      </w:r>
      <w:r w:rsidR="009D1104">
        <w:fldChar w:fldCharType="end"/>
      </w:r>
      <w:r w:rsidR="00F21CD4">
        <w:t xml:space="preserve">, or </w:t>
      </w:r>
      <w:r w:rsidR="00AA479F">
        <w:t>root exudat</w:t>
      </w:r>
      <w:r w:rsidR="00FA37A7">
        <w:t xml:space="preserve">es that </w:t>
      </w:r>
      <w:r w:rsidR="0081750C">
        <w:t xml:space="preserve">supply carbon to </w:t>
      </w:r>
      <w:r w:rsidR="00FA37A7">
        <w:t>free-living soil microbial communities</w:t>
      </w:r>
      <w:r w:rsidR="009D1104">
        <w:t xml:space="preserve"> </w:t>
      </w:r>
      <w:r w:rsidR="009D1104">
        <w:fldChar w:fldCharType="begin" w:fldLock="1"/>
      </w:r>
      <w:r w:rsidR="009D1104">
        <w:instrText>ADDIN CSL_CITATION {"citationItems":[{"id":"ITEM-1","itemData":{"DOI":"10.1111/j.1461-0248.2010.01570.x","ISSN":"1461023X","abstract":"Ecology Letters (2011) 14: 187-194 The degree to which rising atmospheric CO2 will be offset by carbon (C) sequestration in forests depends in part on the capacity of trees and soil microbes to make physiological adjustments that can alleviate resource limitation. Here, we show for the first time that mature trees exposed to CO2 enrichment increase the release of soluble C from roots to soil, and that such increases are coupled to the accelerated turnover of nitrogen (N) pools in the rhizosphere. Over the course of 3years, we measured in situ rates of root exudation from 420 intact loblolly pine (Pinus taeda L.) roots. Trees fumigated with elevated CO2 (200 p.p.m.v. over background) increased exudation rates (μgCcm-1rooth-1) by 55% during the primary growing season, leading to a 50% annual increase in dissolved organic inputs to fumigated forest soils. These increases in root-derived C were positively correlated with microbial release of extracellular enzymes involved in breakdown of organic N (R2=0.66; P=0.006) in the rhizosphere, indicating that exudation stimulated microbial activity and accelerated the rate of soil organic matter (SOM) turnover. In support of this conclusion, trees exposed to both elevated CO2 and N fertilization did not increase exudation rates and had reduced enzyme activities in the rhizosphere. Collectively, our results provide field-based empirical support suggesting that sustained growth responses of forests to elevated CO2 in low fertility soils are maintained by enhanced rates of microbial activity and N cycling fuelled by inputs of root-derived C. To the extent that increases in exudation also stimulate SOM decomposition, such changes may prevent soil C accumulation in forest ecosystems. © 2010 Blackwell Publishing Ltd/CNRS.","author":[{"dropping-particle":"","family":"Phillips","given":"Richard P","non-dropping-particle":"","parse-names":false,"suffix":""},{"dropping-particle":"","family":"Finzi","given":"Adrien C","non-dropping-particle":"","parse-names":false,"suffix":""},{"dropping-particle":"","family":"Bernhardt","given":"Emily S","non-dropping-particle":"","parse-names":false,"suffix":""}],"container-title":"Ecology Letters","id":"ITEM-1","issue":"2","issued":{"date-parts":[["2011","2"]]},"page":"187-194","title":"Enhanced root exudation induces microbial feedbacks to N cycling in a pine forest under long-term CO2 fumigation","type":"article-journal","volume":"14"},"uris":["http://www.mendeley.com/documents/?uuid=883f7f1a-27ac-4ba0-9eff-04c3a1e4ef3b"]},{"id":"ITEM-2","itemData":{"DOI":"10.1111/nph.17854","ISSN":"14698137","PMID":"34761404","abstract":"The concept of a root economics space (RES) is increasingly adopted to explore root trait variation and belowground resource-acquisition strategies. Much progress has been made on interactions of root morphology and mycorrhizal symbioses. However, root exudation, with a significant carbon (C) cost (c. 5–21% of total photosynthetically fixed C) to enhance resource acquisition, remains a missing link in this RES. Here, we argue that incorporating root exudation into the structure of RES is key to a holistic understanding of soil nutrient acquisition. We highlight the different functional roles of root exudates in soil phosphorus (P) and nitrogen (N) acquisition. Thereafter, we synthesize emerging evidence that illustrates how root exudation interacts with root morphology and mycorrhizal symbioses at the level of species and individual plant and argue contrasting patterns in species evolved in P-impoverished vs N-limited environments. Finally, we propose a new conceptual framework, integrating three groups of root functional traits to better capture the complexity of belowground resource-acquisition strategies. Such a deeper understanding of the integrated and dynamic interactions of root morphology, root exudation, and mycorrhizal symbioses will provide valuable insights into the mechanisms underlying species coexistence and how to explore belowground interactions for sustainable managed systems.","author":[{"dropping-particle":"","family":"Wen","given":"Zhihui","non-dropping-particle":"","parse-names":false,"suffix":""},{"dropping-particle":"","family":"White","given":"Philip J.","non-dropping-particle":"","parse-names":false,"suffix":""},{"dropping-particle":"","family":"Shen","given":"Jianbo","non-dropping-particle":"","parse-names":false,"suffix":""},{"dropping-particle":"","family":"Lambers","given":"Hans","non-dropping-particle":"","parse-names":false,"suffix":""}],"container-title":"New Phytologist","id":"ITEM-2","issue":"4","issued":{"date-parts":[["2022"]]},"page":"1620-1635","title":"Linking root exudation to belowground economic traits for resource acquisition","type":"article-journal","volume":"233"},"uris":["http://www.mendeley.com/documents/?uuid=44933fd6-77ca-43c4-9bd5-32fd612d06ef"]}],"mendeley":{"formattedCitation":"(Phillips &lt;i&gt;et al.&lt;/i&gt;, 2011; Wen &lt;i&gt;et al.&lt;/i&gt;, 2022)","plainTextFormattedCitation":"(Phillips et al., 2011; Wen et al., 2022)","previouslyFormattedCitation":"(Phillips &lt;i&gt;et al.&lt;/i&gt;, 2011; Wen &lt;i&gt;et al.&lt;/i&gt;, 2022)"},"properties":{"noteIndex":0},"schema":"https://github.com/citation-style-language/schema/raw/master/csl-citation.json"}</w:instrText>
      </w:r>
      <w:r w:rsidR="009D1104">
        <w:fldChar w:fldCharType="separate"/>
      </w:r>
      <w:r w:rsidR="009D1104" w:rsidRPr="009D1104">
        <w:rPr>
          <w:noProof/>
        </w:rPr>
        <w:t xml:space="preserve">(Phillips </w:t>
      </w:r>
      <w:r w:rsidR="009D1104" w:rsidRPr="009D1104">
        <w:rPr>
          <w:i/>
          <w:noProof/>
        </w:rPr>
        <w:t>et al.</w:t>
      </w:r>
      <w:r w:rsidR="009D1104" w:rsidRPr="009D1104">
        <w:rPr>
          <w:noProof/>
        </w:rPr>
        <w:t xml:space="preserve">, 2011; Wen </w:t>
      </w:r>
      <w:r w:rsidR="009D1104" w:rsidRPr="009D1104">
        <w:rPr>
          <w:i/>
          <w:noProof/>
        </w:rPr>
        <w:t>et al.</w:t>
      </w:r>
      <w:r w:rsidR="009D1104" w:rsidRPr="009D1104">
        <w:rPr>
          <w:noProof/>
        </w:rPr>
        <w:t>, 2022)</w:t>
      </w:r>
      <w:r w:rsidR="009D1104">
        <w:fldChar w:fldCharType="end"/>
      </w:r>
      <w:r w:rsidR="00C72D94">
        <w:t>.</w:t>
      </w:r>
      <w:r w:rsidR="001D26CA">
        <w:t xml:space="preserve"> </w:t>
      </w:r>
    </w:p>
    <w:p w14:paraId="0B399DDF" w14:textId="619EACFA" w:rsidR="00A67AC8" w:rsidRDefault="002548F5" w:rsidP="00FF04C4">
      <w:pPr>
        <w:spacing w:line="480" w:lineRule="auto"/>
        <w:ind w:firstLine="720"/>
      </w:pPr>
      <w:r>
        <w:t xml:space="preserve">In principle, </w:t>
      </w:r>
      <w:r w:rsidR="00FB54EF">
        <w:t xml:space="preserve">plants cannot acquire nitrogen without </w:t>
      </w:r>
      <w:r w:rsidR="00CD5C63">
        <w:t xml:space="preserve">first </w:t>
      </w:r>
      <w:r w:rsidR="00FB54EF">
        <w:t xml:space="preserve">allocating carbon belowground, which implies an inherent carbon cost to the plant for acquiring nitrogen. </w:t>
      </w:r>
      <w:proofErr w:type="gramStart"/>
      <w:r w:rsidR="00CD5C63">
        <w:t>These</w:t>
      </w:r>
      <w:r w:rsidR="00A67AC8">
        <w:t xml:space="preserve"> nitrogen</w:t>
      </w:r>
      <w:proofErr w:type="gramEnd"/>
      <w:r w:rsidR="00A67AC8">
        <w:t xml:space="preserve"> return on carbon invested</w:t>
      </w:r>
      <w:r w:rsidR="00CD5C63">
        <w:t xml:space="preserve"> </w:t>
      </w:r>
      <w:r w:rsidR="00A67AC8">
        <w:t>belowground</w:t>
      </w:r>
      <w:r w:rsidR="00FA37A7">
        <w:t xml:space="preserve"> </w:t>
      </w:r>
      <w:r w:rsidR="00A67AC8">
        <w:t xml:space="preserve">may </w:t>
      </w:r>
      <w:r w:rsidR="00FA37A7">
        <w:t>vary in species with different nitrogen acquisition strategies</w:t>
      </w:r>
      <w:r w:rsidR="00A67AC8">
        <w:t xml:space="preserve">. For instance, carbon investment in roots for direct nitrogen uptake does not require costs beyond root development, </w:t>
      </w:r>
      <w:r w:rsidR="00830C83">
        <w:t xml:space="preserve">as is the cases for acquisition strategies that involve other </w:t>
      </w:r>
      <w:r w:rsidR="00830C83">
        <w:lastRenderedPageBreak/>
        <w:t xml:space="preserve">organisms. </w:t>
      </w:r>
      <w:r w:rsidR="0081750C">
        <w:t>However, the nitrogen return may be greater is carbon is given to decomposers who produce inorganic nitrogen than can be taken up by roots (</w:t>
      </w:r>
      <w:r w:rsidR="0081750C" w:rsidRPr="00145675">
        <w:rPr>
          <w:highlight w:val="yellow"/>
        </w:rPr>
        <w:t>CITE</w:t>
      </w:r>
      <w:r w:rsidR="0081750C">
        <w:t>), fungal symbionts that mine the soil for nitrogen (</w:t>
      </w:r>
      <w:r w:rsidR="0081750C" w:rsidRPr="00145675">
        <w:rPr>
          <w:highlight w:val="yellow"/>
        </w:rPr>
        <w:t>CITE</w:t>
      </w:r>
      <w:r w:rsidR="0081750C">
        <w:t>), or bacteria symbionts that can provide nitrogen fixed from the atmosphere (</w:t>
      </w:r>
      <w:r w:rsidR="0081750C" w:rsidRPr="00145675">
        <w:rPr>
          <w:highlight w:val="yellow"/>
        </w:rPr>
        <w:t>CITE</w:t>
      </w:r>
      <w:r w:rsidR="0081750C">
        <w:t>). The variability in costs to acquire nitrogen may help to explain the prevalence of different nitrogen acquisition strategies in different environments, but these have not been well quantified outside of a few studies (</w:t>
      </w:r>
      <w:proofErr w:type="spellStart"/>
      <w:r w:rsidR="0081750C">
        <w:t>Terrer</w:t>
      </w:r>
      <w:proofErr w:type="spellEnd"/>
      <w:r w:rsidR="0081750C">
        <w:t xml:space="preserve"> et al., 2018, </w:t>
      </w:r>
      <w:r w:rsidR="0081750C" w:rsidRPr="00145675">
        <w:rPr>
          <w:highlight w:val="yellow"/>
        </w:rPr>
        <w:t>OTHERS</w:t>
      </w:r>
      <w:r w:rsidR="0081750C">
        <w:t>??).</w:t>
      </w:r>
    </w:p>
    <w:p w14:paraId="48009BAC" w14:textId="360F1E73" w:rsidR="00FB54EF" w:rsidRPr="0081750C" w:rsidRDefault="0081750C" w:rsidP="00FF04C4">
      <w:pPr>
        <w:spacing w:line="480" w:lineRule="auto"/>
        <w:ind w:firstLine="720"/>
      </w:pPr>
      <w:r>
        <w:t xml:space="preserve">Nitrogen acquisition costs for a given nitrogen acquisition strategy is likely </w:t>
      </w:r>
      <w:r w:rsidR="00FA37A7">
        <w:t>depend</w:t>
      </w:r>
      <w:r w:rsidR="00A67AC8">
        <w:t>ent</w:t>
      </w:r>
      <w:r w:rsidR="00FA37A7">
        <w:t xml:space="preserve"> on external environmental factors such as atmospheric CO</w:t>
      </w:r>
      <w:r w:rsidR="00FA37A7">
        <w:rPr>
          <w:vertAlign w:val="subscript"/>
        </w:rPr>
        <w:t>2</w:t>
      </w:r>
      <w:r w:rsidR="00FA37A7">
        <w:t>, light availability, and soil nutrient availability</w:t>
      </w:r>
      <w:r w:rsidR="009D1104">
        <w:t xml:space="preserve"> </w:t>
      </w:r>
      <w:r w:rsidR="009D1104">
        <w:fldChar w:fldCharType="begin" w:fldLock="1"/>
      </w:r>
      <w:r w:rsidR="009D1104">
        <w:instrText>ADDIN CSL_CITATION {"citationItems":[{"id":"ITEM-1","itemData":{"DOI":"10.1002/2014JG002660.Received","abstract":"Accurate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sink.","author":[{"dropping-particle":"","family":"Brzostek","given":"Edward R","non-dropping-particle":"","parse-names":false,"suffix":""},{"dropping-particle":"","family":"Fisher","given":"Joshua B","non-dropping-particle":"","parse-names":false,"suffix":""},{"dropping-particle":"","family":"Phillips","given":"Richard P","non-dropping-particle":"","parse-names":false,"suffix":""}],"container-title":"Journal of Geophysical Research: Biogeosciences","id":"ITEM-1","issued":{"date-parts":[["2014"]]},"page":"1684-1697","title":"Modeling the carbon cost of plant nitrogen acquisition: Mycorrhizal trade-offs and multipath resistance uptake improve predictions of retranslocation","type":"article-journal","volume":"119"},"uris":["http://www.mendeley.com/documents/?uuid=d402da8e-476e-48bc-8d9c-7c76f7aa03a4"]},{"id":"ITEM-2","itemData":{"DOI":"10.1111/nph.14872","ISBN":"7476820487","ISSN":"0028-646X","abstract":"Land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Phytologist","id":"ITEM-2","issue":"2","issued":{"date-parts":[["2018","1","6"]]},"page":"507-522","title":"Ecosystem responses to elevated &lt;scp&gt;CO&lt;/scp&gt; &lt;sub&gt;2&lt;/sub&gt; governed by plant–soil interactions and the cost of nitrogen acquisition","type":"article-journal","volume":"217"},"uris":["http://www.mendeley.com/documents/?uuid=f5a032e4-11bd-468b-88f1-a7a4ce482036"]},{"id":"ITEM-3","itemData":{"DOI":"10.3389/ffgc.2020.00043","ISSN":"2624893X","abstract":"Nutrient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change.","author":[{"dropping-particle":"","family":"Allen","given":"Kara","non-dropping-particle":"","parse-names":false,"suffix":""},{"dropping-particle":"","family":"Fisher","given":"Joshua B","non-dropping-particle":"","parse-names":false,"suffix":""},{"dropping-particle":"","family":"Phillips","given":"Richard P","non-dropping-particle":"","parse-names":false,"suffix":""},{"dropping-particle":"","family":"Powers","given":"Jennifer S","non-dropping-particle":"","parse-names":false,"suffix":""},{"dropping-particle":"","family":"Brzostek","given":"Edward R","non-dropping-particle":"","parse-names":false,"suffix":""}],"container-title":"Frontiers in Forests and Global Change","id":"ITEM-3","issue":"May","issued":{"date-parts":[["2020"]]},"page":"1-12","title":"Modeling the carbon cost of plant nitrogen and phosphorus uptake across temperate and tropical forests","type":"article-journal","volume":"3"},"uris":["http://www.mendeley.com/documents/?uuid=480420f1-268a-43c9-915f-67afb003b56a"]},{"id":"ITEM-4","itemData":{"DOI":"10.1093/jxb/erab253","ISSN":"0022-0957","abstract":"Plant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Botany","editor":[{"dropping-particle":"","family":"Rogers","given":"Alistair","non-dropping-particle":"","parse-names":false,"suffix":""}],"id":"ITEM-4","issue":"15","issued":{"date-parts":[["2021","7","28"]]},"page":"5766-5776","title":"Root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strategies","type":"article-journal","volume":"72"},"uris":["http://www.mendeley.com/documents/?uuid=233b0f00-9a30-4c3a-a2bb-5e67ae9c0e5f"]},{"id":"ITEM-5","itemData":{"DOI":"10.3389/fpls.2022.927435","abstract":"Photosynthetically derived carbon (C) is allocated belowground, allowing plants to obtain nutrients. However, less is known about the amount of nutrients acquired relative to the C allocated belowground, which is referred to as C efficiency for nutrient acquisition (CENA). Here, we examined how C efficiency for nitrogen (N) and phosphorus (P) acquisition varied between ryegrass ( Lolium perenne ) and clover ( Trifolium repens ) with and without P fertilization. A continuous 13 C-labeling method was applied to track belowground C allocation. Both species allocated nearly half of belowground C to rhizosphere respiration (49%), followed by root biomass (37%), and rhizodeposition (14%). With regard to N and P, CENA was higher for clover than for ryegrass, which remained higher after accounting for relatively low C costs associated with biological N 2 fixation. Phosphorus fertilization increased the C efficiency for P acquisition but decreased the C efficiency for N acquisition. A higher CENA for N and P in clover may be attributed to the greater rhizosphere priming on soil organic matter decomposition. Increased P availability with P fertilization could induce lower C allocation for P uptake but exacerbate soil N limitation, thereby making N uptake less C efficient. Overall, our study revealed that species-specific belowground C allocation and nutrient uptake efficiency depend on which nutrient is limited.","author":[{"dropping-particle":"","family":"Lu","given":"Jiayu","non-dropping-particle":"","parse-names":false,"suffix":""},{"dropping-particle":"","family":"Yang","given":"Jinfeng","non-dropping-particle":"","parse-names":false,"suffix":""},{"dropping-particle":"","family":"Keitel","given":"Claudia","non-dropping-particle":"","parse-names":false,"suffix":""},{"dropping-particle":"","family":"Yin","given":"Liming","non-dropping-particle":"","parse-names":false,"suffix":""},{"dropping-particle":"","family":"Wang","given":"Peng","non-dropping-particle":"","parse-names":false,"suffix":""},{"dropping-particle":"","family":"Cheng","given":"Weixin","non-dropping-particle":"","parse-names":false,"suffix":""},{"dropping-particle":"","family":"Dijkstra","given":"Feike A","non-dropping-particle":"","parse-names":false,"suffix":""}],"container-title":"Frontiers in Plant Science","id":"ITEM-5","issue":"June","issued":{"date-parts":[["2022"]]},"page":"1-9","title":"Belowground Carbon Efficiency for Nitrogen and Phosphorus Acquisition Varies Between Lolium perenne and Trifolium repens and Depends on Phosphorus Fertilization","type":"article-journal","volume":"13"},"uris":["http://www.mendeley.com/documents/?uuid=dfc9e40d-3479-48b7-8b2e-9c95537b5843"]}],"mendeley":{"formattedCitation":"(Brzostek &lt;i&gt;et al.&lt;/i&gt;, 2014; Terrer &lt;i&gt;et al.&lt;/i&gt;, 2018; Allen &lt;i&gt;et al.&lt;/i&gt;, 2020; Perkowski &lt;i&gt;et al.&lt;/i&gt;, 2021; Lu &lt;i&gt;et al.&lt;/i&gt;, 2022)","plainTextFormattedCitation":"(Brzostek et al., 2014; Terrer et al., 2018; Allen et al., 2020; Perkowski et al., 2021; Lu et al., 2022)","previouslyFormattedCitation":"(Brzostek &lt;i&gt;et al.&lt;/i&gt;, 2014; Terrer &lt;i&gt;et al.&lt;/i&gt;, 2018; Allen &lt;i&gt;et al.&lt;/i&gt;, 2020; Perkowski &lt;i&gt;et al.&lt;/i&gt;, 2021; Lu &lt;i&gt;et al.&lt;/i&gt;, 2022)"},"properties":{"noteIndex":0},"schema":"https://github.com/citation-style-language/schema/raw/master/csl-citation.json"}</w:instrText>
      </w:r>
      <w:r w:rsidR="009D1104">
        <w:fldChar w:fldCharType="separate"/>
      </w:r>
      <w:r w:rsidR="009D1104" w:rsidRPr="009D1104">
        <w:rPr>
          <w:noProof/>
        </w:rPr>
        <w:t xml:space="preserve">(Brzostek </w:t>
      </w:r>
      <w:r w:rsidR="009D1104" w:rsidRPr="009D1104">
        <w:rPr>
          <w:i/>
          <w:noProof/>
        </w:rPr>
        <w:t>et al.</w:t>
      </w:r>
      <w:r w:rsidR="009D1104" w:rsidRPr="009D1104">
        <w:rPr>
          <w:noProof/>
        </w:rPr>
        <w:t xml:space="preserve">, 2014; Terrer </w:t>
      </w:r>
      <w:r w:rsidR="009D1104" w:rsidRPr="009D1104">
        <w:rPr>
          <w:i/>
          <w:noProof/>
        </w:rPr>
        <w:t>et al.</w:t>
      </w:r>
      <w:r w:rsidR="009D1104" w:rsidRPr="009D1104">
        <w:rPr>
          <w:noProof/>
        </w:rPr>
        <w:t xml:space="preserve">, 2018; Allen </w:t>
      </w:r>
      <w:r w:rsidR="009D1104" w:rsidRPr="009D1104">
        <w:rPr>
          <w:i/>
          <w:noProof/>
        </w:rPr>
        <w:t>et al.</w:t>
      </w:r>
      <w:r w:rsidR="009D1104" w:rsidRPr="009D1104">
        <w:rPr>
          <w:noProof/>
        </w:rPr>
        <w:t xml:space="preserve">, 2020; Perkowski </w:t>
      </w:r>
      <w:r w:rsidR="009D1104" w:rsidRPr="009D1104">
        <w:rPr>
          <w:i/>
          <w:noProof/>
        </w:rPr>
        <w:t>et al.</w:t>
      </w:r>
      <w:r w:rsidR="009D1104" w:rsidRPr="009D1104">
        <w:rPr>
          <w:noProof/>
        </w:rPr>
        <w:t xml:space="preserve">, 2021; Lu </w:t>
      </w:r>
      <w:r w:rsidR="009D1104" w:rsidRPr="009D1104">
        <w:rPr>
          <w:i/>
          <w:noProof/>
        </w:rPr>
        <w:t>et al.</w:t>
      </w:r>
      <w:r w:rsidR="009D1104" w:rsidRPr="009D1104">
        <w:rPr>
          <w:noProof/>
        </w:rPr>
        <w:t>, 2022)</w:t>
      </w:r>
      <w:r w:rsidR="009D1104">
        <w:fldChar w:fldCharType="end"/>
      </w:r>
      <w:r w:rsidR="00FA37A7">
        <w:t>.</w:t>
      </w:r>
      <w:r>
        <w:t xml:space="preserve"> For instance, the amount of photosynthate paid for nitrogen may increase with increased light and CO</w:t>
      </w:r>
      <w:r>
        <w:rPr>
          <w:vertAlign w:val="subscript"/>
        </w:rPr>
        <w:t>2</w:t>
      </w:r>
      <w:r>
        <w:t xml:space="preserve">, as these factors reduce the cost to produce photosynthate (Perkowski et al., 2021, </w:t>
      </w:r>
      <w:proofErr w:type="spellStart"/>
      <w:r>
        <w:t>Terrer</w:t>
      </w:r>
      <w:proofErr w:type="spellEnd"/>
      <w:r>
        <w:t xml:space="preserve"> et al., 2018, </w:t>
      </w:r>
      <w:r w:rsidRPr="00145675">
        <w:rPr>
          <w:highlight w:val="yellow"/>
        </w:rPr>
        <w:t>OTHERS</w:t>
      </w:r>
      <w:r>
        <w:t xml:space="preserve">??). However, </w:t>
      </w:r>
      <w:r w:rsidR="00A20518">
        <w:t xml:space="preserve">soil nitrogen availability is likely to reduce costs for nitrogen acquisition due a reduction in soil resourcing mining (by roots or symbionts) needed to meet plant nitrogen demand. </w:t>
      </w:r>
      <w:r w:rsidR="00525D8E">
        <w:t>However, this may not play out in plant species with strong and specialized symbiotic relationships with nitrogen-acquiring partners, such as plants that associate with nitrogen fixing bacteria.</w:t>
      </w:r>
      <w:r>
        <w:t xml:space="preserve"> </w:t>
      </w:r>
    </w:p>
    <w:p w14:paraId="5D3B626E" w14:textId="13C9A053" w:rsidR="00221A4C" w:rsidRDefault="00997D54" w:rsidP="00221A4C">
      <w:pPr>
        <w:spacing w:line="480" w:lineRule="auto"/>
        <w:ind w:firstLine="720"/>
      </w:pPr>
      <w:r>
        <w:t xml:space="preserve">In a recent study, Perkowski </w:t>
      </w:r>
      <w:r>
        <w:rPr>
          <w:i/>
          <w:iCs/>
        </w:rPr>
        <w:t>et al.</w:t>
      </w:r>
      <w:r>
        <w:t xml:space="preserve"> (2021) show that increasing soil nitrogen fertilization generally decreased carbon costs to acquire nitrogen in </w:t>
      </w:r>
      <w:r>
        <w:rPr>
          <w:i/>
          <w:iCs/>
        </w:rPr>
        <w:t>Gossypium hirsutum</w:t>
      </w:r>
      <w:r>
        <w:t xml:space="preserve"> and </w:t>
      </w:r>
      <w:r>
        <w:rPr>
          <w:i/>
          <w:iCs/>
        </w:rPr>
        <w:t>Glycine max</w:t>
      </w:r>
      <w:r>
        <w:t xml:space="preserve">. </w:t>
      </w:r>
      <w:r w:rsidR="005042AD">
        <w:rPr>
          <w:i/>
          <w:iCs/>
        </w:rPr>
        <w:t>Gossypium hirsutum</w:t>
      </w:r>
      <w:r w:rsidR="005042AD">
        <w:t xml:space="preserve"> can acquire nutrients via direct uptake pathways or through symbioses with arbuscular mycorrhizal fungi, while </w:t>
      </w:r>
      <w:r w:rsidR="005042AD">
        <w:rPr>
          <w:i/>
          <w:iCs/>
        </w:rPr>
        <w:t>G. max</w:t>
      </w:r>
      <w:r w:rsidR="005042AD">
        <w:t xml:space="preserve"> can acquire nutrients via direct uptake pathways or through symbioses with nitrogen-fixing bacteria. In the experiment, the authors noted that carbon costs to acquire nitrogen in </w:t>
      </w:r>
      <w:r>
        <w:rPr>
          <w:i/>
          <w:iCs/>
        </w:rPr>
        <w:t>G. max</w:t>
      </w:r>
      <w:r>
        <w:t xml:space="preserve"> were generally less responsive to increasing soil nitrogen fertilization than </w:t>
      </w:r>
      <w:r>
        <w:rPr>
          <w:i/>
          <w:iCs/>
        </w:rPr>
        <w:t>G. hirsutum</w:t>
      </w:r>
      <w:r w:rsidR="005042AD">
        <w:t xml:space="preserve">, a pattern that coincided with a reduction in root nodulation with </w:t>
      </w:r>
      <w:r w:rsidR="005042AD">
        <w:lastRenderedPageBreak/>
        <w:t xml:space="preserve">increasing fertilization. The authors speculated that this response may have been driven by resource optimization, where </w:t>
      </w:r>
      <w:r w:rsidR="005042AD">
        <w:rPr>
          <w:i/>
          <w:iCs/>
        </w:rPr>
        <w:t>G. max</w:t>
      </w:r>
      <w:r w:rsidR="005042AD">
        <w:t xml:space="preserve"> shifted their dominant mode of nitrogen acquisition from nitrogen fixation to direct uptake with increasing fertilization once costs to acquire nitrogen via direct uptake became less than the costs to acquire nitrogen via nitrogen fixation. However, the authors were not able to make robust conclusions about whether the carbon cost to acquire nitrogen responses </w:t>
      </w:r>
      <w:r w:rsidR="00221A4C">
        <w:t xml:space="preserve">to soil nitrogen fertilization differed between </w:t>
      </w:r>
      <w:r w:rsidR="005042AD">
        <w:rPr>
          <w:i/>
          <w:iCs/>
        </w:rPr>
        <w:t>G. hirsutum</w:t>
      </w:r>
      <w:r w:rsidR="005042AD">
        <w:t xml:space="preserve"> and </w:t>
      </w:r>
      <w:r w:rsidR="005042AD">
        <w:rPr>
          <w:i/>
          <w:iCs/>
        </w:rPr>
        <w:t>G. max</w:t>
      </w:r>
      <w:r w:rsidR="00221A4C">
        <w:t xml:space="preserve"> due to differences in species nutrient acquisition strategy because </w:t>
      </w:r>
      <w:r w:rsidR="005042AD">
        <w:t xml:space="preserve">the two species are not phylogenetically related and adopt different growth forms and growth durations. </w:t>
      </w:r>
    </w:p>
    <w:p w14:paraId="444BEBFD" w14:textId="74E9D202" w:rsidR="00A461D6" w:rsidRDefault="00221A4C" w:rsidP="00221A4C">
      <w:pPr>
        <w:spacing w:line="480" w:lineRule="auto"/>
        <w:ind w:firstLine="720"/>
      </w:pPr>
      <w:r>
        <w:t xml:space="preserve">To better understand how nitrogen fixation </w:t>
      </w:r>
      <w:r w:rsidR="00525D8E">
        <w:t>and</w:t>
      </w:r>
      <w:r>
        <w:t xml:space="preserve"> soil nitrogen fertilization</w:t>
      </w:r>
      <w:r w:rsidR="00525D8E">
        <w:t xml:space="preserve"> interact to influence</w:t>
      </w:r>
      <w:r>
        <w:t xml:space="preserve"> carbon costs to acquire nitrogen, </w:t>
      </w:r>
      <w:r w:rsidR="00FD777D">
        <w:t xml:space="preserve">we </w:t>
      </w:r>
      <w:r w:rsidR="00FF7948">
        <w:t>grew</w:t>
      </w:r>
      <w:r w:rsidR="00C70400">
        <w:t xml:space="preserve"> </w:t>
      </w:r>
      <w:r w:rsidR="00C70400">
        <w:rPr>
          <w:i/>
          <w:iCs/>
        </w:rPr>
        <w:t>Glycine max</w:t>
      </w:r>
      <w:r w:rsidR="00C70400">
        <w:t xml:space="preserve"> L. (</w:t>
      </w:r>
      <w:proofErr w:type="spellStart"/>
      <w:r w:rsidR="00C70400">
        <w:t>Merr</w:t>
      </w:r>
      <w:proofErr w:type="spellEnd"/>
      <w:r w:rsidR="00C70400">
        <w:t>.) under two soil nitrogen fertilization treatments and two inoculation treatments in a full factorial greenhouse experiment. We used this experiment to test the following hypotheses:</w:t>
      </w:r>
    </w:p>
    <w:p w14:paraId="2265ECA5" w14:textId="744BDA3A" w:rsidR="00A461D6" w:rsidRDefault="00E8768C" w:rsidP="00642465">
      <w:pPr>
        <w:pStyle w:val="ListParagraph"/>
        <w:numPr>
          <w:ilvl w:val="0"/>
          <w:numId w:val="6"/>
        </w:numPr>
        <w:spacing w:line="480" w:lineRule="auto"/>
        <w:ind w:left="1080"/>
      </w:pPr>
      <w:r>
        <w:t>S</w:t>
      </w:r>
      <w:r w:rsidR="00FF7948">
        <w:t>oil nitrogen fertilization w</w:t>
      </w:r>
      <w:r>
        <w:t xml:space="preserve">ill </w:t>
      </w:r>
      <w:r w:rsidR="00221A4C">
        <w:t>decrease</w:t>
      </w:r>
      <w:r w:rsidR="00A07AF4">
        <w:t xml:space="preserve"> carbon cost</w:t>
      </w:r>
      <w:r w:rsidR="007935E9">
        <w:t>s of nitrogen acquisition</w:t>
      </w:r>
      <w:r w:rsidR="00221A4C">
        <w:t xml:space="preserve"> in both uninoculated and inoculated </w:t>
      </w:r>
      <w:r w:rsidR="00525D8E">
        <w:t>individuals</w:t>
      </w:r>
      <w:r w:rsidR="007935E9">
        <w:t>. Th</w:t>
      </w:r>
      <w:r w:rsidR="00525D8E">
        <w:t xml:space="preserve">is will manifest as an </w:t>
      </w:r>
      <w:r w:rsidR="007935E9">
        <w:t>increase the amount of nitrogen acquired per belowground carbon investment</w:t>
      </w:r>
      <w:r w:rsidR="00525D8E">
        <w:t>.</w:t>
      </w:r>
    </w:p>
    <w:p w14:paraId="643926A3" w14:textId="0623D2FD" w:rsidR="007935E9" w:rsidRDefault="007935E9" w:rsidP="00642465">
      <w:pPr>
        <w:pStyle w:val="ListParagraph"/>
        <w:numPr>
          <w:ilvl w:val="0"/>
          <w:numId w:val="6"/>
        </w:numPr>
        <w:spacing w:line="480" w:lineRule="auto"/>
        <w:ind w:left="1080"/>
      </w:pPr>
      <w:r>
        <w:t xml:space="preserve">Inoculation with nitrogen-fixing bacteria will decrease </w:t>
      </w:r>
      <w:r w:rsidR="00E16C50">
        <w:t xml:space="preserve">carbon costs to acquire nitrogen under low soil nitrogen availability, as carbon costs to acquire nitrogen will be less than the carbon cost to acquire nitrogen via direct uptake. </w:t>
      </w:r>
      <w:r w:rsidR="00525D8E">
        <w:t>There will be no effect under high soil nitrogen availability due to all plants shifting toward a similar, direct uptake-dominated mode of nitrogen acquisition.</w:t>
      </w:r>
    </w:p>
    <w:p w14:paraId="5224E321" w14:textId="77777777" w:rsidR="00A461D6" w:rsidRDefault="00A07AF4" w:rsidP="00642465">
      <w:pPr>
        <w:pStyle w:val="ListParagraph"/>
        <w:numPr>
          <w:ilvl w:val="0"/>
          <w:numId w:val="6"/>
        </w:numPr>
        <w:spacing w:line="480" w:lineRule="auto"/>
        <w:ind w:left="1080"/>
      </w:pPr>
      <w:r>
        <w:t xml:space="preserve">There will be a decrease in nodulation with increasing soil nitrogen availability due to a reduction in carbon costs to obtain nitrogen from direct uptake with </w:t>
      </w:r>
      <w:r w:rsidR="00D01503">
        <w:t xml:space="preserve">increasing </w:t>
      </w:r>
      <w:r>
        <w:t xml:space="preserve">soil nitrogen </w:t>
      </w:r>
      <w:r w:rsidR="00D01503">
        <w:t>fertilization</w:t>
      </w:r>
      <w:r w:rsidR="0038171F">
        <w:t>.</w:t>
      </w:r>
    </w:p>
    <w:p w14:paraId="5FBCABC9" w14:textId="77777777" w:rsidR="008E2BDE" w:rsidRDefault="008E2BDE" w:rsidP="009D6E5B">
      <w:pPr>
        <w:spacing w:line="480" w:lineRule="auto"/>
        <w:rPr>
          <w:b/>
          <w:bCs/>
        </w:rPr>
      </w:pPr>
    </w:p>
    <w:p w14:paraId="3CF5076B" w14:textId="66B59908" w:rsidR="00D67D74" w:rsidRDefault="00D67D74" w:rsidP="009D6E5B">
      <w:pPr>
        <w:spacing w:line="480" w:lineRule="auto"/>
      </w:pPr>
      <w:r>
        <w:rPr>
          <w:b/>
          <w:bCs/>
        </w:rPr>
        <w:t>Methods</w:t>
      </w:r>
    </w:p>
    <w:p w14:paraId="382A6306" w14:textId="21CCA58D" w:rsidR="00D67D74" w:rsidRDefault="00D67D74" w:rsidP="009D6E5B">
      <w:pPr>
        <w:spacing w:line="480" w:lineRule="auto"/>
      </w:pPr>
      <w:r>
        <w:rPr>
          <w:i/>
          <w:iCs/>
        </w:rPr>
        <w:t>Experimental Design</w:t>
      </w:r>
    </w:p>
    <w:p w14:paraId="1D16EEDF" w14:textId="29787BAD" w:rsidR="00FF6F53" w:rsidRDefault="0011017D" w:rsidP="009D6E5B">
      <w:pPr>
        <w:spacing w:line="480" w:lineRule="auto"/>
        <w:ind w:firstLine="720"/>
        <w:rPr>
          <w:rFonts w:cs="Times New Roman"/>
        </w:rPr>
      </w:pPr>
      <w:r>
        <w:rPr>
          <w:i/>
          <w:iCs/>
        </w:rPr>
        <w:t>Glycine max</w:t>
      </w:r>
      <w:r>
        <w:t xml:space="preserve"> </w:t>
      </w:r>
      <w:r w:rsidR="00ED1628">
        <w:t xml:space="preserve">seeds </w:t>
      </w:r>
      <w:r>
        <w:t xml:space="preserve">were planted in </w:t>
      </w:r>
      <w:r w:rsidR="0089764A">
        <w:t>64</w:t>
      </w:r>
      <w:r w:rsidR="00283E1D">
        <w:t>,</w:t>
      </w:r>
      <w:r w:rsidR="0089764A">
        <w:t xml:space="preserve"> </w:t>
      </w:r>
      <w:r>
        <w:t>6-liter pots (</w:t>
      </w:r>
      <w:r w:rsidR="007B6BD6">
        <w:t>NS-600, Nursery Supplies, Orange, CA, USA</w:t>
      </w:r>
      <w:r>
        <w:t>) containing unfertilized potting mix (</w:t>
      </w:r>
      <w:proofErr w:type="spellStart"/>
      <w:r>
        <w:t>Sungro</w:t>
      </w:r>
      <w:proofErr w:type="spellEnd"/>
      <w:r>
        <w:t xml:space="preserve"> Sunshine Mix #2, </w:t>
      </w:r>
      <w:r w:rsidRPr="007B6BD6">
        <w:t>Agawam, MA, USA)</w:t>
      </w:r>
      <w:r w:rsidR="007B6BD6" w:rsidRPr="007B6BD6">
        <w:t>.</w:t>
      </w:r>
      <w:r w:rsidR="007B6BD6">
        <w:t xml:space="preserve"> </w:t>
      </w:r>
      <w:r w:rsidR="0089764A">
        <w:t>Pots and potting mix were steam s</w:t>
      </w:r>
      <w:r w:rsidR="00F83744">
        <w:t>terilized</w:t>
      </w:r>
      <w:r w:rsidR="0089764A">
        <w:t xml:space="preserve"> at </w:t>
      </w:r>
      <w:r w:rsidR="00534BFA">
        <w:t>95</w:t>
      </w:r>
      <w:r w:rsidR="0089764A" w:rsidRPr="00863849">
        <w:rPr>
          <w:rFonts w:ascii="Symbol" w:eastAsia="Symbol" w:hAnsi="Symbol" w:cs="Symbol"/>
          <w:color w:val="000000"/>
        </w:rPr>
        <w:t></w:t>
      </w:r>
      <w:r w:rsidR="0089764A" w:rsidRPr="00863849">
        <w:rPr>
          <w:color w:val="000000"/>
        </w:rPr>
        <w:t>C</w:t>
      </w:r>
      <w:r w:rsidR="0089764A">
        <w:t xml:space="preserve"> for </w:t>
      </w:r>
      <w:r w:rsidR="00283E1D">
        <w:t xml:space="preserve">three </w:t>
      </w:r>
      <w:r w:rsidR="0089764A">
        <w:t>hours to eliminate any bacterial or fungal growth. Thirty-two randomly selected pots were</w:t>
      </w:r>
      <w:r w:rsidR="00D373FB">
        <w:t xml:space="preserve"> planted with seeds</w:t>
      </w:r>
      <w:r w:rsidR="0089764A">
        <w:t xml:space="preserve"> inoculated with </w:t>
      </w:r>
      <w:proofErr w:type="spellStart"/>
      <w:r w:rsidR="007B6BD6" w:rsidRPr="007B6BD6">
        <w:rPr>
          <w:rFonts w:cs="Times New Roman"/>
          <w:i/>
          <w:iCs/>
        </w:rPr>
        <w:t>Bradyrhizobium</w:t>
      </w:r>
      <w:proofErr w:type="spellEnd"/>
      <w:r w:rsidR="007B6BD6" w:rsidRPr="007B6BD6">
        <w:rPr>
          <w:rFonts w:cs="Times New Roman"/>
          <w:i/>
          <w:iCs/>
        </w:rPr>
        <w:t xml:space="preserve"> japonicum</w:t>
      </w:r>
      <w:r w:rsidR="007B6BD6" w:rsidRPr="007B6BD6">
        <w:rPr>
          <w:rFonts w:cs="Times New Roman"/>
        </w:rPr>
        <w:t xml:space="preserve"> (</w:t>
      </w:r>
      <w:proofErr w:type="spellStart"/>
      <w:r w:rsidR="007B6BD6" w:rsidRPr="007B6BD6">
        <w:rPr>
          <w:rFonts w:cs="Times New Roman"/>
        </w:rPr>
        <w:t>Verdesian</w:t>
      </w:r>
      <w:proofErr w:type="spellEnd"/>
      <w:r w:rsidR="007B6BD6" w:rsidRPr="007B6BD6">
        <w:rPr>
          <w:rFonts w:cs="Times New Roman"/>
        </w:rPr>
        <w:t xml:space="preserve"> N-Dure™ Soybean,</w:t>
      </w:r>
      <w:r w:rsidR="007B6BD6">
        <w:rPr>
          <w:rFonts w:cs="Times New Roman"/>
        </w:rPr>
        <w:t xml:space="preserve"> Cary, NC, USA)</w:t>
      </w:r>
      <w:r w:rsidR="00675662">
        <w:rPr>
          <w:rFonts w:cs="Times New Roman"/>
        </w:rPr>
        <w:t xml:space="preserve"> following a brief surface sterilization in </w:t>
      </w:r>
      <w:r w:rsidR="00F61FD5">
        <w:rPr>
          <w:rFonts w:cs="Times New Roman"/>
          <w:highlight w:val="yellow"/>
        </w:rPr>
        <w:t>20,000 ppm</w:t>
      </w:r>
      <w:r w:rsidR="00675662">
        <w:rPr>
          <w:rFonts w:cs="Times New Roman"/>
        </w:rPr>
        <w:t xml:space="preserve"> </w:t>
      </w:r>
      <w:r w:rsidR="00534BFA">
        <w:rPr>
          <w:rFonts w:cs="Times New Roman"/>
        </w:rPr>
        <w:t>sodium hypochlorite</w:t>
      </w:r>
      <w:r w:rsidR="0038171F">
        <w:rPr>
          <w:rFonts w:cs="Times New Roman"/>
        </w:rPr>
        <w:t xml:space="preserve"> for </w:t>
      </w:r>
      <w:r w:rsidR="00F61FD5">
        <w:rPr>
          <w:rFonts w:cs="Times New Roman"/>
          <w:highlight w:val="yellow"/>
        </w:rPr>
        <w:t>5</w:t>
      </w:r>
      <w:r w:rsidR="00F61FD5">
        <w:rPr>
          <w:rFonts w:cs="Times New Roman"/>
        </w:rPr>
        <w:t xml:space="preserve"> </w:t>
      </w:r>
      <w:r w:rsidR="0038171F">
        <w:rPr>
          <w:rFonts w:cs="Times New Roman"/>
        </w:rPr>
        <w:t>minutes followed</w:t>
      </w:r>
      <w:r w:rsidR="00283E1D">
        <w:rPr>
          <w:rFonts w:cs="Times New Roman"/>
        </w:rPr>
        <w:t xml:space="preserve"> by</w:t>
      </w:r>
      <w:r w:rsidR="0038171F">
        <w:rPr>
          <w:rFonts w:cs="Times New Roman"/>
        </w:rPr>
        <w:t xml:space="preserve"> three</w:t>
      </w:r>
      <w:r w:rsidR="00DA425E">
        <w:rPr>
          <w:rFonts w:cs="Times New Roman"/>
        </w:rPr>
        <w:t xml:space="preserve"> washes in</w:t>
      </w:r>
      <w:r w:rsidR="0038171F">
        <w:rPr>
          <w:rFonts w:cs="Times New Roman"/>
        </w:rPr>
        <w:t xml:space="preserve"> </w:t>
      </w:r>
      <w:r w:rsidR="00283E1D">
        <w:rPr>
          <w:rFonts w:cs="Times New Roman"/>
        </w:rPr>
        <w:t xml:space="preserve">ultrapure </w:t>
      </w:r>
      <w:r w:rsidR="0038171F">
        <w:rPr>
          <w:rFonts w:cs="Times New Roman"/>
        </w:rPr>
        <w:t>water</w:t>
      </w:r>
      <w:r w:rsidR="00F61FD5">
        <w:rPr>
          <w:rFonts w:cs="Times New Roman"/>
        </w:rPr>
        <w:t xml:space="preserve"> </w:t>
      </w:r>
      <w:commentRangeStart w:id="0"/>
      <w:r w:rsidR="00F61FD5" w:rsidRPr="6E1ABADC">
        <w:rPr>
          <w:rFonts w:eastAsia="Times New Roman" w:cs="Times New Roman"/>
          <w:color w:val="000000" w:themeColor="text1"/>
        </w:rPr>
        <w:t xml:space="preserve">(Montville &amp; Schaffner, 2004; </w:t>
      </w:r>
      <w:proofErr w:type="spellStart"/>
      <w:r w:rsidR="00F61FD5" w:rsidRPr="6E1ABADC">
        <w:rPr>
          <w:rFonts w:eastAsia="Times New Roman" w:cs="Times New Roman"/>
          <w:color w:val="000000" w:themeColor="text1"/>
        </w:rPr>
        <w:t>Scouten</w:t>
      </w:r>
      <w:proofErr w:type="spellEnd"/>
      <w:r w:rsidR="00F61FD5" w:rsidRPr="6E1ABADC">
        <w:rPr>
          <w:rFonts w:eastAsia="Times New Roman" w:cs="Times New Roman"/>
          <w:color w:val="000000" w:themeColor="text1"/>
        </w:rPr>
        <w:t xml:space="preserve"> &amp; </w:t>
      </w:r>
      <w:proofErr w:type="spellStart"/>
      <w:r w:rsidR="00F61FD5" w:rsidRPr="6E1ABADC">
        <w:rPr>
          <w:rFonts w:eastAsia="Times New Roman" w:cs="Times New Roman"/>
          <w:color w:val="000000" w:themeColor="text1"/>
        </w:rPr>
        <w:t>Beuchat</w:t>
      </w:r>
      <w:proofErr w:type="spellEnd"/>
      <w:r w:rsidR="00F61FD5" w:rsidRPr="6E1ABADC">
        <w:rPr>
          <w:rFonts w:eastAsia="Times New Roman" w:cs="Times New Roman"/>
          <w:color w:val="000000" w:themeColor="text1"/>
        </w:rPr>
        <w:t>, 2002)</w:t>
      </w:r>
      <w:commentRangeEnd w:id="0"/>
      <w:r w:rsidR="00F61FD5">
        <w:rPr>
          <w:rStyle w:val="CommentReference"/>
          <w:rFonts w:eastAsia="Times New Roman" w:cs="Times New Roman"/>
        </w:rPr>
        <w:commentReference w:id="0"/>
      </w:r>
      <w:r w:rsidR="00D373FB">
        <w:rPr>
          <w:rFonts w:cs="Times New Roman"/>
        </w:rPr>
        <w:t xml:space="preserve">. </w:t>
      </w:r>
      <w:r w:rsidR="0089764A">
        <w:rPr>
          <w:rFonts w:cs="Times New Roman"/>
        </w:rPr>
        <w:t xml:space="preserve">The remaining </w:t>
      </w:r>
      <w:r w:rsidR="00912680">
        <w:rPr>
          <w:rFonts w:cs="Times New Roman"/>
        </w:rPr>
        <w:t xml:space="preserve">32 </w:t>
      </w:r>
      <w:r w:rsidR="0089764A">
        <w:rPr>
          <w:rFonts w:cs="Times New Roman"/>
        </w:rPr>
        <w:t xml:space="preserve">pots </w:t>
      </w:r>
      <w:r w:rsidR="00651708">
        <w:rPr>
          <w:rFonts w:cs="Times New Roman"/>
        </w:rPr>
        <w:t xml:space="preserve">were planted with seeds that did not receive </w:t>
      </w:r>
      <w:r w:rsidR="0089764A">
        <w:rPr>
          <w:rFonts w:cs="Times New Roman"/>
        </w:rPr>
        <w:t>any inoculation</w:t>
      </w:r>
      <w:r w:rsidR="00912680">
        <w:rPr>
          <w:rFonts w:cs="Times New Roman"/>
        </w:rPr>
        <w:t xml:space="preserve"> treatment</w:t>
      </w:r>
      <w:r w:rsidR="00ED1628">
        <w:rPr>
          <w:rFonts w:cs="Times New Roman"/>
        </w:rPr>
        <w:t xml:space="preserve">. Uninoculated seeds were also surface sterilized in </w:t>
      </w:r>
      <w:r w:rsidR="00F61FD5">
        <w:rPr>
          <w:rFonts w:cs="Times New Roman"/>
          <w:highlight w:val="yellow"/>
        </w:rPr>
        <w:t>20,000 ppm</w:t>
      </w:r>
      <w:r w:rsidR="00ED1628">
        <w:rPr>
          <w:rFonts w:cs="Times New Roman"/>
        </w:rPr>
        <w:t xml:space="preserve"> </w:t>
      </w:r>
      <w:r w:rsidR="00534BFA">
        <w:rPr>
          <w:rFonts w:cs="Times New Roman"/>
        </w:rPr>
        <w:t>sodium hypochlorit</w:t>
      </w:r>
      <w:r w:rsidR="0038171F">
        <w:rPr>
          <w:rFonts w:cs="Times New Roman"/>
        </w:rPr>
        <w:t xml:space="preserve">e for </w:t>
      </w:r>
      <w:r w:rsidR="00F61FD5">
        <w:rPr>
          <w:rFonts w:cs="Times New Roman"/>
          <w:highlight w:val="yellow"/>
        </w:rPr>
        <w:t>5</w:t>
      </w:r>
      <w:r w:rsidR="00F61FD5">
        <w:rPr>
          <w:rFonts w:cs="Times New Roman"/>
        </w:rPr>
        <w:t xml:space="preserve"> </w:t>
      </w:r>
      <w:r w:rsidR="0038171F">
        <w:rPr>
          <w:rFonts w:cs="Times New Roman"/>
        </w:rPr>
        <w:t>minutes followed by three ultrapure water washes</w:t>
      </w:r>
      <w:r w:rsidR="00C41A80">
        <w:rPr>
          <w:rFonts w:cs="Times New Roman"/>
        </w:rPr>
        <w:t xml:space="preserve"> to ensure that the only difference between seed treatments was the inoculation treatment</w:t>
      </w:r>
      <w:r w:rsidR="0038171F">
        <w:rPr>
          <w:rFonts w:cs="Times New Roman"/>
        </w:rPr>
        <w:t>.</w:t>
      </w:r>
    </w:p>
    <w:p w14:paraId="42F7CA6B" w14:textId="2A86E271" w:rsidR="00D67D74" w:rsidRPr="00412BAB" w:rsidRDefault="00912680" w:rsidP="009D6E5B">
      <w:pPr>
        <w:autoSpaceDE w:val="0"/>
        <w:autoSpaceDN w:val="0"/>
        <w:adjustRightInd w:val="0"/>
        <w:spacing w:line="480" w:lineRule="auto"/>
        <w:ind w:firstLine="720"/>
        <w:rPr>
          <w:rFonts w:cs="Times New Roman"/>
        </w:rPr>
      </w:pPr>
      <w:r>
        <w:rPr>
          <w:rFonts w:cs="Times New Roman"/>
        </w:rPr>
        <w:t xml:space="preserve">Upon planting, </w:t>
      </w:r>
      <w:r w:rsidR="00675662">
        <w:rPr>
          <w:rFonts w:cs="Times New Roman"/>
        </w:rPr>
        <w:t xml:space="preserve">all </w:t>
      </w:r>
      <w:r>
        <w:rPr>
          <w:rFonts w:cs="Times New Roman"/>
        </w:rPr>
        <w:t>p</w:t>
      </w:r>
      <w:r w:rsidR="007B6BD6">
        <w:rPr>
          <w:rFonts w:cs="Times New Roman"/>
        </w:rPr>
        <w:t xml:space="preserve">ots were </w:t>
      </w:r>
      <w:r w:rsidR="0089764A">
        <w:rPr>
          <w:rFonts w:cs="Times New Roman"/>
        </w:rPr>
        <w:t xml:space="preserve">immediately </w:t>
      </w:r>
      <w:r w:rsidR="007B6BD6">
        <w:rPr>
          <w:rFonts w:cs="Times New Roman"/>
        </w:rPr>
        <w:t xml:space="preserve">placed in </w:t>
      </w:r>
      <w:r w:rsidR="0089764A">
        <w:rPr>
          <w:rFonts w:cs="Times New Roman"/>
        </w:rPr>
        <w:t>one of four random blocks in a greenhouse</w:t>
      </w:r>
      <w:r>
        <w:rPr>
          <w:rFonts w:cs="Times New Roman"/>
        </w:rPr>
        <w:t xml:space="preserve"> and received one </w:t>
      </w:r>
      <w:r w:rsidR="007B6BD6">
        <w:rPr>
          <w:rFonts w:cs="Times New Roman"/>
        </w:rPr>
        <w:t>of two nitrogen fertilization treatments as 150 mL of a modified Hoagland’s solution</w:t>
      </w:r>
      <w:r w:rsidR="00D8588A">
        <w:rPr>
          <w:rFonts w:cs="Times New Roman"/>
        </w:rPr>
        <w:t xml:space="preserve"> </w:t>
      </w:r>
      <w:r w:rsidR="00D8588A">
        <w:rPr>
          <w:rFonts w:cs="Times New Roman"/>
        </w:rPr>
        <w:fldChar w:fldCharType="begin" w:fldLock="1"/>
      </w:r>
      <w:r w:rsidR="00D8588A">
        <w:rPr>
          <w:rFonts w:cs="Times New Roman"/>
        </w:rPr>
        <w:instrText>ADDIN CSL_CITATION {"citationItems":[{"id":"ITEM-1","itemData":{"abstract":"This is a revised edition of a popular account issued in 1938 H.A., 10: 28 based on the investigations of the two authors. Since then, experience in the U.S.A. and elsewhere has failed, in the authors' opinion, to support the early exaggerated claims for the value of the technique. Their experience leads to the conclusion that for its successful operation a knowledge of plant physiology is essential, that its commercial application is only likely to be successful under limited conditions and expert supervision, and that its results are rarely superior to those of soil culture. If, despite this, the would-be \"nutriculturist\" persists, he will find much to encourage and enlighten him on pp. 23-32, which contain directions on type of container, nature of bed, aeration of root system, planting procedures, the management of solutions, selection and preparation of solution, and the use of nutrient solutions for demonstrating mineral deficiencies.","author":[{"dropping-particle":"","family":"Hoagland","given":"Dennis R","non-dropping-particle":"","parse-names":false,"suffix":""},{"dropping-particle":"","family":"Arnon","given":"Daniel I","non-dropping-particle":"","parse-names":false,"suffix":""}],"container-title":"California Agricultural Experiment Station: 347","id":"ITEM-1","issue":"2","issued":{"date-parts":[["1950"]]},"page":"1-32","publisher":"California Agricultural Experiment Station: 347","title":"The water-culture method for growing plants without soil","type":"article-journal","volume":"347"},"uris":["http://www.mendeley.com/documents/?uuid=dd11fb6a-bf0e-4621-ae2a-1fd2345a784e"]}],"mendeley":{"formattedCitation":"(Hoagland &amp; Arnon, 1950)","plainTextFormattedCitation":"(Hoagland &amp; Arnon, 1950)","previouslyFormattedCitation":"(Hoagland &amp; Arnon, 1950)"},"properties":{"noteIndex":0},"schema":"https://github.com/citation-style-language/schema/raw/master/csl-citation.json"}</w:instrText>
      </w:r>
      <w:r w:rsidR="00D8588A">
        <w:rPr>
          <w:rFonts w:cs="Times New Roman"/>
        </w:rPr>
        <w:fldChar w:fldCharType="separate"/>
      </w:r>
      <w:r w:rsidR="00D8588A" w:rsidRPr="00D8588A">
        <w:rPr>
          <w:rFonts w:cs="Times New Roman"/>
          <w:noProof/>
        </w:rPr>
        <w:t>(Hoagland &amp; Arnon, 1950)</w:t>
      </w:r>
      <w:r w:rsidR="00D8588A">
        <w:rPr>
          <w:rFonts w:cs="Times New Roman"/>
        </w:rPr>
        <w:fldChar w:fldCharType="end"/>
      </w:r>
      <w:r w:rsidR="007B6BD6">
        <w:rPr>
          <w:rFonts w:cs="Times New Roman"/>
        </w:rPr>
        <w:t xml:space="preserve"> equivalent to either 70 or 630 ppm N twice per week</w:t>
      </w:r>
      <w:r w:rsidR="0089764A">
        <w:rPr>
          <w:rFonts w:cs="Times New Roman"/>
        </w:rPr>
        <w:t xml:space="preserve"> for </w:t>
      </w:r>
      <w:r w:rsidR="00102628">
        <w:rPr>
          <w:rFonts w:cs="Times New Roman"/>
        </w:rPr>
        <w:t>seven weeks</w:t>
      </w:r>
      <w:r w:rsidR="007B6BD6">
        <w:rPr>
          <w:rFonts w:cs="Times New Roman"/>
        </w:rPr>
        <w:t>. Nitrogen fertilization doses were received as topical agents to the soil surface and were modified to keep concentrations of other macro</w:t>
      </w:r>
      <w:r w:rsidR="007B12CC">
        <w:rPr>
          <w:rFonts w:cs="Times New Roman"/>
        </w:rPr>
        <w:t>nutrients</w:t>
      </w:r>
      <w:r w:rsidR="007B6BD6">
        <w:rPr>
          <w:rFonts w:cs="Times New Roman"/>
        </w:rPr>
        <w:t xml:space="preserve"> and micronutrients equivalent</w:t>
      </w:r>
      <w:r w:rsidR="0089764A">
        <w:rPr>
          <w:rFonts w:cs="Times New Roman"/>
        </w:rPr>
        <w:t xml:space="preserve"> (</w:t>
      </w:r>
      <w:r w:rsidR="0089764A" w:rsidRPr="00080882">
        <w:rPr>
          <w:rFonts w:cs="Times New Roman"/>
        </w:rPr>
        <w:t>Table S1</w:t>
      </w:r>
      <w:r w:rsidR="0089764A">
        <w:rPr>
          <w:rFonts w:cs="Times New Roman"/>
        </w:rPr>
        <w:t>)</w:t>
      </w:r>
      <w:r w:rsidR="007B6BD6">
        <w:rPr>
          <w:rFonts w:cs="Times New Roman"/>
        </w:rPr>
        <w:t xml:space="preserve">. </w:t>
      </w:r>
      <w:r w:rsidR="00926F7B">
        <w:rPr>
          <w:rFonts w:cs="Times New Roman"/>
        </w:rPr>
        <w:t>Throughout the experiment, p</w:t>
      </w:r>
      <w:r w:rsidR="007B6BD6">
        <w:rPr>
          <w:rFonts w:cs="Times New Roman"/>
        </w:rPr>
        <w:t xml:space="preserve">lants were routinely well-watered to </w:t>
      </w:r>
      <w:r w:rsidR="007B12CC">
        <w:rPr>
          <w:rFonts w:cs="Times New Roman"/>
        </w:rPr>
        <w:t>minimize any chance of</w:t>
      </w:r>
      <w:r w:rsidR="007B6BD6">
        <w:rPr>
          <w:rFonts w:cs="Times New Roman"/>
        </w:rPr>
        <w:t xml:space="preserve"> water stress</w:t>
      </w:r>
      <w:r>
        <w:rPr>
          <w:rFonts w:cs="Times New Roman"/>
        </w:rPr>
        <w:t>.</w:t>
      </w:r>
      <w:r w:rsidR="00412BAB">
        <w:rPr>
          <w:rFonts w:cs="Times New Roman"/>
        </w:rPr>
        <w:t xml:space="preserve"> There was no evidence of pot size induced growth limitation at the time of biomass harvest, indicated by marginal mean whole plant biomass: pot </w:t>
      </w:r>
      <w:r w:rsidR="00412BAB">
        <w:rPr>
          <w:rFonts w:cs="Times New Roman"/>
        </w:rPr>
        <w:lastRenderedPageBreak/>
        <w:t>volume ratios less than 1 g L</w:t>
      </w:r>
      <w:r w:rsidR="00412BAB">
        <w:rPr>
          <w:rFonts w:cs="Times New Roman"/>
          <w:vertAlign w:val="superscript"/>
        </w:rPr>
        <w:t>-1</w:t>
      </w:r>
      <w:r w:rsidR="00412BAB">
        <w:rPr>
          <w:rFonts w:cs="Times New Roman"/>
        </w:rPr>
        <w:t xml:space="preserve"> within each treatment combination (</w:t>
      </w:r>
      <w:r w:rsidR="00412BAB" w:rsidRPr="00433868">
        <w:rPr>
          <w:rFonts w:cs="Times New Roman"/>
        </w:rPr>
        <w:t>Table S2; Fig. S1</w:t>
      </w:r>
      <w:r w:rsidR="00412BAB">
        <w:rPr>
          <w:rFonts w:cs="Times New Roman"/>
        </w:rPr>
        <w:t>;</w:t>
      </w:r>
      <w:r w:rsidR="00D8588A">
        <w:rPr>
          <w:rFonts w:cs="Times New Roman"/>
        </w:rPr>
        <w:t xml:space="preserve"> </w:t>
      </w:r>
      <w:r w:rsidR="00D8588A">
        <w:rPr>
          <w:rFonts w:cs="Times New Roman"/>
        </w:rPr>
        <w:fldChar w:fldCharType="begin" w:fldLock="1"/>
      </w:r>
      <w:r w:rsidR="00D8588A">
        <w:rPr>
          <w:rFonts w:cs="Times New Roman"/>
        </w:rPr>
        <w:instrText xml:space="preserve">ADDIN CSL_CITATION {"citationItems":[{"id":"ITEM-1","itemData":{"DOI":"10.1071/FP12049","ISSN":"14454408","abstract":"The majority of experiments in plant biology use plants grown in some kind of container or pot. We conducted a meta-analysis on 65 studies that analysed the effect of pot size on growth and underlying variables. On average, a doubling of the pot size increased biomass production by 43%. Further analysis of pot size effects on the underlying components of growth suggests that reduced growth in smaller pots is caused mainly by a reduction in photosynthesis per unit leaf area, rather than by changes in leaf morphology or biomass allocation. The appropriate pot size will logically depend on the size of the plants growing in them. Based on various lines of evidence we suggest that an appropriate pot size is one in which the plant biomass does not exceed 1gL-1. In current research practice </w:instrText>
      </w:r>
      <w:r w:rsidR="00D8588A">
        <w:rPr>
          <w:rFonts w:ascii="Cambria Math" w:hAnsi="Cambria Math" w:cs="Cambria Math"/>
        </w:rPr>
        <w:instrText>∼</w:instrText>
      </w:r>
      <w:r w:rsidR="00D8588A">
        <w:rPr>
          <w:rFonts w:cs="Times New Roman"/>
        </w:rPr>
        <w:instrText>65% of the experiments exceed that threshold. We suggest that researchers need to carefully consider the pot size in their experiments, as small pots may change experimental results and defy the purpose of the experiment. © 2012 CSIRO.","author":[{"dropping-particle":"","family":"Poorter","given":"Hendrik","non-dropping-particle":"","parse-names":false,"suffix":""},{"dropping-particle":"","family":"Bühler","given":"Jonas","non-dropping-particle":"","parse-names":false,"suffix":""},{"dropping-particle":"","family":"Dusschoten","given":"Dagmar","non-dropping-particle":"Van","parse-names":false,"suffix":""},{"dropping-particle":"","family":"Climent","given":"Joś","non-dropping-particle":"","parse-names":false,"suffix":""},{"dropping-particle":"","family":"Postma","given":"Johannes A.","non-dropping-particle":"","parse-names":false,"suffix":""}],"container-title":"Functional Plant Biology","id":"ITEM-1","issue":"11","issued":{"date-parts":[["2012"]]},"page":"839-850","title":"Pot size matters: A meta-analysis of the effects of rooting volume on plant growth","type":"article-journal","volume":"39"},"uris":["http://www.mendeley.com/documents/?uuid=d2fc7dd0-f985-4014-a0fc-d0bf916ae5a9"]}],"mendeley":{"formattedCitation":"(Poorter &lt;i&gt;et al.&lt;/i&gt;, 2012)","manualFormatting":"Poorter et al., 2012)","plainTextFormattedCitation":"(Poorter et al., 2012)","previouslyFormattedCitation":"(Poorter &lt;i&gt;et al.&lt;/i&gt;, 2012)"},"properties":{"noteIndex":0},"schema":"https://github.com/citation-style-language/schema/raw/master/csl-citation.json"}</w:instrText>
      </w:r>
      <w:r w:rsidR="00D8588A">
        <w:rPr>
          <w:rFonts w:cs="Times New Roman"/>
        </w:rPr>
        <w:fldChar w:fldCharType="separate"/>
      </w:r>
      <w:r w:rsidR="00D8588A" w:rsidRPr="00D8588A">
        <w:rPr>
          <w:rFonts w:cs="Times New Roman"/>
          <w:noProof/>
        </w:rPr>
        <w:t xml:space="preserve">Poorter </w:t>
      </w:r>
      <w:r w:rsidR="00D8588A" w:rsidRPr="00D8588A">
        <w:rPr>
          <w:rFonts w:cs="Times New Roman"/>
          <w:i/>
          <w:noProof/>
        </w:rPr>
        <w:t>et al.</w:t>
      </w:r>
      <w:r w:rsidR="00D8588A" w:rsidRPr="00D8588A">
        <w:rPr>
          <w:rFonts w:cs="Times New Roman"/>
          <w:noProof/>
        </w:rPr>
        <w:t>, 2012)</w:t>
      </w:r>
      <w:r w:rsidR="00D8588A">
        <w:rPr>
          <w:rFonts w:cs="Times New Roman"/>
        </w:rPr>
        <w:fldChar w:fldCharType="end"/>
      </w:r>
    </w:p>
    <w:p w14:paraId="7A34FC86" w14:textId="5DC8ACDE" w:rsidR="00D67D74" w:rsidRDefault="00D67D74" w:rsidP="009D6E5B">
      <w:pPr>
        <w:spacing w:line="480" w:lineRule="auto"/>
      </w:pPr>
    </w:p>
    <w:p w14:paraId="64D2AC58" w14:textId="27F5B292" w:rsidR="00360D30" w:rsidRDefault="00283E1D" w:rsidP="009D6E5B">
      <w:pPr>
        <w:spacing w:line="480" w:lineRule="auto"/>
      </w:pPr>
      <w:r>
        <w:rPr>
          <w:i/>
          <w:iCs/>
        </w:rPr>
        <w:t>P</w:t>
      </w:r>
      <w:r w:rsidR="00360D30">
        <w:rPr>
          <w:i/>
          <w:iCs/>
        </w:rPr>
        <w:t>lant trait</w:t>
      </w:r>
      <w:r>
        <w:rPr>
          <w:i/>
          <w:iCs/>
        </w:rPr>
        <w:t xml:space="preserve"> measurements</w:t>
      </w:r>
    </w:p>
    <w:p w14:paraId="14099B94" w14:textId="113A59DC" w:rsidR="007755C4" w:rsidRDefault="00F83744" w:rsidP="009D6E5B">
      <w:pPr>
        <w:autoSpaceDE w:val="0"/>
        <w:autoSpaceDN w:val="0"/>
        <w:adjustRightInd w:val="0"/>
        <w:spacing w:line="480" w:lineRule="auto"/>
        <w:ind w:firstLine="720"/>
        <w:rPr>
          <w:rFonts w:cs="Times New Roman"/>
        </w:rPr>
      </w:pPr>
      <w:r>
        <w:t>W</w:t>
      </w:r>
      <w:r w:rsidR="00360D30">
        <w:t xml:space="preserve">e harvested all experimental individuals and separated biomass of </w:t>
      </w:r>
      <w:r w:rsidR="00360D30" w:rsidRPr="00360D30">
        <w:t>each experimental individual into major organ types (leaves, stems, roots</w:t>
      </w:r>
      <w:r w:rsidR="00310558">
        <w:t>, and root nodules when present</w:t>
      </w:r>
      <w:r w:rsidR="00360D30" w:rsidRPr="00360D30">
        <w:t>)</w:t>
      </w:r>
      <w:r>
        <w:t xml:space="preserve"> approximately seven weeks after experiment initiation</w:t>
      </w:r>
      <w:r w:rsidR="00360D30" w:rsidRPr="00360D30">
        <w:t>. Leaf areas of all harvested leaves were measured using a</w:t>
      </w:r>
      <w:r w:rsidR="00430044">
        <w:t>n</w:t>
      </w:r>
      <w:r w:rsidR="00360D30" w:rsidRPr="00360D30">
        <w:t xml:space="preserve"> </w:t>
      </w:r>
      <w:r w:rsidR="007755C4">
        <w:t>LI-3100</w:t>
      </w:r>
      <w:r w:rsidR="00412BAB">
        <w:t>C</w:t>
      </w:r>
      <w:r w:rsidR="007755C4">
        <w:t xml:space="preserve"> (</w:t>
      </w:r>
      <w:r w:rsidR="00412BAB" w:rsidRPr="00863849">
        <w:rPr>
          <w:color w:val="000000"/>
        </w:rPr>
        <w:t>Li-COR Bioscience</w:t>
      </w:r>
      <w:r w:rsidR="00412BAB">
        <w:rPr>
          <w:color w:val="000000"/>
        </w:rPr>
        <w:t>s</w:t>
      </w:r>
      <w:r w:rsidR="00412BAB" w:rsidRPr="00863849">
        <w:rPr>
          <w:color w:val="000000"/>
        </w:rPr>
        <w:t>, Lincoln, Nebraska, USA</w:t>
      </w:r>
      <w:r w:rsidR="00412BAB">
        <w:rPr>
          <w:color w:val="000000"/>
        </w:rPr>
        <w:t>)</w:t>
      </w:r>
      <w:r w:rsidR="00926F7B">
        <w:t>. T</w:t>
      </w:r>
      <w:r w:rsidR="00360D30" w:rsidRPr="00360D30">
        <w:t>otal leaf area</w:t>
      </w:r>
      <w:r w:rsidR="00926F7B">
        <w:t xml:space="preserve"> (cm</w:t>
      </w:r>
      <w:r w:rsidR="00926F7B">
        <w:rPr>
          <w:vertAlign w:val="superscript"/>
        </w:rPr>
        <w:t>2</w:t>
      </w:r>
      <w:r w:rsidR="00926F7B">
        <w:t>)</w:t>
      </w:r>
      <w:r w:rsidR="00360D30" w:rsidRPr="00360D30">
        <w:t xml:space="preserve"> was calculated as the sum of all leaf areas. </w:t>
      </w:r>
      <w:r w:rsidR="00360D30" w:rsidRPr="00360D30">
        <w:rPr>
          <w:rFonts w:cs="Times New Roman"/>
        </w:rPr>
        <w:t>All harvested material was dried</w:t>
      </w:r>
      <w:r w:rsidR="00360D30">
        <w:rPr>
          <w:rFonts w:cs="Times New Roman"/>
        </w:rPr>
        <w:t xml:space="preserve"> </w:t>
      </w:r>
      <w:r w:rsidR="00166B47">
        <w:rPr>
          <w:rFonts w:cs="Times New Roman"/>
        </w:rPr>
        <w:t>in an oven set to 65</w:t>
      </w:r>
      <w:r w:rsidR="00166B47">
        <w:rPr>
          <w:rFonts w:cs="Times New Roman"/>
        </w:rPr>
        <w:sym w:font="Symbol" w:char="F0B0"/>
      </w:r>
      <w:r w:rsidR="00166B47">
        <w:rPr>
          <w:rFonts w:cs="Times New Roman"/>
        </w:rPr>
        <w:t>C for at least 48 hours</w:t>
      </w:r>
      <w:r w:rsidR="00430044">
        <w:rPr>
          <w:rFonts w:cs="Times New Roman"/>
        </w:rPr>
        <w:t xml:space="preserve">, </w:t>
      </w:r>
      <w:r w:rsidR="00166B47">
        <w:rPr>
          <w:rFonts w:cs="Times New Roman"/>
        </w:rPr>
        <w:t>weighed</w:t>
      </w:r>
      <w:r w:rsidR="00430044">
        <w:rPr>
          <w:rFonts w:cs="Times New Roman"/>
        </w:rPr>
        <w:t>, and ground to homogeneity</w:t>
      </w:r>
      <w:r w:rsidR="00166B47">
        <w:rPr>
          <w:rFonts w:cs="Times New Roman"/>
        </w:rPr>
        <w:t xml:space="preserve">. </w:t>
      </w:r>
      <w:r w:rsidR="00360D30">
        <w:rPr>
          <w:rFonts w:cs="Times New Roman"/>
        </w:rPr>
        <w:t>Total dry biomass</w:t>
      </w:r>
      <w:r w:rsidR="005E3C64">
        <w:rPr>
          <w:rFonts w:cs="Times New Roman"/>
        </w:rPr>
        <w:t xml:space="preserve"> (g)</w:t>
      </w:r>
      <w:r w:rsidR="00360D30">
        <w:rPr>
          <w:rFonts w:cs="Times New Roman"/>
        </w:rPr>
        <w:t xml:space="preserve"> was</w:t>
      </w:r>
      <w:r w:rsidR="005E3C64">
        <w:rPr>
          <w:rFonts w:cs="Times New Roman"/>
        </w:rPr>
        <w:t xml:space="preserve"> </w:t>
      </w:r>
      <w:r w:rsidR="00360D30">
        <w:rPr>
          <w:rFonts w:cs="Times New Roman"/>
        </w:rPr>
        <w:t>calculated as the sum of dry leaf, stem, root</w:t>
      </w:r>
      <w:r w:rsidR="00B84938">
        <w:rPr>
          <w:rFonts w:cs="Times New Roman"/>
        </w:rPr>
        <w:t>, and root nodule</w:t>
      </w:r>
      <w:r w:rsidR="00360D30">
        <w:rPr>
          <w:rFonts w:cs="Times New Roman"/>
        </w:rPr>
        <w:t xml:space="preserve"> biomass.</w:t>
      </w:r>
      <w:r w:rsidR="00430044">
        <w:rPr>
          <w:rFonts w:cs="Times New Roman"/>
        </w:rPr>
        <w:t xml:space="preserve"> We also quantified carbon and nitrogen content</w:t>
      </w:r>
      <w:r w:rsidR="00B84938">
        <w:rPr>
          <w:rFonts w:cs="Times New Roman"/>
        </w:rPr>
        <w:t xml:space="preserve"> </w:t>
      </w:r>
      <w:r w:rsidR="00430044">
        <w:rPr>
          <w:rFonts w:cs="Times New Roman"/>
        </w:rPr>
        <w:t xml:space="preserve">of each respective organ type </w:t>
      </w:r>
      <w:r w:rsidR="00AB654B">
        <w:rPr>
          <w:rFonts w:cs="Times New Roman"/>
        </w:rPr>
        <w:t>through elemental combustion (</w:t>
      </w:r>
      <w:r w:rsidR="00AB654B">
        <w:rPr>
          <w:color w:val="000000"/>
        </w:rPr>
        <w:t xml:space="preserve">Costech-4010, </w:t>
      </w:r>
      <w:proofErr w:type="spellStart"/>
      <w:r w:rsidR="00AB654B">
        <w:rPr>
          <w:color w:val="000000"/>
        </w:rPr>
        <w:t>Costech</w:t>
      </w:r>
      <w:proofErr w:type="spellEnd"/>
      <w:r w:rsidR="00AB654B">
        <w:rPr>
          <w:color w:val="000000"/>
        </w:rPr>
        <w:t>, Inc., Valencia, CA, USA)</w:t>
      </w:r>
      <w:r w:rsidR="00AB654B">
        <w:rPr>
          <w:rFonts w:cs="Times New Roman"/>
        </w:rPr>
        <w:t xml:space="preserve"> </w:t>
      </w:r>
      <w:r w:rsidR="00430044">
        <w:rPr>
          <w:rFonts w:cs="Times New Roman"/>
        </w:rPr>
        <w:t>using subsamples of ground and homogenized organ tissue.</w:t>
      </w:r>
      <w:r w:rsidR="007755C4">
        <w:rPr>
          <w:rFonts w:cs="Times New Roman"/>
        </w:rPr>
        <w:t xml:space="preserve"> </w:t>
      </w:r>
    </w:p>
    <w:p w14:paraId="5E151562" w14:textId="678454F7" w:rsidR="00DD0878" w:rsidRDefault="00351A75" w:rsidP="008B104C">
      <w:pPr>
        <w:autoSpaceDE w:val="0"/>
        <w:autoSpaceDN w:val="0"/>
        <w:adjustRightInd w:val="0"/>
        <w:spacing w:line="480" w:lineRule="auto"/>
        <w:ind w:firstLine="720"/>
        <w:rPr>
          <w:rFonts w:cs="Times New Roman"/>
        </w:rPr>
      </w:pPr>
      <w:r>
        <w:rPr>
          <w:rFonts w:cs="Times New Roman"/>
        </w:rPr>
        <w:t>Following the</w:t>
      </w:r>
      <w:r w:rsidR="000F1E36">
        <w:rPr>
          <w:rFonts w:cs="Times New Roman"/>
        </w:rPr>
        <w:t xml:space="preserve"> </w:t>
      </w:r>
      <w:r>
        <w:rPr>
          <w:rFonts w:cs="Times New Roman"/>
        </w:rPr>
        <w:t>approach explained in</w:t>
      </w:r>
      <w:r w:rsidR="00D32CFF">
        <w:rPr>
          <w:rFonts w:cs="Times New Roman"/>
        </w:rPr>
        <w:t xml:space="preserve"> </w:t>
      </w:r>
      <w:r w:rsidR="008B104C">
        <w:rPr>
          <w:rFonts w:cs="Times New Roman"/>
        </w:rPr>
        <w:fldChar w:fldCharType="begin" w:fldLock="1"/>
      </w:r>
      <w:r w:rsidR="008B104C">
        <w:rPr>
          <w:rFonts w:cs="Times New Roman"/>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&lt;i&gt;et al.&lt;/i&gt;, 2021)","manualFormatting":"Perkowski et al. (2021)","plainTextFormattedCitation":"(Perkowski et al., 2021)","previouslyFormattedCitation":"(Perkowski &lt;i&gt;et al.&lt;/i&gt;, 2021)"},"properties":{"noteIndex":0},"schema":"https://github.com/citation-style-language/schema/raw/master/csl-citation.json"}</w:instrText>
      </w:r>
      <w:r w:rsidR="008B104C">
        <w:rPr>
          <w:rFonts w:cs="Times New Roman"/>
        </w:rPr>
        <w:fldChar w:fldCharType="separate"/>
      </w:r>
      <w:r w:rsidR="008B104C" w:rsidRPr="008B104C">
        <w:rPr>
          <w:rFonts w:cs="Times New Roman"/>
          <w:noProof/>
        </w:rPr>
        <w:t xml:space="preserve">Perkowski </w:t>
      </w:r>
      <w:r w:rsidR="008B104C" w:rsidRPr="008B104C">
        <w:rPr>
          <w:rFonts w:cs="Times New Roman"/>
          <w:i/>
          <w:noProof/>
        </w:rPr>
        <w:t>et al.</w:t>
      </w:r>
      <w:r w:rsidR="008B104C">
        <w:rPr>
          <w:rFonts w:cs="Times New Roman"/>
          <w:noProof/>
        </w:rPr>
        <w:t xml:space="preserve"> (</w:t>
      </w:r>
      <w:r w:rsidR="008B104C" w:rsidRPr="008B104C">
        <w:rPr>
          <w:rFonts w:cs="Times New Roman"/>
          <w:noProof/>
        </w:rPr>
        <w:t>2021)</w:t>
      </w:r>
      <w:r w:rsidR="008B104C">
        <w:rPr>
          <w:rFonts w:cs="Times New Roman"/>
        </w:rPr>
        <w:fldChar w:fldCharType="end"/>
      </w:r>
      <w:r>
        <w:rPr>
          <w:rFonts w:cs="Times New Roman"/>
        </w:rPr>
        <w:t>, we calculated structural carbon costs to acquire nitrogen as the ratio of total belowground carbon biomass to whole plant nitrogen biomass</w:t>
      </w:r>
      <w:r w:rsidR="00E20C33">
        <w:rPr>
          <w:rFonts w:cs="Times New Roman"/>
        </w:rPr>
        <w:t xml:space="preserve"> (g</w:t>
      </w:r>
      <w:r w:rsidR="00310558">
        <w:rPr>
          <w:rFonts w:cs="Times New Roman"/>
        </w:rPr>
        <w:t xml:space="preserve"> </w:t>
      </w:r>
      <w:r w:rsidR="00E20C33">
        <w:rPr>
          <w:rFonts w:cs="Times New Roman"/>
        </w:rPr>
        <w:t>C g</w:t>
      </w:r>
      <w:r w:rsidR="00E20C33">
        <w:rPr>
          <w:rFonts w:cs="Times New Roman"/>
          <w:vertAlign w:val="superscript"/>
        </w:rPr>
        <w:t>-1</w:t>
      </w:r>
      <w:r w:rsidR="00E20C33">
        <w:rPr>
          <w:rFonts w:cs="Times New Roman"/>
        </w:rPr>
        <w:t xml:space="preserve"> N)</w:t>
      </w:r>
      <w:r>
        <w:rPr>
          <w:rFonts w:cs="Times New Roman"/>
        </w:rPr>
        <w:t xml:space="preserve">. </w:t>
      </w:r>
      <w:r w:rsidR="00430044">
        <w:rPr>
          <w:rFonts w:cs="Times New Roman"/>
        </w:rPr>
        <w:t>Belowground carbon biomass</w:t>
      </w:r>
      <w:r w:rsidR="00E20C33">
        <w:rPr>
          <w:rFonts w:cs="Times New Roman"/>
        </w:rPr>
        <w:t xml:space="preserve"> (g C)</w:t>
      </w:r>
      <w:r w:rsidR="00430044">
        <w:rPr>
          <w:rFonts w:cs="Times New Roman"/>
        </w:rPr>
        <w:t xml:space="preserve"> was </w:t>
      </w:r>
      <w:r w:rsidR="00B84938">
        <w:rPr>
          <w:rFonts w:cs="Times New Roman"/>
        </w:rPr>
        <w:t xml:space="preserve">calculated by multiplying the carbon content of roots and root nodules by total biomass of each respective organ type, then adding root carbon biomass and root nodule carbon biomass. </w:t>
      </w:r>
      <w:r w:rsidR="00310558">
        <w:rPr>
          <w:rFonts w:cs="Times New Roman"/>
        </w:rPr>
        <w:t>W</w:t>
      </w:r>
      <w:r w:rsidR="00B84938">
        <w:rPr>
          <w:rFonts w:cs="Times New Roman"/>
        </w:rPr>
        <w:t>hole plant nitrogen biomass</w:t>
      </w:r>
      <w:r w:rsidR="00E20C33">
        <w:rPr>
          <w:rFonts w:cs="Times New Roman"/>
        </w:rPr>
        <w:t xml:space="preserve"> (g N)</w:t>
      </w:r>
      <w:r w:rsidR="00B84938">
        <w:rPr>
          <w:rFonts w:cs="Times New Roman"/>
        </w:rPr>
        <w:t xml:space="preserve"> was calculated by multiplying the nitrogen content of leaves, stems, roots, and root nodules by biomass of each respective organ type, then </w:t>
      </w:r>
      <w:r w:rsidR="00310558">
        <w:rPr>
          <w:rFonts w:cs="Times New Roman"/>
        </w:rPr>
        <w:t>calculating</w:t>
      </w:r>
      <w:r w:rsidR="00B84938">
        <w:rPr>
          <w:rFonts w:cs="Times New Roman"/>
        </w:rPr>
        <w:t xml:space="preserve"> the sum of nitrogen biomass of each organ type.</w:t>
      </w:r>
      <w:r>
        <w:rPr>
          <w:rFonts w:cs="Times New Roman"/>
        </w:rPr>
        <w:t xml:space="preserve"> This calculation only quantifies plant structural carbon costs to acquire </w:t>
      </w:r>
      <w:r w:rsidR="00310558">
        <w:rPr>
          <w:rFonts w:cs="Times New Roman"/>
        </w:rPr>
        <w:t>nitrogen and</w:t>
      </w:r>
      <w:r>
        <w:rPr>
          <w:rFonts w:cs="Times New Roman"/>
        </w:rPr>
        <w:t xml:space="preserve"> does not include any additional carbon costs of nitrogen acquisition associated with root </w:t>
      </w:r>
      <w:r>
        <w:rPr>
          <w:rFonts w:cs="Times New Roman"/>
        </w:rPr>
        <w:lastRenderedPageBreak/>
        <w:t xml:space="preserve">respiration, root exudation, or root turnover. An explicit explanation of the limitations for interpreting this calculation can be found in </w:t>
      </w:r>
      <w:r w:rsidR="008B104C">
        <w:rPr>
          <w:rFonts w:cs="Times New Roman"/>
        </w:rPr>
        <w:fldChar w:fldCharType="begin" w:fldLock="1"/>
      </w:r>
      <w:r w:rsidR="008B104C">
        <w:rPr>
          <w:rFonts w:cs="Times New Roman"/>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&lt;i&gt;et al.&lt;/i&gt;, 2021)","manualFormatting":"Perkowski et al. (2021)","plainTextFormattedCitation":"(Perkowski et al., 2021)","previouslyFormattedCitation":"(Perkowski &lt;i&gt;et al.&lt;/i&gt;, 2021)"},"properties":{"noteIndex":0},"schema":"https://github.com/citation-style-language/schema/raw/master/csl-citation.json"}</w:instrText>
      </w:r>
      <w:r w:rsidR="008B104C">
        <w:rPr>
          <w:rFonts w:cs="Times New Roman"/>
        </w:rPr>
        <w:fldChar w:fldCharType="separate"/>
      </w:r>
      <w:r w:rsidR="008B104C" w:rsidRPr="008B104C">
        <w:rPr>
          <w:rFonts w:cs="Times New Roman"/>
          <w:noProof/>
        </w:rPr>
        <w:t xml:space="preserve">Perkowski </w:t>
      </w:r>
      <w:r w:rsidR="008B104C" w:rsidRPr="008B104C">
        <w:rPr>
          <w:rFonts w:cs="Times New Roman"/>
          <w:i/>
          <w:noProof/>
        </w:rPr>
        <w:t>et al.</w:t>
      </w:r>
      <w:r w:rsidR="008B104C">
        <w:rPr>
          <w:rFonts w:cs="Times New Roman"/>
          <w:noProof/>
        </w:rPr>
        <w:t xml:space="preserve"> (</w:t>
      </w:r>
      <w:r w:rsidR="008B104C" w:rsidRPr="008B104C">
        <w:rPr>
          <w:rFonts w:cs="Times New Roman"/>
          <w:noProof/>
        </w:rPr>
        <w:t>2021)</w:t>
      </w:r>
      <w:r w:rsidR="008B104C">
        <w:rPr>
          <w:rFonts w:cs="Times New Roman"/>
        </w:rPr>
        <w:fldChar w:fldCharType="end"/>
      </w:r>
      <w:r w:rsidR="008B104C">
        <w:rPr>
          <w:rFonts w:cs="Times New Roman"/>
        </w:rPr>
        <w:t xml:space="preserve"> and </w:t>
      </w:r>
      <w:r w:rsidR="008B104C">
        <w:rPr>
          <w:rFonts w:cs="Times New Roman"/>
        </w:rPr>
        <w:fldChar w:fldCharType="begin" w:fldLock="1"/>
      </w:r>
      <w:r w:rsidR="008B104C">
        <w:rPr>
          <w:rFonts w:cs="Times New Roman"/>
        </w:rPr>
        <w:instrText>ADDIN CSL_CITATION {"citationItems":[{"id":"ITEM-1","itemData":{"DOI":"10.1111/nph.14872","ISBN":"7476820487","ISSN":"0028-646X","abstract":"Land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Phytologist","id":"ITEM-1","issue":"2","issued":{"date-parts":[["2018","1","6"]]},"page":"507-522","title":"Ecosystem responses to elevated &lt;scp&gt;CO&lt;/scp&gt; &lt;sub&gt;2&lt;/sub&gt; governed by plant–soil interactions and the cost of nitrogen acquisition","type":"article-journal","volume":"217"},"uris":["http://www.mendeley.com/documents/?uuid=f5a032e4-11bd-468b-88f1-a7a4ce482036"]}],"mendeley":{"formattedCitation":"(Terrer &lt;i&gt;et al.&lt;/i&gt;, 2018)","manualFormatting":"Terrer et al. (2018)","plainTextFormattedCitation":"(Terrer et al., 2018)","previouslyFormattedCitation":"(Terrer &lt;i&gt;et al.&lt;/i&gt;, 2018)"},"properties":{"noteIndex":0},"schema":"https://github.com/citation-style-language/schema/raw/master/csl-citation.json"}</w:instrText>
      </w:r>
      <w:r w:rsidR="008B104C">
        <w:rPr>
          <w:rFonts w:cs="Times New Roman"/>
        </w:rPr>
        <w:fldChar w:fldCharType="separate"/>
      </w:r>
      <w:r w:rsidR="008B104C" w:rsidRPr="008B104C">
        <w:rPr>
          <w:rFonts w:cs="Times New Roman"/>
          <w:noProof/>
        </w:rPr>
        <w:t xml:space="preserve">Terrer </w:t>
      </w:r>
      <w:r w:rsidR="008B104C" w:rsidRPr="008B104C">
        <w:rPr>
          <w:rFonts w:cs="Times New Roman"/>
          <w:i/>
          <w:noProof/>
        </w:rPr>
        <w:t>et al.</w:t>
      </w:r>
      <w:r w:rsidR="008B104C">
        <w:rPr>
          <w:rFonts w:cs="Times New Roman"/>
          <w:noProof/>
        </w:rPr>
        <w:t xml:space="preserve"> (</w:t>
      </w:r>
      <w:r w:rsidR="008B104C" w:rsidRPr="008B104C">
        <w:rPr>
          <w:rFonts w:cs="Times New Roman"/>
          <w:noProof/>
        </w:rPr>
        <w:t>2018)</w:t>
      </w:r>
      <w:r w:rsidR="008B104C">
        <w:rPr>
          <w:rFonts w:cs="Times New Roman"/>
        </w:rPr>
        <w:fldChar w:fldCharType="end"/>
      </w:r>
      <w:r w:rsidR="008B104C">
        <w:rPr>
          <w:rFonts w:cs="Times New Roman"/>
        </w:rPr>
        <w:t>.</w:t>
      </w:r>
    </w:p>
    <w:p w14:paraId="3989355C" w14:textId="77777777" w:rsidR="008B104C" w:rsidRPr="008B104C" w:rsidRDefault="008B104C" w:rsidP="008B104C">
      <w:pPr>
        <w:autoSpaceDE w:val="0"/>
        <w:autoSpaceDN w:val="0"/>
        <w:adjustRightInd w:val="0"/>
        <w:spacing w:line="480" w:lineRule="auto"/>
        <w:ind w:firstLine="720"/>
        <w:rPr>
          <w:rFonts w:cs="Times New Roman"/>
        </w:rPr>
      </w:pPr>
    </w:p>
    <w:p w14:paraId="7D99C48A" w14:textId="15E512C9" w:rsidR="00D67D74" w:rsidRDefault="00D67D74" w:rsidP="009D6E5B">
      <w:pPr>
        <w:spacing w:line="480" w:lineRule="auto"/>
      </w:pPr>
      <w:r>
        <w:rPr>
          <w:i/>
          <w:iCs/>
        </w:rPr>
        <w:t>Statistical analyses</w:t>
      </w:r>
    </w:p>
    <w:p w14:paraId="100E66B0" w14:textId="6C8E56FE" w:rsidR="00270350" w:rsidRDefault="00270350" w:rsidP="009D6E5B">
      <w:pPr>
        <w:spacing w:line="480" w:lineRule="auto"/>
        <w:ind w:firstLine="720"/>
      </w:pPr>
      <w:r>
        <w:t>We built a series of linear mixed-effects models to investigate the impacts of soil nitrogen fertilization and inoculation</w:t>
      </w:r>
      <w:r w:rsidR="00926F7B">
        <w:t xml:space="preserve"> on</w:t>
      </w:r>
      <w:r>
        <w:t xml:space="preserve"> </w:t>
      </w:r>
      <w:r w:rsidR="00926F7B" w:rsidRPr="00926F7B">
        <w:rPr>
          <w:i/>
          <w:iCs/>
        </w:rPr>
        <w:t>G. max</w:t>
      </w:r>
      <w:r w:rsidR="00926F7B">
        <w:t xml:space="preserve"> </w:t>
      </w:r>
      <w:r w:rsidR="00064D06">
        <w:t>traits</w:t>
      </w:r>
      <w:r>
        <w:t>. All models included soil nitrogen fertilization, inoculation, and interactions between soil nitrogen fertilization and inoculation as categorical fixed effects</w:t>
      </w:r>
      <w:r w:rsidR="00360D30">
        <w:t>. Block number was included as a random intercept term</w:t>
      </w:r>
      <w:r w:rsidR="00430044">
        <w:t xml:space="preserve"> to account for any environmental heterogeneity within the greenhouse</w:t>
      </w:r>
      <w:r w:rsidR="00DD0878">
        <w:t xml:space="preserve"> room</w:t>
      </w:r>
      <w:r w:rsidR="00360D30">
        <w:t>. Models with this independent variable structure were constructed to quantify relationships between soil nitrogen fertilization and inoculation on</w:t>
      </w:r>
      <w:r w:rsidR="006C759F">
        <w:t xml:space="preserve"> </w:t>
      </w:r>
      <w:r w:rsidR="007D0701">
        <w:t>whole plant biomass</w:t>
      </w:r>
      <w:r w:rsidR="00360D30">
        <w:t>,</w:t>
      </w:r>
      <w:r w:rsidR="00360D30">
        <w:rPr>
          <w:i/>
          <w:iCs/>
        </w:rPr>
        <w:t xml:space="preserve"> </w:t>
      </w:r>
      <w:r w:rsidR="00AD6759">
        <w:t xml:space="preserve">structural carbon costs to acquire nitrogen, belowground carbon biomass, whole plant nitrogen biomass, </w:t>
      </w:r>
      <w:r w:rsidR="00360D30">
        <w:t xml:space="preserve">total biomass, </w:t>
      </w:r>
      <w:r w:rsidR="00430044">
        <w:t>total leaf area</w:t>
      </w:r>
      <w:r w:rsidR="00AD6759">
        <w:t>,</w:t>
      </w:r>
      <w:r w:rsidR="00AD6759" w:rsidRPr="00AD6759">
        <w:t xml:space="preserve"> </w:t>
      </w:r>
      <w:r w:rsidR="00AD6759">
        <w:t>root nodule biomass: root biomass, root nodule biomass, and root biomass</w:t>
      </w:r>
      <w:r w:rsidR="00166B47">
        <w:t>.</w:t>
      </w:r>
    </w:p>
    <w:p w14:paraId="0FC0C20D" w14:textId="00CFD4E1" w:rsidR="006A394B" w:rsidRDefault="00166B47" w:rsidP="008B104C">
      <w:pPr>
        <w:spacing w:line="480" w:lineRule="auto"/>
        <w:ind w:firstLine="720"/>
      </w:pPr>
      <w:r>
        <w:t>We used Shapiro-Wilk tests of normality</w:t>
      </w:r>
      <w:r w:rsidR="00DD0878">
        <w:t xml:space="preserve"> </w:t>
      </w:r>
      <w:r>
        <w:t>to determine whether linear mixed-effects models satisfied residual normality assumptions. All models satisfied residual normality assumptions except</w:t>
      </w:r>
      <w:r w:rsidR="00C7318F">
        <w:t xml:space="preserve"> </w:t>
      </w:r>
      <w:r w:rsidR="00D02153">
        <w:t>structural carbon costs to acquire nitrogen</w:t>
      </w:r>
      <w:r w:rsidR="006A394B">
        <w:t xml:space="preserve">, </w:t>
      </w:r>
      <w:r w:rsidR="00D02153">
        <w:t>belowground carbon biomass</w:t>
      </w:r>
      <w:r w:rsidR="006A394B">
        <w:t xml:space="preserve">, total biomass, </w:t>
      </w:r>
      <w:r w:rsidR="00AD6759">
        <w:t>root nodule biomass: root biomass,</w:t>
      </w:r>
      <w:r w:rsidR="00086E13">
        <w:t xml:space="preserve"> </w:t>
      </w:r>
      <w:r w:rsidR="00AD6759">
        <w:t>root nodule biomass</w:t>
      </w:r>
      <w:r w:rsidR="00B20D1B">
        <w:t>, root biomass, and biomass: pot volume</w:t>
      </w:r>
      <w:r w:rsidR="00AD6759">
        <w:t xml:space="preserve"> </w:t>
      </w:r>
      <w:r>
        <w:t>(Shapiro-Wilk: p&lt;0.05 in all cases).</w:t>
      </w:r>
      <w:r w:rsidR="00AB654B">
        <w:t xml:space="preserve"> </w:t>
      </w:r>
      <w:r w:rsidR="008B104C">
        <w:t xml:space="preserve">We </w:t>
      </w:r>
      <w:r w:rsidR="00D87519">
        <w:t xml:space="preserve">attempted to satisfy residual normality assumptions by fitting models using dependent variables that were </w:t>
      </w:r>
      <w:r w:rsidR="000E65D6">
        <w:t>natural log</w:t>
      </w:r>
      <w:r w:rsidR="00D87519">
        <w:t xml:space="preserve"> transformed.</w:t>
      </w:r>
      <w:r w:rsidR="00916FB5">
        <w:t xml:space="preserve"> </w:t>
      </w:r>
      <w:r>
        <w:t>If residual normality assumptions were still not met</w:t>
      </w:r>
      <w:r w:rsidR="00086E13">
        <w:t xml:space="preserve"> after a natural-log transformation</w:t>
      </w:r>
      <w:r>
        <w:t xml:space="preserve"> (Shapiro-Wilk: p&lt;0.05), then models were fit using dependent variables that were square root transformed. All residual normality assumptions were met with either a natural log or square root data transformation (Shapiro-Wilk: p&gt;0.05 in all cases</w:t>
      </w:r>
      <w:r w:rsidRPr="00166B47">
        <w:t xml:space="preserve">). Specifically, we natural log </w:t>
      </w:r>
      <w:r w:rsidRPr="00166B47">
        <w:lastRenderedPageBreak/>
        <w:t xml:space="preserve">transformed </w:t>
      </w:r>
      <w:r w:rsidR="00D02153">
        <w:t>structural carbon costs to acquire nitrogen</w:t>
      </w:r>
      <w:r w:rsidR="006A394B">
        <w:t xml:space="preserve">, </w:t>
      </w:r>
      <w:r w:rsidR="00D02153">
        <w:t>belowground carbon biomass</w:t>
      </w:r>
      <w:r w:rsidR="006A394B">
        <w:t>, total biomass, root biomass, and biomass: pot volume, and square root transformed root nodule biomass: root biomass and root nodule biomass.</w:t>
      </w:r>
    </w:p>
    <w:p w14:paraId="3B7A47D8" w14:textId="228278C5" w:rsidR="004C3C71" w:rsidRDefault="00166B47" w:rsidP="009D6E5B">
      <w:pPr>
        <w:spacing w:line="480" w:lineRule="auto"/>
        <w:ind w:firstLine="720"/>
      </w:pPr>
      <w:r>
        <w:t>In all statistical models, w</w:t>
      </w:r>
      <w:r w:rsidRPr="00863849">
        <w:t>e used the '</w:t>
      </w:r>
      <w:proofErr w:type="spellStart"/>
      <w:r w:rsidRPr="00863849">
        <w:t>lmer</w:t>
      </w:r>
      <w:proofErr w:type="spellEnd"/>
      <w:r w:rsidRPr="00863849">
        <w:t xml:space="preserve">' function in the 'lme4' R package </w:t>
      </w:r>
      <w:r w:rsidR="008B104C">
        <w:fldChar w:fldCharType="begin" w:fldLock="1"/>
      </w:r>
      <w:r w:rsidR="008B104C">
        <w:instrText>ADDIN CSL_CITATION {"citationItems":[{"id":"ITEM-1","itemData":{"DOI":"10.18637/jss.v067.i01","ISSN":"1548-7660","abstract":"Maximum likelihood or restricted maximum likelihood (REML) estimates of the pa- 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 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lme4","type":"article-journal","volume":"67"},"uris":["http://www.mendeley.com/documents/?uuid=f767e28f-55eb-4f77-816b-8c8474093c4e"]}],"mendeley":{"formattedCitation":"(Bates &lt;i&gt;et al.&lt;/i&gt;, 2015)","plainTextFormattedCitation":"(Bates et al., 2015)","previouslyFormattedCitation":"(Bates &lt;i&gt;et al.&lt;/i&gt;, 2015)"},"properties":{"noteIndex":0},"schema":"https://github.com/citation-style-language/schema/raw/master/csl-citation.json"}</w:instrText>
      </w:r>
      <w:r w:rsidR="008B104C">
        <w:fldChar w:fldCharType="separate"/>
      </w:r>
      <w:r w:rsidR="008B104C" w:rsidRPr="008B104C">
        <w:rPr>
          <w:noProof/>
        </w:rPr>
        <w:t xml:space="preserve">(Bates </w:t>
      </w:r>
      <w:r w:rsidR="008B104C" w:rsidRPr="008B104C">
        <w:rPr>
          <w:i/>
          <w:noProof/>
        </w:rPr>
        <w:t>et al.</w:t>
      </w:r>
      <w:r w:rsidR="008B104C" w:rsidRPr="008B104C">
        <w:rPr>
          <w:noProof/>
        </w:rPr>
        <w:t>, 2015)</w:t>
      </w:r>
      <w:r w:rsidR="008B104C">
        <w:fldChar w:fldCharType="end"/>
      </w:r>
      <w:r w:rsidR="008B104C">
        <w:t xml:space="preserve"> </w:t>
      </w:r>
      <w:r w:rsidRPr="00863849">
        <w:t>to fit each model and the '</w:t>
      </w:r>
      <w:proofErr w:type="spellStart"/>
      <w:r w:rsidRPr="00863849">
        <w:t>Anova</w:t>
      </w:r>
      <w:proofErr w:type="spellEnd"/>
      <w:r w:rsidRPr="00863849">
        <w:t xml:space="preserve">' function in the 'car' R package </w:t>
      </w:r>
      <w:r w:rsidR="008B104C">
        <w:fldChar w:fldCharType="begin" w:fldLock="1"/>
      </w:r>
      <w:r w:rsidR="008B104C">
        <w:instrText>ADDIN CSL_CITATION {"citationItems":[{"id":"ITEM-1","itemData":{"author":[{"dropping-particle":"","family":"Fox","given":"John","non-dropping-particle":"","parse-names":false,"suffix":""},{"dropping-particle":"","family":"Weisberg","given":"Sanford","non-dropping-particle":"","parse-names":false,"suffix":""}],"edition":"Third edit","id":"ITEM-1","issued":{"date-parts":[["2019"]]},"publisher":"Sage","publisher-place":"Thousand Oaks, California","title":"An R companion to applied regression","type":"book"},"uris":["http://www.mendeley.com/documents/?uuid=98b582d2-93ad-46f6-98d2-ede9c11c6d15"]}],"mendeley":{"formattedCitation":"(Fox &amp; Weisberg, 2019)","plainTextFormattedCitation":"(Fox &amp; Weisberg, 2019)","previouslyFormattedCitation":"(Fox &amp; Weisberg, 2019)"},"properties":{"noteIndex":0},"schema":"https://github.com/citation-style-language/schema/raw/master/csl-citation.json"}</w:instrText>
      </w:r>
      <w:r w:rsidR="008B104C">
        <w:fldChar w:fldCharType="separate"/>
      </w:r>
      <w:r w:rsidR="008B104C" w:rsidRPr="008B104C">
        <w:rPr>
          <w:noProof/>
        </w:rPr>
        <w:t>(Fox &amp; Weisberg, 2019)</w:t>
      </w:r>
      <w:r w:rsidR="008B104C">
        <w:fldChar w:fldCharType="end"/>
      </w:r>
      <w:r w:rsidR="008B104C">
        <w:t xml:space="preserve"> </w:t>
      </w:r>
      <w:r w:rsidRPr="00863849">
        <w:t>to calculate</w:t>
      </w:r>
      <w:r>
        <w:t xml:space="preserve"> Type II</w:t>
      </w:r>
      <w:r w:rsidRPr="00863849">
        <w:t xml:space="preserve"> Wald's χ</w:t>
      </w:r>
      <w:r w:rsidRPr="00863849">
        <w:rPr>
          <w:vertAlign w:val="superscript"/>
        </w:rPr>
        <w:t>2</w:t>
      </w:r>
      <w:r w:rsidRPr="00863849">
        <w:t xml:space="preserve"> and determine the significance (α=0.05) of each fixed effect coefficient.</w:t>
      </w:r>
      <w:r>
        <w:t xml:space="preserve"> </w:t>
      </w:r>
      <w:r w:rsidR="007D0701">
        <w:t>W</w:t>
      </w:r>
      <w:r w:rsidRPr="00863849">
        <w:t>e</w:t>
      </w:r>
      <w:r w:rsidR="007D0701">
        <w:t xml:space="preserve"> then</w:t>
      </w:r>
      <w:r w:rsidRPr="00863849">
        <w:t xml:space="preserve"> used the 'emmeans' R package </w:t>
      </w:r>
      <w:r w:rsidR="008B104C">
        <w:fldChar w:fldCharType="begin" w:fldLock="1"/>
      </w:r>
      <w:r w:rsidR="008B104C">
        <w:instrText>ADDIN CSL_CITATION {"citationItems":[{"id":"ITEM-1","itemData":{"author":[{"dropping-particle":"","family":"Lenth","given":"Russell","non-dropping-particle":"","parse-names":false,"suffix":""}],"id":"ITEM-1","issued":{"date-parts":[["2019"]]},"title":"emmeans: estimated marginal means, aka least-squares means","type":"article"},"uris":["http://www.mendeley.com/documents/?uuid=2f4fc7f4-f350-4d86-b210-f111a74f7704"]}],"mendeley":{"formattedCitation":"(Lenth, 2019)","plainTextFormattedCitation":"(Lenth, 2019)","previouslyFormattedCitation":"(Lenth, 2019)"},"properties":{"noteIndex":0},"schema":"https://github.com/citation-style-language/schema/raw/master/csl-citation.json"}</w:instrText>
      </w:r>
      <w:r w:rsidR="008B104C">
        <w:fldChar w:fldCharType="separate"/>
      </w:r>
      <w:r w:rsidR="008B104C" w:rsidRPr="008B104C">
        <w:rPr>
          <w:noProof/>
        </w:rPr>
        <w:t>(Lenth, 2019)</w:t>
      </w:r>
      <w:r w:rsidR="008B104C">
        <w:fldChar w:fldCharType="end"/>
      </w:r>
      <w:r w:rsidR="00D32CFF">
        <w:t xml:space="preserve"> </w:t>
      </w:r>
      <w:r w:rsidRPr="00863849">
        <w:t>to conduct post-hoc comparisons using Tukey's tests</w:t>
      </w:r>
      <w:r>
        <w:t xml:space="preserve">, where degrees of freedom were approximated using the Kenward-Roger approach </w:t>
      </w:r>
      <w:r w:rsidR="008B104C">
        <w:fldChar w:fldCharType="begin" w:fldLock="1"/>
      </w:r>
      <w:r w:rsidR="008B104C">
        <w:instrText>ADDIN CSL_CITATION {"citationItems":[{"id":"ITEM-1","itemData":{"DOI":"10.2307/2533558","ISSN":"0006341X","author":[{"dropping-particle":"","family":"Kenward","given":"Michael G","non-dropping-particle":"","parse-names":false,"suffix":""},{"dropping-particle":"","family":"Roger","given":"James H","non-dropping-particle":"","parse-names":false,"suffix":""}],"container-title":"Biometrics","id":"ITEM-1","issue":"3","issued":{"date-parts":[["1997","9"]]},"page":"983","title":"Small sample inference for fixed effects from restricted maximum likelihood","type":"article-journal","volume":"53"},"uris":["http://www.mendeley.com/documents/?uuid=04f42785-fd4a-4d10-b732-f053f063390e"]}],"mendeley":{"formattedCitation":"(Kenward &amp; Roger, 1997)","plainTextFormattedCitation":"(Kenward &amp; Roger, 1997)","previouslyFormattedCitation":"(Kenward &amp; Roger, 1997)"},"properties":{"noteIndex":0},"schema":"https://github.com/citation-style-language/schema/raw/master/csl-citation.json"}</w:instrText>
      </w:r>
      <w:r w:rsidR="008B104C">
        <w:fldChar w:fldCharType="separate"/>
      </w:r>
      <w:r w:rsidR="008B104C" w:rsidRPr="008B104C">
        <w:rPr>
          <w:noProof/>
        </w:rPr>
        <w:t>(Kenward &amp; Roger, 1997)</w:t>
      </w:r>
      <w:r w:rsidR="008B104C">
        <w:fldChar w:fldCharType="end"/>
      </w:r>
      <w:r w:rsidR="00D32CFF">
        <w:t xml:space="preserve"> </w:t>
      </w:r>
      <w:r w:rsidRPr="00863849">
        <w:t xml:space="preserve">All analyses and plots were conducted in R version </w:t>
      </w:r>
      <w:r>
        <w:t>4.</w:t>
      </w:r>
      <w:r w:rsidR="00E20C33">
        <w:t>2.0</w:t>
      </w:r>
      <w:r>
        <w:t xml:space="preserve"> </w:t>
      </w:r>
      <w:r w:rsidR="008B104C">
        <w:fldChar w:fldCharType="begin" w:fldLock="1"/>
      </w:r>
      <w:r w:rsidR="008B104C">
        <w:instrText>ADDIN CSL_CITATION {"citationItems":[{"id":"ITEM-1","itemData":{"author":[{"dropping-particle":"","family":"R Core Team","given":"","non-dropping-particle":"","parse-names":false,"suffix":""}],"id":"ITEM-1","issued":{"date-parts":[["2021"]]},"number":"4.1.1","publisher":"R Foundation for Statistical Computing","publisher-place":"Vienna, Austria","title":"R: A language and environment for statistical computing","type":"article"},"uris":["http://www.mendeley.com/documents/?uuid=9df2246d-8bff-4e78-8053-1da2f14fc848"]}],"mendeley":{"formattedCitation":"(R Core Team, 2021)","plainTextFormattedCitation":"(R Core Team, 2021)","previouslyFormattedCitation":"(R Core Team, 2021)"},"properties":{"noteIndex":0},"schema":"https://github.com/citation-style-language/schema/raw/master/csl-citation.json"}</w:instrText>
      </w:r>
      <w:r w:rsidR="008B104C">
        <w:fldChar w:fldCharType="separate"/>
      </w:r>
      <w:r w:rsidR="008B104C" w:rsidRPr="008B104C">
        <w:rPr>
          <w:noProof/>
        </w:rPr>
        <w:t>(R Core Team, 2021)</w:t>
      </w:r>
      <w:r w:rsidR="008B104C">
        <w:fldChar w:fldCharType="end"/>
      </w:r>
      <w:r>
        <w:t>.</w:t>
      </w:r>
      <w:r w:rsidR="006C759F">
        <w:t xml:space="preserve"> </w:t>
      </w:r>
    </w:p>
    <w:p w14:paraId="3FD219DB" w14:textId="77777777" w:rsidR="008B104C" w:rsidRDefault="008B104C" w:rsidP="008B104C">
      <w:pPr>
        <w:spacing w:line="480" w:lineRule="auto"/>
      </w:pPr>
    </w:p>
    <w:p w14:paraId="0351CB86" w14:textId="20999ABD" w:rsidR="008B104C" w:rsidRDefault="008B104C" w:rsidP="008B104C">
      <w:pPr>
        <w:spacing w:line="480" w:lineRule="auto"/>
        <w:sectPr w:rsidR="008B104C" w:rsidSect="00DD0878">
          <w:pgSz w:w="12240" w:h="15840"/>
          <w:pgMar w:top="1440" w:right="1440" w:bottom="1440" w:left="1440" w:header="720" w:footer="720" w:gutter="0"/>
          <w:lnNumType w:countBy="1" w:restart="continuous"/>
          <w:cols w:space="720"/>
          <w:docGrid w:linePitch="360"/>
        </w:sectPr>
      </w:pPr>
    </w:p>
    <w:p w14:paraId="50CE6179" w14:textId="7E49F8E7" w:rsidR="00926F7B" w:rsidRDefault="00926F7B" w:rsidP="009D6E5B">
      <w:pPr>
        <w:spacing w:line="480" w:lineRule="auto"/>
      </w:pPr>
      <w:r>
        <w:rPr>
          <w:b/>
          <w:bCs/>
        </w:rPr>
        <w:lastRenderedPageBreak/>
        <w:t>Results</w:t>
      </w:r>
    </w:p>
    <w:p w14:paraId="2B64DC3A" w14:textId="77777777" w:rsidR="008B6B1D" w:rsidRDefault="008B6B1D" w:rsidP="008B6B1D">
      <w:pPr>
        <w:spacing w:line="480" w:lineRule="auto"/>
      </w:pPr>
      <w:r>
        <w:rPr>
          <w:i/>
          <w:iCs/>
        </w:rPr>
        <w:t>Structural carbon costs to acquire nitrogen</w:t>
      </w:r>
    </w:p>
    <w:p w14:paraId="576171AA" w14:textId="22285FA0" w:rsidR="008B6B1D" w:rsidRDefault="008B6B1D" w:rsidP="008B6B1D">
      <w:pPr>
        <w:spacing w:line="480" w:lineRule="auto"/>
        <w:ind w:firstLine="720"/>
      </w:pPr>
      <w:r>
        <w:t>S</w:t>
      </w:r>
      <w:r w:rsidRPr="00607987">
        <w:t>tructural carbon costs to acquire nitrogen</w:t>
      </w:r>
      <w:r>
        <w:t xml:space="preserve"> were driven by a strong interaction between nitrogen fertilization and inoculation (Table </w:t>
      </w:r>
      <w:r w:rsidR="00D14794">
        <w:t>1</w:t>
      </w:r>
      <w:r>
        <w:t xml:space="preserve">; Fig. </w:t>
      </w:r>
      <w:r w:rsidR="00D14794">
        <w:t>1</w:t>
      </w:r>
      <w:r>
        <w:t>A). This interaction indicated that inoculated individuals grown under low</w:t>
      </w:r>
      <w:r w:rsidR="00737E3B">
        <w:t xml:space="preserve"> soil</w:t>
      </w:r>
      <w:r>
        <w:t xml:space="preserve"> nitrogen fertilization had 63.4% lower </w:t>
      </w:r>
      <w:r w:rsidRPr="00607987">
        <w:t>structural carbon costs to acquire nitrogen</w:t>
      </w:r>
      <w:r>
        <w:t xml:space="preserve"> than non-inoculated individuals also grown under low </w:t>
      </w:r>
      <w:r w:rsidR="00737E3B">
        <w:t xml:space="preserve">soil </w:t>
      </w:r>
      <w:r>
        <w:t xml:space="preserve">nitrogen fertilization (Tukey: p&lt;0.001). There was no difference in </w:t>
      </w:r>
      <w:r w:rsidRPr="00607987">
        <w:t>structural carbon costs to acquire nitrogen</w:t>
      </w:r>
      <w:r>
        <w:t xml:space="preserve"> between inoculation treatments under high</w:t>
      </w:r>
      <w:r w:rsidR="001B6C4A">
        <w:t xml:space="preserve"> soil</w:t>
      </w:r>
      <w:r>
        <w:t xml:space="preserve"> nitrogen fertilization (Tukey: p=0.597). </w:t>
      </w:r>
      <w:r w:rsidR="001B6C4A">
        <w:t>Soil n</w:t>
      </w:r>
      <w:r>
        <w:t xml:space="preserve">itrogen fertilization also decreased </w:t>
      </w:r>
      <w:r w:rsidRPr="00607987">
        <w:t>structural carbon costs to acquire nitrogen</w:t>
      </w:r>
      <w:r>
        <w:t>, where individuals grown under high</w:t>
      </w:r>
      <w:r w:rsidR="001B6C4A">
        <w:t xml:space="preserve"> soil</w:t>
      </w:r>
      <w:r>
        <w:t xml:space="preserve"> nitrogen fertilization</w:t>
      </w:r>
      <w:r w:rsidR="00AF02DC">
        <w:t xml:space="preserve"> </w:t>
      </w:r>
      <w:r>
        <w:t xml:space="preserve">had 54.1% lower </w:t>
      </w:r>
      <w:r w:rsidRPr="00607987">
        <w:t>structural carbon costs to acquire nitrogen</w:t>
      </w:r>
      <w:r>
        <w:t xml:space="preserve"> than those grown under low</w:t>
      </w:r>
      <w:r w:rsidR="001B6C4A">
        <w:t xml:space="preserve"> soil</w:t>
      </w:r>
      <w:r>
        <w:t xml:space="preserve"> nitrogen fertilization (Tukey: p&lt;0.001). Inoculation decreased </w:t>
      </w:r>
      <w:r w:rsidRPr="00607987">
        <w:t>structural carbon costs to acquire nitrogen</w:t>
      </w:r>
      <w:r>
        <w:t xml:space="preserve">, where inoculated individuals had 91.5% lower </w:t>
      </w:r>
      <w:r w:rsidRPr="00607987">
        <w:t xml:space="preserve">structural carbon costs to acquire nitrogen than </w:t>
      </w:r>
      <w:r>
        <w:t>non-inoculated individuals (Tukey: p&lt;0.001).</w:t>
      </w:r>
    </w:p>
    <w:p w14:paraId="467D2C60" w14:textId="23113CBB" w:rsidR="007E4069" w:rsidRDefault="007E4069" w:rsidP="00457CFE">
      <w:pPr>
        <w:spacing w:line="480" w:lineRule="auto"/>
        <w:ind w:firstLine="720"/>
      </w:pPr>
      <w:r>
        <w:t>S</w:t>
      </w:r>
      <w:r w:rsidRPr="00607987">
        <w:t>tructural carbon costs to acquire nitrogen</w:t>
      </w:r>
      <w:r>
        <w:t xml:space="preserve"> results were primarily due to treatment impacts on whole plant biomass, rather than belowground carbon biomass. Specifically, whole plant nitrogen biomass was driven by a strong interaction between soil nitrogen fertilization and inoculation (Table 1; Fig. 1C). This interaction indicated that inoculated individuals grown under low soil nitrogen fertilization had 72.4% higher whole plant nitrogen biomass than non-inoculated individuals also grown under low soil nitrogen fertilization (Tukey: p&lt;0.001), with no difference between inoculation treatments under high soil nitrogen fertilization (Tukey: p=0.873). Soil nitrogen fertilization also increased whole plant nitrogen biomass, where individuals grown under high soil nitrogen fertilization had 119.0% higher whole plant nitrogen </w:t>
      </w:r>
      <w:r>
        <w:lastRenderedPageBreak/>
        <w:t>biomass than those grown under low soil nitrogen fertilization (Tukey: p&lt;0.001). Inoculation increased whole plant nitrogen biomass, where inoculated individuals had 17.4% higher whole plant nitrogen biomass than those that were not inoculated (Tukey: p&lt;0.001).</w:t>
      </w:r>
    </w:p>
    <w:p w14:paraId="1040FEF2" w14:textId="6A02F53A" w:rsidR="00457CFE" w:rsidRDefault="007E4069" w:rsidP="00457CFE">
      <w:pPr>
        <w:spacing w:line="480" w:lineRule="auto"/>
        <w:ind w:firstLine="720"/>
      </w:pPr>
      <w:r>
        <w:t>Belowground carbon biomass was not impacted by the treatments nearly as much as whole plant nitrogen biomass. However, i</w:t>
      </w:r>
      <w:r w:rsidR="008B6B1D">
        <w:t xml:space="preserve">noculation </w:t>
      </w:r>
      <w:r>
        <w:t xml:space="preserve">had a slight </w:t>
      </w:r>
      <w:r w:rsidR="008B6B1D">
        <w:t xml:space="preserve">affected </w:t>
      </w:r>
      <w:r w:rsidR="008B6B1D" w:rsidRPr="00607987">
        <w:t>belowground carbon biomass (</w:t>
      </w:r>
      <w:r w:rsidR="008B6B1D">
        <w:t xml:space="preserve">Table </w:t>
      </w:r>
      <w:r w:rsidR="00D14794">
        <w:t>1</w:t>
      </w:r>
      <w:r w:rsidR="008B6B1D">
        <w:t xml:space="preserve">; Fig. </w:t>
      </w:r>
      <w:r w:rsidR="00D14794">
        <w:t>1</w:t>
      </w:r>
      <w:r w:rsidR="008B6B1D">
        <w:t xml:space="preserve">B). Specifically, inoculated </w:t>
      </w:r>
      <w:r w:rsidR="00AF02DC">
        <w:t xml:space="preserve">individuals </w:t>
      </w:r>
      <w:r w:rsidR="008B6B1D">
        <w:t>had 29.9% less belowground carbon biomass than</w:t>
      </w:r>
      <w:r w:rsidR="000E65D6">
        <w:t xml:space="preserve"> those that were not inoculated</w:t>
      </w:r>
      <w:r w:rsidR="008B6B1D">
        <w:t xml:space="preserve"> (Tukey: p=0.050). There was no effect of</w:t>
      </w:r>
      <w:r w:rsidR="00D02153">
        <w:t xml:space="preserve"> soil nitrogen</w:t>
      </w:r>
      <w:r w:rsidR="008B6B1D">
        <w:t xml:space="preserve"> fertilization or any observable interaction between </w:t>
      </w:r>
      <w:r w:rsidR="00D02153">
        <w:t xml:space="preserve">soil nitrogen </w:t>
      </w:r>
      <w:r w:rsidR="008B6B1D">
        <w:t xml:space="preserve">fertilization and inoculation on </w:t>
      </w:r>
      <w:r w:rsidR="008B6B1D" w:rsidRPr="00607987">
        <w:t>belowground carbon biomass</w:t>
      </w:r>
      <w:r w:rsidR="008B6B1D">
        <w:t xml:space="preserve"> (Table </w:t>
      </w:r>
      <w:r w:rsidR="00D14794">
        <w:t>1</w:t>
      </w:r>
      <w:r w:rsidR="008B6B1D">
        <w:t xml:space="preserve">). </w:t>
      </w:r>
    </w:p>
    <w:p w14:paraId="03BAFA79" w14:textId="26F9601E" w:rsidR="008B6B1D" w:rsidRDefault="008B6B1D" w:rsidP="00457CFE">
      <w:pPr>
        <w:spacing w:line="480" w:lineRule="auto"/>
        <w:ind w:firstLine="720"/>
      </w:pPr>
    </w:p>
    <w:p w14:paraId="3727A7F5" w14:textId="77777777" w:rsidR="008B6B1D" w:rsidRPr="00AF1559" w:rsidRDefault="008B6B1D" w:rsidP="008B6B1D">
      <w:pPr>
        <w:spacing w:line="480" w:lineRule="auto"/>
        <w:sectPr w:rsidR="008B6B1D" w:rsidRPr="00AF1559" w:rsidSect="00772287">
          <w:pgSz w:w="12240" w:h="15840"/>
          <w:pgMar w:top="1440" w:right="1440" w:bottom="1440" w:left="1440" w:header="720" w:footer="720" w:gutter="0"/>
          <w:lnNumType w:countBy="1" w:restart="continuous"/>
          <w:cols w:space="720"/>
          <w:docGrid w:linePitch="360"/>
        </w:sectPr>
      </w:pPr>
    </w:p>
    <w:p w14:paraId="0551DB44" w14:textId="423D72E9" w:rsidR="008B6B1D" w:rsidRDefault="008B6B1D" w:rsidP="00AF02DC">
      <w:pPr>
        <w:spacing w:line="480" w:lineRule="auto"/>
      </w:pPr>
      <w:r>
        <w:rPr>
          <w:b/>
          <w:bCs/>
        </w:rPr>
        <w:lastRenderedPageBreak/>
        <w:t xml:space="preserve">Table </w:t>
      </w:r>
      <w:r w:rsidR="00876B7A">
        <w:rPr>
          <w:b/>
          <w:bCs/>
        </w:rPr>
        <w:t>1</w:t>
      </w:r>
      <w:r>
        <w:t xml:space="preserve"> Analysis of variance results exploring effect of soil nitrogen fertilization, inoculation with </w:t>
      </w:r>
      <w:r>
        <w:rPr>
          <w:i/>
          <w:iCs/>
        </w:rPr>
        <w:t>B. japonicum</w:t>
      </w:r>
      <w:r>
        <w:t>, and interactions between soil nitrogen fertilization and inoculation on structural carbon costs to acquire nitrogen, whole plant growth, and root nodulation*</w:t>
      </w:r>
    </w:p>
    <w:tbl>
      <w:tblPr>
        <w:tblStyle w:val="TableGridLight"/>
        <w:tblW w:w="12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gridCol w:w="996"/>
        <w:gridCol w:w="1012"/>
      </w:tblGrid>
      <w:tr w:rsidR="008B6B1D" w:rsidRPr="009515D2" w14:paraId="3395BFD7" w14:textId="77777777" w:rsidTr="005E6154">
        <w:tc>
          <w:tcPr>
            <w:tcW w:w="2516" w:type="dxa"/>
            <w:gridSpan w:val="2"/>
            <w:tcBorders>
              <w:bottom w:val="single" w:sz="4" w:space="0" w:color="auto"/>
            </w:tcBorders>
          </w:tcPr>
          <w:p w14:paraId="30556A30" w14:textId="77777777" w:rsidR="008B6B1D" w:rsidRPr="009515D2" w:rsidRDefault="008B6B1D" w:rsidP="005E6154">
            <w:pPr>
              <w:spacing w:line="276" w:lineRule="auto"/>
              <w:rPr>
                <w:b/>
                <w:bCs/>
                <w:sz w:val="22"/>
                <w:szCs w:val="22"/>
              </w:rPr>
            </w:pPr>
          </w:p>
        </w:tc>
        <w:tc>
          <w:tcPr>
            <w:tcW w:w="2008" w:type="dxa"/>
            <w:gridSpan w:val="2"/>
            <w:tcBorders>
              <w:bottom w:val="single" w:sz="4" w:space="0" w:color="auto"/>
            </w:tcBorders>
          </w:tcPr>
          <w:p w14:paraId="57D78CE7" w14:textId="77777777" w:rsidR="008B6B1D" w:rsidRPr="009515D2" w:rsidRDefault="008B6B1D" w:rsidP="005E6154">
            <w:pPr>
              <w:spacing w:line="276" w:lineRule="auto"/>
              <w:jc w:val="right"/>
              <w:rPr>
                <w:b/>
                <w:bCs/>
                <w:sz w:val="22"/>
                <w:szCs w:val="22"/>
                <w:vertAlign w:val="subscript"/>
              </w:rPr>
            </w:pPr>
            <w:r w:rsidRPr="009515D2">
              <w:rPr>
                <w:b/>
                <w:bCs/>
                <w:sz w:val="22"/>
                <w:szCs w:val="22"/>
              </w:rPr>
              <w:t>Carbon cost to acquire nitrogen</w:t>
            </w:r>
          </w:p>
        </w:tc>
        <w:tc>
          <w:tcPr>
            <w:tcW w:w="2009" w:type="dxa"/>
            <w:gridSpan w:val="2"/>
            <w:tcBorders>
              <w:bottom w:val="single" w:sz="4" w:space="0" w:color="auto"/>
            </w:tcBorders>
          </w:tcPr>
          <w:p w14:paraId="03454F1E" w14:textId="77777777" w:rsidR="008B6B1D" w:rsidRPr="009515D2" w:rsidRDefault="008B6B1D" w:rsidP="005E6154">
            <w:pPr>
              <w:spacing w:line="276" w:lineRule="auto"/>
              <w:jc w:val="right"/>
              <w:rPr>
                <w:b/>
                <w:bCs/>
                <w:sz w:val="22"/>
                <w:szCs w:val="22"/>
                <w:vertAlign w:val="subscript"/>
              </w:rPr>
            </w:pPr>
            <w:r w:rsidRPr="009515D2">
              <w:rPr>
                <w:b/>
                <w:bCs/>
                <w:sz w:val="22"/>
                <w:szCs w:val="22"/>
              </w:rPr>
              <w:t>Belowground carbon biomass</w:t>
            </w:r>
          </w:p>
        </w:tc>
        <w:tc>
          <w:tcPr>
            <w:tcW w:w="2009" w:type="dxa"/>
            <w:gridSpan w:val="2"/>
            <w:tcBorders>
              <w:bottom w:val="single" w:sz="4" w:space="0" w:color="auto"/>
            </w:tcBorders>
          </w:tcPr>
          <w:p w14:paraId="14F8D32B" w14:textId="77777777" w:rsidR="008B6B1D" w:rsidRPr="009515D2" w:rsidRDefault="008B6B1D" w:rsidP="005E6154">
            <w:pPr>
              <w:spacing w:line="276" w:lineRule="auto"/>
              <w:jc w:val="right"/>
              <w:rPr>
                <w:b/>
                <w:bCs/>
                <w:sz w:val="22"/>
                <w:szCs w:val="22"/>
                <w:vertAlign w:val="subscript"/>
              </w:rPr>
            </w:pPr>
            <w:r w:rsidRPr="009515D2">
              <w:rPr>
                <w:b/>
                <w:bCs/>
                <w:sz w:val="22"/>
                <w:szCs w:val="22"/>
              </w:rPr>
              <w:t>Whole plant nitrogen biomass</w:t>
            </w:r>
          </w:p>
        </w:tc>
        <w:tc>
          <w:tcPr>
            <w:tcW w:w="2009" w:type="dxa"/>
            <w:gridSpan w:val="2"/>
            <w:tcBorders>
              <w:bottom w:val="single" w:sz="4" w:space="0" w:color="auto"/>
            </w:tcBorders>
          </w:tcPr>
          <w:p w14:paraId="28C9E4FA" w14:textId="77777777" w:rsidR="008B6B1D" w:rsidRPr="009515D2" w:rsidRDefault="008B6B1D" w:rsidP="005E6154">
            <w:pPr>
              <w:spacing w:line="276" w:lineRule="auto"/>
              <w:jc w:val="right"/>
              <w:rPr>
                <w:b/>
                <w:bCs/>
                <w:sz w:val="22"/>
                <w:szCs w:val="22"/>
              </w:rPr>
            </w:pPr>
            <w:r w:rsidRPr="009515D2">
              <w:rPr>
                <w:b/>
                <w:bCs/>
                <w:sz w:val="22"/>
                <w:szCs w:val="22"/>
              </w:rPr>
              <w:t xml:space="preserve">Total </w:t>
            </w:r>
          </w:p>
          <w:p w14:paraId="646218D2" w14:textId="77777777" w:rsidR="008B6B1D" w:rsidRPr="009515D2" w:rsidRDefault="008B6B1D" w:rsidP="005E6154">
            <w:pPr>
              <w:spacing w:line="276" w:lineRule="auto"/>
              <w:jc w:val="right"/>
              <w:rPr>
                <w:b/>
                <w:bCs/>
                <w:sz w:val="22"/>
                <w:szCs w:val="22"/>
              </w:rPr>
            </w:pPr>
            <w:r w:rsidRPr="009515D2">
              <w:rPr>
                <w:b/>
                <w:bCs/>
                <w:sz w:val="22"/>
                <w:szCs w:val="22"/>
              </w:rPr>
              <w:t>leaf area</w:t>
            </w:r>
          </w:p>
        </w:tc>
        <w:tc>
          <w:tcPr>
            <w:tcW w:w="2008" w:type="dxa"/>
            <w:gridSpan w:val="2"/>
            <w:tcBorders>
              <w:bottom w:val="single" w:sz="4" w:space="0" w:color="auto"/>
            </w:tcBorders>
          </w:tcPr>
          <w:p w14:paraId="225F0D81" w14:textId="77777777" w:rsidR="008B6B1D" w:rsidRPr="009515D2" w:rsidRDefault="008B6B1D" w:rsidP="005E6154">
            <w:pPr>
              <w:spacing w:line="276" w:lineRule="auto"/>
              <w:jc w:val="right"/>
              <w:rPr>
                <w:b/>
                <w:bCs/>
                <w:sz w:val="22"/>
                <w:szCs w:val="22"/>
              </w:rPr>
            </w:pPr>
            <w:r w:rsidRPr="009515D2">
              <w:rPr>
                <w:b/>
                <w:bCs/>
                <w:sz w:val="22"/>
                <w:szCs w:val="22"/>
              </w:rPr>
              <w:t>Whole plant biomass</w:t>
            </w:r>
          </w:p>
        </w:tc>
      </w:tr>
      <w:tr w:rsidR="008B6B1D" w:rsidRPr="009515D2" w14:paraId="0C651064" w14:textId="77777777" w:rsidTr="005E6154">
        <w:tc>
          <w:tcPr>
            <w:tcW w:w="1980" w:type="dxa"/>
            <w:tcBorders>
              <w:top w:val="single" w:sz="4" w:space="0" w:color="auto"/>
              <w:bottom w:val="single" w:sz="4" w:space="0" w:color="auto"/>
            </w:tcBorders>
          </w:tcPr>
          <w:p w14:paraId="12ED7ADE" w14:textId="77777777" w:rsidR="008B6B1D" w:rsidRPr="009515D2" w:rsidRDefault="008B6B1D" w:rsidP="005E6154">
            <w:pPr>
              <w:spacing w:line="276" w:lineRule="auto"/>
              <w:rPr>
                <w:sz w:val="22"/>
                <w:szCs w:val="22"/>
              </w:rPr>
            </w:pPr>
          </w:p>
        </w:tc>
        <w:tc>
          <w:tcPr>
            <w:tcW w:w="536" w:type="dxa"/>
            <w:tcBorders>
              <w:top w:val="single" w:sz="4" w:space="0" w:color="auto"/>
              <w:bottom w:val="single" w:sz="4" w:space="0" w:color="auto"/>
            </w:tcBorders>
          </w:tcPr>
          <w:p w14:paraId="3B8F4F5F" w14:textId="77777777" w:rsidR="008B6B1D" w:rsidRPr="009515D2" w:rsidRDefault="008B6B1D" w:rsidP="005E6154">
            <w:pPr>
              <w:spacing w:line="276" w:lineRule="auto"/>
              <w:jc w:val="right"/>
              <w:rPr>
                <w:sz w:val="22"/>
                <w:szCs w:val="22"/>
              </w:rPr>
            </w:pPr>
            <w:r w:rsidRPr="009515D2">
              <w:rPr>
                <w:sz w:val="22"/>
                <w:szCs w:val="22"/>
              </w:rPr>
              <w:t>df</w:t>
            </w:r>
          </w:p>
        </w:tc>
        <w:tc>
          <w:tcPr>
            <w:tcW w:w="996" w:type="dxa"/>
            <w:tcBorders>
              <w:top w:val="single" w:sz="4" w:space="0" w:color="auto"/>
              <w:bottom w:val="single" w:sz="4" w:space="0" w:color="auto"/>
            </w:tcBorders>
          </w:tcPr>
          <w:p w14:paraId="03E4B63F" w14:textId="77777777" w:rsidR="008B6B1D" w:rsidRPr="009515D2" w:rsidRDefault="008B6B1D" w:rsidP="005E6154">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78305458" w14:textId="77777777" w:rsidR="008B6B1D" w:rsidRPr="009515D2" w:rsidRDefault="008B6B1D" w:rsidP="005E6154">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71209C6B" w14:textId="77777777" w:rsidR="008B6B1D" w:rsidRPr="009515D2" w:rsidRDefault="008B6B1D" w:rsidP="005E6154">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0B1D96CE" w14:textId="77777777" w:rsidR="008B6B1D" w:rsidRPr="009515D2" w:rsidRDefault="008B6B1D" w:rsidP="005E6154">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092F1FE7" w14:textId="77777777" w:rsidR="008B6B1D" w:rsidRPr="009515D2" w:rsidRDefault="008B6B1D" w:rsidP="005E6154">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6FE783D5" w14:textId="77777777" w:rsidR="008B6B1D" w:rsidRPr="009515D2" w:rsidRDefault="008B6B1D" w:rsidP="005E6154">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1FB974F2" w14:textId="77777777" w:rsidR="008B6B1D" w:rsidRPr="009515D2" w:rsidRDefault="008B6B1D" w:rsidP="005E6154">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28C8376A" w14:textId="77777777" w:rsidR="008B6B1D" w:rsidRPr="009515D2" w:rsidRDefault="008B6B1D" w:rsidP="005E6154">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2402ACA2" w14:textId="77777777" w:rsidR="008B6B1D" w:rsidRPr="009515D2" w:rsidRDefault="008B6B1D" w:rsidP="005E6154">
            <w:pPr>
              <w:spacing w:line="276" w:lineRule="auto"/>
              <w:jc w:val="right"/>
              <w:rPr>
                <w:i/>
                <w:iCs/>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15A59580" w14:textId="77777777" w:rsidR="008B6B1D" w:rsidRPr="009515D2" w:rsidRDefault="008B6B1D" w:rsidP="005E6154">
            <w:pPr>
              <w:spacing w:line="276" w:lineRule="auto"/>
              <w:jc w:val="right"/>
              <w:rPr>
                <w:i/>
                <w:iCs/>
                <w:sz w:val="22"/>
                <w:szCs w:val="22"/>
              </w:rPr>
            </w:pPr>
            <w:r w:rsidRPr="009515D2">
              <w:rPr>
                <w:i/>
                <w:iCs/>
                <w:sz w:val="22"/>
                <w:szCs w:val="22"/>
              </w:rPr>
              <w:t>p</w:t>
            </w:r>
          </w:p>
        </w:tc>
      </w:tr>
      <w:tr w:rsidR="008B6B1D" w:rsidRPr="009515D2" w14:paraId="7AD3FFD6" w14:textId="77777777" w:rsidTr="005E6154">
        <w:tc>
          <w:tcPr>
            <w:tcW w:w="1980" w:type="dxa"/>
            <w:tcBorders>
              <w:top w:val="single" w:sz="4" w:space="0" w:color="auto"/>
            </w:tcBorders>
          </w:tcPr>
          <w:p w14:paraId="1C328B58" w14:textId="77777777" w:rsidR="008B6B1D" w:rsidRPr="009515D2" w:rsidRDefault="008B6B1D" w:rsidP="005E6154">
            <w:pPr>
              <w:spacing w:line="276" w:lineRule="auto"/>
              <w:jc w:val="right"/>
              <w:rPr>
                <w:sz w:val="22"/>
                <w:szCs w:val="22"/>
              </w:rPr>
            </w:pPr>
            <w:r w:rsidRPr="009515D2">
              <w:rPr>
                <w:sz w:val="22"/>
                <w:szCs w:val="22"/>
              </w:rPr>
              <w:t>N fertilization (N)</w:t>
            </w:r>
          </w:p>
        </w:tc>
        <w:tc>
          <w:tcPr>
            <w:tcW w:w="536" w:type="dxa"/>
            <w:tcBorders>
              <w:top w:val="single" w:sz="4" w:space="0" w:color="auto"/>
            </w:tcBorders>
          </w:tcPr>
          <w:p w14:paraId="5A187F97" w14:textId="77777777" w:rsidR="008B6B1D" w:rsidRPr="009515D2" w:rsidRDefault="008B6B1D" w:rsidP="005E6154">
            <w:pPr>
              <w:spacing w:line="276" w:lineRule="auto"/>
              <w:jc w:val="right"/>
              <w:rPr>
                <w:sz w:val="22"/>
                <w:szCs w:val="22"/>
              </w:rPr>
            </w:pPr>
            <w:r w:rsidRPr="009515D2">
              <w:rPr>
                <w:sz w:val="22"/>
                <w:szCs w:val="22"/>
              </w:rPr>
              <w:t>1</w:t>
            </w:r>
          </w:p>
        </w:tc>
        <w:tc>
          <w:tcPr>
            <w:tcW w:w="996" w:type="dxa"/>
            <w:tcBorders>
              <w:top w:val="single" w:sz="4" w:space="0" w:color="auto"/>
            </w:tcBorders>
          </w:tcPr>
          <w:p w14:paraId="78E3AEC6" w14:textId="77777777" w:rsidR="008B6B1D" w:rsidRPr="009515D2" w:rsidRDefault="008B6B1D" w:rsidP="005E6154">
            <w:pPr>
              <w:spacing w:line="276" w:lineRule="auto"/>
              <w:jc w:val="right"/>
              <w:rPr>
                <w:sz w:val="22"/>
                <w:szCs w:val="22"/>
              </w:rPr>
            </w:pPr>
            <w:r w:rsidRPr="009515D2">
              <w:rPr>
                <w:sz w:val="22"/>
                <w:szCs w:val="22"/>
              </w:rPr>
              <w:t>23.34</w:t>
            </w:r>
          </w:p>
        </w:tc>
        <w:tc>
          <w:tcPr>
            <w:tcW w:w="1012" w:type="dxa"/>
            <w:tcBorders>
              <w:top w:val="single" w:sz="4" w:space="0" w:color="auto"/>
            </w:tcBorders>
          </w:tcPr>
          <w:p w14:paraId="51B4E9D9"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247C16DB" w14:textId="77777777" w:rsidR="008B6B1D" w:rsidRPr="009515D2" w:rsidRDefault="008B6B1D" w:rsidP="005E6154">
            <w:pPr>
              <w:spacing w:line="276" w:lineRule="auto"/>
              <w:jc w:val="right"/>
              <w:rPr>
                <w:sz w:val="22"/>
                <w:szCs w:val="22"/>
              </w:rPr>
            </w:pPr>
            <w:r w:rsidRPr="009515D2">
              <w:rPr>
                <w:sz w:val="22"/>
                <w:szCs w:val="22"/>
              </w:rPr>
              <w:t>0.08</w:t>
            </w:r>
          </w:p>
        </w:tc>
        <w:tc>
          <w:tcPr>
            <w:tcW w:w="1013" w:type="dxa"/>
            <w:tcBorders>
              <w:top w:val="single" w:sz="4" w:space="0" w:color="auto"/>
            </w:tcBorders>
          </w:tcPr>
          <w:p w14:paraId="47858E0C" w14:textId="77777777" w:rsidR="008B6B1D" w:rsidRPr="009515D2" w:rsidRDefault="008B6B1D" w:rsidP="005E6154">
            <w:pPr>
              <w:spacing w:line="276" w:lineRule="auto"/>
              <w:jc w:val="right"/>
              <w:rPr>
                <w:sz w:val="22"/>
                <w:szCs w:val="22"/>
              </w:rPr>
            </w:pPr>
            <w:r w:rsidRPr="009515D2">
              <w:rPr>
                <w:sz w:val="22"/>
                <w:szCs w:val="22"/>
              </w:rPr>
              <w:t>0.782</w:t>
            </w:r>
          </w:p>
        </w:tc>
        <w:tc>
          <w:tcPr>
            <w:tcW w:w="996" w:type="dxa"/>
            <w:tcBorders>
              <w:top w:val="single" w:sz="4" w:space="0" w:color="auto"/>
            </w:tcBorders>
          </w:tcPr>
          <w:p w14:paraId="69A74EEE" w14:textId="77777777" w:rsidR="008B6B1D" w:rsidRPr="009515D2" w:rsidRDefault="008B6B1D" w:rsidP="005E6154">
            <w:pPr>
              <w:spacing w:line="276" w:lineRule="auto"/>
              <w:jc w:val="right"/>
              <w:rPr>
                <w:sz w:val="22"/>
                <w:szCs w:val="22"/>
              </w:rPr>
            </w:pPr>
            <w:r w:rsidRPr="009515D2">
              <w:rPr>
                <w:sz w:val="22"/>
                <w:szCs w:val="22"/>
              </w:rPr>
              <w:t>358.69</w:t>
            </w:r>
          </w:p>
        </w:tc>
        <w:tc>
          <w:tcPr>
            <w:tcW w:w="1013" w:type="dxa"/>
            <w:tcBorders>
              <w:top w:val="single" w:sz="4" w:space="0" w:color="auto"/>
            </w:tcBorders>
          </w:tcPr>
          <w:p w14:paraId="528BE1DE"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5B64E095" w14:textId="77777777" w:rsidR="008B6B1D" w:rsidRPr="009515D2" w:rsidRDefault="008B6B1D" w:rsidP="005E6154">
            <w:pPr>
              <w:spacing w:line="276" w:lineRule="auto"/>
              <w:jc w:val="right"/>
              <w:rPr>
                <w:sz w:val="22"/>
                <w:szCs w:val="22"/>
              </w:rPr>
            </w:pPr>
            <w:r w:rsidRPr="009515D2">
              <w:rPr>
                <w:sz w:val="22"/>
                <w:szCs w:val="22"/>
              </w:rPr>
              <w:t>292.46</w:t>
            </w:r>
          </w:p>
        </w:tc>
        <w:tc>
          <w:tcPr>
            <w:tcW w:w="1013" w:type="dxa"/>
            <w:tcBorders>
              <w:top w:val="single" w:sz="4" w:space="0" w:color="auto"/>
            </w:tcBorders>
          </w:tcPr>
          <w:p w14:paraId="4808934A"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0C074B96" w14:textId="77777777" w:rsidR="008B6B1D" w:rsidRPr="009515D2" w:rsidRDefault="008B6B1D" w:rsidP="005E6154">
            <w:pPr>
              <w:spacing w:line="276" w:lineRule="auto"/>
              <w:jc w:val="right"/>
              <w:rPr>
                <w:sz w:val="22"/>
                <w:szCs w:val="22"/>
              </w:rPr>
            </w:pPr>
            <w:r w:rsidRPr="009515D2">
              <w:rPr>
                <w:sz w:val="22"/>
                <w:szCs w:val="22"/>
              </w:rPr>
              <w:t>52.43</w:t>
            </w:r>
          </w:p>
        </w:tc>
        <w:tc>
          <w:tcPr>
            <w:tcW w:w="1012" w:type="dxa"/>
            <w:tcBorders>
              <w:top w:val="single" w:sz="4" w:space="0" w:color="auto"/>
            </w:tcBorders>
          </w:tcPr>
          <w:p w14:paraId="0EEB7AD5" w14:textId="77777777" w:rsidR="008B6B1D" w:rsidRPr="009515D2" w:rsidRDefault="008B6B1D" w:rsidP="005E6154">
            <w:pPr>
              <w:spacing w:line="276" w:lineRule="auto"/>
              <w:jc w:val="right"/>
              <w:rPr>
                <w:b/>
                <w:bCs/>
                <w:sz w:val="22"/>
                <w:szCs w:val="22"/>
              </w:rPr>
            </w:pPr>
            <w:r w:rsidRPr="009515D2">
              <w:rPr>
                <w:b/>
                <w:bCs/>
                <w:sz w:val="22"/>
                <w:szCs w:val="22"/>
              </w:rPr>
              <w:t>&lt;0.001</w:t>
            </w:r>
          </w:p>
        </w:tc>
      </w:tr>
      <w:tr w:rsidR="008B6B1D" w:rsidRPr="009515D2" w14:paraId="6ECC16F7" w14:textId="77777777" w:rsidTr="005E6154">
        <w:tc>
          <w:tcPr>
            <w:tcW w:w="1980" w:type="dxa"/>
          </w:tcPr>
          <w:p w14:paraId="320AB95E" w14:textId="77777777" w:rsidR="008B6B1D" w:rsidRPr="009515D2" w:rsidRDefault="008B6B1D" w:rsidP="005E6154">
            <w:pPr>
              <w:spacing w:line="276" w:lineRule="auto"/>
              <w:jc w:val="right"/>
              <w:rPr>
                <w:sz w:val="22"/>
                <w:szCs w:val="22"/>
              </w:rPr>
            </w:pPr>
            <w:r w:rsidRPr="009515D2">
              <w:rPr>
                <w:sz w:val="22"/>
                <w:szCs w:val="22"/>
              </w:rPr>
              <w:t>Inoculation (I)</w:t>
            </w:r>
          </w:p>
        </w:tc>
        <w:tc>
          <w:tcPr>
            <w:tcW w:w="536" w:type="dxa"/>
          </w:tcPr>
          <w:p w14:paraId="6076121B" w14:textId="77777777" w:rsidR="008B6B1D" w:rsidRPr="009515D2" w:rsidRDefault="008B6B1D" w:rsidP="005E6154">
            <w:pPr>
              <w:spacing w:line="276" w:lineRule="auto"/>
              <w:jc w:val="right"/>
              <w:rPr>
                <w:sz w:val="22"/>
                <w:szCs w:val="22"/>
              </w:rPr>
            </w:pPr>
            <w:r w:rsidRPr="009515D2">
              <w:rPr>
                <w:sz w:val="22"/>
                <w:szCs w:val="22"/>
              </w:rPr>
              <w:t>1</w:t>
            </w:r>
          </w:p>
        </w:tc>
        <w:tc>
          <w:tcPr>
            <w:tcW w:w="996" w:type="dxa"/>
          </w:tcPr>
          <w:p w14:paraId="2CA1702C" w14:textId="77777777" w:rsidR="008B6B1D" w:rsidRPr="009515D2" w:rsidRDefault="008B6B1D" w:rsidP="005E6154">
            <w:pPr>
              <w:spacing w:line="276" w:lineRule="auto"/>
              <w:jc w:val="right"/>
              <w:rPr>
                <w:sz w:val="22"/>
                <w:szCs w:val="22"/>
              </w:rPr>
            </w:pPr>
            <w:r w:rsidRPr="009515D2">
              <w:rPr>
                <w:sz w:val="22"/>
                <w:szCs w:val="22"/>
              </w:rPr>
              <w:t>16.75</w:t>
            </w:r>
          </w:p>
        </w:tc>
        <w:tc>
          <w:tcPr>
            <w:tcW w:w="1012" w:type="dxa"/>
          </w:tcPr>
          <w:p w14:paraId="48592412"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Pr>
          <w:p w14:paraId="1EC9A972" w14:textId="77777777" w:rsidR="008B6B1D" w:rsidRPr="009515D2" w:rsidRDefault="008B6B1D" w:rsidP="005E6154">
            <w:pPr>
              <w:spacing w:line="276" w:lineRule="auto"/>
              <w:jc w:val="right"/>
              <w:rPr>
                <w:sz w:val="22"/>
                <w:szCs w:val="22"/>
              </w:rPr>
            </w:pPr>
            <w:r w:rsidRPr="009515D2">
              <w:rPr>
                <w:sz w:val="22"/>
                <w:szCs w:val="22"/>
              </w:rPr>
              <w:t>4.17</w:t>
            </w:r>
          </w:p>
        </w:tc>
        <w:tc>
          <w:tcPr>
            <w:tcW w:w="1013" w:type="dxa"/>
          </w:tcPr>
          <w:p w14:paraId="39764B43" w14:textId="77777777" w:rsidR="008B6B1D" w:rsidRPr="009515D2" w:rsidRDefault="008B6B1D" w:rsidP="005E6154">
            <w:pPr>
              <w:spacing w:line="276" w:lineRule="auto"/>
              <w:jc w:val="right"/>
              <w:rPr>
                <w:b/>
                <w:bCs/>
                <w:sz w:val="22"/>
                <w:szCs w:val="22"/>
              </w:rPr>
            </w:pPr>
            <w:r w:rsidRPr="009515D2">
              <w:rPr>
                <w:b/>
                <w:bCs/>
                <w:sz w:val="22"/>
                <w:szCs w:val="22"/>
              </w:rPr>
              <w:t>0.041</w:t>
            </w:r>
          </w:p>
        </w:tc>
        <w:tc>
          <w:tcPr>
            <w:tcW w:w="996" w:type="dxa"/>
          </w:tcPr>
          <w:p w14:paraId="0A3222CF" w14:textId="77777777" w:rsidR="008B6B1D" w:rsidRPr="009515D2" w:rsidRDefault="008B6B1D" w:rsidP="005E6154">
            <w:pPr>
              <w:spacing w:line="276" w:lineRule="auto"/>
              <w:jc w:val="right"/>
              <w:rPr>
                <w:sz w:val="22"/>
                <w:szCs w:val="22"/>
              </w:rPr>
            </w:pPr>
            <w:r w:rsidRPr="009515D2">
              <w:rPr>
                <w:sz w:val="22"/>
                <w:szCs w:val="22"/>
              </w:rPr>
              <w:t>24.11</w:t>
            </w:r>
          </w:p>
        </w:tc>
        <w:tc>
          <w:tcPr>
            <w:tcW w:w="1013" w:type="dxa"/>
          </w:tcPr>
          <w:p w14:paraId="406E0E08"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Pr>
          <w:p w14:paraId="591D1089" w14:textId="77777777" w:rsidR="008B6B1D" w:rsidRPr="009515D2" w:rsidRDefault="008B6B1D" w:rsidP="005E6154">
            <w:pPr>
              <w:spacing w:line="276" w:lineRule="auto"/>
              <w:jc w:val="right"/>
              <w:rPr>
                <w:sz w:val="22"/>
                <w:szCs w:val="22"/>
              </w:rPr>
            </w:pPr>
            <w:r w:rsidRPr="009515D2">
              <w:rPr>
                <w:sz w:val="22"/>
                <w:szCs w:val="22"/>
              </w:rPr>
              <w:t>35.09</w:t>
            </w:r>
          </w:p>
        </w:tc>
        <w:tc>
          <w:tcPr>
            <w:tcW w:w="1013" w:type="dxa"/>
          </w:tcPr>
          <w:p w14:paraId="4B104A7C"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Pr>
          <w:p w14:paraId="4B065468" w14:textId="77777777" w:rsidR="008B6B1D" w:rsidRPr="009515D2" w:rsidRDefault="008B6B1D" w:rsidP="005E6154">
            <w:pPr>
              <w:spacing w:line="276" w:lineRule="auto"/>
              <w:jc w:val="right"/>
              <w:rPr>
                <w:sz w:val="22"/>
                <w:szCs w:val="22"/>
              </w:rPr>
            </w:pPr>
            <w:r w:rsidRPr="009515D2">
              <w:rPr>
                <w:sz w:val="22"/>
                <w:szCs w:val="22"/>
              </w:rPr>
              <w:t>2.04</w:t>
            </w:r>
          </w:p>
        </w:tc>
        <w:tc>
          <w:tcPr>
            <w:tcW w:w="1012" w:type="dxa"/>
          </w:tcPr>
          <w:p w14:paraId="4CE1000F" w14:textId="77777777" w:rsidR="008B6B1D" w:rsidRPr="009515D2" w:rsidRDefault="008B6B1D" w:rsidP="005E6154">
            <w:pPr>
              <w:spacing w:line="276" w:lineRule="auto"/>
              <w:jc w:val="right"/>
              <w:rPr>
                <w:sz w:val="22"/>
                <w:szCs w:val="22"/>
              </w:rPr>
            </w:pPr>
            <w:r w:rsidRPr="009515D2">
              <w:rPr>
                <w:sz w:val="22"/>
                <w:szCs w:val="22"/>
              </w:rPr>
              <w:t>0.153</w:t>
            </w:r>
          </w:p>
        </w:tc>
      </w:tr>
      <w:tr w:rsidR="008B6B1D" w:rsidRPr="009515D2" w14:paraId="0946AE6C" w14:textId="77777777" w:rsidTr="005E6154">
        <w:tc>
          <w:tcPr>
            <w:tcW w:w="1980" w:type="dxa"/>
            <w:tcBorders>
              <w:bottom w:val="single" w:sz="4" w:space="0" w:color="auto"/>
            </w:tcBorders>
          </w:tcPr>
          <w:p w14:paraId="2699E191" w14:textId="77777777" w:rsidR="008B6B1D" w:rsidRPr="009515D2" w:rsidRDefault="008B6B1D" w:rsidP="005E6154">
            <w:pPr>
              <w:spacing w:line="276" w:lineRule="auto"/>
              <w:jc w:val="right"/>
              <w:rPr>
                <w:sz w:val="22"/>
                <w:szCs w:val="22"/>
              </w:rPr>
            </w:pPr>
            <w:r w:rsidRPr="009515D2">
              <w:rPr>
                <w:sz w:val="22"/>
                <w:szCs w:val="22"/>
              </w:rPr>
              <w:t>N*I</w:t>
            </w:r>
          </w:p>
        </w:tc>
        <w:tc>
          <w:tcPr>
            <w:tcW w:w="536" w:type="dxa"/>
            <w:tcBorders>
              <w:bottom w:val="single" w:sz="4" w:space="0" w:color="auto"/>
            </w:tcBorders>
          </w:tcPr>
          <w:p w14:paraId="786F3770" w14:textId="77777777" w:rsidR="008B6B1D" w:rsidRPr="009515D2" w:rsidRDefault="008B6B1D" w:rsidP="005E6154">
            <w:pPr>
              <w:spacing w:line="276" w:lineRule="auto"/>
              <w:jc w:val="right"/>
              <w:rPr>
                <w:sz w:val="22"/>
                <w:szCs w:val="22"/>
              </w:rPr>
            </w:pPr>
            <w:r w:rsidRPr="009515D2">
              <w:rPr>
                <w:sz w:val="22"/>
                <w:szCs w:val="22"/>
              </w:rPr>
              <w:t>1</w:t>
            </w:r>
          </w:p>
        </w:tc>
        <w:tc>
          <w:tcPr>
            <w:tcW w:w="996" w:type="dxa"/>
            <w:tcBorders>
              <w:bottom w:val="single" w:sz="4" w:space="0" w:color="auto"/>
            </w:tcBorders>
          </w:tcPr>
          <w:p w14:paraId="5DAEB3A1" w14:textId="77777777" w:rsidR="008B6B1D" w:rsidRPr="009515D2" w:rsidRDefault="008B6B1D" w:rsidP="005E6154">
            <w:pPr>
              <w:spacing w:line="276" w:lineRule="auto"/>
              <w:jc w:val="right"/>
              <w:rPr>
                <w:sz w:val="22"/>
                <w:szCs w:val="22"/>
              </w:rPr>
            </w:pPr>
            <w:r w:rsidRPr="009515D2">
              <w:rPr>
                <w:sz w:val="22"/>
                <w:szCs w:val="22"/>
              </w:rPr>
              <w:t>4.83</w:t>
            </w:r>
          </w:p>
        </w:tc>
        <w:tc>
          <w:tcPr>
            <w:tcW w:w="1012" w:type="dxa"/>
            <w:tcBorders>
              <w:bottom w:val="single" w:sz="4" w:space="0" w:color="auto"/>
            </w:tcBorders>
          </w:tcPr>
          <w:p w14:paraId="122E0FB7" w14:textId="77777777" w:rsidR="008B6B1D" w:rsidRPr="009515D2" w:rsidRDefault="008B6B1D" w:rsidP="005E6154">
            <w:pPr>
              <w:spacing w:line="276" w:lineRule="auto"/>
              <w:jc w:val="right"/>
              <w:rPr>
                <w:b/>
                <w:bCs/>
                <w:sz w:val="22"/>
                <w:szCs w:val="22"/>
              </w:rPr>
            </w:pPr>
            <w:r w:rsidRPr="009515D2">
              <w:rPr>
                <w:b/>
                <w:bCs/>
                <w:sz w:val="22"/>
                <w:szCs w:val="22"/>
              </w:rPr>
              <w:t>0.028</w:t>
            </w:r>
          </w:p>
        </w:tc>
        <w:tc>
          <w:tcPr>
            <w:tcW w:w="996" w:type="dxa"/>
            <w:tcBorders>
              <w:bottom w:val="single" w:sz="4" w:space="0" w:color="auto"/>
            </w:tcBorders>
          </w:tcPr>
          <w:p w14:paraId="0C1DAC5C" w14:textId="77777777" w:rsidR="008B6B1D" w:rsidRPr="009515D2" w:rsidRDefault="008B6B1D" w:rsidP="005E6154">
            <w:pPr>
              <w:spacing w:line="276" w:lineRule="auto"/>
              <w:jc w:val="right"/>
              <w:rPr>
                <w:sz w:val="22"/>
                <w:szCs w:val="22"/>
              </w:rPr>
            </w:pPr>
            <w:r w:rsidRPr="009515D2">
              <w:rPr>
                <w:sz w:val="22"/>
                <w:szCs w:val="22"/>
              </w:rPr>
              <w:t>0.265</w:t>
            </w:r>
          </w:p>
        </w:tc>
        <w:tc>
          <w:tcPr>
            <w:tcW w:w="1013" w:type="dxa"/>
            <w:tcBorders>
              <w:bottom w:val="single" w:sz="4" w:space="0" w:color="auto"/>
            </w:tcBorders>
          </w:tcPr>
          <w:p w14:paraId="696A06D5" w14:textId="77777777" w:rsidR="008B6B1D" w:rsidRPr="009515D2" w:rsidRDefault="008B6B1D" w:rsidP="005E6154">
            <w:pPr>
              <w:spacing w:line="276" w:lineRule="auto"/>
              <w:jc w:val="right"/>
              <w:rPr>
                <w:sz w:val="22"/>
                <w:szCs w:val="22"/>
              </w:rPr>
            </w:pPr>
            <w:r w:rsidRPr="009515D2">
              <w:rPr>
                <w:sz w:val="22"/>
                <w:szCs w:val="22"/>
              </w:rPr>
              <w:t>0.607</w:t>
            </w:r>
          </w:p>
        </w:tc>
        <w:tc>
          <w:tcPr>
            <w:tcW w:w="996" w:type="dxa"/>
            <w:tcBorders>
              <w:bottom w:val="single" w:sz="4" w:space="0" w:color="auto"/>
            </w:tcBorders>
          </w:tcPr>
          <w:p w14:paraId="2395092D" w14:textId="77777777" w:rsidR="008B6B1D" w:rsidRPr="009515D2" w:rsidRDefault="008B6B1D" w:rsidP="005E6154">
            <w:pPr>
              <w:spacing w:line="276" w:lineRule="auto"/>
              <w:jc w:val="right"/>
              <w:rPr>
                <w:sz w:val="22"/>
                <w:szCs w:val="22"/>
              </w:rPr>
            </w:pPr>
            <w:r w:rsidRPr="009515D2">
              <w:rPr>
                <w:sz w:val="22"/>
                <w:szCs w:val="22"/>
              </w:rPr>
              <w:t>13.52</w:t>
            </w:r>
          </w:p>
        </w:tc>
        <w:tc>
          <w:tcPr>
            <w:tcW w:w="1013" w:type="dxa"/>
            <w:tcBorders>
              <w:bottom w:val="single" w:sz="4" w:space="0" w:color="auto"/>
            </w:tcBorders>
          </w:tcPr>
          <w:p w14:paraId="278DB720"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Borders>
              <w:bottom w:val="single" w:sz="4" w:space="0" w:color="auto"/>
            </w:tcBorders>
          </w:tcPr>
          <w:p w14:paraId="02B70DD0" w14:textId="77777777" w:rsidR="008B6B1D" w:rsidRPr="009515D2" w:rsidRDefault="008B6B1D" w:rsidP="005E6154">
            <w:pPr>
              <w:spacing w:line="276" w:lineRule="auto"/>
              <w:jc w:val="right"/>
              <w:rPr>
                <w:sz w:val="22"/>
                <w:szCs w:val="22"/>
              </w:rPr>
            </w:pPr>
            <w:r w:rsidRPr="009515D2">
              <w:rPr>
                <w:sz w:val="22"/>
                <w:szCs w:val="22"/>
              </w:rPr>
              <w:t>17.90</w:t>
            </w:r>
          </w:p>
        </w:tc>
        <w:tc>
          <w:tcPr>
            <w:tcW w:w="1013" w:type="dxa"/>
            <w:tcBorders>
              <w:bottom w:val="single" w:sz="4" w:space="0" w:color="auto"/>
            </w:tcBorders>
          </w:tcPr>
          <w:p w14:paraId="4399871B"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Borders>
              <w:bottom w:val="single" w:sz="4" w:space="0" w:color="auto"/>
            </w:tcBorders>
          </w:tcPr>
          <w:p w14:paraId="73E0E688" w14:textId="77777777" w:rsidR="008B6B1D" w:rsidRPr="009515D2" w:rsidRDefault="008B6B1D" w:rsidP="005E6154">
            <w:pPr>
              <w:spacing w:line="276" w:lineRule="auto"/>
              <w:jc w:val="right"/>
              <w:rPr>
                <w:sz w:val="22"/>
                <w:szCs w:val="22"/>
              </w:rPr>
            </w:pPr>
            <w:r w:rsidRPr="009515D2">
              <w:rPr>
                <w:sz w:val="22"/>
                <w:szCs w:val="22"/>
              </w:rPr>
              <w:t>1.23</w:t>
            </w:r>
          </w:p>
        </w:tc>
        <w:tc>
          <w:tcPr>
            <w:tcW w:w="1012" w:type="dxa"/>
            <w:tcBorders>
              <w:bottom w:val="single" w:sz="4" w:space="0" w:color="auto"/>
            </w:tcBorders>
          </w:tcPr>
          <w:p w14:paraId="15F8EA71" w14:textId="77777777" w:rsidR="008B6B1D" w:rsidRPr="009515D2" w:rsidRDefault="008B6B1D" w:rsidP="005E6154">
            <w:pPr>
              <w:spacing w:line="276" w:lineRule="auto"/>
              <w:jc w:val="right"/>
              <w:rPr>
                <w:sz w:val="22"/>
                <w:szCs w:val="22"/>
              </w:rPr>
            </w:pPr>
            <w:r w:rsidRPr="009515D2">
              <w:rPr>
                <w:sz w:val="22"/>
                <w:szCs w:val="22"/>
              </w:rPr>
              <w:t>0.267</w:t>
            </w:r>
          </w:p>
        </w:tc>
      </w:tr>
      <w:tr w:rsidR="008B6B1D" w:rsidRPr="009515D2" w14:paraId="7373095B" w14:textId="77777777" w:rsidTr="005E6154">
        <w:tc>
          <w:tcPr>
            <w:tcW w:w="1980" w:type="dxa"/>
            <w:tcBorders>
              <w:top w:val="single" w:sz="4" w:space="0" w:color="auto"/>
            </w:tcBorders>
          </w:tcPr>
          <w:p w14:paraId="779E0FA4" w14:textId="77777777" w:rsidR="008B6B1D" w:rsidRPr="009515D2" w:rsidRDefault="008B6B1D" w:rsidP="005E6154">
            <w:pPr>
              <w:spacing w:line="276" w:lineRule="auto"/>
              <w:jc w:val="right"/>
              <w:rPr>
                <w:sz w:val="22"/>
                <w:szCs w:val="22"/>
              </w:rPr>
            </w:pPr>
          </w:p>
        </w:tc>
        <w:tc>
          <w:tcPr>
            <w:tcW w:w="536" w:type="dxa"/>
            <w:tcBorders>
              <w:top w:val="single" w:sz="4" w:space="0" w:color="auto"/>
            </w:tcBorders>
          </w:tcPr>
          <w:p w14:paraId="05CAFF71" w14:textId="77777777" w:rsidR="008B6B1D" w:rsidRPr="009515D2" w:rsidRDefault="008B6B1D" w:rsidP="005E6154">
            <w:pPr>
              <w:spacing w:line="276" w:lineRule="auto"/>
              <w:jc w:val="right"/>
              <w:rPr>
                <w:sz w:val="22"/>
                <w:szCs w:val="22"/>
              </w:rPr>
            </w:pPr>
          </w:p>
        </w:tc>
        <w:tc>
          <w:tcPr>
            <w:tcW w:w="996" w:type="dxa"/>
            <w:tcBorders>
              <w:top w:val="single" w:sz="4" w:space="0" w:color="auto"/>
            </w:tcBorders>
          </w:tcPr>
          <w:p w14:paraId="57B64513" w14:textId="77777777" w:rsidR="008B6B1D" w:rsidRPr="009515D2" w:rsidRDefault="008B6B1D" w:rsidP="005E6154">
            <w:pPr>
              <w:spacing w:line="276" w:lineRule="auto"/>
              <w:jc w:val="right"/>
              <w:rPr>
                <w:sz w:val="22"/>
                <w:szCs w:val="22"/>
              </w:rPr>
            </w:pPr>
          </w:p>
        </w:tc>
        <w:tc>
          <w:tcPr>
            <w:tcW w:w="1012" w:type="dxa"/>
            <w:tcBorders>
              <w:top w:val="single" w:sz="4" w:space="0" w:color="auto"/>
            </w:tcBorders>
          </w:tcPr>
          <w:p w14:paraId="0684DE7F" w14:textId="77777777" w:rsidR="008B6B1D" w:rsidRPr="009515D2" w:rsidRDefault="008B6B1D" w:rsidP="005E6154">
            <w:pPr>
              <w:spacing w:line="276" w:lineRule="auto"/>
              <w:jc w:val="right"/>
              <w:rPr>
                <w:b/>
                <w:bCs/>
                <w:sz w:val="22"/>
                <w:szCs w:val="22"/>
              </w:rPr>
            </w:pPr>
          </w:p>
        </w:tc>
        <w:tc>
          <w:tcPr>
            <w:tcW w:w="996" w:type="dxa"/>
            <w:tcBorders>
              <w:top w:val="single" w:sz="4" w:space="0" w:color="auto"/>
            </w:tcBorders>
          </w:tcPr>
          <w:p w14:paraId="32585387" w14:textId="77777777" w:rsidR="008B6B1D" w:rsidRPr="009515D2" w:rsidRDefault="008B6B1D" w:rsidP="005E6154">
            <w:pPr>
              <w:spacing w:line="276" w:lineRule="auto"/>
              <w:jc w:val="right"/>
              <w:rPr>
                <w:sz w:val="22"/>
                <w:szCs w:val="22"/>
              </w:rPr>
            </w:pPr>
          </w:p>
        </w:tc>
        <w:tc>
          <w:tcPr>
            <w:tcW w:w="1013" w:type="dxa"/>
            <w:tcBorders>
              <w:top w:val="single" w:sz="4" w:space="0" w:color="auto"/>
            </w:tcBorders>
          </w:tcPr>
          <w:p w14:paraId="01892E06" w14:textId="77777777" w:rsidR="008B6B1D" w:rsidRPr="009515D2" w:rsidRDefault="008B6B1D" w:rsidP="005E6154">
            <w:pPr>
              <w:spacing w:line="276" w:lineRule="auto"/>
              <w:jc w:val="right"/>
              <w:rPr>
                <w:sz w:val="22"/>
                <w:szCs w:val="22"/>
              </w:rPr>
            </w:pPr>
          </w:p>
        </w:tc>
        <w:tc>
          <w:tcPr>
            <w:tcW w:w="996" w:type="dxa"/>
            <w:tcBorders>
              <w:top w:val="single" w:sz="4" w:space="0" w:color="auto"/>
            </w:tcBorders>
          </w:tcPr>
          <w:p w14:paraId="06B756B4" w14:textId="77777777" w:rsidR="008B6B1D" w:rsidRPr="009515D2" w:rsidRDefault="008B6B1D" w:rsidP="005E6154">
            <w:pPr>
              <w:spacing w:line="276" w:lineRule="auto"/>
              <w:jc w:val="right"/>
              <w:rPr>
                <w:sz w:val="22"/>
                <w:szCs w:val="22"/>
              </w:rPr>
            </w:pPr>
          </w:p>
        </w:tc>
        <w:tc>
          <w:tcPr>
            <w:tcW w:w="1013" w:type="dxa"/>
            <w:tcBorders>
              <w:top w:val="single" w:sz="4" w:space="0" w:color="auto"/>
            </w:tcBorders>
          </w:tcPr>
          <w:p w14:paraId="4285E58C" w14:textId="77777777" w:rsidR="008B6B1D" w:rsidRPr="009515D2" w:rsidRDefault="008B6B1D" w:rsidP="005E6154">
            <w:pPr>
              <w:spacing w:line="276" w:lineRule="auto"/>
              <w:jc w:val="right"/>
              <w:rPr>
                <w:b/>
                <w:bCs/>
                <w:sz w:val="22"/>
                <w:szCs w:val="22"/>
              </w:rPr>
            </w:pPr>
          </w:p>
        </w:tc>
        <w:tc>
          <w:tcPr>
            <w:tcW w:w="996" w:type="dxa"/>
            <w:tcBorders>
              <w:top w:val="single" w:sz="4" w:space="0" w:color="auto"/>
            </w:tcBorders>
          </w:tcPr>
          <w:p w14:paraId="25C40D01" w14:textId="77777777" w:rsidR="008B6B1D" w:rsidRPr="009515D2" w:rsidRDefault="008B6B1D" w:rsidP="005E6154">
            <w:pPr>
              <w:spacing w:line="276" w:lineRule="auto"/>
              <w:jc w:val="right"/>
              <w:rPr>
                <w:sz w:val="22"/>
                <w:szCs w:val="22"/>
              </w:rPr>
            </w:pPr>
          </w:p>
        </w:tc>
        <w:tc>
          <w:tcPr>
            <w:tcW w:w="1013" w:type="dxa"/>
            <w:tcBorders>
              <w:top w:val="single" w:sz="4" w:space="0" w:color="auto"/>
            </w:tcBorders>
          </w:tcPr>
          <w:p w14:paraId="6D33B920" w14:textId="77777777" w:rsidR="008B6B1D" w:rsidRPr="009515D2" w:rsidRDefault="008B6B1D" w:rsidP="005E6154">
            <w:pPr>
              <w:spacing w:line="276" w:lineRule="auto"/>
              <w:jc w:val="right"/>
              <w:rPr>
                <w:b/>
                <w:bCs/>
                <w:sz w:val="22"/>
                <w:szCs w:val="22"/>
              </w:rPr>
            </w:pPr>
          </w:p>
        </w:tc>
        <w:tc>
          <w:tcPr>
            <w:tcW w:w="996" w:type="dxa"/>
            <w:tcBorders>
              <w:top w:val="single" w:sz="4" w:space="0" w:color="auto"/>
            </w:tcBorders>
          </w:tcPr>
          <w:p w14:paraId="7451F1B0" w14:textId="77777777" w:rsidR="008B6B1D" w:rsidRPr="009515D2" w:rsidRDefault="008B6B1D" w:rsidP="005E6154">
            <w:pPr>
              <w:spacing w:line="276" w:lineRule="auto"/>
              <w:jc w:val="right"/>
              <w:rPr>
                <w:sz w:val="22"/>
                <w:szCs w:val="22"/>
              </w:rPr>
            </w:pPr>
          </w:p>
        </w:tc>
        <w:tc>
          <w:tcPr>
            <w:tcW w:w="1012" w:type="dxa"/>
            <w:tcBorders>
              <w:top w:val="single" w:sz="4" w:space="0" w:color="auto"/>
            </w:tcBorders>
          </w:tcPr>
          <w:p w14:paraId="06B1F0E4" w14:textId="77777777" w:rsidR="008B6B1D" w:rsidRPr="009515D2" w:rsidRDefault="008B6B1D" w:rsidP="005E6154">
            <w:pPr>
              <w:spacing w:line="276" w:lineRule="auto"/>
              <w:jc w:val="right"/>
              <w:rPr>
                <w:sz w:val="22"/>
                <w:szCs w:val="22"/>
              </w:rPr>
            </w:pPr>
          </w:p>
        </w:tc>
      </w:tr>
      <w:tr w:rsidR="008B6B1D" w:rsidRPr="009515D2" w14:paraId="127B406D" w14:textId="77777777" w:rsidTr="005E6154">
        <w:tc>
          <w:tcPr>
            <w:tcW w:w="1980" w:type="dxa"/>
            <w:tcBorders>
              <w:bottom w:val="single" w:sz="4" w:space="0" w:color="auto"/>
            </w:tcBorders>
          </w:tcPr>
          <w:p w14:paraId="1F3AE08C" w14:textId="77777777" w:rsidR="008B6B1D" w:rsidRPr="009515D2" w:rsidRDefault="008B6B1D" w:rsidP="005E6154">
            <w:pPr>
              <w:spacing w:line="276" w:lineRule="auto"/>
              <w:jc w:val="right"/>
              <w:rPr>
                <w:sz w:val="22"/>
                <w:szCs w:val="22"/>
              </w:rPr>
            </w:pPr>
          </w:p>
        </w:tc>
        <w:tc>
          <w:tcPr>
            <w:tcW w:w="536" w:type="dxa"/>
            <w:tcBorders>
              <w:bottom w:val="single" w:sz="4" w:space="0" w:color="auto"/>
            </w:tcBorders>
          </w:tcPr>
          <w:p w14:paraId="30C51155" w14:textId="77777777" w:rsidR="008B6B1D" w:rsidRPr="009515D2" w:rsidRDefault="008B6B1D" w:rsidP="005E6154">
            <w:pPr>
              <w:spacing w:line="276" w:lineRule="auto"/>
              <w:jc w:val="right"/>
              <w:rPr>
                <w:sz w:val="22"/>
                <w:szCs w:val="22"/>
              </w:rPr>
            </w:pPr>
          </w:p>
        </w:tc>
        <w:tc>
          <w:tcPr>
            <w:tcW w:w="2008" w:type="dxa"/>
            <w:gridSpan w:val="2"/>
            <w:tcBorders>
              <w:bottom w:val="single" w:sz="4" w:space="0" w:color="auto"/>
            </w:tcBorders>
          </w:tcPr>
          <w:p w14:paraId="1336C5BE" w14:textId="77777777" w:rsidR="008B6B1D" w:rsidRPr="009515D2" w:rsidRDefault="008B6B1D" w:rsidP="005E6154">
            <w:pPr>
              <w:spacing w:line="276" w:lineRule="auto"/>
              <w:jc w:val="right"/>
              <w:rPr>
                <w:b/>
                <w:bCs/>
                <w:sz w:val="22"/>
                <w:szCs w:val="22"/>
                <w:vertAlign w:val="subscript"/>
              </w:rPr>
            </w:pPr>
            <w:r w:rsidRPr="009515D2">
              <w:rPr>
                <w:b/>
                <w:bCs/>
                <w:sz w:val="22"/>
                <w:szCs w:val="22"/>
              </w:rPr>
              <w:t>Nodule biomass: root biomass</w:t>
            </w:r>
          </w:p>
        </w:tc>
        <w:tc>
          <w:tcPr>
            <w:tcW w:w="2009" w:type="dxa"/>
            <w:gridSpan w:val="2"/>
            <w:tcBorders>
              <w:bottom w:val="single" w:sz="4" w:space="0" w:color="auto"/>
            </w:tcBorders>
          </w:tcPr>
          <w:p w14:paraId="374CD806" w14:textId="77777777" w:rsidR="008B6B1D" w:rsidRPr="009515D2" w:rsidRDefault="008B6B1D" w:rsidP="005E6154">
            <w:pPr>
              <w:spacing w:line="276" w:lineRule="auto"/>
              <w:jc w:val="right"/>
              <w:rPr>
                <w:b/>
                <w:bCs/>
                <w:sz w:val="22"/>
                <w:szCs w:val="22"/>
              </w:rPr>
            </w:pPr>
            <w:r w:rsidRPr="009515D2">
              <w:rPr>
                <w:b/>
                <w:bCs/>
                <w:sz w:val="22"/>
                <w:szCs w:val="22"/>
              </w:rPr>
              <w:t xml:space="preserve">Nodule </w:t>
            </w:r>
          </w:p>
          <w:p w14:paraId="1A083B65" w14:textId="77777777" w:rsidR="008B6B1D" w:rsidRPr="009515D2" w:rsidRDefault="008B6B1D" w:rsidP="005E6154">
            <w:pPr>
              <w:spacing w:line="276" w:lineRule="auto"/>
              <w:jc w:val="right"/>
              <w:rPr>
                <w:b/>
                <w:bCs/>
                <w:sz w:val="22"/>
                <w:szCs w:val="22"/>
              </w:rPr>
            </w:pPr>
            <w:r w:rsidRPr="009515D2">
              <w:rPr>
                <w:b/>
                <w:bCs/>
                <w:sz w:val="22"/>
                <w:szCs w:val="22"/>
              </w:rPr>
              <w:t>biomass</w:t>
            </w:r>
          </w:p>
        </w:tc>
        <w:tc>
          <w:tcPr>
            <w:tcW w:w="2009" w:type="dxa"/>
            <w:gridSpan w:val="2"/>
            <w:tcBorders>
              <w:bottom w:val="single" w:sz="4" w:space="0" w:color="auto"/>
            </w:tcBorders>
          </w:tcPr>
          <w:p w14:paraId="48DB43AB" w14:textId="77777777" w:rsidR="008B6B1D" w:rsidRPr="009515D2" w:rsidRDefault="008B6B1D" w:rsidP="005E6154">
            <w:pPr>
              <w:spacing w:line="276" w:lineRule="auto"/>
              <w:jc w:val="right"/>
              <w:rPr>
                <w:b/>
                <w:bCs/>
                <w:sz w:val="22"/>
                <w:szCs w:val="22"/>
              </w:rPr>
            </w:pPr>
            <w:r w:rsidRPr="009515D2">
              <w:rPr>
                <w:b/>
                <w:bCs/>
                <w:sz w:val="22"/>
                <w:szCs w:val="22"/>
              </w:rPr>
              <w:t xml:space="preserve">Root </w:t>
            </w:r>
          </w:p>
          <w:p w14:paraId="1EBFD6E2" w14:textId="77777777" w:rsidR="008B6B1D" w:rsidRPr="009515D2" w:rsidRDefault="008B6B1D" w:rsidP="005E6154">
            <w:pPr>
              <w:spacing w:line="276" w:lineRule="auto"/>
              <w:jc w:val="right"/>
              <w:rPr>
                <w:b/>
                <w:bCs/>
                <w:sz w:val="22"/>
                <w:szCs w:val="22"/>
              </w:rPr>
            </w:pPr>
            <w:r w:rsidRPr="009515D2">
              <w:rPr>
                <w:b/>
                <w:bCs/>
                <w:sz w:val="22"/>
                <w:szCs w:val="22"/>
              </w:rPr>
              <w:t>biomass</w:t>
            </w:r>
          </w:p>
        </w:tc>
        <w:tc>
          <w:tcPr>
            <w:tcW w:w="2009" w:type="dxa"/>
            <w:gridSpan w:val="2"/>
          </w:tcPr>
          <w:p w14:paraId="40A354D3" w14:textId="77777777" w:rsidR="008B6B1D" w:rsidRPr="009515D2" w:rsidRDefault="008B6B1D" w:rsidP="005E6154">
            <w:pPr>
              <w:spacing w:line="276" w:lineRule="auto"/>
              <w:jc w:val="right"/>
              <w:rPr>
                <w:b/>
                <w:bCs/>
                <w:sz w:val="22"/>
                <w:szCs w:val="22"/>
              </w:rPr>
            </w:pPr>
          </w:p>
        </w:tc>
        <w:tc>
          <w:tcPr>
            <w:tcW w:w="2008" w:type="dxa"/>
            <w:gridSpan w:val="2"/>
          </w:tcPr>
          <w:p w14:paraId="54F9E962" w14:textId="77777777" w:rsidR="008B6B1D" w:rsidRPr="009515D2" w:rsidRDefault="008B6B1D" w:rsidP="005E6154">
            <w:pPr>
              <w:spacing w:line="276" w:lineRule="auto"/>
              <w:jc w:val="right"/>
              <w:rPr>
                <w:b/>
                <w:bCs/>
                <w:sz w:val="22"/>
                <w:szCs w:val="22"/>
              </w:rPr>
            </w:pPr>
          </w:p>
        </w:tc>
      </w:tr>
      <w:tr w:rsidR="008B6B1D" w:rsidRPr="009515D2" w14:paraId="62FDBC23" w14:textId="77777777" w:rsidTr="005E6154">
        <w:tc>
          <w:tcPr>
            <w:tcW w:w="1980" w:type="dxa"/>
            <w:tcBorders>
              <w:top w:val="single" w:sz="4" w:space="0" w:color="auto"/>
              <w:bottom w:val="single" w:sz="4" w:space="0" w:color="auto"/>
            </w:tcBorders>
          </w:tcPr>
          <w:p w14:paraId="1D6357B0" w14:textId="77777777" w:rsidR="008B6B1D" w:rsidRPr="009515D2" w:rsidRDefault="008B6B1D" w:rsidP="005E6154">
            <w:pPr>
              <w:spacing w:line="276" w:lineRule="auto"/>
              <w:jc w:val="right"/>
              <w:rPr>
                <w:sz w:val="22"/>
                <w:szCs w:val="22"/>
              </w:rPr>
            </w:pPr>
          </w:p>
        </w:tc>
        <w:tc>
          <w:tcPr>
            <w:tcW w:w="536" w:type="dxa"/>
            <w:tcBorders>
              <w:top w:val="single" w:sz="4" w:space="0" w:color="auto"/>
              <w:bottom w:val="single" w:sz="4" w:space="0" w:color="auto"/>
            </w:tcBorders>
          </w:tcPr>
          <w:p w14:paraId="0727B65C" w14:textId="77777777" w:rsidR="008B6B1D" w:rsidRPr="009515D2" w:rsidRDefault="008B6B1D" w:rsidP="005E6154">
            <w:pPr>
              <w:spacing w:line="276" w:lineRule="auto"/>
              <w:jc w:val="right"/>
              <w:rPr>
                <w:sz w:val="22"/>
                <w:szCs w:val="22"/>
              </w:rPr>
            </w:pPr>
            <w:r w:rsidRPr="009515D2">
              <w:rPr>
                <w:sz w:val="22"/>
                <w:szCs w:val="22"/>
              </w:rPr>
              <w:t>df</w:t>
            </w:r>
          </w:p>
        </w:tc>
        <w:tc>
          <w:tcPr>
            <w:tcW w:w="996" w:type="dxa"/>
            <w:tcBorders>
              <w:top w:val="single" w:sz="4" w:space="0" w:color="auto"/>
              <w:bottom w:val="single" w:sz="4" w:space="0" w:color="auto"/>
            </w:tcBorders>
          </w:tcPr>
          <w:p w14:paraId="198B9C79" w14:textId="77777777" w:rsidR="008B6B1D" w:rsidRPr="009515D2" w:rsidRDefault="008B6B1D" w:rsidP="005E6154">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1BFE9883" w14:textId="77777777" w:rsidR="008B6B1D" w:rsidRPr="009515D2" w:rsidRDefault="008B6B1D" w:rsidP="005E6154">
            <w:pPr>
              <w:spacing w:line="276" w:lineRule="auto"/>
              <w:jc w:val="right"/>
              <w:rPr>
                <w:b/>
                <w:bCs/>
                <w:sz w:val="22"/>
                <w:szCs w:val="22"/>
              </w:rPr>
            </w:pPr>
            <w:r w:rsidRPr="009515D2">
              <w:rPr>
                <w:i/>
                <w:iCs/>
                <w:sz w:val="22"/>
                <w:szCs w:val="22"/>
              </w:rPr>
              <w:t>p</w:t>
            </w:r>
          </w:p>
        </w:tc>
        <w:tc>
          <w:tcPr>
            <w:tcW w:w="996" w:type="dxa"/>
            <w:tcBorders>
              <w:top w:val="single" w:sz="4" w:space="0" w:color="auto"/>
              <w:bottom w:val="single" w:sz="4" w:space="0" w:color="auto"/>
            </w:tcBorders>
          </w:tcPr>
          <w:p w14:paraId="112DA92B" w14:textId="77777777" w:rsidR="008B6B1D" w:rsidRPr="009515D2" w:rsidRDefault="008B6B1D" w:rsidP="005E6154">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1FBF865A" w14:textId="77777777" w:rsidR="008B6B1D" w:rsidRPr="009515D2" w:rsidRDefault="008B6B1D" w:rsidP="005E6154">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1191F939" w14:textId="77777777" w:rsidR="008B6B1D" w:rsidRPr="009515D2" w:rsidRDefault="008B6B1D" w:rsidP="005E6154">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2812C0F9" w14:textId="77777777" w:rsidR="008B6B1D" w:rsidRPr="009515D2" w:rsidRDefault="008B6B1D" w:rsidP="005E6154">
            <w:pPr>
              <w:spacing w:line="276" w:lineRule="auto"/>
              <w:jc w:val="right"/>
              <w:rPr>
                <w:b/>
                <w:bCs/>
                <w:sz w:val="22"/>
                <w:szCs w:val="22"/>
              </w:rPr>
            </w:pPr>
            <w:r w:rsidRPr="009515D2">
              <w:rPr>
                <w:i/>
                <w:iCs/>
                <w:sz w:val="22"/>
                <w:szCs w:val="22"/>
              </w:rPr>
              <w:t>p</w:t>
            </w:r>
          </w:p>
        </w:tc>
        <w:tc>
          <w:tcPr>
            <w:tcW w:w="996" w:type="dxa"/>
          </w:tcPr>
          <w:p w14:paraId="7281CBF3" w14:textId="77777777" w:rsidR="008B6B1D" w:rsidRPr="009515D2" w:rsidRDefault="008B6B1D" w:rsidP="005E6154">
            <w:pPr>
              <w:spacing w:line="276" w:lineRule="auto"/>
              <w:jc w:val="right"/>
              <w:rPr>
                <w:sz w:val="22"/>
                <w:szCs w:val="22"/>
              </w:rPr>
            </w:pPr>
          </w:p>
        </w:tc>
        <w:tc>
          <w:tcPr>
            <w:tcW w:w="1013" w:type="dxa"/>
          </w:tcPr>
          <w:p w14:paraId="787A0BA8" w14:textId="77777777" w:rsidR="008B6B1D" w:rsidRPr="009515D2" w:rsidRDefault="008B6B1D" w:rsidP="005E6154">
            <w:pPr>
              <w:spacing w:line="276" w:lineRule="auto"/>
              <w:jc w:val="right"/>
              <w:rPr>
                <w:b/>
                <w:bCs/>
                <w:sz w:val="22"/>
                <w:szCs w:val="22"/>
              </w:rPr>
            </w:pPr>
          </w:p>
        </w:tc>
        <w:tc>
          <w:tcPr>
            <w:tcW w:w="996" w:type="dxa"/>
          </w:tcPr>
          <w:p w14:paraId="7D1E18E6" w14:textId="77777777" w:rsidR="008B6B1D" w:rsidRPr="009515D2" w:rsidRDefault="008B6B1D" w:rsidP="005E6154">
            <w:pPr>
              <w:spacing w:line="276" w:lineRule="auto"/>
              <w:jc w:val="right"/>
              <w:rPr>
                <w:sz w:val="22"/>
                <w:szCs w:val="22"/>
              </w:rPr>
            </w:pPr>
          </w:p>
        </w:tc>
        <w:tc>
          <w:tcPr>
            <w:tcW w:w="1012" w:type="dxa"/>
          </w:tcPr>
          <w:p w14:paraId="06AE2CEA" w14:textId="77777777" w:rsidR="008B6B1D" w:rsidRPr="009515D2" w:rsidRDefault="008B6B1D" w:rsidP="005E6154">
            <w:pPr>
              <w:spacing w:line="276" w:lineRule="auto"/>
              <w:jc w:val="right"/>
              <w:rPr>
                <w:sz w:val="22"/>
                <w:szCs w:val="22"/>
              </w:rPr>
            </w:pPr>
          </w:p>
        </w:tc>
      </w:tr>
      <w:tr w:rsidR="008B6B1D" w:rsidRPr="009515D2" w14:paraId="4ABF7179" w14:textId="77777777" w:rsidTr="005E6154">
        <w:tc>
          <w:tcPr>
            <w:tcW w:w="1980" w:type="dxa"/>
            <w:tcBorders>
              <w:top w:val="single" w:sz="4" w:space="0" w:color="auto"/>
            </w:tcBorders>
          </w:tcPr>
          <w:p w14:paraId="3B276E38" w14:textId="77777777" w:rsidR="008B6B1D" w:rsidRPr="009515D2" w:rsidRDefault="008B6B1D" w:rsidP="005E6154">
            <w:pPr>
              <w:spacing w:line="276" w:lineRule="auto"/>
              <w:jc w:val="right"/>
              <w:rPr>
                <w:sz w:val="22"/>
                <w:szCs w:val="22"/>
              </w:rPr>
            </w:pPr>
            <w:r w:rsidRPr="009515D2">
              <w:rPr>
                <w:sz w:val="22"/>
                <w:szCs w:val="22"/>
              </w:rPr>
              <w:t>N fertilization (N)</w:t>
            </w:r>
          </w:p>
        </w:tc>
        <w:tc>
          <w:tcPr>
            <w:tcW w:w="536" w:type="dxa"/>
            <w:tcBorders>
              <w:top w:val="single" w:sz="4" w:space="0" w:color="auto"/>
            </w:tcBorders>
          </w:tcPr>
          <w:p w14:paraId="72BC3C92" w14:textId="77777777" w:rsidR="008B6B1D" w:rsidRPr="009515D2" w:rsidRDefault="008B6B1D" w:rsidP="005E6154">
            <w:pPr>
              <w:spacing w:line="276" w:lineRule="auto"/>
              <w:jc w:val="right"/>
              <w:rPr>
                <w:sz w:val="22"/>
                <w:szCs w:val="22"/>
              </w:rPr>
            </w:pPr>
            <w:r w:rsidRPr="009515D2">
              <w:rPr>
                <w:sz w:val="22"/>
                <w:szCs w:val="22"/>
              </w:rPr>
              <w:t>1</w:t>
            </w:r>
          </w:p>
        </w:tc>
        <w:tc>
          <w:tcPr>
            <w:tcW w:w="996" w:type="dxa"/>
            <w:tcBorders>
              <w:top w:val="single" w:sz="4" w:space="0" w:color="auto"/>
            </w:tcBorders>
          </w:tcPr>
          <w:p w14:paraId="3A6CB243" w14:textId="77777777" w:rsidR="008B6B1D" w:rsidRPr="009515D2" w:rsidRDefault="008B6B1D" w:rsidP="005E6154">
            <w:pPr>
              <w:spacing w:line="276" w:lineRule="auto"/>
              <w:jc w:val="right"/>
              <w:rPr>
                <w:sz w:val="22"/>
                <w:szCs w:val="22"/>
              </w:rPr>
            </w:pPr>
            <w:r w:rsidRPr="009515D2">
              <w:rPr>
                <w:sz w:val="22"/>
                <w:szCs w:val="22"/>
              </w:rPr>
              <w:t>0.99</w:t>
            </w:r>
          </w:p>
        </w:tc>
        <w:tc>
          <w:tcPr>
            <w:tcW w:w="1012" w:type="dxa"/>
            <w:tcBorders>
              <w:top w:val="single" w:sz="4" w:space="0" w:color="auto"/>
            </w:tcBorders>
          </w:tcPr>
          <w:p w14:paraId="76FF8CAD" w14:textId="77777777" w:rsidR="008B6B1D" w:rsidRPr="009515D2" w:rsidRDefault="008B6B1D" w:rsidP="005E6154">
            <w:pPr>
              <w:spacing w:line="276" w:lineRule="auto"/>
              <w:jc w:val="right"/>
              <w:rPr>
                <w:sz w:val="22"/>
                <w:szCs w:val="22"/>
              </w:rPr>
            </w:pPr>
            <w:r w:rsidRPr="009515D2">
              <w:rPr>
                <w:sz w:val="22"/>
                <w:szCs w:val="22"/>
              </w:rPr>
              <w:t>0.320</w:t>
            </w:r>
          </w:p>
        </w:tc>
        <w:tc>
          <w:tcPr>
            <w:tcW w:w="996" w:type="dxa"/>
            <w:tcBorders>
              <w:top w:val="single" w:sz="4" w:space="0" w:color="auto"/>
            </w:tcBorders>
          </w:tcPr>
          <w:p w14:paraId="44C4CEF8" w14:textId="77777777" w:rsidR="008B6B1D" w:rsidRPr="009515D2" w:rsidRDefault="008B6B1D" w:rsidP="005E6154">
            <w:pPr>
              <w:spacing w:line="276" w:lineRule="auto"/>
              <w:jc w:val="right"/>
              <w:rPr>
                <w:sz w:val="22"/>
                <w:szCs w:val="22"/>
              </w:rPr>
            </w:pPr>
            <w:r w:rsidRPr="009515D2">
              <w:rPr>
                <w:sz w:val="22"/>
                <w:szCs w:val="22"/>
              </w:rPr>
              <w:t>1.36</w:t>
            </w:r>
          </w:p>
        </w:tc>
        <w:tc>
          <w:tcPr>
            <w:tcW w:w="1013" w:type="dxa"/>
            <w:tcBorders>
              <w:top w:val="single" w:sz="4" w:space="0" w:color="auto"/>
            </w:tcBorders>
          </w:tcPr>
          <w:p w14:paraId="4D44DF54" w14:textId="77777777" w:rsidR="008B6B1D" w:rsidRPr="009515D2" w:rsidRDefault="008B6B1D" w:rsidP="005E6154">
            <w:pPr>
              <w:spacing w:line="276" w:lineRule="auto"/>
              <w:jc w:val="right"/>
              <w:rPr>
                <w:sz w:val="22"/>
                <w:szCs w:val="22"/>
              </w:rPr>
            </w:pPr>
            <w:r w:rsidRPr="009515D2">
              <w:rPr>
                <w:sz w:val="22"/>
                <w:szCs w:val="22"/>
              </w:rPr>
              <w:t>0.243</w:t>
            </w:r>
          </w:p>
        </w:tc>
        <w:tc>
          <w:tcPr>
            <w:tcW w:w="996" w:type="dxa"/>
            <w:tcBorders>
              <w:top w:val="single" w:sz="4" w:space="0" w:color="auto"/>
            </w:tcBorders>
          </w:tcPr>
          <w:p w14:paraId="66386E2F" w14:textId="77777777" w:rsidR="008B6B1D" w:rsidRPr="009515D2" w:rsidRDefault="008B6B1D" w:rsidP="005E6154">
            <w:pPr>
              <w:spacing w:line="276" w:lineRule="auto"/>
              <w:jc w:val="right"/>
              <w:rPr>
                <w:sz w:val="22"/>
                <w:szCs w:val="22"/>
              </w:rPr>
            </w:pPr>
            <w:r w:rsidRPr="009515D2">
              <w:rPr>
                <w:sz w:val="22"/>
                <w:szCs w:val="22"/>
              </w:rPr>
              <w:t>0.01</w:t>
            </w:r>
          </w:p>
        </w:tc>
        <w:tc>
          <w:tcPr>
            <w:tcW w:w="1013" w:type="dxa"/>
            <w:tcBorders>
              <w:top w:val="single" w:sz="4" w:space="0" w:color="auto"/>
            </w:tcBorders>
          </w:tcPr>
          <w:p w14:paraId="1DE7E4A8" w14:textId="77777777" w:rsidR="008B6B1D" w:rsidRPr="009515D2" w:rsidRDefault="008B6B1D" w:rsidP="005E6154">
            <w:pPr>
              <w:spacing w:line="276" w:lineRule="auto"/>
              <w:jc w:val="right"/>
              <w:rPr>
                <w:sz w:val="22"/>
                <w:szCs w:val="22"/>
              </w:rPr>
            </w:pPr>
            <w:r w:rsidRPr="009515D2">
              <w:rPr>
                <w:sz w:val="22"/>
                <w:szCs w:val="22"/>
              </w:rPr>
              <w:t>0.918</w:t>
            </w:r>
          </w:p>
        </w:tc>
        <w:tc>
          <w:tcPr>
            <w:tcW w:w="996" w:type="dxa"/>
          </w:tcPr>
          <w:p w14:paraId="643BC3DE" w14:textId="77777777" w:rsidR="008B6B1D" w:rsidRPr="009515D2" w:rsidRDefault="008B6B1D" w:rsidP="005E6154">
            <w:pPr>
              <w:spacing w:line="276" w:lineRule="auto"/>
              <w:jc w:val="right"/>
              <w:rPr>
                <w:sz w:val="22"/>
                <w:szCs w:val="22"/>
              </w:rPr>
            </w:pPr>
          </w:p>
        </w:tc>
        <w:tc>
          <w:tcPr>
            <w:tcW w:w="1013" w:type="dxa"/>
          </w:tcPr>
          <w:p w14:paraId="63D5F662" w14:textId="77777777" w:rsidR="008B6B1D" w:rsidRPr="009515D2" w:rsidRDefault="008B6B1D" w:rsidP="005E6154">
            <w:pPr>
              <w:spacing w:line="276" w:lineRule="auto"/>
              <w:jc w:val="right"/>
              <w:rPr>
                <w:b/>
                <w:bCs/>
                <w:sz w:val="22"/>
                <w:szCs w:val="22"/>
              </w:rPr>
            </w:pPr>
          </w:p>
        </w:tc>
        <w:tc>
          <w:tcPr>
            <w:tcW w:w="996" w:type="dxa"/>
          </w:tcPr>
          <w:p w14:paraId="225A0C88" w14:textId="77777777" w:rsidR="008B6B1D" w:rsidRPr="009515D2" w:rsidRDefault="008B6B1D" w:rsidP="005E6154">
            <w:pPr>
              <w:spacing w:line="276" w:lineRule="auto"/>
              <w:jc w:val="right"/>
              <w:rPr>
                <w:sz w:val="22"/>
                <w:szCs w:val="22"/>
              </w:rPr>
            </w:pPr>
          </w:p>
        </w:tc>
        <w:tc>
          <w:tcPr>
            <w:tcW w:w="1012" w:type="dxa"/>
          </w:tcPr>
          <w:p w14:paraId="739F8BB4" w14:textId="77777777" w:rsidR="008B6B1D" w:rsidRPr="009515D2" w:rsidRDefault="008B6B1D" w:rsidP="005E6154">
            <w:pPr>
              <w:spacing w:line="276" w:lineRule="auto"/>
              <w:jc w:val="right"/>
              <w:rPr>
                <w:sz w:val="22"/>
                <w:szCs w:val="22"/>
              </w:rPr>
            </w:pPr>
          </w:p>
        </w:tc>
      </w:tr>
      <w:tr w:rsidR="008B6B1D" w:rsidRPr="009515D2" w14:paraId="7C7241A4" w14:textId="77777777" w:rsidTr="005E6154">
        <w:tc>
          <w:tcPr>
            <w:tcW w:w="1980" w:type="dxa"/>
          </w:tcPr>
          <w:p w14:paraId="2D711D2E" w14:textId="77777777" w:rsidR="008B6B1D" w:rsidRPr="009515D2" w:rsidRDefault="008B6B1D" w:rsidP="005E6154">
            <w:pPr>
              <w:spacing w:line="276" w:lineRule="auto"/>
              <w:jc w:val="right"/>
              <w:rPr>
                <w:sz w:val="22"/>
                <w:szCs w:val="22"/>
              </w:rPr>
            </w:pPr>
            <w:r w:rsidRPr="009515D2">
              <w:rPr>
                <w:sz w:val="22"/>
                <w:szCs w:val="22"/>
              </w:rPr>
              <w:t>Inoculation (I)</w:t>
            </w:r>
          </w:p>
        </w:tc>
        <w:tc>
          <w:tcPr>
            <w:tcW w:w="536" w:type="dxa"/>
          </w:tcPr>
          <w:p w14:paraId="6779289A" w14:textId="77777777" w:rsidR="008B6B1D" w:rsidRPr="009515D2" w:rsidRDefault="008B6B1D" w:rsidP="005E6154">
            <w:pPr>
              <w:spacing w:line="276" w:lineRule="auto"/>
              <w:jc w:val="right"/>
              <w:rPr>
                <w:sz w:val="22"/>
                <w:szCs w:val="22"/>
              </w:rPr>
            </w:pPr>
            <w:r w:rsidRPr="009515D2">
              <w:rPr>
                <w:sz w:val="22"/>
                <w:szCs w:val="22"/>
              </w:rPr>
              <w:t>1</w:t>
            </w:r>
          </w:p>
        </w:tc>
        <w:tc>
          <w:tcPr>
            <w:tcW w:w="996" w:type="dxa"/>
          </w:tcPr>
          <w:p w14:paraId="2E17934F" w14:textId="77777777" w:rsidR="008B6B1D" w:rsidRPr="009515D2" w:rsidRDefault="008B6B1D" w:rsidP="005E6154">
            <w:pPr>
              <w:spacing w:line="276" w:lineRule="auto"/>
              <w:jc w:val="right"/>
              <w:rPr>
                <w:sz w:val="22"/>
                <w:szCs w:val="22"/>
              </w:rPr>
            </w:pPr>
            <w:r w:rsidRPr="009515D2">
              <w:rPr>
                <w:sz w:val="22"/>
                <w:szCs w:val="22"/>
              </w:rPr>
              <w:t>31.13</w:t>
            </w:r>
          </w:p>
        </w:tc>
        <w:tc>
          <w:tcPr>
            <w:tcW w:w="1012" w:type="dxa"/>
          </w:tcPr>
          <w:p w14:paraId="597AFEBC"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Pr>
          <w:p w14:paraId="5E8B659C" w14:textId="77777777" w:rsidR="008B6B1D" w:rsidRPr="009515D2" w:rsidRDefault="008B6B1D" w:rsidP="005E6154">
            <w:pPr>
              <w:spacing w:line="276" w:lineRule="auto"/>
              <w:jc w:val="right"/>
              <w:rPr>
                <w:sz w:val="22"/>
                <w:szCs w:val="22"/>
              </w:rPr>
            </w:pPr>
            <w:r w:rsidRPr="009515D2">
              <w:rPr>
                <w:sz w:val="22"/>
                <w:szCs w:val="22"/>
              </w:rPr>
              <w:t>30.79</w:t>
            </w:r>
          </w:p>
        </w:tc>
        <w:tc>
          <w:tcPr>
            <w:tcW w:w="1013" w:type="dxa"/>
          </w:tcPr>
          <w:p w14:paraId="24C6006B" w14:textId="77777777" w:rsidR="008B6B1D" w:rsidRPr="009515D2" w:rsidRDefault="008B6B1D" w:rsidP="005E6154">
            <w:pPr>
              <w:spacing w:line="276" w:lineRule="auto"/>
              <w:jc w:val="right"/>
              <w:rPr>
                <w:b/>
                <w:bCs/>
                <w:sz w:val="22"/>
                <w:szCs w:val="22"/>
              </w:rPr>
            </w:pPr>
            <w:r w:rsidRPr="009515D2">
              <w:rPr>
                <w:b/>
                <w:bCs/>
                <w:sz w:val="22"/>
                <w:szCs w:val="22"/>
              </w:rPr>
              <w:t>&lt;0.001</w:t>
            </w:r>
          </w:p>
        </w:tc>
        <w:tc>
          <w:tcPr>
            <w:tcW w:w="996" w:type="dxa"/>
          </w:tcPr>
          <w:p w14:paraId="5B0ACE2E" w14:textId="77777777" w:rsidR="008B6B1D" w:rsidRPr="009515D2" w:rsidRDefault="008B6B1D" w:rsidP="005E6154">
            <w:pPr>
              <w:spacing w:line="276" w:lineRule="auto"/>
              <w:jc w:val="right"/>
              <w:rPr>
                <w:sz w:val="22"/>
                <w:szCs w:val="22"/>
              </w:rPr>
            </w:pPr>
            <w:r w:rsidRPr="009515D2">
              <w:rPr>
                <w:sz w:val="22"/>
                <w:szCs w:val="22"/>
              </w:rPr>
              <w:t>3.27</w:t>
            </w:r>
          </w:p>
        </w:tc>
        <w:tc>
          <w:tcPr>
            <w:tcW w:w="1013" w:type="dxa"/>
          </w:tcPr>
          <w:p w14:paraId="48949539" w14:textId="77777777" w:rsidR="008B6B1D" w:rsidRPr="009515D2" w:rsidRDefault="008B6B1D" w:rsidP="005E6154">
            <w:pPr>
              <w:spacing w:line="276" w:lineRule="auto"/>
              <w:jc w:val="right"/>
              <w:rPr>
                <w:i/>
                <w:iCs/>
                <w:sz w:val="22"/>
                <w:szCs w:val="22"/>
              </w:rPr>
            </w:pPr>
            <w:r w:rsidRPr="009515D2">
              <w:rPr>
                <w:i/>
                <w:iCs/>
                <w:sz w:val="22"/>
                <w:szCs w:val="22"/>
              </w:rPr>
              <w:t>0.071</w:t>
            </w:r>
          </w:p>
        </w:tc>
        <w:tc>
          <w:tcPr>
            <w:tcW w:w="996" w:type="dxa"/>
          </w:tcPr>
          <w:p w14:paraId="072D95BC" w14:textId="77777777" w:rsidR="008B6B1D" w:rsidRPr="009515D2" w:rsidRDefault="008B6B1D" w:rsidP="005E6154">
            <w:pPr>
              <w:spacing w:line="276" w:lineRule="auto"/>
              <w:jc w:val="right"/>
              <w:rPr>
                <w:sz w:val="22"/>
                <w:szCs w:val="22"/>
              </w:rPr>
            </w:pPr>
          </w:p>
        </w:tc>
        <w:tc>
          <w:tcPr>
            <w:tcW w:w="1013" w:type="dxa"/>
          </w:tcPr>
          <w:p w14:paraId="7AD60198" w14:textId="77777777" w:rsidR="008B6B1D" w:rsidRPr="009515D2" w:rsidRDefault="008B6B1D" w:rsidP="005E6154">
            <w:pPr>
              <w:spacing w:line="276" w:lineRule="auto"/>
              <w:jc w:val="right"/>
              <w:rPr>
                <w:b/>
                <w:bCs/>
                <w:sz w:val="22"/>
                <w:szCs w:val="22"/>
              </w:rPr>
            </w:pPr>
          </w:p>
        </w:tc>
        <w:tc>
          <w:tcPr>
            <w:tcW w:w="996" w:type="dxa"/>
          </w:tcPr>
          <w:p w14:paraId="7F081C2D" w14:textId="77777777" w:rsidR="008B6B1D" w:rsidRPr="009515D2" w:rsidRDefault="008B6B1D" w:rsidP="005E6154">
            <w:pPr>
              <w:spacing w:line="276" w:lineRule="auto"/>
              <w:jc w:val="right"/>
              <w:rPr>
                <w:sz w:val="22"/>
                <w:szCs w:val="22"/>
              </w:rPr>
            </w:pPr>
          </w:p>
        </w:tc>
        <w:tc>
          <w:tcPr>
            <w:tcW w:w="1012" w:type="dxa"/>
          </w:tcPr>
          <w:p w14:paraId="752DE334" w14:textId="77777777" w:rsidR="008B6B1D" w:rsidRPr="009515D2" w:rsidRDefault="008B6B1D" w:rsidP="005E6154">
            <w:pPr>
              <w:spacing w:line="276" w:lineRule="auto"/>
              <w:jc w:val="right"/>
              <w:rPr>
                <w:sz w:val="22"/>
                <w:szCs w:val="22"/>
              </w:rPr>
            </w:pPr>
          </w:p>
        </w:tc>
      </w:tr>
      <w:tr w:rsidR="008B6B1D" w:rsidRPr="009515D2" w14:paraId="453E0AC4" w14:textId="77777777" w:rsidTr="005E6154">
        <w:tc>
          <w:tcPr>
            <w:tcW w:w="1980" w:type="dxa"/>
            <w:tcBorders>
              <w:bottom w:val="single" w:sz="4" w:space="0" w:color="auto"/>
            </w:tcBorders>
          </w:tcPr>
          <w:p w14:paraId="464D253E" w14:textId="77777777" w:rsidR="008B6B1D" w:rsidRPr="009515D2" w:rsidRDefault="008B6B1D" w:rsidP="005E6154">
            <w:pPr>
              <w:spacing w:line="276" w:lineRule="auto"/>
              <w:jc w:val="right"/>
              <w:rPr>
                <w:sz w:val="22"/>
                <w:szCs w:val="22"/>
              </w:rPr>
            </w:pPr>
            <w:r w:rsidRPr="009515D2">
              <w:rPr>
                <w:sz w:val="22"/>
                <w:szCs w:val="22"/>
              </w:rPr>
              <w:t>N*I</w:t>
            </w:r>
          </w:p>
        </w:tc>
        <w:tc>
          <w:tcPr>
            <w:tcW w:w="536" w:type="dxa"/>
            <w:tcBorders>
              <w:bottom w:val="single" w:sz="4" w:space="0" w:color="auto"/>
            </w:tcBorders>
          </w:tcPr>
          <w:p w14:paraId="189A8E52" w14:textId="77777777" w:rsidR="008B6B1D" w:rsidRPr="009515D2" w:rsidRDefault="008B6B1D" w:rsidP="005E6154">
            <w:pPr>
              <w:spacing w:line="276" w:lineRule="auto"/>
              <w:jc w:val="right"/>
              <w:rPr>
                <w:sz w:val="22"/>
                <w:szCs w:val="22"/>
              </w:rPr>
            </w:pPr>
            <w:r w:rsidRPr="009515D2">
              <w:rPr>
                <w:sz w:val="22"/>
                <w:szCs w:val="22"/>
              </w:rPr>
              <w:t>1</w:t>
            </w:r>
          </w:p>
        </w:tc>
        <w:tc>
          <w:tcPr>
            <w:tcW w:w="996" w:type="dxa"/>
            <w:tcBorders>
              <w:bottom w:val="single" w:sz="4" w:space="0" w:color="auto"/>
            </w:tcBorders>
          </w:tcPr>
          <w:p w14:paraId="7C52AE9C" w14:textId="77777777" w:rsidR="008B6B1D" w:rsidRPr="009515D2" w:rsidRDefault="008B6B1D" w:rsidP="005E6154">
            <w:pPr>
              <w:spacing w:line="276" w:lineRule="auto"/>
              <w:jc w:val="right"/>
              <w:rPr>
                <w:sz w:val="22"/>
                <w:szCs w:val="22"/>
              </w:rPr>
            </w:pPr>
            <w:r w:rsidRPr="009515D2">
              <w:rPr>
                <w:sz w:val="22"/>
                <w:szCs w:val="22"/>
              </w:rPr>
              <w:t>0.76</w:t>
            </w:r>
          </w:p>
        </w:tc>
        <w:tc>
          <w:tcPr>
            <w:tcW w:w="1012" w:type="dxa"/>
            <w:tcBorders>
              <w:bottom w:val="single" w:sz="4" w:space="0" w:color="auto"/>
            </w:tcBorders>
          </w:tcPr>
          <w:p w14:paraId="0B019A2D" w14:textId="77777777" w:rsidR="008B6B1D" w:rsidRPr="009515D2" w:rsidRDefault="008B6B1D" w:rsidP="005E6154">
            <w:pPr>
              <w:spacing w:line="276" w:lineRule="auto"/>
              <w:jc w:val="right"/>
              <w:rPr>
                <w:sz w:val="22"/>
                <w:szCs w:val="22"/>
              </w:rPr>
            </w:pPr>
            <w:r w:rsidRPr="009515D2">
              <w:rPr>
                <w:sz w:val="22"/>
                <w:szCs w:val="22"/>
              </w:rPr>
              <w:t>0.383</w:t>
            </w:r>
          </w:p>
        </w:tc>
        <w:tc>
          <w:tcPr>
            <w:tcW w:w="996" w:type="dxa"/>
            <w:tcBorders>
              <w:bottom w:val="single" w:sz="4" w:space="0" w:color="auto"/>
            </w:tcBorders>
          </w:tcPr>
          <w:p w14:paraId="57845B6E" w14:textId="77777777" w:rsidR="008B6B1D" w:rsidRPr="009515D2" w:rsidRDefault="008B6B1D" w:rsidP="005E6154">
            <w:pPr>
              <w:spacing w:line="276" w:lineRule="auto"/>
              <w:jc w:val="right"/>
              <w:rPr>
                <w:sz w:val="22"/>
                <w:szCs w:val="22"/>
              </w:rPr>
            </w:pPr>
            <w:r w:rsidRPr="009515D2">
              <w:rPr>
                <w:sz w:val="22"/>
                <w:szCs w:val="22"/>
              </w:rPr>
              <w:t>1.01</w:t>
            </w:r>
          </w:p>
        </w:tc>
        <w:tc>
          <w:tcPr>
            <w:tcW w:w="1013" w:type="dxa"/>
            <w:tcBorders>
              <w:bottom w:val="single" w:sz="4" w:space="0" w:color="auto"/>
            </w:tcBorders>
          </w:tcPr>
          <w:p w14:paraId="0BB475D0" w14:textId="77777777" w:rsidR="008B6B1D" w:rsidRPr="009515D2" w:rsidRDefault="008B6B1D" w:rsidP="005E6154">
            <w:pPr>
              <w:spacing w:line="276" w:lineRule="auto"/>
              <w:jc w:val="right"/>
              <w:rPr>
                <w:sz w:val="22"/>
                <w:szCs w:val="22"/>
              </w:rPr>
            </w:pPr>
            <w:r w:rsidRPr="009515D2">
              <w:rPr>
                <w:sz w:val="22"/>
                <w:szCs w:val="22"/>
              </w:rPr>
              <w:t>0.316</w:t>
            </w:r>
          </w:p>
        </w:tc>
        <w:tc>
          <w:tcPr>
            <w:tcW w:w="996" w:type="dxa"/>
            <w:tcBorders>
              <w:bottom w:val="single" w:sz="4" w:space="0" w:color="auto"/>
            </w:tcBorders>
          </w:tcPr>
          <w:p w14:paraId="251860CA" w14:textId="77777777" w:rsidR="008B6B1D" w:rsidRPr="009515D2" w:rsidRDefault="008B6B1D" w:rsidP="005E6154">
            <w:pPr>
              <w:spacing w:line="276" w:lineRule="auto"/>
              <w:jc w:val="right"/>
              <w:rPr>
                <w:sz w:val="22"/>
                <w:szCs w:val="22"/>
              </w:rPr>
            </w:pPr>
            <w:r w:rsidRPr="009515D2">
              <w:rPr>
                <w:sz w:val="22"/>
                <w:szCs w:val="22"/>
              </w:rPr>
              <w:t>0.25</w:t>
            </w:r>
          </w:p>
        </w:tc>
        <w:tc>
          <w:tcPr>
            <w:tcW w:w="1013" w:type="dxa"/>
            <w:tcBorders>
              <w:bottom w:val="single" w:sz="4" w:space="0" w:color="auto"/>
            </w:tcBorders>
          </w:tcPr>
          <w:p w14:paraId="3345F003" w14:textId="77777777" w:rsidR="008B6B1D" w:rsidRPr="009515D2" w:rsidRDefault="008B6B1D" w:rsidP="005E6154">
            <w:pPr>
              <w:spacing w:line="276" w:lineRule="auto"/>
              <w:jc w:val="right"/>
              <w:rPr>
                <w:sz w:val="22"/>
                <w:szCs w:val="22"/>
              </w:rPr>
            </w:pPr>
            <w:r w:rsidRPr="009515D2">
              <w:rPr>
                <w:sz w:val="22"/>
                <w:szCs w:val="22"/>
              </w:rPr>
              <w:t>0.614</w:t>
            </w:r>
          </w:p>
        </w:tc>
        <w:tc>
          <w:tcPr>
            <w:tcW w:w="996" w:type="dxa"/>
          </w:tcPr>
          <w:p w14:paraId="1D1579A2" w14:textId="77777777" w:rsidR="008B6B1D" w:rsidRPr="009515D2" w:rsidRDefault="008B6B1D" w:rsidP="005E6154">
            <w:pPr>
              <w:spacing w:line="276" w:lineRule="auto"/>
              <w:jc w:val="right"/>
              <w:rPr>
                <w:sz w:val="22"/>
                <w:szCs w:val="22"/>
              </w:rPr>
            </w:pPr>
          </w:p>
        </w:tc>
        <w:tc>
          <w:tcPr>
            <w:tcW w:w="1013" w:type="dxa"/>
          </w:tcPr>
          <w:p w14:paraId="5BE80DD2" w14:textId="77777777" w:rsidR="008B6B1D" w:rsidRPr="009515D2" w:rsidRDefault="008B6B1D" w:rsidP="005E6154">
            <w:pPr>
              <w:spacing w:line="276" w:lineRule="auto"/>
              <w:jc w:val="right"/>
              <w:rPr>
                <w:b/>
                <w:bCs/>
                <w:sz w:val="22"/>
                <w:szCs w:val="22"/>
              </w:rPr>
            </w:pPr>
          </w:p>
        </w:tc>
        <w:tc>
          <w:tcPr>
            <w:tcW w:w="996" w:type="dxa"/>
          </w:tcPr>
          <w:p w14:paraId="7067268D" w14:textId="77777777" w:rsidR="008B6B1D" w:rsidRPr="009515D2" w:rsidRDefault="008B6B1D" w:rsidP="005E6154">
            <w:pPr>
              <w:spacing w:line="276" w:lineRule="auto"/>
              <w:jc w:val="right"/>
              <w:rPr>
                <w:sz w:val="22"/>
                <w:szCs w:val="22"/>
              </w:rPr>
            </w:pPr>
          </w:p>
        </w:tc>
        <w:tc>
          <w:tcPr>
            <w:tcW w:w="1012" w:type="dxa"/>
          </w:tcPr>
          <w:p w14:paraId="403ED354" w14:textId="77777777" w:rsidR="008B6B1D" w:rsidRPr="009515D2" w:rsidRDefault="008B6B1D" w:rsidP="005E6154">
            <w:pPr>
              <w:spacing w:line="276" w:lineRule="auto"/>
              <w:jc w:val="right"/>
              <w:rPr>
                <w:sz w:val="22"/>
                <w:szCs w:val="22"/>
              </w:rPr>
            </w:pPr>
          </w:p>
        </w:tc>
      </w:tr>
    </w:tbl>
    <w:p w14:paraId="782FE574" w14:textId="77777777" w:rsidR="008B6B1D" w:rsidRDefault="008B6B1D" w:rsidP="008B6B1D">
      <w:pPr>
        <w:spacing w:line="480" w:lineRule="auto"/>
      </w:pPr>
    </w:p>
    <w:p w14:paraId="608294B1" w14:textId="77777777" w:rsidR="008B6B1D" w:rsidRDefault="008B6B1D" w:rsidP="008B6B1D">
      <w:pPr>
        <w:spacing w:line="480" w:lineRule="auto"/>
        <w:rPr>
          <w:b/>
          <w:bCs/>
        </w:rPr>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w:t>
      </w:r>
    </w:p>
    <w:p w14:paraId="0C8F2664" w14:textId="77777777" w:rsidR="008B6B1D" w:rsidRPr="006D1951" w:rsidRDefault="008B6B1D" w:rsidP="008B6B1D">
      <w:pPr>
        <w:spacing w:line="480" w:lineRule="auto"/>
        <w:rPr>
          <w:b/>
          <w:bCs/>
        </w:rPr>
      </w:pPr>
    </w:p>
    <w:p w14:paraId="6AC086DE" w14:textId="77777777" w:rsidR="008B6B1D" w:rsidRDefault="008B6B1D" w:rsidP="008B6B1D">
      <w:pPr>
        <w:spacing w:line="480" w:lineRule="auto"/>
        <w:rPr>
          <w:b/>
          <w:bCs/>
        </w:rPr>
        <w:sectPr w:rsidR="008B6B1D" w:rsidSect="00451ED1">
          <w:pgSz w:w="15840" w:h="12240" w:orient="landscape"/>
          <w:pgMar w:top="1440" w:right="1440" w:bottom="1440" w:left="1440" w:header="720" w:footer="720" w:gutter="0"/>
          <w:lnNumType w:countBy="1" w:restart="continuous"/>
          <w:cols w:space="720"/>
          <w:docGrid w:linePitch="360"/>
        </w:sectPr>
      </w:pPr>
    </w:p>
    <w:p w14:paraId="7702E9DB" w14:textId="3AA8190E" w:rsidR="008B6B1D" w:rsidRDefault="008B6B1D" w:rsidP="008B6B1D">
      <w:pPr>
        <w:spacing w:line="480" w:lineRule="auto"/>
        <w:rPr>
          <w:b/>
          <w:bCs/>
        </w:rPr>
      </w:pPr>
      <w:r>
        <w:rPr>
          <w:b/>
          <w:bCs/>
        </w:rPr>
        <w:lastRenderedPageBreak/>
        <w:t xml:space="preserve">Figure </w:t>
      </w:r>
      <w:r w:rsidR="00876B7A">
        <w:rPr>
          <w:b/>
          <w:bCs/>
        </w:rPr>
        <w:t>1</w:t>
      </w:r>
    </w:p>
    <w:p w14:paraId="45D27663" w14:textId="48E4442E" w:rsidR="008B6B1D" w:rsidRDefault="00D23267" w:rsidP="008B6B1D">
      <w:pPr>
        <w:spacing w:line="480" w:lineRule="auto"/>
        <w:rPr>
          <w:b/>
          <w:bCs/>
        </w:rPr>
      </w:pPr>
      <w:r>
        <w:rPr>
          <w:b/>
          <w:bCs/>
          <w:noProof/>
        </w:rPr>
        <w:drawing>
          <wp:inline distT="0" distB="0" distL="0" distR="0" wp14:anchorId="7818661C" wp14:editId="2EFF37F4">
            <wp:extent cx="5943600" cy="2971800"/>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9"/>
                    <a:stretch>
                      <a:fillRect/>
                    </a:stretch>
                  </pic:blipFill>
                  <pic:spPr>
                    <a:xfrm>
                      <a:off x="0" y="0"/>
                      <a:ext cx="5943600" cy="2971800"/>
                    </a:xfrm>
                    <a:prstGeom prst="rect">
                      <a:avLst/>
                    </a:prstGeom>
                  </pic:spPr>
                </pic:pic>
              </a:graphicData>
            </a:graphic>
          </wp:inline>
        </w:drawing>
      </w:r>
    </w:p>
    <w:p w14:paraId="4CE47144" w14:textId="043886E6" w:rsidR="008B6B1D" w:rsidRDefault="008B6B1D" w:rsidP="008B6B1D">
      <w:pPr>
        <w:spacing w:line="480" w:lineRule="auto"/>
      </w:pPr>
      <w:commentRangeStart w:id="1"/>
      <w:commentRangeStart w:id="2"/>
      <w:r>
        <w:rPr>
          <w:b/>
          <w:bCs/>
        </w:rPr>
        <w:t xml:space="preserve">Figure </w:t>
      </w:r>
      <w:r w:rsidR="001A31D4">
        <w:rPr>
          <w:b/>
          <w:bCs/>
        </w:rPr>
        <w:t>1</w:t>
      </w:r>
      <w:r>
        <w:t xml:space="preserve"> </w:t>
      </w:r>
      <w:commentRangeEnd w:id="1"/>
      <w:r w:rsidR="00BA134D">
        <w:rPr>
          <w:rStyle w:val="CommentReference"/>
          <w:rFonts w:eastAsia="Times New Roman" w:cs="Times New Roman"/>
        </w:rPr>
        <w:commentReference w:id="1"/>
      </w:r>
      <w:commentRangeEnd w:id="2"/>
      <w:r w:rsidR="002C2298">
        <w:rPr>
          <w:rStyle w:val="CommentReference"/>
          <w:rFonts w:eastAsia="Times New Roman" w:cs="Times New Roman"/>
        </w:rPr>
        <w:commentReference w:id="2"/>
      </w:r>
      <w:r w:rsidRPr="001B10F7">
        <w:t>Effects</w:t>
      </w:r>
      <w:r>
        <w:t xml:space="preserve"> of soil nitrogen fertilization and inoculation on </w:t>
      </w:r>
      <w:r>
        <w:rPr>
          <w:i/>
          <w:iCs/>
        </w:rPr>
        <w:t>G. max</w:t>
      </w:r>
      <w:r>
        <w:t xml:space="preserve"> structural carbon costs to acquire nitrogen (“</w:t>
      </w:r>
      <w:proofErr w:type="spellStart"/>
      <w:r>
        <w:rPr>
          <w:i/>
          <w:iCs/>
        </w:rPr>
        <w:t>N</w:t>
      </w:r>
      <w:r>
        <w:rPr>
          <w:vertAlign w:val="subscript"/>
        </w:rPr>
        <w:t>cost</w:t>
      </w:r>
      <w:proofErr w:type="spellEnd"/>
      <w:r>
        <w:t>”; panel A), belowground carbon biomass (“</w:t>
      </w:r>
      <w:proofErr w:type="spellStart"/>
      <w:r>
        <w:rPr>
          <w:i/>
          <w:iCs/>
        </w:rPr>
        <w:t>C</w:t>
      </w:r>
      <w:r>
        <w:rPr>
          <w:vertAlign w:val="subscript"/>
        </w:rPr>
        <w:t>bg</w:t>
      </w:r>
      <w:proofErr w:type="spellEnd"/>
      <w:r>
        <w:t>”; panel B), and whole plant nitrogen biomass (“</w:t>
      </w:r>
      <w:r>
        <w:rPr>
          <w:i/>
          <w:iCs/>
        </w:rPr>
        <w:t>N</w:t>
      </w:r>
      <w:r>
        <w:rPr>
          <w:vertAlign w:val="subscript"/>
        </w:rPr>
        <w:t>ag</w:t>
      </w:r>
      <w:r>
        <w:t xml:space="preserve"> + </w:t>
      </w:r>
      <w:proofErr w:type="spellStart"/>
      <w:r>
        <w:rPr>
          <w:i/>
          <w:iCs/>
        </w:rPr>
        <w:t>N</w:t>
      </w:r>
      <w:r>
        <w:rPr>
          <w:vertAlign w:val="subscript"/>
        </w:rPr>
        <w:t>bg</w:t>
      </w:r>
      <w:proofErr w:type="spellEnd"/>
      <w:r>
        <w:t>”; panel C). Soil nitrogen fertilization is represented categorically on the x-axis, while inoculation treatment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w:t>
      </w:r>
      <w:r>
        <w:rPr>
          <w:rFonts w:eastAsia="Times New Roman" w:cs="Times New Roman"/>
          <w:color w:val="000000" w:themeColor="text1"/>
        </w:rPr>
        <w:t>p</w:t>
      </w:r>
      <w:r w:rsidRPr="6E1ABADC">
        <w:rPr>
          <w:rFonts w:eastAsia="Times New Roman" w:cs="Times New Roman"/>
          <w:color w:val="000000" w:themeColor="text1"/>
        </w:rPr>
        <w:t>&lt;0.05).</w:t>
      </w:r>
    </w:p>
    <w:p w14:paraId="72DA282C" w14:textId="77777777" w:rsidR="008B6B1D" w:rsidRPr="00E256F3" w:rsidRDefault="008B6B1D" w:rsidP="008B6B1D">
      <w:pPr>
        <w:spacing w:line="480" w:lineRule="auto"/>
      </w:pPr>
      <w:r>
        <w:rPr>
          <w:b/>
          <w:bCs/>
        </w:rPr>
        <w:br w:type="page"/>
      </w:r>
    </w:p>
    <w:p w14:paraId="36442475" w14:textId="598B63C3" w:rsidR="008B6B1D" w:rsidRPr="00322974" w:rsidRDefault="0004004B" w:rsidP="008B6B1D">
      <w:pPr>
        <w:spacing w:line="480" w:lineRule="auto"/>
        <w:rPr>
          <w:i/>
          <w:iCs/>
        </w:rPr>
      </w:pPr>
      <w:r>
        <w:rPr>
          <w:i/>
          <w:iCs/>
        </w:rPr>
        <w:lastRenderedPageBreak/>
        <w:t>Whole plant growth and plant investments to nitrogen fixation</w:t>
      </w:r>
    </w:p>
    <w:p w14:paraId="6F377BBC" w14:textId="47E91DFD" w:rsidR="008B6B1D" w:rsidRDefault="008B6B1D" w:rsidP="008B6B1D">
      <w:pPr>
        <w:spacing w:line="480" w:lineRule="auto"/>
        <w:ind w:firstLine="720"/>
      </w:pPr>
      <w:r>
        <w:t>T</w:t>
      </w:r>
      <w:r w:rsidR="002A7BCE">
        <w:t xml:space="preserve">here was an </w:t>
      </w:r>
      <w:r>
        <w:t>interaction between nitrogen fertilization and inoculation</w:t>
      </w:r>
      <w:r w:rsidR="002A7BCE">
        <w:t xml:space="preserve"> on total leaf area</w:t>
      </w:r>
      <w:r>
        <w:t xml:space="preserve"> (Table </w:t>
      </w:r>
      <w:r w:rsidR="00D14794">
        <w:t>1</w:t>
      </w:r>
      <w:r>
        <w:t xml:space="preserve">; Fig. </w:t>
      </w:r>
      <w:r w:rsidR="00D14794">
        <w:t>2</w:t>
      </w:r>
      <w:r>
        <w:t>A). This interaction indicated that inoculated individuals grown under low nitrogen fertilization had 59.7% higher total leaf area than non-inoculated individuals also grown under low nitrogen fertilization (Tukey: p&lt;0.001), with no difference between inoculation treatments under high nitrogen fertilization (Tukey: p=0.631). Nitrogen fertilization also increased total leaf area, where individuals grown under high nitrogen fertilization had 77.4% higher total leaf area than those grown under low nitrogen fertilization (Tukey: p&lt;0.001). Inoculation also increased total leaf area, where inoculated individuals had 21.4</w:t>
      </w:r>
      <w:r w:rsidR="002A7BCE">
        <w:t>%</w:t>
      </w:r>
      <w:r>
        <w:t xml:space="preserve"> higher total leaf area than non-inoculated individuals (Tukey: p&lt;0.001).</w:t>
      </w:r>
    </w:p>
    <w:p w14:paraId="3E92D654" w14:textId="38A6F74D" w:rsidR="008B6B1D" w:rsidRDefault="008B6B1D" w:rsidP="008B6B1D">
      <w:pPr>
        <w:spacing w:line="480" w:lineRule="auto"/>
        <w:ind w:firstLine="720"/>
      </w:pPr>
      <w:r>
        <w:t xml:space="preserve">Whole plant biomass was </w:t>
      </w:r>
      <w:r w:rsidR="002A7BCE">
        <w:t xml:space="preserve">positively </w:t>
      </w:r>
      <w:proofErr w:type="spellStart"/>
      <w:proofErr w:type="gramStart"/>
      <w:r w:rsidR="002A7BCE">
        <w:t>effected</w:t>
      </w:r>
      <w:proofErr w:type="spellEnd"/>
      <w:proofErr w:type="gramEnd"/>
      <w:r w:rsidR="002A7BCE">
        <w:t xml:space="preserve"> </w:t>
      </w:r>
      <w:r>
        <w:t xml:space="preserve">by nitrogen fertilization (Table 5; Fig. 5B), where individuals grown under high nitrogen fertilization had 55.5% higher whole plant biomass than those grown under low nitrogen fertilization (Tukey: p&lt;0.001). There was no inoculation effect nor was there any interaction between inoculation and nitrogen fertilization (Table </w:t>
      </w:r>
      <w:r w:rsidR="00D14794">
        <w:t>1</w:t>
      </w:r>
      <w:r>
        <w:t xml:space="preserve">; Fig. </w:t>
      </w:r>
      <w:r w:rsidR="00D14794">
        <w:t>2</w:t>
      </w:r>
      <w:r>
        <w:t>B).</w:t>
      </w:r>
    </w:p>
    <w:p w14:paraId="1BCAB548" w14:textId="786A26E7" w:rsidR="008B104C" w:rsidRDefault="0004004B" w:rsidP="0004004B">
      <w:pPr>
        <w:spacing w:line="480" w:lineRule="auto"/>
        <w:ind w:firstLine="720"/>
      </w:pPr>
      <w:r>
        <w:t>Root nodule biomass: root biomass was positive</w:t>
      </w:r>
      <w:r w:rsidR="002A7BCE">
        <w:t>ly</w:t>
      </w:r>
      <w:r>
        <w:t xml:space="preserve"> </w:t>
      </w:r>
      <w:proofErr w:type="gramStart"/>
      <w:r>
        <w:t>effect</w:t>
      </w:r>
      <w:r w:rsidR="002A7BCE">
        <w:t>ed</w:t>
      </w:r>
      <w:proofErr w:type="gramEnd"/>
      <w:r>
        <w:t xml:space="preserve"> of inoculation (Table 1; Fig. 2C). Specifically, inoculated individuals had 323.5% greater root nodule biomass: root biomass than non-inoculated individuals when averaged across nitrogen fertilization treatments. There was no effect of fertilization or any observable interaction between fertilization and inoculation on root nodule biomass: root biomass (Table 1). Root nodule biomass: root biomass patterns were driven by a strong increase in root nodule biomass and a marginal decrease in root biomass with inoculation.</w:t>
      </w:r>
    </w:p>
    <w:p w14:paraId="2235383F" w14:textId="23840BF0" w:rsidR="008B6B1D" w:rsidRPr="0004004B" w:rsidRDefault="008B6B1D" w:rsidP="0004004B">
      <w:pPr>
        <w:spacing w:line="480" w:lineRule="auto"/>
        <w:ind w:firstLine="720"/>
      </w:pPr>
      <w:r>
        <w:rPr>
          <w:b/>
          <w:bCs/>
        </w:rPr>
        <w:br w:type="page"/>
      </w:r>
    </w:p>
    <w:p w14:paraId="637515AA" w14:textId="020CF0A9" w:rsidR="00494E8C" w:rsidRDefault="008B6B1D" w:rsidP="008B6B1D">
      <w:pPr>
        <w:spacing w:line="480" w:lineRule="auto"/>
        <w:rPr>
          <w:b/>
          <w:bCs/>
        </w:rPr>
      </w:pPr>
      <w:r>
        <w:rPr>
          <w:b/>
          <w:bCs/>
        </w:rPr>
        <w:lastRenderedPageBreak/>
        <w:t xml:space="preserve">Figure </w:t>
      </w:r>
      <w:r w:rsidR="00F640C8">
        <w:rPr>
          <w:b/>
          <w:bCs/>
        </w:rPr>
        <w:t>2</w:t>
      </w:r>
    </w:p>
    <w:p w14:paraId="59E4CA2E" w14:textId="08744EB4" w:rsidR="00494E8C" w:rsidRDefault="00494E8C" w:rsidP="008B6B1D">
      <w:pPr>
        <w:spacing w:line="480" w:lineRule="auto"/>
        <w:rPr>
          <w:b/>
          <w:bCs/>
        </w:rPr>
      </w:pPr>
      <w:r>
        <w:rPr>
          <w:b/>
          <w:bCs/>
          <w:noProof/>
        </w:rPr>
        <w:drawing>
          <wp:inline distT="0" distB="0" distL="0" distR="0" wp14:anchorId="70FBF8D3" wp14:editId="77881C1A">
            <wp:extent cx="5943600" cy="2122805"/>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10"/>
                    <a:stretch>
                      <a:fillRect/>
                    </a:stretch>
                  </pic:blipFill>
                  <pic:spPr>
                    <a:xfrm>
                      <a:off x="0" y="0"/>
                      <a:ext cx="5943600" cy="2122805"/>
                    </a:xfrm>
                    <a:prstGeom prst="rect">
                      <a:avLst/>
                    </a:prstGeom>
                  </pic:spPr>
                </pic:pic>
              </a:graphicData>
            </a:graphic>
          </wp:inline>
        </w:drawing>
      </w:r>
    </w:p>
    <w:p w14:paraId="39C89638" w14:textId="42AEBB1C" w:rsidR="008B6B1D" w:rsidRDefault="008B6B1D" w:rsidP="008B6B1D">
      <w:pPr>
        <w:spacing w:line="480" w:lineRule="auto"/>
        <w:rPr>
          <w:b/>
          <w:bCs/>
        </w:rPr>
      </w:pPr>
      <w:commentRangeStart w:id="3"/>
      <w:commentRangeStart w:id="4"/>
      <w:r>
        <w:rPr>
          <w:b/>
          <w:bCs/>
        </w:rPr>
        <w:t xml:space="preserve">Figure </w:t>
      </w:r>
      <w:r w:rsidR="00F640C8">
        <w:rPr>
          <w:b/>
          <w:bCs/>
        </w:rPr>
        <w:t>2</w:t>
      </w:r>
      <w:r>
        <w:t xml:space="preserve"> </w:t>
      </w:r>
      <w:commentRangeEnd w:id="3"/>
      <w:r w:rsidR="005879F3">
        <w:rPr>
          <w:rStyle w:val="CommentReference"/>
          <w:rFonts w:eastAsia="Times New Roman" w:cs="Times New Roman"/>
        </w:rPr>
        <w:commentReference w:id="3"/>
      </w:r>
      <w:commentRangeEnd w:id="4"/>
      <w:r w:rsidR="00480FFF">
        <w:rPr>
          <w:rStyle w:val="CommentReference"/>
          <w:rFonts w:eastAsia="Times New Roman" w:cs="Times New Roman"/>
        </w:rPr>
        <w:commentReference w:id="4"/>
      </w:r>
      <w:r w:rsidRPr="001B10F7">
        <w:t>Effects</w:t>
      </w:r>
      <w:r>
        <w:t xml:space="preserve"> of soil nitrogen fertilization and inoculation on </w:t>
      </w:r>
      <w:r>
        <w:rPr>
          <w:i/>
          <w:iCs/>
        </w:rPr>
        <w:t>G. max</w:t>
      </w:r>
      <w:r>
        <w:t xml:space="preserve"> total leaf area (panel A)</w:t>
      </w:r>
      <w:r w:rsidR="00494E8C">
        <w:t xml:space="preserve">, </w:t>
      </w:r>
      <w:r>
        <w:t>whole plant biomass</w:t>
      </w:r>
      <w:r>
        <w:rPr>
          <w:color w:val="000000"/>
        </w:rPr>
        <w:t xml:space="preserve"> (panel B)</w:t>
      </w:r>
      <w:r w:rsidR="00494E8C">
        <w:rPr>
          <w:color w:val="000000"/>
        </w:rPr>
        <w:t>, and nodule biomass: root biomass (panel C)</w:t>
      </w:r>
      <w:r>
        <w:t>. Soil nitrogen fertilization is represented categorically on the x-axis, while inoculation treatment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w:t>
      </w:r>
      <w:r>
        <w:rPr>
          <w:rFonts w:eastAsia="Times New Roman" w:cs="Times New Roman"/>
          <w:color w:val="000000" w:themeColor="text1"/>
        </w:rPr>
        <w:t>p</w:t>
      </w:r>
      <w:r w:rsidRPr="6E1ABADC">
        <w:rPr>
          <w:rFonts w:eastAsia="Times New Roman" w:cs="Times New Roman"/>
          <w:color w:val="000000" w:themeColor="text1"/>
        </w:rPr>
        <w:t>&lt;0.05).</w:t>
      </w:r>
    </w:p>
    <w:p w14:paraId="0CD1113E" w14:textId="450735E8" w:rsidR="008B6B1D" w:rsidRPr="0004004B" w:rsidRDefault="008B6B1D" w:rsidP="0004004B">
      <w:pPr>
        <w:spacing w:line="480" w:lineRule="auto"/>
        <w:rPr>
          <w:b/>
          <w:bCs/>
        </w:rPr>
      </w:pPr>
      <w:r>
        <w:rPr>
          <w:b/>
          <w:bCs/>
        </w:rPr>
        <w:br w:type="page"/>
      </w:r>
    </w:p>
    <w:p w14:paraId="17A662CB" w14:textId="3B9F2CC0" w:rsidR="00772287" w:rsidRDefault="00E2103C" w:rsidP="00984383">
      <w:pPr>
        <w:spacing w:line="480" w:lineRule="auto"/>
        <w:rPr>
          <w:b/>
          <w:bCs/>
        </w:rPr>
      </w:pPr>
      <w:r>
        <w:rPr>
          <w:b/>
          <w:bCs/>
        </w:rPr>
        <w:lastRenderedPageBreak/>
        <w:t>D</w:t>
      </w:r>
      <w:r w:rsidR="00754725">
        <w:rPr>
          <w:b/>
          <w:bCs/>
        </w:rPr>
        <w:t>iscussion</w:t>
      </w:r>
    </w:p>
    <w:p w14:paraId="72658BC1" w14:textId="52B6AC02" w:rsidR="004035F7" w:rsidRPr="00984383" w:rsidRDefault="00020222" w:rsidP="00984383">
      <w:pPr>
        <w:pStyle w:val="Bibliography"/>
        <w:spacing w:line="480" w:lineRule="auto"/>
      </w:pPr>
      <w:r>
        <w:tab/>
        <w:t xml:space="preserve">Here, we </w:t>
      </w:r>
      <w:r w:rsidR="00984383">
        <w:t xml:space="preserve">quantified the interactive effect of soil nitrogen fertilization and inoculation by nitrogen fixing bacteria on </w:t>
      </w:r>
      <w:r w:rsidR="00984383">
        <w:rPr>
          <w:i/>
        </w:rPr>
        <w:t>G. max</w:t>
      </w:r>
      <w:r w:rsidR="00984383">
        <w:t xml:space="preserve"> structural carbon costs to acquire nitrogen using a fully factorial manipulation experiment. We found that inoculation reduced carbon costs to acquire nitrogen under low, but not high, levels of soil nitrogen fertilization. This was despite no significant differences in belowground structural investment across the treatments. Instead, the difference was driven by greater whole-plant nitrogen in inoculated plants than uninoculated plants when soil nitrogen fertilization was low. This suggests that symbioses with nitrogen fixing bacteria reduce nitrogen acquisition costs under low soil nitrogen availability. That said, costs were lowest under high soil nitrogen availability as a result of high amounts of plant nitrogen uptake. Interestingly, investment in root nodules did not vary with soil nitrogen fertilization. We expand on and contextualize these key results below. </w:t>
      </w:r>
    </w:p>
    <w:p w14:paraId="63D280D3" w14:textId="77777777" w:rsidR="00984383" w:rsidRDefault="00984383" w:rsidP="00984383">
      <w:pPr>
        <w:spacing w:line="480" w:lineRule="auto"/>
      </w:pPr>
    </w:p>
    <w:p w14:paraId="580720B6" w14:textId="53863BA0" w:rsidR="00DA006B" w:rsidRDefault="00A74617" w:rsidP="00984383">
      <w:pPr>
        <w:spacing w:line="480" w:lineRule="auto"/>
        <w:rPr>
          <w:i/>
        </w:rPr>
      </w:pPr>
      <w:r w:rsidRPr="00984383">
        <w:rPr>
          <w:i/>
        </w:rPr>
        <w:t>The impact of inoculation on plant carbon costs to acquire nitrogen depend on soil nitrogen availability</w:t>
      </w:r>
    </w:p>
    <w:p w14:paraId="5FAA4E94" w14:textId="4FE11B5B" w:rsidR="00984383" w:rsidRDefault="000407A6" w:rsidP="00984383">
      <w:pPr>
        <w:spacing w:line="480" w:lineRule="auto"/>
      </w:pPr>
      <w:r>
        <w:tab/>
        <w:t xml:space="preserve">Our results provide direct evidence that symbioses with nitrogen fixing bacteria reduce carbon costs to acquire nitrogen when soil </w:t>
      </w:r>
      <w:proofErr w:type="spellStart"/>
      <w:r>
        <w:t>nitogen</w:t>
      </w:r>
      <w:proofErr w:type="spellEnd"/>
      <w:r>
        <w:t xml:space="preserve"> availability is low. This corroborates results from past theor</w:t>
      </w:r>
      <w:r w:rsidR="00E9044E">
        <w:t>y</w:t>
      </w:r>
      <w:r>
        <w:t xml:space="preserve"> (</w:t>
      </w:r>
      <w:proofErr w:type="spellStart"/>
      <w:r w:rsidR="00E9044E">
        <w:t>Vitousek</w:t>
      </w:r>
      <w:proofErr w:type="spellEnd"/>
      <w:r w:rsidR="00E9044E">
        <w:t xml:space="preserve"> et al., 2002</w:t>
      </w:r>
      <w:r>
        <w:t>) and cross-species experimental studies (</w:t>
      </w:r>
      <w:proofErr w:type="spellStart"/>
      <w:r>
        <w:t>Perkwoski</w:t>
      </w:r>
      <w:proofErr w:type="spellEnd"/>
      <w:r>
        <w:t xml:space="preserve"> et al., 2021). Here, we used individuals of the same species to confirm that symbioses with nitrogen fixing bacteria are the driver of this response.</w:t>
      </w:r>
    </w:p>
    <w:p w14:paraId="3762D102" w14:textId="0E962F7B" w:rsidR="000407A6" w:rsidRDefault="000407A6" w:rsidP="00984383">
      <w:pPr>
        <w:spacing w:line="480" w:lineRule="auto"/>
      </w:pPr>
      <w:r>
        <w:tab/>
        <w:t xml:space="preserve">Despite a large inoculation effect on carbon costs to acquire nitrogen at low soil nitrogen availability, there was no impact (positive or negative) of inoculation at high levels of soil nitrogen availability. </w:t>
      </w:r>
      <w:r w:rsidR="00871D5C">
        <w:t xml:space="preserve">Similar results were shown in a previous cross-species study that found that </w:t>
      </w:r>
      <w:r w:rsidR="00871D5C">
        <w:lastRenderedPageBreak/>
        <w:t xml:space="preserve">plants with and without symbioses with nitrogen fixing bacteria had more similar carbon costs to acquire nitrogen when soil nitrogen availability was high, compared to that when it was low (Perkowski et al., 2021). The difference may help to explain the greater prevalence of plants capable of symbiotic nitrogen fixation where soil nitrogen availability is low (e.g., </w:t>
      </w:r>
      <w:commentRangeStart w:id="5"/>
      <w:r w:rsidR="00E9044E">
        <w:t>Monks et al., 2012</w:t>
      </w:r>
      <w:commentRangeEnd w:id="5"/>
      <w:r w:rsidR="00E9044E">
        <w:rPr>
          <w:rStyle w:val="CommentReference"/>
          <w:rFonts w:eastAsia="Times New Roman" w:cs="Times New Roman"/>
        </w:rPr>
        <w:commentReference w:id="5"/>
      </w:r>
      <w:r w:rsidR="00E9044E">
        <w:t>), as expected from theory (</w:t>
      </w:r>
      <w:proofErr w:type="spellStart"/>
      <w:r w:rsidR="00E9044E">
        <w:t>Vitousek</w:t>
      </w:r>
      <w:proofErr w:type="spellEnd"/>
      <w:r w:rsidR="00E9044E">
        <w:t xml:space="preserve"> et al., 2002, </w:t>
      </w:r>
      <w:proofErr w:type="spellStart"/>
      <w:r w:rsidR="00E9044E">
        <w:t>Vitousek</w:t>
      </w:r>
      <w:proofErr w:type="spellEnd"/>
      <w:r w:rsidR="00E9044E">
        <w:t xml:space="preserve"> and Field, 1999, </w:t>
      </w:r>
      <w:proofErr w:type="spellStart"/>
      <w:r w:rsidR="00E9044E">
        <w:t>Menge</w:t>
      </w:r>
      <w:proofErr w:type="spellEnd"/>
      <w:r w:rsidR="00E9044E">
        <w:t xml:space="preserve"> et al., 2008).</w:t>
      </w:r>
    </w:p>
    <w:p w14:paraId="32A846D8" w14:textId="290C2FFC" w:rsidR="00BA6F63" w:rsidRPr="00984383" w:rsidRDefault="00BA6F63" w:rsidP="00984383">
      <w:pPr>
        <w:spacing w:line="480" w:lineRule="auto"/>
      </w:pPr>
      <w:r>
        <w:tab/>
        <w:t xml:space="preserve">Our results indicate that symbiotic nitrogen fixation may provide a competitive advantage in nitrogen-poor soils by reducing plant carbon costs for acquiring nitrogen. However, the </w:t>
      </w:r>
      <w:r w:rsidR="00BB6891">
        <w:t>longer-term</w:t>
      </w:r>
      <w:r>
        <w:t xml:space="preserve"> outcomes of this advantage are difficult to predict because nitrogen fixation brings in nitrogen to the ecosystem that may alleviate nitrogen limitation in non-fixing species following recycling.</w:t>
      </w:r>
      <w:r w:rsidR="00BB6891">
        <w:t xml:space="preserve"> Additionally, other bottom-up (e.g., soil resources) and top-down (e.g., herbivory) may limit the competitive ability of nitrogen fixers in terrestrial ecosystems (</w:t>
      </w:r>
      <w:proofErr w:type="spellStart"/>
      <w:r w:rsidR="00BB6891">
        <w:t>Vitousek</w:t>
      </w:r>
      <w:proofErr w:type="spellEnd"/>
      <w:r w:rsidR="00BB6891">
        <w:t xml:space="preserve"> et al., 2013, </w:t>
      </w:r>
      <w:proofErr w:type="spellStart"/>
      <w:r w:rsidR="00BB6891">
        <w:t>Vitousek</w:t>
      </w:r>
      <w:proofErr w:type="spellEnd"/>
      <w:r w:rsidR="00BB6891">
        <w:t xml:space="preserve"> et al., 2002, Eisele et al., 1989, Ritchie and Thomas, 1995, Ritchie et al., 1998, </w:t>
      </w:r>
      <w:proofErr w:type="spellStart"/>
      <w:r w:rsidR="00BB6891">
        <w:t>Vitousek</w:t>
      </w:r>
      <w:proofErr w:type="spellEnd"/>
      <w:r w:rsidR="00BB6891">
        <w:t xml:space="preserve"> and Field, 1999, </w:t>
      </w:r>
      <w:proofErr w:type="spellStart"/>
      <w:r w:rsidR="00BB6891">
        <w:t>Rastetter</w:t>
      </w:r>
      <w:proofErr w:type="spellEnd"/>
      <w:r w:rsidR="00BB6891">
        <w:t xml:space="preserve"> et al., 2001).</w:t>
      </w:r>
      <w:r>
        <w:t xml:space="preserve"> Longer term field and mesocosm experiments</w:t>
      </w:r>
      <w:r w:rsidR="00BB6891">
        <w:t xml:space="preserve"> (e.g., </w:t>
      </w:r>
      <w:proofErr w:type="spellStart"/>
      <w:r w:rsidR="00BB6891">
        <w:t>Finzi</w:t>
      </w:r>
      <w:proofErr w:type="spellEnd"/>
      <w:r w:rsidR="00BB6891">
        <w:t xml:space="preserve"> and Rodgers, 2009)</w:t>
      </w:r>
      <w:r>
        <w:t xml:space="preserve">, coupled </w:t>
      </w:r>
      <w:r w:rsidR="00BB6891">
        <w:t>with targeted model experiments (</w:t>
      </w:r>
      <w:commentRangeStart w:id="6"/>
      <w:r w:rsidR="00BB6891">
        <w:t xml:space="preserve">e.g., </w:t>
      </w:r>
      <w:proofErr w:type="spellStart"/>
      <w:r w:rsidR="00BB6891">
        <w:t>Brzostek</w:t>
      </w:r>
      <w:proofErr w:type="spellEnd"/>
      <w:r w:rsidR="00BB6891">
        <w:t xml:space="preserve"> et al., 2014</w:t>
      </w:r>
      <w:commentRangeEnd w:id="6"/>
      <w:r w:rsidR="00BB6891">
        <w:rPr>
          <w:rStyle w:val="CommentReference"/>
          <w:rFonts w:eastAsia="Times New Roman" w:cs="Times New Roman"/>
        </w:rPr>
        <w:commentReference w:id="6"/>
      </w:r>
      <w:r w:rsidR="00BB6891">
        <w:t>)</w:t>
      </w:r>
      <w:r w:rsidR="001C5321">
        <w:t xml:space="preserve"> could help to clarify the role of different drivers. </w:t>
      </w:r>
    </w:p>
    <w:p w14:paraId="16D020B7" w14:textId="2ED06786" w:rsidR="00723F29" w:rsidRDefault="00723F29" w:rsidP="00984383">
      <w:pPr>
        <w:spacing w:line="480" w:lineRule="auto"/>
        <w:ind w:firstLine="720"/>
      </w:pPr>
    </w:p>
    <w:p w14:paraId="07A0FCB2" w14:textId="5E4745F6" w:rsidR="00D35783" w:rsidRDefault="00A74617" w:rsidP="001C5321">
      <w:pPr>
        <w:spacing w:line="480" w:lineRule="auto"/>
        <w:rPr>
          <w:i/>
        </w:rPr>
      </w:pPr>
      <w:r w:rsidRPr="001C5321">
        <w:rPr>
          <w:i/>
        </w:rPr>
        <w:t>Soil nitrogen availability and inoculation modify whole plant nitrogen, but not belowground structural carbon</w:t>
      </w:r>
    </w:p>
    <w:p w14:paraId="577B7123" w14:textId="77777777" w:rsidR="00950B61" w:rsidRDefault="001C5321" w:rsidP="001C5321">
      <w:pPr>
        <w:spacing w:line="480" w:lineRule="auto"/>
      </w:pPr>
      <w:r>
        <w:tab/>
        <w:t xml:space="preserve">Reductions in carbon costs to acquire nitrogen </w:t>
      </w:r>
      <w:r w:rsidR="000B4FCB">
        <w:t>with both increasing soil nitrogen fertilization and inoculation under low soil nitrogen were the result of increased plant nitrogen uptake</w:t>
      </w:r>
      <w:r w:rsidR="00BE2E67">
        <w:t>, but not due to a change in belowground investment in structural carbon. In fact, belowground structural carbon was not impacted by</w:t>
      </w:r>
      <w:r w:rsidR="00950B61">
        <w:t xml:space="preserve"> any of</w:t>
      </w:r>
      <w:r w:rsidR="00BE2E67">
        <w:t xml:space="preserve"> our treatments.</w:t>
      </w:r>
    </w:p>
    <w:p w14:paraId="6F53E43A" w14:textId="46F1DB5E" w:rsidR="001C5321" w:rsidRDefault="00F1176B" w:rsidP="00950B61">
      <w:pPr>
        <w:spacing w:line="480" w:lineRule="auto"/>
        <w:ind w:firstLine="720"/>
      </w:pPr>
      <w:r>
        <w:lastRenderedPageBreak/>
        <w:t xml:space="preserve">The increase in nitrogen uptake in our study was predominantly used to support aboveground tissue, which showed large stimulation under increasing soil nitrogen availability and with inoculation when soil nitrogen was low. </w:t>
      </w:r>
      <w:r w:rsidR="00950B61">
        <w:t>Theory suggests that increasing nitrogen availability (from soil or symbionts) should increase relative plant investment in aboveground tissues (</w:t>
      </w:r>
      <w:commentRangeStart w:id="7"/>
      <w:proofErr w:type="spellStart"/>
      <w:r w:rsidR="00950B61">
        <w:t>Ågren</w:t>
      </w:r>
      <w:proofErr w:type="spellEnd"/>
      <w:r w:rsidR="00950B61">
        <w:t xml:space="preserve"> and Franklin, 2003</w:t>
      </w:r>
      <w:commentRangeEnd w:id="7"/>
      <w:r w:rsidR="00950B61">
        <w:rPr>
          <w:rStyle w:val="CommentReference"/>
          <w:rFonts w:eastAsia="Times New Roman" w:cs="Times New Roman"/>
        </w:rPr>
        <w:commentReference w:id="7"/>
      </w:r>
      <w:r w:rsidR="00950B61">
        <w:t>), as we saw here. And, indeed, meta-analyses find consistent positive stim</w:t>
      </w:r>
      <w:r>
        <w:t>ulation of</w:t>
      </w:r>
      <w:r w:rsidR="00950B61">
        <w:t xml:space="preserve"> aboveground </w:t>
      </w:r>
      <w:r>
        <w:t>biomass with increasing soil nitrogen availability, but inconsistent impacts on belowground biomass (Li et al., 2020).</w:t>
      </w:r>
    </w:p>
    <w:p w14:paraId="47797852" w14:textId="57F7398D" w:rsidR="00AC1069" w:rsidRPr="001C5321" w:rsidRDefault="00AC1069" w:rsidP="00950B61">
      <w:pPr>
        <w:spacing w:line="480" w:lineRule="auto"/>
        <w:ind w:firstLine="720"/>
      </w:pPr>
      <w:r>
        <w:t xml:space="preserve">Our findings provide a possible benchmark for models that use carbon costs of nitrogen acquisition to simulate terrestrial carbon-nitrogen dynamics (e.g., </w:t>
      </w:r>
      <w:proofErr w:type="spellStart"/>
      <w:r>
        <w:t>Brzostek</w:t>
      </w:r>
      <w:proofErr w:type="spellEnd"/>
      <w:r>
        <w:t xml:space="preserve"> et al., 2014). </w:t>
      </w:r>
      <w:r w:rsidR="00F7560D">
        <w:t>From our results, changes in these costs should be the result of difference in the amount of nitrogen acquired by plants rather than changes in belowground carbon costs. However, it must be noted that we were not able to capture additional carbon costs that resulted from differences in root exudation or respiration under our different treatments. It is unclear whether these are proportional to structural belowground carbon costs and future studies should be performed to validate this assumption.</w:t>
      </w:r>
    </w:p>
    <w:p w14:paraId="186FD6A0" w14:textId="77777777" w:rsidR="00D35783" w:rsidRDefault="00D35783" w:rsidP="008B6B1D">
      <w:pPr>
        <w:spacing w:line="480" w:lineRule="auto"/>
        <w:ind w:left="720"/>
      </w:pPr>
    </w:p>
    <w:p w14:paraId="0C205254" w14:textId="1CAC2E62" w:rsidR="00D35783" w:rsidRDefault="00A74617" w:rsidP="00D306B3">
      <w:pPr>
        <w:spacing w:line="480" w:lineRule="auto"/>
        <w:rPr>
          <w:i/>
        </w:rPr>
      </w:pPr>
      <w:r w:rsidRPr="00D306B3">
        <w:rPr>
          <w:i/>
        </w:rPr>
        <w:t>Soil nitrogen fertilization does not significantly reduce plant investment in nitrogen fixing bacteria symbiosis</w:t>
      </w:r>
    </w:p>
    <w:p w14:paraId="147C278B" w14:textId="51D9336F" w:rsidR="00D306B3" w:rsidRPr="00C73C07" w:rsidRDefault="00D306B3" w:rsidP="00D306B3">
      <w:pPr>
        <w:spacing w:line="480" w:lineRule="auto"/>
      </w:pPr>
      <w:r>
        <w:rPr>
          <w:i/>
        </w:rPr>
        <w:tab/>
      </w:r>
      <w:r w:rsidR="00CE398F">
        <w:t xml:space="preserve">We found that inoculated plants had similar levels of nodulation under both of our soil nitrogen availability treatments. </w:t>
      </w:r>
      <w:r w:rsidR="00C73C07">
        <w:t xml:space="preserve">This indicates that, in this study, the level of nitrogen availability did not impact the strength of the symbiosis between </w:t>
      </w:r>
      <w:r w:rsidR="00C73C07">
        <w:rPr>
          <w:i/>
        </w:rPr>
        <w:t>G. max</w:t>
      </w:r>
      <w:r w:rsidR="00C73C07">
        <w:t xml:space="preserve"> and </w:t>
      </w:r>
      <w:r w:rsidR="00C73C07">
        <w:rPr>
          <w:i/>
        </w:rPr>
        <w:t>B. japonicum</w:t>
      </w:r>
      <w:r w:rsidR="00C73C07">
        <w:t xml:space="preserve">. </w:t>
      </w:r>
      <w:r w:rsidR="00FB7457">
        <w:t xml:space="preserve">This result was counter to expectation that </w:t>
      </w:r>
      <w:r w:rsidR="00AC72FF">
        <w:t>greater soil nitrogen availability would reduce plant reliance on nitrogen fixing symbionts (</w:t>
      </w:r>
      <w:proofErr w:type="spellStart"/>
      <w:r w:rsidR="00AC72FF">
        <w:t>Vitousek</w:t>
      </w:r>
      <w:proofErr w:type="spellEnd"/>
      <w:r w:rsidR="00AC72FF">
        <w:t xml:space="preserve"> et al., 2002). The results may imply stronger </w:t>
      </w:r>
      <w:r w:rsidR="00AC72FF">
        <w:lastRenderedPageBreak/>
        <w:t>bacterial control over the symbiosis than previously thought. In fact, if there were greater amounts of unquantified plant carbon going to bacterial respiration, we may have actually observed higher carbon costs for nitrogen acquisition in inoculated plants under high soil nitrogen. Carbon and nitrogen tracing experiments would be useful for further examining this result.</w:t>
      </w:r>
    </w:p>
    <w:p w14:paraId="10EA2C96" w14:textId="66E7477E" w:rsidR="00F4560A" w:rsidRDefault="00F4560A" w:rsidP="008B6B1D">
      <w:pPr>
        <w:spacing w:line="480" w:lineRule="auto"/>
        <w:ind w:left="720"/>
      </w:pPr>
    </w:p>
    <w:p w14:paraId="6EE2234E" w14:textId="3B4D343D" w:rsidR="001D4CE3" w:rsidRDefault="001D4CE3" w:rsidP="008B6B1D">
      <w:pPr>
        <w:spacing w:line="480" w:lineRule="auto"/>
      </w:pPr>
      <w:r>
        <w:rPr>
          <w:i/>
          <w:iCs/>
        </w:rPr>
        <w:t>Study limitations</w:t>
      </w:r>
    </w:p>
    <w:p w14:paraId="6A873158" w14:textId="45902D05" w:rsidR="001B21C7" w:rsidRPr="001D4CE3" w:rsidRDefault="001D4CE3" w:rsidP="008B6B1D">
      <w:pPr>
        <w:spacing w:line="480" w:lineRule="auto"/>
        <w:ind w:firstLine="720"/>
      </w:pPr>
      <w:r>
        <w:t xml:space="preserve">This study </w:t>
      </w:r>
      <w:r w:rsidR="00125358">
        <w:t>has</w:t>
      </w:r>
      <w:r>
        <w:t xml:space="preserve"> a few limitations that deserve recognition and limit the generality of our observed responses. First, effects of soil nitrogen fertilization on root nodulation may be nonlinear, </w:t>
      </w:r>
      <w:r w:rsidR="001B21C7">
        <w:t xml:space="preserve">and a two-point fertilization experiment such as the one done here is </w:t>
      </w:r>
      <w:r w:rsidR="0079226D">
        <w:t>not</w:t>
      </w:r>
      <w:r w:rsidR="001B21C7">
        <w:t xml:space="preserve"> equipped to address </w:t>
      </w:r>
      <w:r w:rsidR="0079226D">
        <w:t xml:space="preserve">possible </w:t>
      </w:r>
      <w:r w:rsidR="001B21C7">
        <w:t xml:space="preserve">nonlinearities </w:t>
      </w:r>
      <w:r w:rsidR="0079226D">
        <w:t>that might explain the interaction between soil nitrogen fertilization and root nodulation.</w:t>
      </w:r>
      <w:r w:rsidR="001B21C7">
        <w:t xml:space="preserve"> Future work should consider conducting similar experiments using a larger suite of nitrogen fertilization treatments than what is presented here. Additionally, this study used a single </w:t>
      </w:r>
      <w:r w:rsidR="00F4560A">
        <w:t xml:space="preserve">plant </w:t>
      </w:r>
      <w:r w:rsidR="001B21C7">
        <w:t>species and a</w:t>
      </w:r>
      <w:r w:rsidR="00BB5F98">
        <w:t>n inoculant comprising a</w:t>
      </w:r>
      <w:r w:rsidR="001B21C7">
        <w:t xml:space="preserve"> single </w:t>
      </w:r>
      <w:r w:rsidR="00F4560A">
        <w:t>bacterial</w:t>
      </w:r>
      <w:r w:rsidR="001B21C7">
        <w:t xml:space="preserve"> species. While this did allow us to isolate mechanisms that</w:t>
      </w:r>
      <w:r w:rsidR="00F4560A">
        <w:t xml:space="preserve"> drove </w:t>
      </w:r>
      <w:r w:rsidR="00F4560A">
        <w:rPr>
          <w:i/>
          <w:iCs/>
        </w:rPr>
        <w:t>G. max</w:t>
      </w:r>
      <w:r w:rsidR="00F4560A">
        <w:t xml:space="preserve"> responses to nitrogen fertilization and inoculation </w:t>
      </w:r>
      <w:r w:rsidR="001B21C7">
        <w:t>independent of phylogeny or genetic diversity, future work should consider conducting similar experiments using a suite of legum</w:t>
      </w:r>
      <w:r w:rsidR="000F1E36">
        <w:t>inous species</w:t>
      </w:r>
      <w:r w:rsidR="001B21C7">
        <w:t xml:space="preserve">, as well as a suite of different </w:t>
      </w:r>
      <w:r w:rsidR="001B21C7">
        <w:rPr>
          <w:i/>
          <w:iCs/>
        </w:rPr>
        <w:t>Rhizobium</w:t>
      </w:r>
      <w:r w:rsidR="001B21C7">
        <w:t xml:space="preserve"> </w:t>
      </w:r>
      <w:r w:rsidR="00B55208">
        <w:t xml:space="preserve">or other </w:t>
      </w:r>
      <w:r w:rsidR="00B55208">
        <w:rPr>
          <w:i/>
          <w:iCs/>
        </w:rPr>
        <w:t>Actinobacteria</w:t>
      </w:r>
      <w:r w:rsidR="00B55208">
        <w:t xml:space="preserve"> </w:t>
      </w:r>
      <w:r w:rsidR="00323EFB">
        <w:t>mixtures</w:t>
      </w:r>
      <w:r w:rsidR="001B21C7">
        <w:t xml:space="preserve">. Doing so would better allow us to generalize patterns observed here, and better replicate soil microbial communities observed in nature. </w:t>
      </w:r>
    </w:p>
    <w:p w14:paraId="735E4205" w14:textId="671BF499" w:rsidR="00E33726" w:rsidRDefault="00E33726" w:rsidP="008B6B1D">
      <w:pPr>
        <w:spacing w:line="480" w:lineRule="auto"/>
        <w:rPr>
          <w:i/>
          <w:iCs/>
        </w:rPr>
      </w:pPr>
    </w:p>
    <w:p w14:paraId="368377DC" w14:textId="7E90BA3E" w:rsidR="00E33726" w:rsidRDefault="00E33726" w:rsidP="008B6B1D">
      <w:pPr>
        <w:spacing w:line="480" w:lineRule="auto"/>
        <w:rPr>
          <w:i/>
          <w:iCs/>
        </w:rPr>
      </w:pPr>
      <w:r>
        <w:rPr>
          <w:i/>
          <w:iCs/>
        </w:rPr>
        <w:t>Conclusions</w:t>
      </w:r>
    </w:p>
    <w:p w14:paraId="36658C05" w14:textId="16A8802E" w:rsidR="00F4560A" w:rsidRDefault="00AC72FF" w:rsidP="008B6B1D">
      <w:pPr>
        <w:spacing w:line="480" w:lineRule="auto"/>
      </w:pPr>
      <w:r w:rsidRPr="00C604EE">
        <w:lastRenderedPageBreak/>
        <w:t>Here, we used a single pair symbiosis to quantify the impact of symbiotic nitrogen fixation on the structural carbon costs to acquire nitrogen under varying soil nitrogen. We find that symbiotic nitrogen fixing bacteria reduce the structural carbon costs to acquire nitrogen when soil nitrogen availability is low, but have no impact when soil nitrogen availability is high. The differences were entirely due to changes in plant nitrogen uptake rather than belowground structural carbon investments. These results indicate that symbiotic nitrogen fixation may provide a competitive advantage to plants growing in nitrogen-poor soils</w:t>
      </w:r>
      <w:r w:rsidR="00EA7EF8" w:rsidRPr="00C604EE">
        <w:t>. The findings can be used to help improve simulations of carbon-nitrogen economics in terrestrial biosphere models.</w:t>
      </w:r>
    </w:p>
    <w:p w14:paraId="7934AA15" w14:textId="77777777" w:rsidR="00F4560A" w:rsidRDefault="00F4560A" w:rsidP="008B6B1D">
      <w:pPr>
        <w:spacing w:line="480" w:lineRule="auto"/>
      </w:pPr>
    </w:p>
    <w:p w14:paraId="73395A6C" w14:textId="2CE57134" w:rsidR="001B21C7" w:rsidRDefault="001B21C7" w:rsidP="008B6B1D">
      <w:pPr>
        <w:spacing w:line="480" w:lineRule="auto"/>
      </w:pPr>
      <w:r>
        <w:rPr>
          <w:b/>
          <w:bCs/>
        </w:rPr>
        <w:t>Acknowledgements</w:t>
      </w:r>
    </w:p>
    <w:p w14:paraId="287FB464" w14:textId="00961264" w:rsidR="004A35A3" w:rsidRDefault="004A35A3" w:rsidP="008B6B1D">
      <w:pPr>
        <w:spacing w:line="480" w:lineRule="auto"/>
      </w:pPr>
      <w:r>
        <w:t xml:space="preserve">We would like to thank </w:t>
      </w:r>
      <w:r w:rsidR="00B55208">
        <w:t xml:space="preserve">Dr. </w:t>
      </w:r>
      <w:r>
        <w:t xml:space="preserve">Jeffrey </w:t>
      </w:r>
      <w:proofErr w:type="spellStart"/>
      <w:r>
        <w:t>Chieppa</w:t>
      </w:r>
      <w:proofErr w:type="spellEnd"/>
      <w:r w:rsidR="00323EFB">
        <w:t>,</w:t>
      </w:r>
      <w:r>
        <w:t xml:space="preserve"> </w:t>
      </w:r>
      <w:proofErr w:type="spellStart"/>
      <w:r>
        <w:t>Ezinwanne</w:t>
      </w:r>
      <w:proofErr w:type="spellEnd"/>
      <w:r>
        <w:t xml:space="preserve"> </w:t>
      </w:r>
      <w:proofErr w:type="spellStart"/>
      <w:r>
        <w:t>Ezekannagha</w:t>
      </w:r>
      <w:proofErr w:type="spellEnd"/>
      <w:r w:rsidR="00323EFB">
        <w:t>, Gwendolyn Wagner, and Garrison Garza</w:t>
      </w:r>
      <w:r>
        <w:t xml:space="preserve"> for their </w:t>
      </w:r>
      <w:r w:rsidR="00451CDF">
        <w:t xml:space="preserve">assistance with the </w:t>
      </w:r>
      <w:r>
        <w:t>experiment harvest. We would also like to thank</w:t>
      </w:r>
      <w:r w:rsidR="000424C7">
        <w:t xml:space="preserve"> members of the </w:t>
      </w:r>
      <w:proofErr w:type="spellStart"/>
      <w:r w:rsidR="000424C7">
        <w:t>Schwilk</w:t>
      </w:r>
      <w:proofErr w:type="spellEnd"/>
      <w:r w:rsidR="000424C7">
        <w:t xml:space="preserve"> and van </w:t>
      </w:r>
      <w:proofErr w:type="spellStart"/>
      <w:r w:rsidR="000424C7">
        <w:t>Gestel</w:t>
      </w:r>
      <w:proofErr w:type="spellEnd"/>
      <w:r w:rsidR="000424C7">
        <w:t xml:space="preserve"> lab for analysis feedback</w:t>
      </w:r>
      <w:r>
        <w:t>. NGS acknowledges funding support from the NSF (</w:t>
      </w:r>
      <w:r w:rsidRPr="00F33193">
        <w:t>DEB-2045968</w:t>
      </w:r>
      <w:r>
        <w:t>)</w:t>
      </w:r>
      <w:r w:rsidR="00585D18">
        <w:t xml:space="preserve"> </w:t>
      </w:r>
      <w:r>
        <w:t>and Texas Tech University.</w:t>
      </w:r>
      <w:r w:rsidR="00E56477">
        <w:t xml:space="preserve"> This research is a contribution </w:t>
      </w:r>
      <w:r w:rsidR="00585D18">
        <w:t xml:space="preserve">to the LEMONTREE (Land Ecosystem Models based On New Theory, </w:t>
      </w:r>
      <w:proofErr w:type="spellStart"/>
      <w:r w:rsidR="00585D18">
        <w:t>obseRvations</w:t>
      </w:r>
      <w:proofErr w:type="spellEnd"/>
      <w:r w:rsidR="00585D18">
        <w:t xml:space="preserve"> and </w:t>
      </w:r>
      <w:proofErr w:type="spellStart"/>
      <w:r w:rsidR="00585D18">
        <w:t>ExperimEnts</w:t>
      </w:r>
      <w:proofErr w:type="spellEnd"/>
      <w:r w:rsidR="00585D18">
        <w:t xml:space="preserve">) project, funded through the generosity of Eric and Wendy Schmidt by recommendation of the Schmidt Futures </w:t>
      </w:r>
      <w:proofErr w:type="spellStart"/>
      <w:r w:rsidR="00585D18">
        <w:t>programme</w:t>
      </w:r>
      <w:proofErr w:type="spellEnd"/>
      <w:r w:rsidR="00585D18">
        <w:t>.</w:t>
      </w:r>
    </w:p>
    <w:p w14:paraId="0ED32DAC" w14:textId="77777777" w:rsidR="004A35A3" w:rsidRDefault="004A35A3" w:rsidP="008B6B1D">
      <w:pPr>
        <w:spacing w:line="480" w:lineRule="auto"/>
      </w:pPr>
    </w:p>
    <w:p w14:paraId="2498C7DF" w14:textId="35A7DBEC" w:rsidR="00774D67" w:rsidRDefault="00774D67" w:rsidP="008B6B1D">
      <w:pPr>
        <w:spacing w:line="480" w:lineRule="auto"/>
        <w:rPr>
          <w:b/>
          <w:bCs/>
        </w:rPr>
      </w:pPr>
      <w:r>
        <w:rPr>
          <w:b/>
          <w:bCs/>
        </w:rPr>
        <w:t>Author contributions</w:t>
      </w:r>
    </w:p>
    <w:p w14:paraId="03ACC920" w14:textId="0AC5E2F7" w:rsidR="00774D67" w:rsidRPr="00774D67" w:rsidRDefault="00303F2D" w:rsidP="008B6B1D">
      <w:pPr>
        <w:spacing w:line="480" w:lineRule="auto"/>
      </w:pPr>
      <w:r>
        <w:t>EAP conducted data analysis, wrote the first draft of the manuscript</w:t>
      </w:r>
      <w:r w:rsidR="00585D18">
        <w:t xml:space="preserve"> with NGS</w:t>
      </w:r>
      <w:r>
        <w:t>, and</w:t>
      </w:r>
      <w:r w:rsidR="00BB1D36">
        <w:t xml:space="preserve"> made revisions based on collaborator and reviewer feedback</w:t>
      </w:r>
      <w:r w:rsidR="00585D18">
        <w:t xml:space="preserve"> with NGS</w:t>
      </w:r>
      <w:r w:rsidR="00BB1D36">
        <w:t>.</w:t>
      </w:r>
      <w:r>
        <w:t xml:space="preserve"> </w:t>
      </w:r>
      <w:r w:rsidR="00BE2568">
        <w:t>JT designed</w:t>
      </w:r>
      <w:r w:rsidR="000424C7">
        <w:t xml:space="preserve"> the experiment</w:t>
      </w:r>
      <w:r w:rsidR="00F008CB">
        <w:t xml:space="preserve"> with NGS and EAP</w:t>
      </w:r>
      <w:r w:rsidR="000424C7">
        <w:t>,</w:t>
      </w:r>
      <w:r w:rsidR="00BE2568">
        <w:t xml:space="preserve"> carried out the experiment, </w:t>
      </w:r>
      <w:r w:rsidR="00BB1D36">
        <w:t xml:space="preserve">and contributed to manuscript revisions. HG assisted with post-experiment harvest </w:t>
      </w:r>
      <w:r w:rsidR="000424C7">
        <w:t>and</w:t>
      </w:r>
      <w:r w:rsidR="00BB1D36">
        <w:t xml:space="preserve"> contributed to manuscript revisions. NGS oversaw </w:t>
      </w:r>
      <w:r w:rsidR="00BB1D36">
        <w:lastRenderedPageBreak/>
        <w:t>experiment progress, assisted with the post-experiment harvest, and contributed to manuscript revisions.</w:t>
      </w:r>
    </w:p>
    <w:p w14:paraId="7644E0A0" w14:textId="77777777" w:rsidR="00774D67" w:rsidRPr="00774D67" w:rsidRDefault="00774D67" w:rsidP="008B6B1D">
      <w:pPr>
        <w:spacing w:line="480" w:lineRule="auto"/>
      </w:pPr>
    </w:p>
    <w:p w14:paraId="4E523BAD" w14:textId="77777777" w:rsidR="00774D67" w:rsidRDefault="00774D67" w:rsidP="008B6B1D">
      <w:pPr>
        <w:spacing w:line="480" w:lineRule="auto"/>
      </w:pPr>
      <w:r>
        <w:rPr>
          <w:b/>
          <w:bCs/>
        </w:rPr>
        <w:t>Data Availability Statement</w:t>
      </w:r>
    </w:p>
    <w:p w14:paraId="6CB735A2" w14:textId="18ADE776" w:rsidR="00774D67" w:rsidRPr="00774D67" w:rsidRDefault="00774D67" w:rsidP="008B6B1D">
      <w:pPr>
        <w:spacing w:line="480" w:lineRule="auto"/>
      </w:pPr>
      <w:r>
        <w:t>All statistical analyses and plots were created in R version 4.</w:t>
      </w:r>
      <w:r w:rsidR="00BB1D36">
        <w:t>2</w:t>
      </w:r>
      <w:r>
        <w:t>.</w:t>
      </w:r>
      <w:r w:rsidR="00BB1D36">
        <w:t>0</w:t>
      </w:r>
      <w:r>
        <w:t xml:space="preserve">. All R code and data for this manuscript are available in a GitHub repository at </w:t>
      </w:r>
      <w:commentRangeStart w:id="8"/>
      <w:r>
        <w:t xml:space="preserve">&lt;insert URL here&gt; (&lt;insert DOI from </w:t>
      </w:r>
      <w:proofErr w:type="spellStart"/>
      <w:r>
        <w:t>Zenodo</w:t>
      </w:r>
      <w:proofErr w:type="spellEnd"/>
      <w:r>
        <w:t xml:space="preserve"> here&gt;)</w:t>
      </w:r>
      <w:commentRangeEnd w:id="8"/>
      <w:r w:rsidR="00585D18">
        <w:rPr>
          <w:rStyle w:val="CommentReference"/>
          <w:rFonts w:eastAsia="Times New Roman" w:cs="Times New Roman"/>
        </w:rPr>
        <w:commentReference w:id="8"/>
      </w:r>
      <w:r>
        <w:t>.</w:t>
      </w:r>
    </w:p>
    <w:p w14:paraId="70D78CE6" w14:textId="6D045050" w:rsidR="00772287" w:rsidRDefault="00772287" w:rsidP="00A754EC">
      <w:pPr>
        <w:spacing w:line="360" w:lineRule="auto"/>
        <w:rPr>
          <w:b/>
          <w:bCs/>
        </w:rPr>
      </w:pPr>
      <w:r>
        <w:rPr>
          <w:b/>
          <w:bCs/>
        </w:rPr>
        <w:br w:type="page"/>
      </w:r>
    </w:p>
    <w:p w14:paraId="4E44C6AA" w14:textId="705CFE53" w:rsidR="003C2C84" w:rsidRPr="00754725" w:rsidRDefault="00772287" w:rsidP="003C2C84">
      <w:pPr>
        <w:spacing w:line="480" w:lineRule="auto"/>
        <w:rPr>
          <w:b/>
          <w:bCs/>
        </w:rPr>
      </w:pPr>
      <w:r>
        <w:rPr>
          <w:b/>
          <w:bCs/>
        </w:rPr>
        <w:lastRenderedPageBreak/>
        <w:t>References</w:t>
      </w:r>
    </w:p>
    <w:sectPr w:rsidR="003C2C84" w:rsidRPr="00754725" w:rsidSect="00E256F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ck Smith" w:date="2023-11-27T14:01:00Z" w:initials="NGS">
    <w:p w14:paraId="12051A4C" w14:textId="77777777" w:rsidR="00E56477" w:rsidRDefault="00E56477">
      <w:pPr>
        <w:pStyle w:val="CommentText"/>
        <w:rPr>
          <w:sz w:val="24"/>
          <w:szCs w:val="24"/>
        </w:rPr>
      </w:pPr>
      <w:r>
        <w:rPr>
          <w:rStyle w:val="CommentReference"/>
        </w:rPr>
        <w:annotationRef/>
      </w:r>
      <w:r w:rsidRPr="2D054113">
        <w:rPr>
          <w:sz w:val="24"/>
          <w:szCs w:val="24"/>
        </w:rPr>
        <w:t xml:space="preserve">Montville, R., &amp; Schaffner, D. W. (2004). Analysis of Published Sprout Seed Sanitization Studies Shows Treatments Are Highly Variable. </w:t>
      </w:r>
      <w:r w:rsidRPr="2D054113">
        <w:rPr>
          <w:i/>
          <w:iCs/>
          <w:sz w:val="24"/>
          <w:szCs w:val="24"/>
        </w:rPr>
        <w:t>Journal of Food Protection</w:t>
      </w:r>
      <w:r w:rsidRPr="2D054113">
        <w:rPr>
          <w:sz w:val="24"/>
          <w:szCs w:val="24"/>
        </w:rPr>
        <w:t xml:space="preserve">, </w:t>
      </w:r>
      <w:r w:rsidRPr="2D054113">
        <w:rPr>
          <w:i/>
          <w:iCs/>
          <w:sz w:val="24"/>
          <w:szCs w:val="24"/>
        </w:rPr>
        <w:t>67</w:t>
      </w:r>
      <w:r w:rsidRPr="2D054113">
        <w:rPr>
          <w:sz w:val="24"/>
          <w:szCs w:val="24"/>
        </w:rPr>
        <w:t>(4), 758–765.</w:t>
      </w:r>
    </w:p>
    <w:p w14:paraId="4FD698A7" w14:textId="72BBB7AF" w:rsidR="00E56477" w:rsidRDefault="00E56477">
      <w:pPr>
        <w:pStyle w:val="CommentText"/>
      </w:pPr>
      <w:r w:rsidRPr="0847F491">
        <w:rPr>
          <w:sz w:val="24"/>
          <w:szCs w:val="24"/>
        </w:rPr>
        <w:t xml:space="preserve">Scouten, A. J., &amp; Beuchat, L. R. (2002). Combined effects of chemical, heat and ultrasound treatments to kill Salmonella and Escherichia coli O157:H7 on alfalfa seeds. </w:t>
      </w:r>
      <w:r w:rsidRPr="0847F491">
        <w:rPr>
          <w:i/>
          <w:iCs/>
          <w:sz w:val="24"/>
          <w:szCs w:val="24"/>
        </w:rPr>
        <w:t>Journal of Applied Microbiology</w:t>
      </w:r>
      <w:r w:rsidRPr="0847F491">
        <w:rPr>
          <w:sz w:val="24"/>
          <w:szCs w:val="24"/>
        </w:rPr>
        <w:t xml:space="preserve">, </w:t>
      </w:r>
      <w:r w:rsidRPr="0847F491">
        <w:rPr>
          <w:i/>
          <w:iCs/>
          <w:sz w:val="24"/>
          <w:szCs w:val="24"/>
        </w:rPr>
        <w:t>92</w:t>
      </w:r>
      <w:r w:rsidRPr="0847F491">
        <w:rPr>
          <w:sz w:val="24"/>
          <w:szCs w:val="24"/>
        </w:rPr>
        <w:t>(4), 668–674.</w:t>
      </w:r>
    </w:p>
  </w:comment>
  <w:comment w:id="1" w:author="Nick Smith" w:date="2023-11-17T13:10:00Z" w:initials="NGS">
    <w:p w14:paraId="1FA65872" w14:textId="70A4DC02" w:rsidR="00E56477" w:rsidRDefault="00E56477">
      <w:pPr>
        <w:pStyle w:val="CommentText"/>
      </w:pPr>
      <w:r>
        <w:rPr>
          <w:rStyle w:val="CommentReference"/>
        </w:rPr>
        <w:annotationRef/>
      </w:r>
      <w:r>
        <w:t>Can x-axis ticks be modified such that there is only one tick per soil N treatment?</w:t>
      </w:r>
    </w:p>
  </w:comment>
  <w:comment w:id="2" w:author="Nick Smith" w:date="2023-11-27T14:02:00Z" w:initials="NGS">
    <w:p w14:paraId="7CD0B289" w14:textId="4716C469" w:rsidR="00E56477" w:rsidRDefault="00E56477">
      <w:pPr>
        <w:pStyle w:val="CommentText"/>
      </w:pPr>
      <w:r>
        <w:rPr>
          <w:rStyle w:val="CommentReference"/>
        </w:rPr>
        <w:annotationRef/>
      </w:r>
      <w:r>
        <w:t>Place boxes for each fertilizer treatment next to each other as well</w:t>
      </w:r>
    </w:p>
  </w:comment>
  <w:comment w:id="3" w:author="Nick Smith" w:date="2023-11-17T13:12:00Z" w:initials="NGS">
    <w:p w14:paraId="126E2C9A" w14:textId="5B7C3A93" w:rsidR="00E56477" w:rsidRDefault="00E56477">
      <w:pPr>
        <w:pStyle w:val="CommentText"/>
      </w:pPr>
      <w:r>
        <w:rPr>
          <w:rStyle w:val="CommentReference"/>
        </w:rPr>
        <w:annotationRef/>
      </w:r>
      <w:r>
        <w:t>I think panel C could be a separate figure</w:t>
      </w:r>
    </w:p>
  </w:comment>
  <w:comment w:id="4" w:author="Nick Smith" w:date="2023-11-27T14:02:00Z" w:initials="NGS">
    <w:p w14:paraId="5299EEB6" w14:textId="0AA6EDFB" w:rsidR="00E56477" w:rsidRDefault="00E56477">
      <w:pPr>
        <w:pStyle w:val="CommentText"/>
      </w:pPr>
      <w:r>
        <w:rPr>
          <w:rStyle w:val="CommentReference"/>
        </w:rPr>
        <w:annotationRef/>
      </w:r>
      <w:r>
        <w:t>Also include Nodule biomass and root biomass as panels for this new figure</w:t>
      </w:r>
    </w:p>
  </w:comment>
  <w:comment w:id="5" w:author="Nick Smith" w:date="2023-11-27T14:46:00Z" w:initials="NGS">
    <w:p w14:paraId="13DA7444" w14:textId="77777777" w:rsidR="00E56477" w:rsidRPr="00E9044E" w:rsidRDefault="00E56477" w:rsidP="00E9044E">
      <w:pPr>
        <w:rPr>
          <w:rFonts w:eastAsia="Times New Roman" w:cs="Times New Roman"/>
        </w:rPr>
      </w:pPr>
      <w:r>
        <w:rPr>
          <w:rStyle w:val="CommentReference"/>
        </w:rPr>
        <w:annotationRef/>
      </w:r>
      <w:r w:rsidRPr="00E9044E">
        <w:rPr>
          <w:rFonts w:eastAsia="Times New Roman" w:cs="Times New Roman"/>
          <w:b/>
          <w:bCs/>
        </w:rPr>
        <w:t xml:space="preserve">Monks A, </w:t>
      </w:r>
      <w:r w:rsidRPr="00E9044E">
        <w:rPr>
          <w:rFonts w:eastAsia="Times New Roman" w:cs="Times New Roman"/>
          <w:b/>
          <w:bCs/>
        </w:rPr>
        <w:t>Cieraad E, Burrows L, Walker S</w:t>
      </w:r>
      <w:r w:rsidRPr="00E9044E">
        <w:rPr>
          <w:rFonts w:eastAsia="Times New Roman" w:cs="Times New Roman"/>
        </w:rPr>
        <w:t xml:space="preserve">. 2012. Higher relative performance at low soil nitrogen and moisture predicts field distribution of nitrogen-fixing plants. Plant and Soil </w:t>
      </w:r>
      <w:r w:rsidRPr="00E9044E">
        <w:rPr>
          <w:rFonts w:eastAsia="Times New Roman" w:cs="Times New Roman"/>
          <w:b/>
          <w:bCs/>
        </w:rPr>
        <w:t>359</w:t>
      </w:r>
      <w:r w:rsidRPr="00E9044E">
        <w:rPr>
          <w:rFonts w:eastAsia="Times New Roman" w:cs="Times New Roman"/>
        </w:rPr>
        <w:t>, 363–374.</w:t>
      </w:r>
    </w:p>
    <w:p w14:paraId="113136B3" w14:textId="280C2388" w:rsidR="00E56477" w:rsidRDefault="00E56477">
      <w:pPr>
        <w:pStyle w:val="CommentText"/>
      </w:pPr>
    </w:p>
  </w:comment>
  <w:comment w:id="6" w:author="Nick Smith" w:date="2023-11-27T15:03:00Z" w:initials="NGS">
    <w:p w14:paraId="24DFE28D" w14:textId="2E79F321" w:rsidR="00E56477" w:rsidRDefault="00E56477">
      <w:pPr>
        <w:pStyle w:val="CommentText"/>
      </w:pPr>
      <w:r>
        <w:rPr>
          <w:rStyle w:val="CommentReference"/>
        </w:rPr>
        <w:annotationRef/>
      </w:r>
      <w:r>
        <w:t>Better FUN paper?</w:t>
      </w:r>
    </w:p>
  </w:comment>
  <w:comment w:id="7" w:author="Nick Smith" w:date="2023-11-27T15:17:00Z" w:initials="NGS">
    <w:p w14:paraId="4ABCB1DB" w14:textId="42C2F61C" w:rsidR="00E56477" w:rsidRPr="00950B61" w:rsidRDefault="00E56477" w:rsidP="00950B61">
      <w:pPr>
        <w:rPr>
          <w:rFonts w:eastAsia="Times New Roman" w:cs="Times New Roman"/>
        </w:rPr>
      </w:pPr>
      <w:r>
        <w:rPr>
          <w:rStyle w:val="CommentReference"/>
        </w:rPr>
        <w:annotationRef/>
      </w:r>
      <w:r w:rsidRPr="00950B61">
        <w:rPr>
          <w:rFonts w:eastAsia="Times New Roman" w:cs="Times New Roman"/>
          <w:b/>
          <w:bCs/>
        </w:rPr>
        <w:t>ÅGREN GI, FRANKLIN O</w:t>
      </w:r>
      <w:r w:rsidRPr="00950B61">
        <w:rPr>
          <w:rFonts w:eastAsia="Times New Roman" w:cs="Times New Roman"/>
        </w:rPr>
        <w:t xml:space="preserve">. 2003. Root : Shoot Ratios, Optimization and Nitrogen Productivity. Annals of Botany </w:t>
      </w:r>
      <w:r w:rsidRPr="00950B61">
        <w:rPr>
          <w:rFonts w:eastAsia="Times New Roman" w:cs="Times New Roman"/>
          <w:b/>
          <w:bCs/>
        </w:rPr>
        <w:t>92</w:t>
      </w:r>
      <w:r w:rsidRPr="00950B61">
        <w:rPr>
          <w:rFonts w:eastAsia="Times New Roman" w:cs="Times New Roman"/>
        </w:rPr>
        <w:t>, 795–800.</w:t>
      </w:r>
    </w:p>
  </w:comment>
  <w:comment w:id="8" w:author="Nick Smith" w:date="2023-11-27T15:44:00Z" w:initials="NGS">
    <w:p w14:paraId="4C5E4CC1" w14:textId="47BAD058" w:rsidR="00585D18" w:rsidRDefault="00585D18">
      <w:pPr>
        <w:pStyle w:val="CommentText"/>
      </w:pPr>
      <w:r>
        <w:rPr>
          <w:rStyle w:val="CommentReference"/>
        </w:rPr>
        <w:annotationRef/>
      </w:r>
      <w:r>
        <w:t xml:space="preserve">For </w:t>
      </w:r>
      <w:r>
        <w:t>evan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D698A7" w15:done="0"/>
  <w15:commentEx w15:paraId="1FA65872" w15:done="0"/>
  <w15:commentEx w15:paraId="7CD0B289" w15:paraIdParent="1FA65872" w15:done="0"/>
  <w15:commentEx w15:paraId="126E2C9A" w15:done="0"/>
  <w15:commentEx w15:paraId="5299EEB6" w15:paraIdParent="126E2C9A" w15:done="0"/>
  <w15:commentEx w15:paraId="113136B3" w15:done="0"/>
  <w15:commentEx w15:paraId="24DFE28D" w15:done="0"/>
  <w15:commentEx w15:paraId="4ABCB1DB" w15:done="0"/>
  <w15:commentEx w15:paraId="4C5E4C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D698A7" w16cid:durableId="290F1FB6"/>
  <w16cid:commentId w16cid:paraId="1FA65872" w16cid:durableId="2901E4CA"/>
  <w16cid:commentId w16cid:paraId="7CD0B289" w16cid:durableId="290F1FFD"/>
  <w16cid:commentId w16cid:paraId="126E2C9A" w16cid:durableId="2901E543"/>
  <w16cid:commentId w16cid:paraId="5299EEB6" w16cid:durableId="290F1FE7"/>
  <w16cid:commentId w16cid:paraId="113136B3" w16cid:durableId="290F2A4B"/>
  <w16cid:commentId w16cid:paraId="24DFE28D" w16cid:durableId="290F2E58"/>
  <w16cid:commentId w16cid:paraId="4ABCB1DB" w16cid:durableId="290F316D"/>
  <w16cid:commentId w16cid:paraId="4C5E4CC1" w16cid:durableId="290F37D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10B5"/>
    <w:multiLevelType w:val="hybridMultilevel"/>
    <w:tmpl w:val="69BEFF9C"/>
    <w:lvl w:ilvl="0" w:tplc="C554C5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E91627"/>
    <w:multiLevelType w:val="hybridMultilevel"/>
    <w:tmpl w:val="32F066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51330F9"/>
    <w:multiLevelType w:val="hybridMultilevel"/>
    <w:tmpl w:val="B2EC833E"/>
    <w:lvl w:ilvl="0" w:tplc="83F0087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A4972"/>
    <w:multiLevelType w:val="hybridMultilevel"/>
    <w:tmpl w:val="3E84DDC2"/>
    <w:lvl w:ilvl="0" w:tplc="C554C5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8E87B4B"/>
    <w:multiLevelType w:val="hybridMultilevel"/>
    <w:tmpl w:val="5B4CD1B4"/>
    <w:lvl w:ilvl="0" w:tplc="BBE4A81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51141A"/>
    <w:multiLevelType w:val="hybridMultilevel"/>
    <w:tmpl w:val="5FF47F3C"/>
    <w:lvl w:ilvl="0" w:tplc="F600017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1291750">
    <w:abstractNumId w:val="5"/>
  </w:num>
  <w:num w:numId="2" w16cid:durableId="1848590900">
    <w:abstractNumId w:val="2"/>
  </w:num>
  <w:num w:numId="3" w16cid:durableId="491676079">
    <w:abstractNumId w:val="1"/>
  </w:num>
  <w:num w:numId="4" w16cid:durableId="700983650">
    <w:abstractNumId w:val="0"/>
  </w:num>
  <w:num w:numId="5" w16cid:durableId="2085101507">
    <w:abstractNumId w:val="4"/>
  </w:num>
  <w:num w:numId="6" w16cid:durableId="181301329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D74"/>
    <w:rsid w:val="00006440"/>
    <w:rsid w:val="000103A6"/>
    <w:rsid w:val="000137B5"/>
    <w:rsid w:val="00013F5C"/>
    <w:rsid w:val="00015827"/>
    <w:rsid w:val="00020222"/>
    <w:rsid w:val="00021BEB"/>
    <w:rsid w:val="00033599"/>
    <w:rsid w:val="0004004B"/>
    <w:rsid w:val="000407A6"/>
    <w:rsid w:val="000424C7"/>
    <w:rsid w:val="000443A6"/>
    <w:rsid w:val="00045694"/>
    <w:rsid w:val="00047FF3"/>
    <w:rsid w:val="00055528"/>
    <w:rsid w:val="00061330"/>
    <w:rsid w:val="00064D06"/>
    <w:rsid w:val="00071365"/>
    <w:rsid w:val="00072D81"/>
    <w:rsid w:val="0007391F"/>
    <w:rsid w:val="0007464E"/>
    <w:rsid w:val="0007680C"/>
    <w:rsid w:val="00080882"/>
    <w:rsid w:val="000846E5"/>
    <w:rsid w:val="00086E13"/>
    <w:rsid w:val="00091EA0"/>
    <w:rsid w:val="00096CD6"/>
    <w:rsid w:val="00097A1D"/>
    <w:rsid w:val="000A15F3"/>
    <w:rsid w:val="000A24B2"/>
    <w:rsid w:val="000B0465"/>
    <w:rsid w:val="000B25C5"/>
    <w:rsid w:val="000B35AF"/>
    <w:rsid w:val="000B4FCB"/>
    <w:rsid w:val="000B69B8"/>
    <w:rsid w:val="000C5833"/>
    <w:rsid w:val="000C5C34"/>
    <w:rsid w:val="000D2FE4"/>
    <w:rsid w:val="000D5B61"/>
    <w:rsid w:val="000E1A24"/>
    <w:rsid w:val="000E40BD"/>
    <w:rsid w:val="000E5005"/>
    <w:rsid w:val="000E65D6"/>
    <w:rsid w:val="000E7D92"/>
    <w:rsid w:val="000F0314"/>
    <w:rsid w:val="000F1E36"/>
    <w:rsid w:val="00102628"/>
    <w:rsid w:val="00106FCE"/>
    <w:rsid w:val="0011017D"/>
    <w:rsid w:val="00114DDF"/>
    <w:rsid w:val="00115F98"/>
    <w:rsid w:val="00116583"/>
    <w:rsid w:val="001227FA"/>
    <w:rsid w:val="00125358"/>
    <w:rsid w:val="00126F94"/>
    <w:rsid w:val="00131777"/>
    <w:rsid w:val="00140846"/>
    <w:rsid w:val="00140BC4"/>
    <w:rsid w:val="001438DB"/>
    <w:rsid w:val="00145675"/>
    <w:rsid w:val="00146410"/>
    <w:rsid w:val="001500C2"/>
    <w:rsid w:val="00150CFB"/>
    <w:rsid w:val="00166B47"/>
    <w:rsid w:val="00167EA8"/>
    <w:rsid w:val="0017601E"/>
    <w:rsid w:val="00181F29"/>
    <w:rsid w:val="00182295"/>
    <w:rsid w:val="00192404"/>
    <w:rsid w:val="001930CD"/>
    <w:rsid w:val="001A1184"/>
    <w:rsid w:val="001A31D4"/>
    <w:rsid w:val="001A4127"/>
    <w:rsid w:val="001A5E20"/>
    <w:rsid w:val="001A5F2D"/>
    <w:rsid w:val="001A743B"/>
    <w:rsid w:val="001B143E"/>
    <w:rsid w:val="001B21C7"/>
    <w:rsid w:val="001B24E0"/>
    <w:rsid w:val="001B3B2A"/>
    <w:rsid w:val="001B6C4A"/>
    <w:rsid w:val="001B766A"/>
    <w:rsid w:val="001C1F9E"/>
    <w:rsid w:val="001C5321"/>
    <w:rsid w:val="001C6743"/>
    <w:rsid w:val="001D0903"/>
    <w:rsid w:val="001D15E4"/>
    <w:rsid w:val="001D26CA"/>
    <w:rsid w:val="001D4CE3"/>
    <w:rsid w:val="001D541B"/>
    <w:rsid w:val="001D79F3"/>
    <w:rsid w:val="001E40E6"/>
    <w:rsid w:val="001E4DC0"/>
    <w:rsid w:val="001F09BC"/>
    <w:rsid w:val="001F254A"/>
    <w:rsid w:val="001F2D5E"/>
    <w:rsid w:val="001F5FF5"/>
    <w:rsid w:val="00204F81"/>
    <w:rsid w:val="002177ED"/>
    <w:rsid w:val="00217A2E"/>
    <w:rsid w:val="00221A4C"/>
    <w:rsid w:val="0022275C"/>
    <w:rsid w:val="00224179"/>
    <w:rsid w:val="00231617"/>
    <w:rsid w:val="00235EDC"/>
    <w:rsid w:val="00237528"/>
    <w:rsid w:val="00251AEA"/>
    <w:rsid w:val="002548F5"/>
    <w:rsid w:val="0025668C"/>
    <w:rsid w:val="00262143"/>
    <w:rsid w:val="00264E17"/>
    <w:rsid w:val="00265035"/>
    <w:rsid w:val="002665D6"/>
    <w:rsid w:val="00266AD9"/>
    <w:rsid w:val="00266FA1"/>
    <w:rsid w:val="00267C61"/>
    <w:rsid w:val="00270350"/>
    <w:rsid w:val="00271F6C"/>
    <w:rsid w:val="00272DB1"/>
    <w:rsid w:val="00272E59"/>
    <w:rsid w:val="00283E1D"/>
    <w:rsid w:val="00283F06"/>
    <w:rsid w:val="00287D42"/>
    <w:rsid w:val="0029276A"/>
    <w:rsid w:val="00293580"/>
    <w:rsid w:val="002948B1"/>
    <w:rsid w:val="002948E0"/>
    <w:rsid w:val="00295B37"/>
    <w:rsid w:val="002A0FC6"/>
    <w:rsid w:val="002A5009"/>
    <w:rsid w:val="002A575E"/>
    <w:rsid w:val="002A7BCE"/>
    <w:rsid w:val="002B4EF9"/>
    <w:rsid w:val="002C2298"/>
    <w:rsid w:val="002C2B2A"/>
    <w:rsid w:val="002C2D4C"/>
    <w:rsid w:val="002C360E"/>
    <w:rsid w:val="002C4FBE"/>
    <w:rsid w:val="002C5045"/>
    <w:rsid w:val="002D044D"/>
    <w:rsid w:val="002D150D"/>
    <w:rsid w:val="002D49E3"/>
    <w:rsid w:val="002D7F0E"/>
    <w:rsid w:val="002E7D85"/>
    <w:rsid w:val="002F0BBB"/>
    <w:rsid w:val="002F24D6"/>
    <w:rsid w:val="002F3BA4"/>
    <w:rsid w:val="002F57B0"/>
    <w:rsid w:val="003003F0"/>
    <w:rsid w:val="003032DB"/>
    <w:rsid w:val="00303814"/>
    <w:rsid w:val="00303F2D"/>
    <w:rsid w:val="0030516D"/>
    <w:rsid w:val="0030650A"/>
    <w:rsid w:val="00310558"/>
    <w:rsid w:val="00315200"/>
    <w:rsid w:val="00322974"/>
    <w:rsid w:val="00323EFB"/>
    <w:rsid w:val="0033651D"/>
    <w:rsid w:val="00340D31"/>
    <w:rsid w:val="00345929"/>
    <w:rsid w:val="00350162"/>
    <w:rsid w:val="00351491"/>
    <w:rsid w:val="00351A75"/>
    <w:rsid w:val="00353731"/>
    <w:rsid w:val="00360D30"/>
    <w:rsid w:val="00362FE3"/>
    <w:rsid w:val="00370AD1"/>
    <w:rsid w:val="00371C20"/>
    <w:rsid w:val="00376DE0"/>
    <w:rsid w:val="0038171F"/>
    <w:rsid w:val="0038539A"/>
    <w:rsid w:val="003873F0"/>
    <w:rsid w:val="003918A1"/>
    <w:rsid w:val="00391A1D"/>
    <w:rsid w:val="003A411D"/>
    <w:rsid w:val="003A4D07"/>
    <w:rsid w:val="003A5F9A"/>
    <w:rsid w:val="003A7574"/>
    <w:rsid w:val="003B2924"/>
    <w:rsid w:val="003B410D"/>
    <w:rsid w:val="003B4F23"/>
    <w:rsid w:val="003B6FAA"/>
    <w:rsid w:val="003B782E"/>
    <w:rsid w:val="003C2C84"/>
    <w:rsid w:val="003C51C9"/>
    <w:rsid w:val="003C553A"/>
    <w:rsid w:val="003C6063"/>
    <w:rsid w:val="003D1643"/>
    <w:rsid w:val="003D3439"/>
    <w:rsid w:val="003D74E1"/>
    <w:rsid w:val="003E1FC7"/>
    <w:rsid w:val="003E355C"/>
    <w:rsid w:val="003F2A85"/>
    <w:rsid w:val="00400618"/>
    <w:rsid w:val="004035F7"/>
    <w:rsid w:val="004039EE"/>
    <w:rsid w:val="00403BBD"/>
    <w:rsid w:val="004111A1"/>
    <w:rsid w:val="00412BAB"/>
    <w:rsid w:val="00417A8F"/>
    <w:rsid w:val="00417C57"/>
    <w:rsid w:val="00421AE0"/>
    <w:rsid w:val="00421BAA"/>
    <w:rsid w:val="00430044"/>
    <w:rsid w:val="004301BB"/>
    <w:rsid w:val="00431B7D"/>
    <w:rsid w:val="00433868"/>
    <w:rsid w:val="00437175"/>
    <w:rsid w:val="00440CFF"/>
    <w:rsid w:val="00443328"/>
    <w:rsid w:val="00447752"/>
    <w:rsid w:val="0045096E"/>
    <w:rsid w:val="00451CDF"/>
    <w:rsid w:val="00451ED1"/>
    <w:rsid w:val="00457CFE"/>
    <w:rsid w:val="00460656"/>
    <w:rsid w:val="00460EB9"/>
    <w:rsid w:val="00462729"/>
    <w:rsid w:val="0046396A"/>
    <w:rsid w:val="00464BF7"/>
    <w:rsid w:val="0046524E"/>
    <w:rsid w:val="004654D8"/>
    <w:rsid w:val="004667E6"/>
    <w:rsid w:val="00467321"/>
    <w:rsid w:val="004764EB"/>
    <w:rsid w:val="00477955"/>
    <w:rsid w:val="00477EE4"/>
    <w:rsid w:val="0048004A"/>
    <w:rsid w:val="00480FFF"/>
    <w:rsid w:val="00482C17"/>
    <w:rsid w:val="0048753D"/>
    <w:rsid w:val="00490BC5"/>
    <w:rsid w:val="0049190E"/>
    <w:rsid w:val="00492888"/>
    <w:rsid w:val="004940A0"/>
    <w:rsid w:val="00494E8C"/>
    <w:rsid w:val="00497794"/>
    <w:rsid w:val="004A2495"/>
    <w:rsid w:val="004A35A3"/>
    <w:rsid w:val="004A3DE5"/>
    <w:rsid w:val="004A6C35"/>
    <w:rsid w:val="004A6E69"/>
    <w:rsid w:val="004B1EA4"/>
    <w:rsid w:val="004B5E0F"/>
    <w:rsid w:val="004B7F18"/>
    <w:rsid w:val="004C0BD2"/>
    <w:rsid w:val="004C3C71"/>
    <w:rsid w:val="004C7C0C"/>
    <w:rsid w:val="004C7C69"/>
    <w:rsid w:val="004F4C11"/>
    <w:rsid w:val="004F515A"/>
    <w:rsid w:val="00502BC6"/>
    <w:rsid w:val="005042AD"/>
    <w:rsid w:val="005052B7"/>
    <w:rsid w:val="0051142F"/>
    <w:rsid w:val="00515D2D"/>
    <w:rsid w:val="005174E3"/>
    <w:rsid w:val="005214CF"/>
    <w:rsid w:val="00521B92"/>
    <w:rsid w:val="00524F9C"/>
    <w:rsid w:val="00525D8E"/>
    <w:rsid w:val="00526968"/>
    <w:rsid w:val="00532E28"/>
    <w:rsid w:val="00534BFA"/>
    <w:rsid w:val="0053745F"/>
    <w:rsid w:val="005379AB"/>
    <w:rsid w:val="00541380"/>
    <w:rsid w:val="00547EA6"/>
    <w:rsid w:val="00550616"/>
    <w:rsid w:val="00562561"/>
    <w:rsid w:val="00562F5D"/>
    <w:rsid w:val="00565C0A"/>
    <w:rsid w:val="00566FD1"/>
    <w:rsid w:val="00571371"/>
    <w:rsid w:val="00571A5C"/>
    <w:rsid w:val="00573C0E"/>
    <w:rsid w:val="00585D18"/>
    <w:rsid w:val="005879F3"/>
    <w:rsid w:val="005921A6"/>
    <w:rsid w:val="005942F6"/>
    <w:rsid w:val="00594F9B"/>
    <w:rsid w:val="005968A5"/>
    <w:rsid w:val="005A3AD9"/>
    <w:rsid w:val="005A73E0"/>
    <w:rsid w:val="005A7A45"/>
    <w:rsid w:val="005B21F4"/>
    <w:rsid w:val="005B6DED"/>
    <w:rsid w:val="005C40DF"/>
    <w:rsid w:val="005D006F"/>
    <w:rsid w:val="005D3C45"/>
    <w:rsid w:val="005E3C64"/>
    <w:rsid w:val="005E6154"/>
    <w:rsid w:val="005E752C"/>
    <w:rsid w:val="005F0602"/>
    <w:rsid w:val="005F1477"/>
    <w:rsid w:val="005F5455"/>
    <w:rsid w:val="00601827"/>
    <w:rsid w:val="00602B12"/>
    <w:rsid w:val="00607987"/>
    <w:rsid w:val="0061158F"/>
    <w:rsid w:val="00611A5F"/>
    <w:rsid w:val="00613A93"/>
    <w:rsid w:val="006157EC"/>
    <w:rsid w:val="006160E5"/>
    <w:rsid w:val="006209EB"/>
    <w:rsid w:val="00621781"/>
    <w:rsid w:val="00621CDE"/>
    <w:rsid w:val="00642465"/>
    <w:rsid w:val="0065127B"/>
    <w:rsid w:val="00651708"/>
    <w:rsid w:val="00654A55"/>
    <w:rsid w:val="006569E0"/>
    <w:rsid w:val="0066049F"/>
    <w:rsid w:val="00674BF3"/>
    <w:rsid w:val="00675662"/>
    <w:rsid w:val="00684F12"/>
    <w:rsid w:val="00690EDA"/>
    <w:rsid w:val="00696F09"/>
    <w:rsid w:val="006A0837"/>
    <w:rsid w:val="006A394B"/>
    <w:rsid w:val="006A5366"/>
    <w:rsid w:val="006B734B"/>
    <w:rsid w:val="006C0352"/>
    <w:rsid w:val="006C060E"/>
    <w:rsid w:val="006C0BAD"/>
    <w:rsid w:val="006C50B8"/>
    <w:rsid w:val="006C759F"/>
    <w:rsid w:val="006C7EA6"/>
    <w:rsid w:val="006D1951"/>
    <w:rsid w:val="006D3E93"/>
    <w:rsid w:val="006D7E2D"/>
    <w:rsid w:val="006E0881"/>
    <w:rsid w:val="006E3A3D"/>
    <w:rsid w:val="006E7608"/>
    <w:rsid w:val="006F4B04"/>
    <w:rsid w:val="007022D1"/>
    <w:rsid w:val="007065A3"/>
    <w:rsid w:val="0070788B"/>
    <w:rsid w:val="0072033E"/>
    <w:rsid w:val="00720972"/>
    <w:rsid w:val="00723F29"/>
    <w:rsid w:val="00727F3E"/>
    <w:rsid w:val="0073086F"/>
    <w:rsid w:val="007320E5"/>
    <w:rsid w:val="00736296"/>
    <w:rsid w:val="00737E3B"/>
    <w:rsid w:val="00743947"/>
    <w:rsid w:val="00746208"/>
    <w:rsid w:val="00746CCB"/>
    <w:rsid w:val="00751149"/>
    <w:rsid w:val="00754725"/>
    <w:rsid w:val="00756429"/>
    <w:rsid w:val="00763DFE"/>
    <w:rsid w:val="00766809"/>
    <w:rsid w:val="00771021"/>
    <w:rsid w:val="00772287"/>
    <w:rsid w:val="00772D20"/>
    <w:rsid w:val="00772F74"/>
    <w:rsid w:val="00774D67"/>
    <w:rsid w:val="007755C4"/>
    <w:rsid w:val="00777671"/>
    <w:rsid w:val="0078657E"/>
    <w:rsid w:val="00786D44"/>
    <w:rsid w:val="00790B8B"/>
    <w:rsid w:val="0079226D"/>
    <w:rsid w:val="00792D5B"/>
    <w:rsid w:val="007935E9"/>
    <w:rsid w:val="007A082A"/>
    <w:rsid w:val="007A08C0"/>
    <w:rsid w:val="007A2F1C"/>
    <w:rsid w:val="007A66FD"/>
    <w:rsid w:val="007A7928"/>
    <w:rsid w:val="007B12CC"/>
    <w:rsid w:val="007B13FC"/>
    <w:rsid w:val="007B192C"/>
    <w:rsid w:val="007B1AFE"/>
    <w:rsid w:val="007B3063"/>
    <w:rsid w:val="007B6971"/>
    <w:rsid w:val="007B6BD6"/>
    <w:rsid w:val="007B7C4F"/>
    <w:rsid w:val="007C1C57"/>
    <w:rsid w:val="007C2F39"/>
    <w:rsid w:val="007C5DE3"/>
    <w:rsid w:val="007C6B38"/>
    <w:rsid w:val="007D0701"/>
    <w:rsid w:val="007D2877"/>
    <w:rsid w:val="007E4069"/>
    <w:rsid w:val="007E5400"/>
    <w:rsid w:val="007E56DC"/>
    <w:rsid w:val="007E6FDF"/>
    <w:rsid w:val="007E743D"/>
    <w:rsid w:val="007F426D"/>
    <w:rsid w:val="007F4329"/>
    <w:rsid w:val="0080636D"/>
    <w:rsid w:val="00806371"/>
    <w:rsid w:val="0081139F"/>
    <w:rsid w:val="00813CB8"/>
    <w:rsid w:val="0081750C"/>
    <w:rsid w:val="00817E03"/>
    <w:rsid w:val="00830C83"/>
    <w:rsid w:val="00831D90"/>
    <w:rsid w:val="00847557"/>
    <w:rsid w:val="0084793A"/>
    <w:rsid w:val="00850627"/>
    <w:rsid w:val="00850723"/>
    <w:rsid w:val="00852AF7"/>
    <w:rsid w:val="0085460C"/>
    <w:rsid w:val="00867812"/>
    <w:rsid w:val="00871D5C"/>
    <w:rsid w:val="0087300A"/>
    <w:rsid w:val="00876B7A"/>
    <w:rsid w:val="00884550"/>
    <w:rsid w:val="00885391"/>
    <w:rsid w:val="008854FF"/>
    <w:rsid w:val="008873DD"/>
    <w:rsid w:val="00887478"/>
    <w:rsid w:val="00895284"/>
    <w:rsid w:val="0089764A"/>
    <w:rsid w:val="008A60A5"/>
    <w:rsid w:val="008B104C"/>
    <w:rsid w:val="008B6B1D"/>
    <w:rsid w:val="008C398A"/>
    <w:rsid w:val="008C3EB8"/>
    <w:rsid w:val="008C4F5B"/>
    <w:rsid w:val="008C56B6"/>
    <w:rsid w:val="008D34FA"/>
    <w:rsid w:val="008D46B4"/>
    <w:rsid w:val="008D6E2F"/>
    <w:rsid w:val="008E2BDE"/>
    <w:rsid w:val="008E75B9"/>
    <w:rsid w:val="008E7FEB"/>
    <w:rsid w:val="008F26FA"/>
    <w:rsid w:val="008F457A"/>
    <w:rsid w:val="008F6058"/>
    <w:rsid w:val="009018A1"/>
    <w:rsid w:val="009022E6"/>
    <w:rsid w:val="00902FD9"/>
    <w:rsid w:val="00912680"/>
    <w:rsid w:val="0091473E"/>
    <w:rsid w:val="00915C7F"/>
    <w:rsid w:val="009162CB"/>
    <w:rsid w:val="00916FB5"/>
    <w:rsid w:val="009214F3"/>
    <w:rsid w:val="00926F7B"/>
    <w:rsid w:val="009273E2"/>
    <w:rsid w:val="0093380B"/>
    <w:rsid w:val="00936914"/>
    <w:rsid w:val="00942187"/>
    <w:rsid w:val="00947B9C"/>
    <w:rsid w:val="00947C65"/>
    <w:rsid w:val="00950B61"/>
    <w:rsid w:val="00950DDC"/>
    <w:rsid w:val="00950F50"/>
    <w:rsid w:val="009515D2"/>
    <w:rsid w:val="00956882"/>
    <w:rsid w:val="00957D32"/>
    <w:rsid w:val="00973FA7"/>
    <w:rsid w:val="00984383"/>
    <w:rsid w:val="00984B84"/>
    <w:rsid w:val="00987718"/>
    <w:rsid w:val="00987F23"/>
    <w:rsid w:val="00993546"/>
    <w:rsid w:val="00996C9F"/>
    <w:rsid w:val="00997D54"/>
    <w:rsid w:val="009A02EE"/>
    <w:rsid w:val="009A5542"/>
    <w:rsid w:val="009A60BD"/>
    <w:rsid w:val="009B1682"/>
    <w:rsid w:val="009C62F2"/>
    <w:rsid w:val="009C63FC"/>
    <w:rsid w:val="009C6E53"/>
    <w:rsid w:val="009D1104"/>
    <w:rsid w:val="009D2C98"/>
    <w:rsid w:val="009D3874"/>
    <w:rsid w:val="009D3FF6"/>
    <w:rsid w:val="009D6499"/>
    <w:rsid w:val="009D6E5B"/>
    <w:rsid w:val="009D7ED8"/>
    <w:rsid w:val="009E304C"/>
    <w:rsid w:val="009E31F0"/>
    <w:rsid w:val="009E6ED3"/>
    <w:rsid w:val="009F0F34"/>
    <w:rsid w:val="009F14D5"/>
    <w:rsid w:val="00A03A1B"/>
    <w:rsid w:val="00A07AF4"/>
    <w:rsid w:val="00A10AB7"/>
    <w:rsid w:val="00A138D0"/>
    <w:rsid w:val="00A13B09"/>
    <w:rsid w:val="00A1612D"/>
    <w:rsid w:val="00A163C6"/>
    <w:rsid w:val="00A20518"/>
    <w:rsid w:val="00A25EB2"/>
    <w:rsid w:val="00A30C53"/>
    <w:rsid w:val="00A3142C"/>
    <w:rsid w:val="00A3337F"/>
    <w:rsid w:val="00A33E81"/>
    <w:rsid w:val="00A33FE7"/>
    <w:rsid w:val="00A34369"/>
    <w:rsid w:val="00A433B8"/>
    <w:rsid w:val="00A44260"/>
    <w:rsid w:val="00A4564D"/>
    <w:rsid w:val="00A461D6"/>
    <w:rsid w:val="00A46FE6"/>
    <w:rsid w:val="00A57BBF"/>
    <w:rsid w:val="00A656A3"/>
    <w:rsid w:val="00A67AC8"/>
    <w:rsid w:val="00A71069"/>
    <w:rsid w:val="00A73883"/>
    <w:rsid w:val="00A74617"/>
    <w:rsid w:val="00A747FF"/>
    <w:rsid w:val="00A754EC"/>
    <w:rsid w:val="00A85036"/>
    <w:rsid w:val="00A9041E"/>
    <w:rsid w:val="00A97B6C"/>
    <w:rsid w:val="00A97E81"/>
    <w:rsid w:val="00AA41B8"/>
    <w:rsid w:val="00AA479F"/>
    <w:rsid w:val="00AA5502"/>
    <w:rsid w:val="00AA6BAB"/>
    <w:rsid w:val="00AB17F0"/>
    <w:rsid w:val="00AB654B"/>
    <w:rsid w:val="00AC1069"/>
    <w:rsid w:val="00AC38E7"/>
    <w:rsid w:val="00AC72FF"/>
    <w:rsid w:val="00AD6759"/>
    <w:rsid w:val="00AE0EFF"/>
    <w:rsid w:val="00AF02DC"/>
    <w:rsid w:val="00AF1559"/>
    <w:rsid w:val="00AF17C1"/>
    <w:rsid w:val="00AF426E"/>
    <w:rsid w:val="00B035D5"/>
    <w:rsid w:val="00B11CB2"/>
    <w:rsid w:val="00B20D1B"/>
    <w:rsid w:val="00B26369"/>
    <w:rsid w:val="00B310D2"/>
    <w:rsid w:val="00B33741"/>
    <w:rsid w:val="00B346E3"/>
    <w:rsid w:val="00B452E0"/>
    <w:rsid w:val="00B55208"/>
    <w:rsid w:val="00B601C0"/>
    <w:rsid w:val="00B62938"/>
    <w:rsid w:val="00B64237"/>
    <w:rsid w:val="00B65114"/>
    <w:rsid w:val="00B77283"/>
    <w:rsid w:val="00B84938"/>
    <w:rsid w:val="00B86B96"/>
    <w:rsid w:val="00B877FE"/>
    <w:rsid w:val="00B92FF2"/>
    <w:rsid w:val="00BA134D"/>
    <w:rsid w:val="00BA5B53"/>
    <w:rsid w:val="00BA6F63"/>
    <w:rsid w:val="00BA75F3"/>
    <w:rsid w:val="00BB175D"/>
    <w:rsid w:val="00BB1C61"/>
    <w:rsid w:val="00BB1D36"/>
    <w:rsid w:val="00BB5F98"/>
    <w:rsid w:val="00BB6891"/>
    <w:rsid w:val="00BC0551"/>
    <w:rsid w:val="00BC7961"/>
    <w:rsid w:val="00BD310E"/>
    <w:rsid w:val="00BD4037"/>
    <w:rsid w:val="00BD669B"/>
    <w:rsid w:val="00BE2568"/>
    <w:rsid w:val="00BE2E67"/>
    <w:rsid w:val="00BE583F"/>
    <w:rsid w:val="00BF3222"/>
    <w:rsid w:val="00BF7930"/>
    <w:rsid w:val="00C074CA"/>
    <w:rsid w:val="00C07F2A"/>
    <w:rsid w:val="00C15F8B"/>
    <w:rsid w:val="00C24060"/>
    <w:rsid w:val="00C26E3E"/>
    <w:rsid w:val="00C31CF3"/>
    <w:rsid w:val="00C32E51"/>
    <w:rsid w:val="00C377A1"/>
    <w:rsid w:val="00C4037A"/>
    <w:rsid w:val="00C41309"/>
    <w:rsid w:val="00C41A80"/>
    <w:rsid w:val="00C45948"/>
    <w:rsid w:val="00C4618D"/>
    <w:rsid w:val="00C56C83"/>
    <w:rsid w:val="00C57242"/>
    <w:rsid w:val="00C6042C"/>
    <w:rsid w:val="00C604EE"/>
    <w:rsid w:val="00C64309"/>
    <w:rsid w:val="00C654B2"/>
    <w:rsid w:val="00C66EFD"/>
    <w:rsid w:val="00C70352"/>
    <w:rsid w:val="00C70400"/>
    <w:rsid w:val="00C70E2E"/>
    <w:rsid w:val="00C72B7A"/>
    <w:rsid w:val="00C72D94"/>
    <w:rsid w:val="00C7318F"/>
    <w:rsid w:val="00C73C07"/>
    <w:rsid w:val="00C75D20"/>
    <w:rsid w:val="00C8325C"/>
    <w:rsid w:val="00C859D6"/>
    <w:rsid w:val="00C93F1B"/>
    <w:rsid w:val="00C93F2E"/>
    <w:rsid w:val="00CA0627"/>
    <w:rsid w:val="00CA5FBB"/>
    <w:rsid w:val="00CB1034"/>
    <w:rsid w:val="00CB446B"/>
    <w:rsid w:val="00CC06E6"/>
    <w:rsid w:val="00CC1CCF"/>
    <w:rsid w:val="00CC3B0A"/>
    <w:rsid w:val="00CC5E7B"/>
    <w:rsid w:val="00CD5C63"/>
    <w:rsid w:val="00CE366A"/>
    <w:rsid w:val="00CE398F"/>
    <w:rsid w:val="00CE771F"/>
    <w:rsid w:val="00CF0D09"/>
    <w:rsid w:val="00CF48BE"/>
    <w:rsid w:val="00CF5455"/>
    <w:rsid w:val="00CF665D"/>
    <w:rsid w:val="00D0019D"/>
    <w:rsid w:val="00D01503"/>
    <w:rsid w:val="00D02153"/>
    <w:rsid w:val="00D04ECF"/>
    <w:rsid w:val="00D05C84"/>
    <w:rsid w:val="00D14794"/>
    <w:rsid w:val="00D16FB9"/>
    <w:rsid w:val="00D17106"/>
    <w:rsid w:val="00D21DBD"/>
    <w:rsid w:val="00D23267"/>
    <w:rsid w:val="00D26E15"/>
    <w:rsid w:val="00D272B1"/>
    <w:rsid w:val="00D279E9"/>
    <w:rsid w:val="00D30494"/>
    <w:rsid w:val="00D306B3"/>
    <w:rsid w:val="00D32CFF"/>
    <w:rsid w:val="00D3527E"/>
    <w:rsid w:val="00D35783"/>
    <w:rsid w:val="00D373FB"/>
    <w:rsid w:val="00D45E15"/>
    <w:rsid w:val="00D45EE1"/>
    <w:rsid w:val="00D472D2"/>
    <w:rsid w:val="00D52C95"/>
    <w:rsid w:val="00D56C9D"/>
    <w:rsid w:val="00D61DA5"/>
    <w:rsid w:val="00D6220B"/>
    <w:rsid w:val="00D634C4"/>
    <w:rsid w:val="00D64D0D"/>
    <w:rsid w:val="00D652DF"/>
    <w:rsid w:val="00D660CD"/>
    <w:rsid w:val="00D66A72"/>
    <w:rsid w:val="00D67D74"/>
    <w:rsid w:val="00D73281"/>
    <w:rsid w:val="00D80427"/>
    <w:rsid w:val="00D8588A"/>
    <w:rsid w:val="00D86784"/>
    <w:rsid w:val="00D87519"/>
    <w:rsid w:val="00D87CFC"/>
    <w:rsid w:val="00D9075F"/>
    <w:rsid w:val="00D90888"/>
    <w:rsid w:val="00D9618B"/>
    <w:rsid w:val="00DA006B"/>
    <w:rsid w:val="00DA425E"/>
    <w:rsid w:val="00DA42E9"/>
    <w:rsid w:val="00DA60ED"/>
    <w:rsid w:val="00DA72DC"/>
    <w:rsid w:val="00DB3A79"/>
    <w:rsid w:val="00DC1821"/>
    <w:rsid w:val="00DC3DBA"/>
    <w:rsid w:val="00DC4961"/>
    <w:rsid w:val="00DD0878"/>
    <w:rsid w:val="00DE2FE3"/>
    <w:rsid w:val="00DE33E1"/>
    <w:rsid w:val="00DE50D7"/>
    <w:rsid w:val="00DE5D3F"/>
    <w:rsid w:val="00DE6B10"/>
    <w:rsid w:val="00E01FA8"/>
    <w:rsid w:val="00E0208C"/>
    <w:rsid w:val="00E12B46"/>
    <w:rsid w:val="00E12FFE"/>
    <w:rsid w:val="00E16C50"/>
    <w:rsid w:val="00E16CA5"/>
    <w:rsid w:val="00E20912"/>
    <w:rsid w:val="00E20C33"/>
    <w:rsid w:val="00E2103C"/>
    <w:rsid w:val="00E217B4"/>
    <w:rsid w:val="00E23DE1"/>
    <w:rsid w:val="00E256F3"/>
    <w:rsid w:val="00E26AC6"/>
    <w:rsid w:val="00E27650"/>
    <w:rsid w:val="00E33726"/>
    <w:rsid w:val="00E353CB"/>
    <w:rsid w:val="00E372EE"/>
    <w:rsid w:val="00E44BFE"/>
    <w:rsid w:val="00E56477"/>
    <w:rsid w:val="00E676AF"/>
    <w:rsid w:val="00E74A6D"/>
    <w:rsid w:val="00E83939"/>
    <w:rsid w:val="00E8768C"/>
    <w:rsid w:val="00E9044E"/>
    <w:rsid w:val="00E945AC"/>
    <w:rsid w:val="00EA0A3D"/>
    <w:rsid w:val="00EA15F8"/>
    <w:rsid w:val="00EA4E30"/>
    <w:rsid w:val="00EA5D43"/>
    <w:rsid w:val="00EA7EF8"/>
    <w:rsid w:val="00EB0C0F"/>
    <w:rsid w:val="00EB2706"/>
    <w:rsid w:val="00EB5CA3"/>
    <w:rsid w:val="00EC01F6"/>
    <w:rsid w:val="00EC11A8"/>
    <w:rsid w:val="00EC2C0C"/>
    <w:rsid w:val="00EC6B47"/>
    <w:rsid w:val="00ED1628"/>
    <w:rsid w:val="00ED1773"/>
    <w:rsid w:val="00ED2735"/>
    <w:rsid w:val="00ED4CFC"/>
    <w:rsid w:val="00EE4443"/>
    <w:rsid w:val="00EE5B74"/>
    <w:rsid w:val="00EE601F"/>
    <w:rsid w:val="00EE796F"/>
    <w:rsid w:val="00EF1D97"/>
    <w:rsid w:val="00EF3C3C"/>
    <w:rsid w:val="00F00703"/>
    <w:rsid w:val="00F008CB"/>
    <w:rsid w:val="00F01DF2"/>
    <w:rsid w:val="00F073BB"/>
    <w:rsid w:val="00F07852"/>
    <w:rsid w:val="00F1176B"/>
    <w:rsid w:val="00F13EBD"/>
    <w:rsid w:val="00F15597"/>
    <w:rsid w:val="00F21CD4"/>
    <w:rsid w:val="00F2556B"/>
    <w:rsid w:val="00F307CD"/>
    <w:rsid w:val="00F32359"/>
    <w:rsid w:val="00F332E7"/>
    <w:rsid w:val="00F43CC6"/>
    <w:rsid w:val="00F4560A"/>
    <w:rsid w:val="00F5091C"/>
    <w:rsid w:val="00F57D74"/>
    <w:rsid w:val="00F61FD5"/>
    <w:rsid w:val="00F633C1"/>
    <w:rsid w:val="00F640C8"/>
    <w:rsid w:val="00F645DB"/>
    <w:rsid w:val="00F706A9"/>
    <w:rsid w:val="00F7560D"/>
    <w:rsid w:val="00F75EB7"/>
    <w:rsid w:val="00F76F37"/>
    <w:rsid w:val="00F83744"/>
    <w:rsid w:val="00F871BB"/>
    <w:rsid w:val="00F87256"/>
    <w:rsid w:val="00F9445D"/>
    <w:rsid w:val="00FA37A7"/>
    <w:rsid w:val="00FB54EF"/>
    <w:rsid w:val="00FB7457"/>
    <w:rsid w:val="00FC0900"/>
    <w:rsid w:val="00FC4732"/>
    <w:rsid w:val="00FD1C5A"/>
    <w:rsid w:val="00FD4D4C"/>
    <w:rsid w:val="00FD777D"/>
    <w:rsid w:val="00FE31B0"/>
    <w:rsid w:val="00FE43A0"/>
    <w:rsid w:val="00FE4E0C"/>
    <w:rsid w:val="00FE5E18"/>
    <w:rsid w:val="00FE6DAB"/>
    <w:rsid w:val="00FE7202"/>
    <w:rsid w:val="00FF04C4"/>
    <w:rsid w:val="00FF0D02"/>
    <w:rsid w:val="00FF2F22"/>
    <w:rsid w:val="00FF5B3D"/>
    <w:rsid w:val="00FF6F53"/>
    <w:rsid w:val="00FF7948"/>
    <w:rsid w:val="00FF7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E19BC5"/>
  <w14:defaultImageDpi w14:val="32767"/>
  <w15:chartTrackingRefBased/>
  <w15:docId w15:val="{17DADD4F-3688-8347-9AF7-D44EF6255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B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46E5"/>
    <w:rPr>
      <w:color w:val="808080"/>
    </w:rPr>
  </w:style>
  <w:style w:type="table" w:styleId="TableGrid">
    <w:name w:val="Table Grid"/>
    <w:basedOn w:val="TableNormal"/>
    <w:uiPriority w:val="39"/>
    <w:rsid w:val="00BA75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F3"/>
    <w:rPr>
      <w:rFonts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754725"/>
    <w:rPr>
      <w:sz w:val="16"/>
      <w:szCs w:val="16"/>
    </w:rPr>
  </w:style>
  <w:style w:type="paragraph" w:styleId="CommentText">
    <w:name w:val="annotation text"/>
    <w:basedOn w:val="Normal"/>
    <w:link w:val="CommentTextChar"/>
    <w:uiPriority w:val="99"/>
    <w:unhideWhenUsed/>
    <w:rsid w:val="00754725"/>
    <w:rPr>
      <w:rFonts w:eastAsia="Times New Roman" w:cs="Times New Roman"/>
      <w:sz w:val="20"/>
      <w:szCs w:val="20"/>
    </w:rPr>
  </w:style>
  <w:style w:type="character" w:customStyle="1" w:styleId="CommentTextChar">
    <w:name w:val="Comment Text Char"/>
    <w:basedOn w:val="DefaultParagraphFont"/>
    <w:link w:val="CommentText"/>
    <w:uiPriority w:val="99"/>
    <w:rsid w:val="00754725"/>
    <w:rPr>
      <w:rFonts w:eastAsia="Times New Roman" w:cs="Times New Roman"/>
      <w:sz w:val="20"/>
      <w:szCs w:val="20"/>
    </w:rPr>
  </w:style>
  <w:style w:type="character" w:styleId="LineNumber">
    <w:name w:val="line number"/>
    <w:basedOn w:val="DefaultParagraphFont"/>
    <w:uiPriority w:val="99"/>
    <w:semiHidden/>
    <w:unhideWhenUsed/>
    <w:rsid w:val="00DD0878"/>
  </w:style>
  <w:style w:type="paragraph" w:styleId="CommentSubject">
    <w:name w:val="annotation subject"/>
    <w:basedOn w:val="CommentText"/>
    <w:next w:val="CommentText"/>
    <w:link w:val="CommentSubjectChar"/>
    <w:uiPriority w:val="99"/>
    <w:semiHidden/>
    <w:unhideWhenUsed/>
    <w:rsid w:val="00E256F3"/>
    <w:rPr>
      <w:rFonts w:eastAsiaTheme="minorHAnsi" w:cs="Times New Roman (Body CS)"/>
      <w:b/>
      <w:bCs/>
    </w:rPr>
  </w:style>
  <w:style w:type="character" w:customStyle="1" w:styleId="CommentSubjectChar">
    <w:name w:val="Comment Subject Char"/>
    <w:basedOn w:val="CommentTextChar"/>
    <w:link w:val="CommentSubject"/>
    <w:uiPriority w:val="99"/>
    <w:semiHidden/>
    <w:rsid w:val="00E256F3"/>
    <w:rPr>
      <w:rFonts w:eastAsia="Times New Roman" w:cs="Times New Roman"/>
      <w:b/>
      <w:bCs/>
      <w:sz w:val="20"/>
      <w:szCs w:val="20"/>
    </w:rPr>
  </w:style>
  <w:style w:type="paragraph" w:styleId="ListParagraph">
    <w:name w:val="List Paragraph"/>
    <w:basedOn w:val="Normal"/>
    <w:uiPriority w:val="34"/>
    <w:qFormat/>
    <w:rsid w:val="001D4CE3"/>
    <w:pPr>
      <w:ind w:left="720"/>
      <w:contextualSpacing/>
    </w:pPr>
  </w:style>
  <w:style w:type="paragraph" w:styleId="BalloonText">
    <w:name w:val="Balloon Text"/>
    <w:basedOn w:val="Normal"/>
    <w:link w:val="BalloonTextChar"/>
    <w:uiPriority w:val="99"/>
    <w:semiHidden/>
    <w:unhideWhenUsed/>
    <w:rsid w:val="00DE50D7"/>
    <w:rPr>
      <w:rFonts w:cs="Times New Roman"/>
      <w:sz w:val="18"/>
      <w:szCs w:val="18"/>
    </w:rPr>
  </w:style>
  <w:style w:type="character" w:customStyle="1" w:styleId="BalloonTextChar">
    <w:name w:val="Balloon Text Char"/>
    <w:basedOn w:val="DefaultParagraphFont"/>
    <w:link w:val="BalloonText"/>
    <w:uiPriority w:val="99"/>
    <w:semiHidden/>
    <w:rsid w:val="00DE50D7"/>
    <w:rPr>
      <w:rFonts w:cs="Times New Roman"/>
      <w:sz w:val="18"/>
      <w:szCs w:val="18"/>
    </w:rPr>
  </w:style>
  <w:style w:type="paragraph" w:styleId="Revision">
    <w:name w:val="Revision"/>
    <w:hidden/>
    <w:uiPriority w:val="99"/>
    <w:semiHidden/>
    <w:rsid w:val="00F5091C"/>
  </w:style>
  <w:style w:type="paragraph" w:styleId="Bibliography">
    <w:name w:val="Bibliography"/>
    <w:basedOn w:val="Normal"/>
    <w:next w:val="Normal"/>
    <w:uiPriority w:val="37"/>
    <w:unhideWhenUsed/>
    <w:rsid w:val="007B6971"/>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403791">
      <w:bodyDiv w:val="1"/>
      <w:marLeft w:val="0"/>
      <w:marRight w:val="0"/>
      <w:marTop w:val="0"/>
      <w:marBottom w:val="0"/>
      <w:divBdr>
        <w:top w:val="none" w:sz="0" w:space="0" w:color="auto"/>
        <w:left w:val="none" w:sz="0" w:space="0" w:color="auto"/>
        <w:bottom w:val="none" w:sz="0" w:space="0" w:color="auto"/>
        <w:right w:val="none" w:sz="0" w:space="0" w:color="auto"/>
      </w:divBdr>
    </w:div>
    <w:div w:id="969433416">
      <w:bodyDiv w:val="1"/>
      <w:marLeft w:val="0"/>
      <w:marRight w:val="0"/>
      <w:marTop w:val="0"/>
      <w:marBottom w:val="0"/>
      <w:divBdr>
        <w:top w:val="none" w:sz="0" w:space="0" w:color="auto"/>
        <w:left w:val="none" w:sz="0" w:space="0" w:color="auto"/>
        <w:bottom w:val="none" w:sz="0" w:space="0" w:color="auto"/>
        <w:right w:val="none" w:sz="0" w:space="0" w:color="auto"/>
      </w:divBdr>
    </w:div>
    <w:div w:id="1254506642">
      <w:bodyDiv w:val="1"/>
      <w:marLeft w:val="0"/>
      <w:marRight w:val="0"/>
      <w:marTop w:val="0"/>
      <w:marBottom w:val="0"/>
      <w:divBdr>
        <w:top w:val="none" w:sz="0" w:space="0" w:color="auto"/>
        <w:left w:val="none" w:sz="0" w:space="0" w:color="auto"/>
        <w:bottom w:val="none" w:sz="0" w:space="0" w:color="auto"/>
        <w:right w:val="none" w:sz="0" w:space="0" w:color="auto"/>
      </w:divBdr>
    </w:div>
    <w:div w:id="1859002326">
      <w:bodyDiv w:val="1"/>
      <w:marLeft w:val="0"/>
      <w:marRight w:val="0"/>
      <w:marTop w:val="0"/>
      <w:marBottom w:val="0"/>
      <w:divBdr>
        <w:top w:val="none" w:sz="0" w:space="0" w:color="auto"/>
        <w:left w:val="none" w:sz="0" w:space="0" w:color="auto"/>
        <w:bottom w:val="none" w:sz="0" w:space="0" w:color="auto"/>
        <w:right w:val="none" w:sz="0" w:space="0" w:color="auto"/>
      </w:divBdr>
    </w:div>
    <w:div w:id="2016421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A1F7B-1B36-E441-B8FC-FEA31FF06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15024</Words>
  <Characters>85640</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100464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2</cp:revision>
  <dcterms:created xsi:type="dcterms:W3CDTF">2023-12-04T20:19:00Z</dcterms:created>
  <dcterms:modified xsi:type="dcterms:W3CDTF">2023-12-04T20:19:00Z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http://www.zotero.org/styles/global-change-biology</vt:lpwstr>
  </property>
  <property fmtid="{D5CDD505-2E9C-101B-9397-08002B2CF9AE}" pid="15" name="Mendeley Recent Style Name 6_1">
    <vt:lpwstr>Global Change Biology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http://www.zotero.org/styles/new-phytologist</vt:lpwstr>
  </property>
  <property fmtid="{D5CDD505-2E9C-101B-9397-08002B2CF9AE}" pid="19" name="Mendeley Recent Style Name 8_1">
    <vt:lpwstr>New Phytologist</vt:lpwstr>
  </property>
  <property fmtid="{D5CDD505-2E9C-101B-9397-08002B2CF9AE}" pid="20" name="Mendeley Recent Style Id 9_1">
    <vt:lpwstr>http://www.zotero.org/styles/plant-cell-and-environment</vt:lpwstr>
  </property>
  <property fmtid="{D5CDD505-2E9C-101B-9397-08002B2CF9AE}" pid="21" name="Mendeley Recent Style Name 9_1">
    <vt:lpwstr>Plant, Cell &amp; Environment</vt:lpwstr>
  </property>
  <property fmtid="{D5CDD505-2E9C-101B-9397-08002B2CF9AE}" pid="22" name="Mendeley Document_1">
    <vt:lpwstr>True</vt:lpwstr>
  </property>
  <property fmtid="{D5CDD505-2E9C-101B-9397-08002B2CF9AE}" pid="23" name="Mendeley Unique User Id_1">
    <vt:lpwstr>d318f89c-753e-37fb-ba10-399a36a20455</vt:lpwstr>
  </property>
  <property fmtid="{D5CDD505-2E9C-101B-9397-08002B2CF9AE}" pid="24" name="Mendeley Citation Style_1">
    <vt:lpwstr>http://www.zotero.org/styles/new-phytologist</vt:lpwstr>
  </property>
  <property fmtid="{D5CDD505-2E9C-101B-9397-08002B2CF9AE}" pid="25" name="ZOTERO_PREF_1">
    <vt:lpwstr>&lt;data data-version="3" zotero-version="6.0.11"&gt;&lt;session id="AVTu201O"/&gt;&lt;style id="http://www.zotero.org/styles/journal-of-experimental-botany" hasBibliography="1" bibliographyStyleHasBeenSet="1"/&gt;&lt;prefs&gt;&lt;pref name="fieldType" value="Field"/&gt;&lt;pref name="do</vt:lpwstr>
  </property>
  <property fmtid="{D5CDD505-2E9C-101B-9397-08002B2CF9AE}" pid="26" name="ZOTERO_PREF_2">
    <vt:lpwstr>ntAskDelayCitationUpdates" value="true"/&gt;&lt;/prefs&gt;&lt;/data&gt;</vt:lpwstr>
  </property>
</Properties>
</file>