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7AA52BA4" w:rsidR="002C360E" w:rsidRDefault="00B217CA" w:rsidP="00B217CA">
      <w:pPr>
        <w:spacing w:line="360" w:lineRule="auto"/>
      </w:pPr>
      <w:r>
        <w:rPr>
          <w:b/>
          <w:bCs/>
        </w:rPr>
        <w:t>Supplemental Material</w:t>
      </w:r>
    </w:p>
    <w:p w14:paraId="2D883481" w14:textId="5D531181" w:rsidR="00B217CA" w:rsidRDefault="00B217CA" w:rsidP="00B217CA">
      <w:pPr>
        <w:spacing w:line="360" w:lineRule="auto"/>
      </w:pPr>
    </w:p>
    <w:p w14:paraId="4E5EF45F" w14:textId="08904A9C" w:rsidR="00B217CA" w:rsidRDefault="00B217CA" w:rsidP="00B217CA">
      <w:pPr>
        <w:spacing w:line="360" w:lineRule="auto"/>
        <w:rPr>
          <w:rFonts w:eastAsia="Times New Roman" w:cs="Times New Roman"/>
        </w:rPr>
      </w:pPr>
      <w:r>
        <w:rPr>
          <w:rFonts w:eastAsia="Times New Roman" w:cs="Times New Roman"/>
          <w:b/>
        </w:rPr>
        <w:t xml:space="preserve">Table </w:t>
      </w:r>
      <w:r>
        <w:rPr>
          <w:rFonts w:eastAsia="Times New Roman" w:cs="Times New Roman"/>
          <w:b/>
        </w:rPr>
        <w:t>S</w:t>
      </w:r>
      <w:r>
        <w:rPr>
          <w:rFonts w:eastAsia="Times New Roman" w:cs="Times New Roman"/>
          <w:b/>
        </w:rPr>
        <w:t>1</w:t>
      </w:r>
      <w:r>
        <w:rPr>
          <w:rFonts w:eastAsia="Times New Roman" w:cs="Times New Roman"/>
        </w:rPr>
        <w:t xml:space="preserve"> Summary table containing volumes of compounds used to create modified Hoagland's solutions for each soil nitrogen fertilization treatment. All volumes are expressed as milliliters</w:t>
      </w:r>
      <w:r>
        <w:rPr>
          <w:rFonts w:eastAsia="Times New Roman" w:cs="Times New Roman"/>
        </w:rPr>
        <w:t xml:space="preserve"> of </w:t>
      </w:r>
      <w:proofErr w:type="spellStart"/>
      <w:r>
        <w:rPr>
          <w:rFonts w:eastAsia="Times New Roman" w:cs="Times New Roman"/>
        </w:rPr>
        <w:t>compount</w:t>
      </w:r>
      <w:proofErr w:type="spellEnd"/>
      <w:r>
        <w:rPr>
          <w:rFonts w:eastAsia="Times New Roman" w:cs="Times New Roman"/>
        </w:rPr>
        <w:t xml:space="preserve"> per liter</w:t>
      </w:r>
      <w:r>
        <w:rPr>
          <w:rFonts w:eastAsia="Times New Roman" w:cs="Times New Roman"/>
        </w:rPr>
        <w:t xml:space="preserve"> H</w:t>
      </w:r>
      <w:r>
        <w:rPr>
          <w:rFonts w:eastAsia="Times New Roman" w:cs="Times New Roman"/>
          <w:vertAlign w:val="subscript"/>
        </w:rPr>
        <w:t>2</w:t>
      </w:r>
      <w:r>
        <w:rPr>
          <w:rFonts w:eastAsia="Times New Roman" w:cs="Times New Roman"/>
        </w:rPr>
        <w:t>O</w:t>
      </w:r>
      <w:r>
        <w:rPr>
          <w:rFonts w:eastAsia="Times New Roman" w:cs="Times New Roman"/>
        </w:rPr>
        <w:t xml:space="preserve">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 xml:space="preserve">2 M </w:t>
            </w:r>
            <w:proofErr w:type="gramStart"/>
            <w:r>
              <w:rPr>
                <w:rFonts w:eastAsia="Times New Roman" w:cs="Times New Roman"/>
              </w:rPr>
              <w:t>Ca(</w:t>
            </w:r>
            <w:proofErr w:type="gramEnd"/>
            <w:r>
              <w:rPr>
                <w:rFonts w:eastAsia="Times New Roman" w:cs="Times New Roman"/>
              </w:rPr>
              <w:t>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 xml:space="preserve">8 M </w:t>
            </w:r>
            <w:r>
              <w:rPr>
                <w:rFonts w:eastAsia="Times New Roman" w:cs="Times New Roman"/>
              </w:rPr>
              <w:t>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77777777" w:rsidR="00B217CA" w:rsidRDefault="00B217CA" w:rsidP="00B217CA">
            <w:pPr>
              <w:spacing w:line="360" w:lineRule="auto"/>
              <w:jc w:val="right"/>
              <w:rPr>
                <w:rFonts w:eastAsia="Times New Roman" w:cs="Times New Roman"/>
              </w:rPr>
            </w:pPr>
            <w:r>
              <w:rPr>
                <w:rFonts w:eastAsia="Times New Roman" w:cs="Times New Roman"/>
              </w:rPr>
              <w:t>0.66</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w:t>
      </w:r>
      <w:r>
        <w:t xml:space="preserve">Analysis of variance results exploring effect of nitrogen fertilization, inoculation with </w:t>
      </w:r>
      <w:r>
        <w:rPr>
          <w:i/>
          <w:iCs/>
        </w:rPr>
        <w:t>B. japonicum</w:t>
      </w:r>
      <w:r>
        <w:t xml:space="preserve">, and interactions between soil nitrogen fertilization and inoculation status on </w:t>
      </w:r>
      <w:r>
        <w:t>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0548C109" w14:textId="77777777" w:rsidTr="00B42CA1">
        <w:trPr>
          <w:jc w:val="center"/>
        </w:trPr>
        <w:tc>
          <w:tcPr>
            <w:tcW w:w="2619" w:type="dxa"/>
            <w:gridSpan w:val="2"/>
            <w:tcBorders>
              <w:bottom w:val="single" w:sz="4" w:space="0" w:color="auto"/>
            </w:tcBorders>
          </w:tcPr>
          <w:p w14:paraId="627A79D0" w14:textId="77777777" w:rsidR="00B42CA1" w:rsidRPr="006D105C" w:rsidRDefault="00B42CA1" w:rsidP="0069384A">
            <w:pPr>
              <w:spacing w:line="360" w:lineRule="auto"/>
              <w:rPr>
                <w:b/>
                <w:bCs/>
              </w:rPr>
            </w:pPr>
          </w:p>
        </w:tc>
        <w:tc>
          <w:tcPr>
            <w:tcW w:w="2009" w:type="dxa"/>
            <w:gridSpan w:val="2"/>
            <w:tcBorders>
              <w:bottom w:val="single" w:sz="4" w:space="0" w:color="auto"/>
            </w:tcBorders>
          </w:tcPr>
          <w:p w14:paraId="0FA01B73" w14:textId="73152773" w:rsidR="00B42CA1" w:rsidRPr="00835961" w:rsidRDefault="00B42CA1" w:rsidP="0069384A">
            <w:pPr>
              <w:spacing w:line="360" w:lineRule="auto"/>
              <w:jc w:val="right"/>
              <w:rPr>
                <w:b/>
                <w:bCs/>
                <w:vertAlign w:val="subscript"/>
              </w:rPr>
            </w:pPr>
            <w:r>
              <w:rPr>
                <w:b/>
                <w:bCs/>
                <w:i/>
                <w:iCs/>
              </w:rPr>
              <w:t>BVR</w:t>
            </w:r>
          </w:p>
        </w:tc>
      </w:tr>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69384A">
            <w:pPr>
              <w:spacing w:line="360" w:lineRule="auto"/>
            </w:pPr>
          </w:p>
        </w:tc>
        <w:tc>
          <w:tcPr>
            <w:tcW w:w="537" w:type="dxa"/>
            <w:tcBorders>
              <w:top w:val="single" w:sz="4" w:space="0" w:color="auto"/>
              <w:bottom w:val="single" w:sz="4" w:space="0" w:color="auto"/>
            </w:tcBorders>
          </w:tcPr>
          <w:p w14:paraId="6185AC19" w14:textId="77777777" w:rsidR="00B42CA1" w:rsidRPr="006D105C" w:rsidRDefault="00B42CA1" w:rsidP="0069384A">
            <w:pPr>
              <w:spacing w:line="360" w:lineRule="auto"/>
              <w:jc w:val="right"/>
            </w:pPr>
            <w:proofErr w:type="spellStart"/>
            <w:r w:rsidRPr="006D105C">
              <w:t>df</w:t>
            </w:r>
            <w:proofErr w:type="spellEnd"/>
          </w:p>
        </w:tc>
        <w:tc>
          <w:tcPr>
            <w:tcW w:w="996" w:type="dxa"/>
            <w:tcBorders>
              <w:top w:val="single" w:sz="4" w:space="0" w:color="auto"/>
              <w:bottom w:val="single" w:sz="4" w:space="0" w:color="auto"/>
            </w:tcBorders>
          </w:tcPr>
          <w:p w14:paraId="6028306B" w14:textId="77777777" w:rsidR="00B42CA1" w:rsidRPr="006D105C" w:rsidRDefault="00B42CA1" w:rsidP="0069384A">
            <w:pPr>
              <w:spacing w:line="360"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69384A">
            <w:pPr>
              <w:spacing w:line="360"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69384A">
            <w:pPr>
              <w:spacing w:line="360" w:lineRule="auto"/>
              <w:jc w:val="right"/>
            </w:pPr>
            <w:r>
              <w:t>N fertilization (N)</w:t>
            </w:r>
          </w:p>
        </w:tc>
        <w:tc>
          <w:tcPr>
            <w:tcW w:w="537" w:type="dxa"/>
            <w:tcBorders>
              <w:top w:val="single" w:sz="4" w:space="0" w:color="auto"/>
            </w:tcBorders>
          </w:tcPr>
          <w:p w14:paraId="52CE07E3" w14:textId="77777777" w:rsidR="00B42CA1" w:rsidRPr="006D105C" w:rsidRDefault="00B42CA1" w:rsidP="0069384A">
            <w:pPr>
              <w:spacing w:line="360" w:lineRule="auto"/>
              <w:jc w:val="right"/>
            </w:pPr>
            <w:r w:rsidRPr="006D105C">
              <w:t>1</w:t>
            </w:r>
          </w:p>
        </w:tc>
        <w:tc>
          <w:tcPr>
            <w:tcW w:w="996" w:type="dxa"/>
            <w:tcBorders>
              <w:top w:val="single" w:sz="4" w:space="0" w:color="auto"/>
            </w:tcBorders>
          </w:tcPr>
          <w:p w14:paraId="45116B8D" w14:textId="137C370A" w:rsidR="00B42CA1" w:rsidRPr="006D105C" w:rsidRDefault="00B42CA1" w:rsidP="0069384A">
            <w:pPr>
              <w:spacing w:line="360" w:lineRule="auto"/>
              <w:jc w:val="right"/>
            </w:pPr>
            <w:r>
              <w:t>52.43</w:t>
            </w:r>
          </w:p>
        </w:tc>
        <w:tc>
          <w:tcPr>
            <w:tcW w:w="1013" w:type="dxa"/>
            <w:tcBorders>
              <w:top w:val="single" w:sz="4" w:space="0" w:color="auto"/>
            </w:tcBorders>
          </w:tcPr>
          <w:p w14:paraId="4857E321" w14:textId="328C3250" w:rsidR="00B42CA1" w:rsidRPr="00835961" w:rsidRDefault="00B42CA1" w:rsidP="0069384A">
            <w:pPr>
              <w:spacing w:line="360"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69384A">
            <w:pPr>
              <w:spacing w:line="360" w:lineRule="auto"/>
              <w:jc w:val="right"/>
            </w:pPr>
            <w:r>
              <w:t>Inoculation (I)</w:t>
            </w:r>
          </w:p>
        </w:tc>
        <w:tc>
          <w:tcPr>
            <w:tcW w:w="537" w:type="dxa"/>
          </w:tcPr>
          <w:p w14:paraId="61AA1ECD" w14:textId="77777777" w:rsidR="00B42CA1" w:rsidRPr="006D105C" w:rsidRDefault="00B42CA1" w:rsidP="0069384A">
            <w:pPr>
              <w:spacing w:line="360" w:lineRule="auto"/>
              <w:jc w:val="right"/>
            </w:pPr>
            <w:r>
              <w:t>1</w:t>
            </w:r>
          </w:p>
        </w:tc>
        <w:tc>
          <w:tcPr>
            <w:tcW w:w="996" w:type="dxa"/>
          </w:tcPr>
          <w:p w14:paraId="566C9622" w14:textId="78A0A702" w:rsidR="00B42CA1" w:rsidRPr="006D105C" w:rsidRDefault="00B42CA1" w:rsidP="0069384A">
            <w:pPr>
              <w:spacing w:line="360" w:lineRule="auto"/>
              <w:jc w:val="right"/>
            </w:pPr>
            <w:r>
              <w:t>2.042</w:t>
            </w:r>
          </w:p>
        </w:tc>
        <w:tc>
          <w:tcPr>
            <w:tcW w:w="1013" w:type="dxa"/>
          </w:tcPr>
          <w:p w14:paraId="1EC87344" w14:textId="50EF30A3" w:rsidR="00B42CA1" w:rsidRPr="00B42CA1" w:rsidRDefault="00B42CA1" w:rsidP="0069384A">
            <w:pPr>
              <w:spacing w:line="360"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69384A">
            <w:pPr>
              <w:spacing w:line="360" w:lineRule="auto"/>
              <w:jc w:val="right"/>
            </w:pPr>
            <w:r>
              <w:t>N*I</w:t>
            </w:r>
          </w:p>
        </w:tc>
        <w:tc>
          <w:tcPr>
            <w:tcW w:w="537" w:type="dxa"/>
          </w:tcPr>
          <w:p w14:paraId="32033246" w14:textId="77777777" w:rsidR="00B42CA1" w:rsidRPr="006D105C" w:rsidRDefault="00B42CA1" w:rsidP="0069384A">
            <w:pPr>
              <w:spacing w:line="360" w:lineRule="auto"/>
              <w:jc w:val="right"/>
            </w:pPr>
            <w:r>
              <w:t>1</w:t>
            </w:r>
          </w:p>
        </w:tc>
        <w:tc>
          <w:tcPr>
            <w:tcW w:w="996" w:type="dxa"/>
          </w:tcPr>
          <w:p w14:paraId="3FAC78F4" w14:textId="1E98BAEE" w:rsidR="00B42CA1" w:rsidRPr="006D105C" w:rsidRDefault="00B42CA1" w:rsidP="0069384A">
            <w:pPr>
              <w:spacing w:line="360" w:lineRule="auto"/>
              <w:jc w:val="right"/>
            </w:pPr>
            <w:r>
              <w:t>1.23</w:t>
            </w:r>
          </w:p>
        </w:tc>
        <w:tc>
          <w:tcPr>
            <w:tcW w:w="1013" w:type="dxa"/>
          </w:tcPr>
          <w:p w14:paraId="56A8F418" w14:textId="108AC03F" w:rsidR="00B42CA1" w:rsidRPr="00B42CA1" w:rsidRDefault="00B42CA1" w:rsidP="0069384A">
            <w:pPr>
              <w:spacing w:line="360" w:lineRule="auto"/>
              <w:jc w:val="right"/>
            </w:pPr>
            <w:r w:rsidRPr="00B42CA1">
              <w:t>0.267</w:t>
            </w:r>
          </w:p>
        </w:tc>
      </w:tr>
    </w:tbl>
    <w:p w14:paraId="545251D4" w14:textId="033709DE" w:rsidR="00B42CA1" w:rsidRDefault="00B42CA1" w:rsidP="00B217CA">
      <w:pPr>
        <w:spacing w:line="360" w:lineRule="auto"/>
      </w:pPr>
    </w:p>
    <w:p w14:paraId="2BEE6C1F" w14:textId="35653848" w:rsidR="00B42CA1"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t>
      </w:r>
      <w:r>
        <w:t>whole plant biomass: pot volume</w:t>
      </w:r>
      <w:r>
        <w:t xml:space="preserve"> (g </w:t>
      </w:r>
      <w:r>
        <w:t>L</w:t>
      </w:r>
      <w:r>
        <w:rPr>
          <w:vertAlign w:val="superscript"/>
        </w:rPr>
        <w:t>-</w:t>
      </w:r>
      <w:r>
        <w:rPr>
          <w:vertAlign w:val="superscript"/>
        </w:rPr>
        <w:t>1</w:t>
      </w:r>
      <w:r>
        <w:t>)</w:t>
      </w:r>
      <w:r>
        <w:t>.</w:t>
      </w:r>
    </w:p>
    <w:p w14:paraId="072CEA04" w14:textId="77777777" w:rsidR="00B42CA1" w:rsidRDefault="00B42CA1">
      <w:r>
        <w:br w:type="page"/>
      </w:r>
    </w:p>
    <w:p w14:paraId="25F4A4DB" w14:textId="298E41F4" w:rsidR="00B42CA1" w:rsidRDefault="00B42CA1" w:rsidP="00B42CA1">
      <w:pPr>
        <w:spacing w:line="360" w:lineRule="auto"/>
      </w:pPr>
      <w:r>
        <w:rPr>
          <w:b/>
          <w:bCs/>
        </w:rPr>
        <w:lastRenderedPageBreak/>
        <w:t>Figure S1</w:t>
      </w:r>
    </w:p>
    <w:p w14:paraId="51850010" w14:textId="4636DCEA" w:rsidR="00B42CA1" w:rsidRDefault="00B42CA1" w:rsidP="00B42CA1">
      <w:pPr>
        <w:spacing w:line="360" w:lineRule="auto"/>
      </w:pPr>
    </w:p>
    <w:p w14:paraId="41C5E1DD" w14:textId="2E86EF2E" w:rsidR="00B42CA1" w:rsidRDefault="00810E5C" w:rsidP="00B42CA1">
      <w:pPr>
        <w:spacing w:line="360" w:lineRule="auto"/>
      </w:pPr>
      <w:r>
        <w:rPr>
          <w:noProof/>
        </w:rPr>
        <w:drawing>
          <wp:inline distT="0" distB="0" distL="0" distR="0" wp14:anchorId="09927E86" wp14:editId="15AE0D4D">
            <wp:extent cx="4781550" cy="3586163"/>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4493" cy="3603371"/>
                    </a:xfrm>
                    <a:prstGeom prst="rect">
                      <a:avLst/>
                    </a:prstGeom>
                  </pic:spPr>
                </pic:pic>
              </a:graphicData>
            </a:graphic>
          </wp:inline>
        </w:drawing>
      </w:r>
    </w:p>
    <w:p w14:paraId="718239C0" w14:textId="5140ED75" w:rsidR="00B42CA1" w:rsidRPr="00B217CA" w:rsidRDefault="00B42CA1" w:rsidP="00B217CA">
      <w:pPr>
        <w:spacing w:line="360" w:lineRule="auto"/>
      </w:pPr>
      <w:r>
        <w:rPr>
          <w:b/>
          <w:bCs/>
        </w:rPr>
        <w:t>Figure 1</w:t>
      </w:r>
      <w:r>
        <w:t xml:space="preserve"> </w:t>
      </w:r>
      <w:r w:rsidRPr="001B10F7">
        <w:t>Effects</w:t>
      </w:r>
      <w:r>
        <w:t xml:space="preserve"> of soil nitrogen fertilization and inoculation status on</w:t>
      </w:r>
      <w:r>
        <w:t xml:space="preserve"> whole plant biomass: pot volume. </w:t>
      </w:r>
      <w:r>
        <w:t>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which is recommended by Poorter et al.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 indicates the median, first quartile, and third quartile of the data, while whiskers represent the furthest data point that is not more than 1.5 times the inner quartile range. Remaining points outside the whiskers represent outliers that are not statistically different from the rest of the sampling population. Compact lettering above each boxplot indicates treatment combinations that are statistically different from each other, which were determined through Tukey’s tests (Tukey: p&lt;0.050).</w:t>
      </w:r>
    </w:p>
    <w:sectPr w:rsidR="00B42CA1" w:rsidRPr="00B2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2948B1"/>
    <w:rsid w:val="002C360E"/>
    <w:rsid w:val="00497794"/>
    <w:rsid w:val="005A3AD9"/>
    <w:rsid w:val="00810E5C"/>
    <w:rsid w:val="00B217CA"/>
    <w:rsid w:val="00B4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3E9C"/>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2022-04-28T17:28:00Z</dcterms:created>
  <dcterms:modified xsi:type="dcterms:W3CDTF">2022-04-28T17:44:00Z</dcterms:modified>
</cp:coreProperties>
</file>