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F20E" w14:textId="6B8476CB" w:rsidR="002C360E" w:rsidRDefault="00B217CA" w:rsidP="00B217CA">
      <w:pPr>
        <w:spacing w:line="360" w:lineRule="auto"/>
      </w:pPr>
      <w:r>
        <w:rPr>
          <w:b/>
          <w:bCs/>
        </w:rPr>
        <w:t xml:space="preserve">Supplemental </w:t>
      </w:r>
      <w:r w:rsidR="00627ACE">
        <w:rPr>
          <w:b/>
          <w:bCs/>
        </w:rPr>
        <w:t xml:space="preserve">material for </w:t>
      </w:r>
      <w:r w:rsidR="00627ACE" w:rsidRPr="00627ACE">
        <w:t>“</w:t>
      </w:r>
      <w:r w:rsidR="00627ACE" w:rsidRPr="00627ACE">
        <w:rPr>
          <w:rFonts w:cs="Times New Roman"/>
          <w:i/>
          <w:iCs/>
          <w:sz w:val="22"/>
          <w:szCs w:val="22"/>
        </w:rPr>
        <w:t>Symbiotic nitrogen fixation reduces</w:t>
      </w:r>
      <w:r w:rsidR="00780AF2">
        <w:rPr>
          <w:rFonts w:cs="Times New Roman"/>
          <w:i/>
          <w:iCs/>
          <w:sz w:val="22"/>
          <w:szCs w:val="22"/>
        </w:rPr>
        <w:t xml:space="preserve"> belowground biomass</w:t>
      </w:r>
      <w:r w:rsidR="00627ACE" w:rsidRPr="00627ACE">
        <w:rPr>
          <w:rFonts w:cs="Times New Roman"/>
          <w:i/>
          <w:iCs/>
          <w:sz w:val="22"/>
          <w:szCs w:val="22"/>
        </w:rPr>
        <w:t xml:space="preserve"> carbon costs of nitrogen acquisition under low, but not high, nitrogen availability</w:t>
      </w:r>
      <w:r w:rsidR="00627ACE" w:rsidRPr="00627ACE">
        <w:t>”</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2E179751"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xml:space="preserve">, and interactions between soil nitrogen fertilization and inoculation status on whole plant </w:t>
      </w:r>
      <w:proofErr w:type="spellStart"/>
      <w:r>
        <w:t>biomass:pot</w:t>
      </w:r>
      <w:proofErr w:type="spellEnd"/>
      <w:r>
        <w:t xml:space="preserve">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668BC076" w:rsidR="00B42CA1" w:rsidRPr="006D105C" w:rsidRDefault="002E533B" w:rsidP="00595E4C">
            <w:pPr>
              <w:spacing w:line="276" w:lineRule="auto"/>
              <w:jc w:val="right"/>
            </w:pPr>
            <w:r>
              <w:t>35.592</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780AF2">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5D5A6607" w:rsidR="00B42CA1" w:rsidRPr="006D105C" w:rsidRDefault="002E533B" w:rsidP="00595E4C">
            <w:pPr>
              <w:spacing w:line="276" w:lineRule="auto"/>
              <w:jc w:val="right"/>
            </w:pPr>
            <w:r>
              <w:t>0.695</w:t>
            </w:r>
          </w:p>
        </w:tc>
        <w:tc>
          <w:tcPr>
            <w:tcW w:w="1013" w:type="dxa"/>
          </w:tcPr>
          <w:p w14:paraId="1EC87344" w14:textId="4CDF91F0" w:rsidR="00B42CA1" w:rsidRPr="00B42CA1" w:rsidRDefault="00B42CA1" w:rsidP="00595E4C">
            <w:pPr>
              <w:spacing w:line="276" w:lineRule="auto"/>
              <w:jc w:val="right"/>
            </w:pPr>
            <w:r w:rsidRPr="00B42CA1">
              <w:t>0.</w:t>
            </w:r>
            <w:r w:rsidR="002E533B">
              <w:t>404</w:t>
            </w:r>
          </w:p>
        </w:tc>
      </w:tr>
      <w:tr w:rsidR="00B42CA1" w:rsidRPr="006D105C" w14:paraId="538D66D7" w14:textId="77777777" w:rsidTr="00780AF2">
        <w:trPr>
          <w:jc w:val="center"/>
        </w:trPr>
        <w:tc>
          <w:tcPr>
            <w:tcW w:w="2082" w:type="dxa"/>
            <w:tcBorders>
              <w:bottom w:val="single" w:sz="4" w:space="0" w:color="auto"/>
            </w:tcBorders>
          </w:tcPr>
          <w:p w14:paraId="1455935E" w14:textId="77777777" w:rsidR="00B42CA1" w:rsidRPr="006D105C" w:rsidRDefault="00B42CA1" w:rsidP="00595E4C">
            <w:pPr>
              <w:spacing w:line="276" w:lineRule="auto"/>
              <w:jc w:val="right"/>
            </w:pPr>
            <w:r>
              <w:t>N*I</w:t>
            </w:r>
          </w:p>
        </w:tc>
        <w:tc>
          <w:tcPr>
            <w:tcW w:w="537" w:type="dxa"/>
            <w:tcBorders>
              <w:bottom w:val="single" w:sz="4" w:space="0" w:color="auto"/>
            </w:tcBorders>
          </w:tcPr>
          <w:p w14:paraId="32033246" w14:textId="77777777" w:rsidR="00B42CA1" w:rsidRPr="006D105C" w:rsidRDefault="00B42CA1" w:rsidP="00595E4C">
            <w:pPr>
              <w:spacing w:line="276" w:lineRule="auto"/>
              <w:jc w:val="right"/>
            </w:pPr>
            <w:r>
              <w:t>1</w:t>
            </w:r>
          </w:p>
        </w:tc>
        <w:tc>
          <w:tcPr>
            <w:tcW w:w="996" w:type="dxa"/>
            <w:tcBorders>
              <w:bottom w:val="single" w:sz="4" w:space="0" w:color="auto"/>
            </w:tcBorders>
          </w:tcPr>
          <w:p w14:paraId="3FAC78F4" w14:textId="2FB26CC3" w:rsidR="00B42CA1" w:rsidRPr="006D105C" w:rsidRDefault="002E533B" w:rsidP="00595E4C">
            <w:pPr>
              <w:spacing w:line="276" w:lineRule="auto"/>
              <w:jc w:val="right"/>
            </w:pPr>
            <w:r>
              <w:t>0.759</w:t>
            </w:r>
          </w:p>
        </w:tc>
        <w:tc>
          <w:tcPr>
            <w:tcW w:w="1013" w:type="dxa"/>
            <w:tcBorders>
              <w:bottom w:val="single" w:sz="4" w:space="0" w:color="auto"/>
            </w:tcBorders>
          </w:tcPr>
          <w:p w14:paraId="56A8F418" w14:textId="04628217" w:rsidR="00B42CA1" w:rsidRPr="00B42CA1" w:rsidRDefault="00B42CA1" w:rsidP="00595E4C">
            <w:pPr>
              <w:spacing w:line="276" w:lineRule="auto"/>
              <w:jc w:val="right"/>
            </w:pPr>
            <w:r w:rsidRPr="00B42CA1">
              <w:t>0.</w:t>
            </w:r>
            <w:r w:rsidR="002E533B">
              <w:t>384</w:t>
            </w:r>
          </w:p>
        </w:tc>
      </w:tr>
    </w:tbl>
    <w:p w14:paraId="545251D4" w14:textId="033709DE" w:rsidR="00B42CA1" w:rsidRDefault="00B42CA1" w:rsidP="00B217CA">
      <w:pPr>
        <w:spacing w:line="360" w:lineRule="auto"/>
      </w:pPr>
    </w:p>
    <w:p w14:paraId="2BEE6C1F" w14:textId="777FE2E0"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2E533B">
        <w:t>.</w:t>
      </w:r>
    </w:p>
    <w:p w14:paraId="5556FE3F" w14:textId="77777777" w:rsidR="001F2877" w:rsidRDefault="001F2877">
      <w:r>
        <w:br w:type="page"/>
      </w:r>
    </w:p>
    <w:p w14:paraId="538BC572" w14:textId="58898F9B" w:rsidR="009C42E2" w:rsidRPr="00D9049F" w:rsidRDefault="001F2877" w:rsidP="001F2877">
      <w:pPr>
        <w:spacing w:line="360" w:lineRule="auto"/>
        <w:rPr>
          <w:vertAlign w:val="superscript"/>
        </w:rPr>
      </w:pPr>
      <w:r w:rsidRPr="00B42CA1">
        <w:rPr>
          <w:b/>
          <w:bCs/>
        </w:rPr>
        <w:lastRenderedPageBreak/>
        <w:t>Table S</w:t>
      </w:r>
      <w:r w:rsidR="00621FD4">
        <w:rPr>
          <w:b/>
          <w:bCs/>
        </w:rPr>
        <w:t>3</w:t>
      </w:r>
      <w:r w:rsidR="009C42E2">
        <w:rPr>
          <w:b/>
          <w:bCs/>
        </w:rPr>
        <w:t xml:space="preserve"> </w:t>
      </w:r>
      <w:r w:rsidR="009C42E2">
        <w:t>Marginal mean, degrees of freedom, and 95% confidence intervals of whole plant biomass: pot volume values across nitrogen fertilization and inoculation treatment combinations</w:t>
      </w:r>
      <w:r w:rsidR="00D9049F">
        <w:rPr>
          <w:vertAlign w:val="superscript"/>
        </w:rPr>
        <w:t>*</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054B2F" w:rsidR="00D87D4B" w:rsidRPr="006D105C" w:rsidRDefault="002E533B" w:rsidP="009C42E2">
            <w:pPr>
              <w:spacing w:line="276" w:lineRule="auto"/>
              <w:jc w:val="right"/>
            </w:pPr>
            <w:r>
              <w:t>29.15</w:t>
            </w:r>
          </w:p>
        </w:tc>
        <w:tc>
          <w:tcPr>
            <w:tcW w:w="1702" w:type="dxa"/>
            <w:tcBorders>
              <w:top w:val="single" w:sz="4" w:space="0" w:color="auto"/>
            </w:tcBorders>
          </w:tcPr>
          <w:p w14:paraId="2742E67A" w14:textId="08653437" w:rsidR="00D87D4B" w:rsidRPr="006D105C" w:rsidRDefault="002E533B" w:rsidP="009C42E2">
            <w:pPr>
              <w:spacing w:line="276" w:lineRule="auto"/>
              <w:jc w:val="right"/>
            </w:pPr>
            <w:r>
              <w:t>0.535</w:t>
            </w:r>
          </w:p>
        </w:tc>
        <w:tc>
          <w:tcPr>
            <w:tcW w:w="1702" w:type="dxa"/>
            <w:tcBorders>
              <w:top w:val="single" w:sz="4" w:space="0" w:color="auto"/>
            </w:tcBorders>
          </w:tcPr>
          <w:p w14:paraId="207103A8" w14:textId="30262469" w:rsidR="00D87D4B" w:rsidRPr="006D105C" w:rsidRDefault="002E533B" w:rsidP="009C42E2">
            <w:pPr>
              <w:spacing w:line="276" w:lineRule="auto"/>
              <w:jc w:val="right"/>
            </w:pPr>
            <w:r>
              <w:t>0.454</w:t>
            </w:r>
          </w:p>
        </w:tc>
        <w:tc>
          <w:tcPr>
            <w:tcW w:w="1736" w:type="dxa"/>
            <w:tcBorders>
              <w:top w:val="single" w:sz="4" w:space="0" w:color="auto"/>
            </w:tcBorders>
          </w:tcPr>
          <w:p w14:paraId="2AA5FFD3" w14:textId="0903C287" w:rsidR="00D87D4B" w:rsidRPr="00D87D4B" w:rsidRDefault="002E533B" w:rsidP="009C42E2">
            <w:pPr>
              <w:spacing w:line="276" w:lineRule="auto"/>
              <w:jc w:val="right"/>
            </w:pPr>
            <w:r>
              <w:t>0.632</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2B864E26" w:rsidR="00D87D4B" w:rsidRPr="006D105C" w:rsidRDefault="002E533B" w:rsidP="009C42E2">
            <w:pPr>
              <w:spacing w:line="276" w:lineRule="auto"/>
              <w:jc w:val="right"/>
            </w:pPr>
            <w:r>
              <w:t>22.43</w:t>
            </w:r>
          </w:p>
        </w:tc>
        <w:tc>
          <w:tcPr>
            <w:tcW w:w="1702" w:type="dxa"/>
          </w:tcPr>
          <w:p w14:paraId="650AEED7" w14:textId="5D9E5243" w:rsidR="00D87D4B" w:rsidRPr="006D105C" w:rsidRDefault="002E533B" w:rsidP="009C42E2">
            <w:pPr>
              <w:spacing w:line="276" w:lineRule="auto"/>
              <w:jc w:val="right"/>
            </w:pPr>
            <w:r>
              <w:t>0.606</w:t>
            </w:r>
          </w:p>
        </w:tc>
        <w:tc>
          <w:tcPr>
            <w:tcW w:w="1702" w:type="dxa"/>
          </w:tcPr>
          <w:p w14:paraId="79660FC9" w14:textId="29BE64ED" w:rsidR="00D87D4B" w:rsidRPr="006D105C" w:rsidRDefault="002E533B" w:rsidP="009C42E2">
            <w:pPr>
              <w:spacing w:line="276" w:lineRule="auto"/>
              <w:jc w:val="right"/>
            </w:pPr>
            <w:r>
              <w:t>0.530</w:t>
            </w:r>
          </w:p>
        </w:tc>
        <w:tc>
          <w:tcPr>
            <w:tcW w:w="1736" w:type="dxa"/>
          </w:tcPr>
          <w:p w14:paraId="5B7892F8" w14:textId="4C4F9D72" w:rsidR="00D87D4B" w:rsidRPr="00D87D4B" w:rsidRDefault="002E533B" w:rsidP="009C42E2">
            <w:pPr>
              <w:spacing w:line="276" w:lineRule="auto"/>
              <w:jc w:val="right"/>
            </w:pPr>
            <w:r>
              <w:t>0.693</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43BA77FC" w:rsidR="00D87D4B" w:rsidRPr="006D105C" w:rsidRDefault="002E533B" w:rsidP="009C42E2">
            <w:pPr>
              <w:spacing w:line="276" w:lineRule="auto"/>
              <w:jc w:val="right"/>
            </w:pPr>
            <w:r>
              <w:t>25.61</w:t>
            </w:r>
          </w:p>
        </w:tc>
        <w:tc>
          <w:tcPr>
            <w:tcW w:w="1702" w:type="dxa"/>
          </w:tcPr>
          <w:p w14:paraId="2957A76D" w14:textId="20BA79D9" w:rsidR="00D87D4B" w:rsidRPr="006D105C" w:rsidRDefault="002E533B" w:rsidP="009C42E2">
            <w:pPr>
              <w:spacing w:line="276" w:lineRule="auto"/>
              <w:jc w:val="right"/>
            </w:pPr>
            <w:r>
              <w:t>0.884</w:t>
            </w:r>
          </w:p>
        </w:tc>
        <w:tc>
          <w:tcPr>
            <w:tcW w:w="1702" w:type="dxa"/>
          </w:tcPr>
          <w:p w14:paraId="51CD5820" w14:textId="62DB1AD1" w:rsidR="00D87D4B" w:rsidRPr="006D105C" w:rsidRDefault="002E533B" w:rsidP="009C42E2">
            <w:pPr>
              <w:spacing w:line="276" w:lineRule="auto"/>
              <w:jc w:val="right"/>
            </w:pPr>
            <w:r>
              <w:t>0.747</w:t>
            </w:r>
          </w:p>
        </w:tc>
        <w:tc>
          <w:tcPr>
            <w:tcW w:w="1736" w:type="dxa"/>
          </w:tcPr>
          <w:p w14:paraId="4DBAA435" w14:textId="5E246A3B" w:rsidR="00D87D4B" w:rsidRPr="00D87D4B" w:rsidRDefault="002E533B" w:rsidP="009C42E2">
            <w:pPr>
              <w:spacing w:line="276" w:lineRule="auto"/>
              <w:jc w:val="right"/>
            </w:pPr>
            <w:r>
              <w:t>1.047</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38EDB393" w:rsidR="00D87D4B" w:rsidRDefault="002E533B" w:rsidP="009C42E2">
            <w:pPr>
              <w:spacing w:line="276" w:lineRule="auto"/>
              <w:jc w:val="right"/>
            </w:pPr>
            <w:r>
              <w:t>24.20</w:t>
            </w:r>
          </w:p>
        </w:tc>
        <w:tc>
          <w:tcPr>
            <w:tcW w:w="1702" w:type="dxa"/>
          </w:tcPr>
          <w:p w14:paraId="0BFA6CF4" w14:textId="03651242" w:rsidR="00D87D4B" w:rsidRDefault="002E533B" w:rsidP="009C42E2">
            <w:pPr>
              <w:spacing w:line="276" w:lineRule="auto"/>
              <w:jc w:val="right"/>
            </w:pPr>
            <w:r>
              <w:t>0.881</w:t>
            </w:r>
          </w:p>
        </w:tc>
        <w:tc>
          <w:tcPr>
            <w:tcW w:w="1702" w:type="dxa"/>
          </w:tcPr>
          <w:p w14:paraId="140B4A87" w14:textId="68E54EF0" w:rsidR="00D87D4B" w:rsidRDefault="002E533B" w:rsidP="009C42E2">
            <w:pPr>
              <w:spacing w:line="276" w:lineRule="auto"/>
              <w:jc w:val="right"/>
            </w:pPr>
            <w:r>
              <w:t>0.767</w:t>
            </w:r>
          </w:p>
        </w:tc>
        <w:tc>
          <w:tcPr>
            <w:tcW w:w="1736" w:type="dxa"/>
          </w:tcPr>
          <w:p w14:paraId="1036DE3C" w14:textId="2F9835BE" w:rsidR="00D87D4B" w:rsidRPr="00D87D4B" w:rsidRDefault="002E533B" w:rsidP="009C42E2">
            <w:pPr>
              <w:spacing w:line="276" w:lineRule="auto"/>
              <w:jc w:val="right"/>
            </w:pPr>
            <w:r>
              <w:t>1.012</w:t>
            </w:r>
          </w:p>
        </w:tc>
      </w:tr>
    </w:tbl>
    <w:p w14:paraId="37254478" w14:textId="77777777" w:rsidR="001F2877" w:rsidRDefault="001F2877" w:rsidP="001F2877">
      <w:pPr>
        <w:spacing w:line="360" w:lineRule="auto"/>
      </w:pPr>
    </w:p>
    <w:p w14:paraId="2BC0792D" w14:textId="18F0C414"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nitrogen fertilization and inoculation treatments were included as individual and interactive categorical fixed effects, and block included as a random intercept term. Degrees of freedom</w:t>
      </w:r>
      <w:r w:rsidR="00CD7792">
        <w:t xml:space="preserve"> (df)</w:t>
      </w:r>
      <w:r w:rsidR="00595E4C">
        <w:t xml:space="preserve"> were approximated using the Kenward and Roger approach</w:t>
      </w:r>
      <w:r w:rsidR="002E533B">
        <w:t xml:space="preserve"> (Kenward &amp; Roger 1997)</w:t>
      </w:r>
      <w:r w:rsidR="00D9049F">
        <w:t>.</w:t>
      </w:r>
      <w:r w:rsidR="00F6735C">
        <w:t xml:space="preserve"> Key: “NI” = uninoculated, “YI” = inoculated</w:t>
      </w: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011416E1" w:rsidR="00B42CA1" w:rsidRDefault="002E533B" w:rsidP="00627ACE">
      <w:pPr>
        <w:spacing w:line="360" w:lineRule="auto"/>
        <w:jc w:val="center"/>
      </w:pPr>
      <w:r>
        <w:rPr>
          <w:noProof/>
        </w:rPr>
        <w:drawing>
          <wp:inline distT="0" distB="0" distL="0" distR="0" wp14:anchorId="7ABE71D4" wp14:editId="5D9C4A35">
            <wp:extent cx="4281330" cy="2854220"/>
            <wp:effectExtent l="0" t="0" r="0" b="3810"/>
            <wp:docPr id="48745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50216" name="Picture 487450216"/>
                    <pic:cNvPicPr/>
                  </pic:nvPicPr>
                  <pic:blipFill>
                    <a:blip r:embed="rId6"/>
                    <a:stretch>
                      <a:fillRect/>
                    </a:stretch>
                  </pic:blipFill>
                  <pic:spPr>
                    <a:xfrm>
                      <a:off x="0" y="0"/>
                      <a:ext cx="4297009" cy="2864673"/>
                    </a:xfrm>
                    <a:prstGeom prst="rect">
                      <a:avLst/>
                    </a:prstGeom>
                  </pic:spPr>
                </pic:pic>
              </a:graphicData>
            </a:graphic>
          </wp:inline>
        </w:drawing>
      </w:r>
    </w:p>
    <w:p w14:paraId="718239C0" w14:textId="67FF18E1" w:rsidR="00B42CA1" w:rsidRPr="00B217CA" w:rsidRDefault="00B42CA1" w:rsidP="009C42E2">
      <w:pPr>
        <w:spacing w:line="360" w:lineRule="auto"/>
      </w:pPr>
      <w:r>
        <w:rPr>
          <w:b/>
          <w:bCs/>
        </w:rPr>
        <w:t xml:space="preserve">Figure </w:t>
      </w:r>
      <w:r w:rsidR="00621FD4">
        <w:rPr>
          <w:b/>
          <w:bCs/>
        </w:rPr>
        <w:t>S</w:t>
      </w:r>
      <w:r>
        <w:rPr>
          <w:b/>
          <w:bCs/>
        </w:rPr>
        <w:t>1</w:t>
      </w:r>
      <w:r>
        <w:t xml:space="preserve"> </w:t>
      </w:r>
      <w:r w:rsidRPr="001B10F7">
        <w:t>Effects</w:t>
      </w:r>
      <w:r>
        <w:t xml:space="preserve"> of soil nitrogen fertilization and inoculation status on whole plant biomass: pot volume. Soil nitrogen fertilization is on the x-axis, while inoculation status is represented </w:t>
      </w:r>
      <w:r w:rsidR="00780AF2">
        <w:t>as</w:t>
      </w:r>
      <w:r>
        <w:t xml:space="preserve"> colored boxplots.</w:t>
      </w:r>
      <w:r w:rsidR="00810E5C">
        <w:t xml:space="preserve"> The horizontal dashed line indicates a whole plant biomass: pot volume value of 1 g L</w:t>
      </w:r>
      <w:r w:rsidR="00810E5C">
        <w:rPr>
          <w:vertAlign w:val="superscript"/>
        </w:rPr>
        <w:t>-1</w:t>
      </w:r>
      <w:r w:rsidR="00810E5C">
        <w:t xml:space="preserve">, which is recommended by Poorter </w:t>
      </w:r>
      <w:r w:rsidR="00810E5C" w:rsidRPr="00627ACE">
        <w:rPr>
          <w:i/>
          <w:iCs/>
        </w:rPr>
        <w:t>et al</w:t>
      </w:r>
      <w:r w:rsidR="00810E5C">
        <w:t>.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w:t>
      </w:r>
      <w:r w:rsidRPr="00627ACE">
        <w:rPr>
          <w:i/>
          <w:iCs/>
        </w:rPr>
        <w:t>p</w:t>
      </w:r>
      <w:r>
        <w:t>&lt;0.05).</w:t>
      </w:r>
    </w:p>
    <w:sectPr w:rsidR="00B42CA1" w:rsidRPr="00B217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3F9F5" w14:textId="77777777" w:rsidR="00AA6C3C" w:rsidRDefault="00AA6C3C" w:rsidP="00627ACE">
      <w:r>
        <w:separator/>
      </w:r>
    </w:p>
  </w:endnote>
  <w:endnote w:type="continuationSeparator" w:id="0">
    <w:p w14:paraId="28DC6B16" w14:textId="77777777" w:rsidR="00AA6C3C" w:rsidRDefault="00AA6C3C" w:rsidP="0062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2269973"/>
      <w:docPartObj>
        <w:docPartGallery w:val="Page Numbers (Bottom of Page)"/>
        <w:docPartUnique/>
      </w:docPartObj>
    </w:sdtPr>
    <w:sdtContent>
      <w:p w14:paraId="73EC7B50" w14:textId="09B5D88F" w:rsidR="00627ACE" w:rsidRDefault="00627ACE" w:rsidP="00032D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1AB51" w14:textId="77777777" w:rsidR="00627ACE" w:rsidRDefault="00627ACE" w:rsidP="0062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724798935"/>
      <w:docPartObj>
        <w:docPartGallery w:val="Page Numbers (Bottom of Page)"/>
        <w:docPartUnique/>
      </w:docPartObj>
    </w:sdtPr>
    <w:sdtContent>
      <w:p w14:paraId="38A929D2" w14:textId="379C5786" w:rsidR="00627ACE" w:rsidRPr="00627ACE" w:rsidRDefault="00627ACE" w:rsidP="00032D4E">
        <w:pPr>
          <w:pStyle w:val="Footer"/>
          <w:framePr w:wrap="none" w:vAnchor="text" w:hAnchor="margin" w:xAlign="right" w:y="1"/>
          <w:rPr>
            <w:rStyle w:val="PageNumber"/>
            <w:sz w:val="20"/>
            <w:szCs w:val="20"/>
          </w:rPr>
        </w:pPr>
        <w:r w:rsidRPr="00627ACE">
          <w:rPr>
            <w:rStyle w:val="PageNumber"/>
            <w:sz w:val="20"/>
            <w:szCs w:val="20"/>
          </w:rPr>
          <w:t xml:space="preserve">pg. </w:t>
        </w:r>
        <w:r w:rsidRPr="00627ACE">
          <w:rPr>
            <w:rStyle w:val="PageNumber"/>
            <w:sz w:val="20"/>
            <w:szCs w:val="20"/>
          </w:rPr>
          <w:fldChar w:fldCharType="begin"/>
        </w:r>
        <w:r w:rsidRPr="00627ACE">
          <w:rPr>
            <w:rStyle w:val="PageNumber"/>
            <w:sz w:val="20"/>
            <w:szCs w:val="20"/>
          </w:rPr>
          <w:instrText xml:space="preserve"> PAGE </w:instrText>
        </w:r>
        <w:r w:rsidRPr="00627ACE">
          <w:rPr>
            <w:rStyle w:val="PageNumber"/>
            <w:sz w:val="20"/>
            <w:szCs w:val="20"/>
          </w:rPr>
          <w:fldChar w:fldCharType="separate"/>
        </w:r>
        <w:r w:rsidRPr="00627ACE">
          <w:rPr>
            <w:rStyle w:val="PageNumber"/>
            <w:noProof/>
            <w:sz w:val="20"/>
            <w:szCs w:val="20"/>
          </w:rPr>
          <w:t>1</w:t>
        </w:r>
        <w:r w:rsidRPr="00627ACE">
          <w:rPr>
            <w:rStyle w:val="PageNumber"/>
            <w:sz w:val="20"/>
            <w:szCs w:val="20"/>
          </w:rPr>
          <w:fldChar w:fldCharType="end"/>
        </w:r>
        <w:r w:rsidRPr="00627ACE">
          <w:rPr>
            <w:rStyle w:val="PageNumber"/>
            <w:sz w:val="20"/>
            <w:szCs w:val="20"/>
          </w:rPr>
          <w:t xml:space="preserve"> of 4</w:t>
        </w:r>
      </w:p>
    </w:sdtContent>
  </w:sdt>
  <w:p w14:paraId="42348A91" w14:textId="77777777" w:rsidR="00627ACE" w:rsidRPr="00627ACE" w:rsidRDefault="00627ACE" w:rsidP="00627ACE">
    <w:pPr>
      <w:pStyle w:val="Footer"/>
      <w:ind w:right="36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4AD16" w14:textId="77777777" w:rsidR="00AA6C3C" w:rsidRDefault="00AA6C3C" w:rsidP="00627ACE">
      <w:r>
        <w:separator/>
      </w:r>
    </w:p>
  </w:footnote>
  <w:footnote w:type="continuationSeparator" w:id="0">
    <w:p w14:paraId="6240971C" w14:textId="77777777" w:rsidR="00AA6C3C" w:rsidRDefault="00AA6C3C" w:rsidP="00627A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41E4A"/>
    <w:rsid w:val="001F1FD0"/>
    <w:rsid w:val="001F2877"/>
    <w:rsid w:val="002948B1"/>
    <w:rsid w:val="002C360E"/>
    <w:rsid w:val="002E533B"/>
    <w:rsid w:val="003B7AD0"/>
    <w:rsid w:val="0048276C"/>
    <w:rsid w:val="00497794"/>
    <w:rsid w:val="00595E4C"/>
    <w:rsid w:val="005A3AD9"/>
    <w:rsid w:val="00621FD4"/>
    <w:rsid w:val="00627ACE"/>
    <w:rsid w:val="006D0914"/>
    <w:rsid w:val="00780AF2"/>
    <w:rsid w:val="00810E5C"/>
    <w:rsid w:val="009C42E2"/>
    <w:rsid w:val="00AA6C3C"/>
    <w:rsid w:val="00AB1536"/>
    <w:rsid w:val="00B217CA"/>
    <w:rsid w:val="00B42CA1"/>
    <w:rsid w:val="00CD7792"/>
    <w:rsid w:val="00D87D4B"/>
    <w:rsid w:val="00D9049F"/>
    <w:rsid w:val="00DF2B72"/>
    <w:rsid w:val="00E9362A"/>
    <w:rsid w:val="00EF70FD"/>
    <w:rsid w:val="00F6735C"/>
    <w:rsid w:val="00F8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27ACE"/>
    <w:pPr>
      <w:tabs>
        <w:tab w:val="center" w:pos="4680"/>
        <w:tab w:val="right" w:pos="9360"/>
      </w:tabs>
    </w:pPr>
  </w:style>
  <w:style w:type="character" w:customStyle="1" w:styleId="HeaderChar">
    <w:name w:val="Header Char"/>
    <w:basedOn w:val="DefaultParagraphFont"/>
    <w:link w:val="Header"/>
    <w:uiPriority w:val="99"/>
    <w:rsid w:val="00627ACE"/>
  </w:style>
  <w:style w:type="paragraph" w:styleId="Footer">
    <w:name w:val="footer"/>
    <w:basedOn w:val="Normal"/>
    <w:link w:val="FooterChar"/>
    <w:uiPriority w:val="99"/>
    <w:unhideWhenUsed/>
    <w:rsid w:val="00627ACE"/>
    <w:pPr>
      <w:tabs>
        <w:tab w:val="center" w:pos="4680"/>
        <w:tab w:val="right" w:pos="9360"/>
      </w:tabs>
    </w:pPr>
  </w:style>
  <w:style w:type="character" w:customStyle="1" w:styleId="FooterChar">
    <w:name w:val="Footer Char"/>
    <w:basedOn w:val="DefaultParagraphFont"/>
    <w:link w:val="Footer"/>
    <w:uiPriority w:val="99"/>
    <w:rsid w:val="00627ACE"/>
  </w:style>
  <w:style w:type="character" w:styleId="PageNumber">
    <w:name w:val="page number"/>
    <w:basedOn w:val="DefaultParagraphFont"/>
    <w:uiPriority w:val="99"/>
    <w:semiHidden/>
    <w:unhideWhenUsed/>
    <w:rsid w:val="0062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2024-08-02T17:37:00Z</dcterms:created>
  <dcterms:modified xsi:type="dcterms:W3CDTF">2024-08-02T17:37:00Z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