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66F20E" w14:textId="6B8476CB" w:rsidR="002C360E" w:rsidRDefault="00B217CA" w:rsidP="00B217CA">
      <w:pPr>
        <w:spacing w:line="360" w:lineRule="auto"/>
      </w:pPr>
      <w:r>
        <w:rPr>
          <w:b/>
          <w:bCs/>
        </w:rPr>
        <w:t xml:space="preserve">Supplemental </w:t>
      </w:r>
      <w:r w:rsidR="00627ACE">
        <w:rPr>
          <w:b/>
          <w:bCs/>
        </w:rPr>
        <w:t xml:space="preserve">material for </w:t>
      </w:r>
      <w:r w:rsidR="00627ACE" w:rsidRPr="00627ACE">
        <w:t>“</w:t>
      </w:r>
      <w:r w:rsidR="00627ACE" w:rsidRPr="00627ACE">
        <w:rPr>
          <w:rFonts w:cs="Times New Roman"/>
          <w:i/>
          <w:iCs/>
          <w:sz w:val="22"/>
          <w:szCs w:val="22"/>
        </w:rPr>
        <w:t>Symbiotic nitrogen fixation reduces</w:t>
      </w:r>
      <w:r w:rsidR="00780AF2">
        <w:rPr>
          <w:rFonts w:cs="Times New Roman"/>
          <w:i/>
          <w:iCs/>
          <w:sz w:val="22"/>
          <w:szCs w:val="22"/>
        </w:rPr>
        <w:t xml:space="preserve"> belowground biomass</w:t>
      </w:r>
      <w:r w:rsidR="00627ACE" w:rsidRPr="00627ACE">
        <w:rPr>
          <w:rFonts w:cs="Times New Roman"/>
          <w:i/>
          <w:iCs/>
          <w:sz w:val="22"/>
          <w:szCs w:val="22"/>
        </w:rPr>
        <w:t xml:space="preserve"> carbon costs of nitrogen acquisition under low, but not high, nitrogen availability</w:t>
      </w:r>
      <w:r w:rsidR="00627ACE" w:rsidRPr="00627ACE">
        <w:t>”</w:t>
      </w:r>
    </w:p>
    <w:p w14:paraId="2D883481" w14:textId="5D531181" w:rsidR="00B217CA" w:rsidRDefault="00B217CA" w:rsidP="00B217CA">
      <w:pPr>
        <w:spacing w:line="360" w:lineRule="auto"/>
      </w:pPr>
    </w:p>
    <w:p w14:paraId="4E5EF45F" w14:textId="3C6173E1" w:rsidR="00B217CA" w:rsidRDefault="00B217CA" w:rsidP="00B217CA">
      <w:pPr>
        <w:spacing w:line="360" w:lineRule="auto"/>
        <w:rPr>
          <w:rFonts w:eastAsia="Times New Roman" w:cs="Times New Roman"/>
        </w:rPr>
      </w:pPr>
      <w:r>
        <w:rPr>
          <w:rFonts w:eastAsia="Times New Roman" w:cs="Times New Roman"/>
          <w:b/>
        </w:rPr>
        <w:t>Table S1</w:t>
      </w:r>
      <w:r>
        <w:rPr>
          <w:rFonts w:eastAsia="Times New Roman" w:cs="Times New Roman"/>
        </w:rPr>
        <w:t xml:space="preserve"> Summary table containing volumes of compounds used to create modified Hoagland's solutions for each soil nitrogen fertilization treatment. All volumes are expressed as milliliters of compoun</w:t>
      </w:r>
      <w:r w:rsidR="00595E4C">
        <w:rPr>
          <w:rFonts w:eastAsia="Times New Roman" w:cs="Times New Roman"/>
        </w:rPr>
        <w:t>d</w:t>
      </w:r>
      <w:r>
        <w:rPr>
          <w:rFonts w:eastAsia="Times New Roman" w:cs="Times New Roman"/>
        </w:rPr>
        <w:t xml:space="preserve"> per liter </w:t>
      </w:r>
      <w:r w:rsidR="00595E4C">
        <w:rPr>
          <w:rFonts w:eastAsia="Times New Roman" w:cs="Times New Roman"/>
        </w:rPr>
        <w:t xml:space="preserve">of deionized </w:t>
      </w:r>
      <w:r>
        <w:rPr>
          <w:rFonts w:eastAsia="Times New Roman" w:cs="Times New Roman"/>
        </w:rPr>
        <w:t>H</w:t>
      </w:r>
      <w:r>
        <w:rPr>
          <w:rFonts w:eastAsia="Times New Roman" w:cs="Times New Roman"/>
          <w:vertAlign w:val="subscript"/>
        </w:rPr>
        <w:t>2</w:t>
      </w:r>
      <w:r>
        <w:rPr>
          <w:rFonts w:eastAsia="Times New Roman" w:cs="Times New Roman"/>
        </w:rPr>
        <w:t>O (mL/L)</w:t>
      </w:r>
    </w:p>
    <w:tbl>
      <w:tblPr>
        <w:tblW w:w="4765" w:type="dxa"/>
        <w:jc w:val="center"/>
        <w:tblBorders>
          <w:top w:val="nil"/>
          <w:left w:val="nil"/>
          <w:bottom w:val="nil"/>
          <w:right w:val="nil"/>
          <w:insideH w:val="nil"/>
          <w:insideV w:val="nil"/>
        </w:tblBorders>
        <w:tblLayout w:type="fixed"/>
        <w:tblLook w:val="0400" w:firstRow="0" w:lastRow="0" w:firstColumn="0" w:lastColumn="0" w:noHBand="0" w:noVBand="1"/>
      </w:tblPr>
      <w:tblGrid>
        <w:gridCol w:w="2065"/>
        <w:gridCol w:w="1350"/>
        <w:gridCol w:w="1350"/>
      </w:tblGrid>
      <w:tr w:rsidR="00B217CA" w14:paraId="394C692F" w14:textId="77777777" w:rsidTr="00B217CA">
        <w:trPr>
          <w:jc w:val="center"/>
        </w:trPr>
        <w:tc>
          <w:tcPr>
            <w:tcW w:w="2065" w:type="dxa"/>
            <w:tcBorders>
              <w:bottom w:val="single" w:sz="8" w:space="0" w:color="000000"/>
            </w:tcBorders>
            <w:vAlign w:val="center"/>
          </w:tcPr>
          <w:p w14:paraId="2BD1C25F" w14:textId="77777777" w:rsidR="00B217CA" w:rsidRDefault="00B217CA" w:rsidP="00B217CA">
            <w:pPr>
              <w:spacing w:line="360" w:lineRule="auto"/>
              <w:rPr>
                <w:rFonts w:eastAsia="Times New Roman" w:cs="Times New Roman"/>
                <w:b/>
              </w:rPr>
            </w:pPr>
            <w:r>
              <w:rPr>
                <w:rFonts w:eastAsia="Times New Roman" w:cs="Times New Roman"/>
                <w:b/>
              </w:rPr>
              <w:t>Compound</w:t>
            </w:r>
          </w:p>
        </w:tc>
        <w:tc>
          <w:tcPr>
            <w:tcW w:w="1350" w:type="dxa"/>
            <w:tcBorders>
              <w:bottom w:val="single" w:sz="8" w:space="0" w:color="000000"/>
            </w:tcBorders>
            <w:vAlign w:val="center"/>
          </w:tcPr>
          <w:p w14:paraId="76A891D6" w14:textId="77777777" w:rsidR="00B217CA" w:rsidRDefault="00B217CA" w:rsidP="00B217CA">
            <w:pPr>
              <w:spacing w:line="360" w:lineRule="auto"/>
              <w:jc w:val="right"/>
              <w:rPr>
                <w:rFonts w:eastAsia="Times New Roman" w:cs="Times New Roman"/>
                <w:b/>
              </w:rPr>
            </w:pPr>
            <w:r>
              <w:rPr>
                <w:rFonts w:eastAsia="Times New Roman" w:cs="Times New Roman"/>
                <w:b/>
              </w:rPr>
              <w:t>70 ppm N</w:t>
            </w:r>
          </w:p>
        </w:tc>
        <w:tc>
          <w:tcPr>
            <w:tcW w:w="1350" w:type="dxa"/>
            <w:tcBorders>
              <w:bottom w:val="single" w:sz="8" w:space="0" w:color="000000"/>
            </w:tcBorders>
            <w:vAlign w:val="center"/>
          </w:tcPr>
          <w:p w14:paraId="7601ACBB" w14:textId="77777777" w:rsidR="00B217CA" w:rsidRDefault="00B217CA" w:rsidP="00B217CA">
            <w:pPr>
              <w:spacing w:line="360" w:lineRule="auto"/>
              <w:jc w:val="right"/>
              <w:rPr>
                <w:rFonts w:eastAsia="Times New Roman" w:cs="Times New Roman"/>
                <w:b/>
              </w:rPr>
            </w:pPr>
            <w:r>
              <w:rPr>
                <w:rFonts w:eastAsia="Times New Roman" w:cs="Times New Roman"/>
                <w:b/>
              </w:rPr>
              <w:t>630 ppm N</w:t>
            </w:r>
          </w:p>
        </w:tc>
      </w:tr>
      <w:tr w:rsidR="00B217CA" w14:paraId="6505C00A" w14:textId="77777777" w:rsidTr="00B217CA">
        <w:trPr>
          <w:jc w:val="center"/>
        </w:trPr>
        <w:tc>
          <w:tcPr>
            <w:tcW w:w="2065" w:type="dxa"/>
            <w:tcBorders>
              <w:top w:val="single" w:sz="8" w:space="0" w:color="000000"/>
            </w:tcBorders>
          </w:tcPr>
          <w:p w14:paraId="436C159A" w14:textId="77777777" w:rsidR="00B217CA" w:rsidRDefault="00B217CA" w:rsidP="00B217CA">
            <w:pPr>
              <w:spacing w:line="360" w:lineRule="auto"/>
              <w:rPr>
                <w:rFonts w:eastAsia="Times New Roman" w:cs="Times New Roman"/>
                <w:vertAlign w:val="subscript"/>
              </w:rPr>
            </w:pPr>
            <w:r>
              <w:rPr>
                <w:rFonts w:eastAsia="Times New Roman" w:cs="Times New Roman"/>
              </w:rPr>
              <w:t>1 M NH</w:t>
            </w:r>
            <w:r>
              <w:rPr>
                <w:rFonts w:eastAsia="Times New Roman" w:cs="Times New Roman"/>
                <w:vertAlign w:val="subscript"/>
              </w:rPr>
              <w:t>4</w:t>
            </w:r>
            <w:r>
              <w:rPr>
                <w:rFonts w:eastAsia="Times New Roman" w:cs="Times New Roman"/>
              </w:rPr>
              <w:t>H</w:t>
            </w:r>
            <w:r>
              <w:rPr>
                <w:rFonts w:eastAsia="Times New Roman" w:cs="Times New Roman"/>
                <w:vertAlign w:val="subscript"/>
              </w:rPr>
              <w:t>2</w:t>
            </w:r>
            <w:r>
              <w:rPr>
                <w:rFonts w:eastAsia="Times New Roman" w:cs="Times New Roman"/>
              </w:rPr>
              <w:t>PO</w:t>
            </w:r>
            <w:r>
              <w:rPr>
                <w:rFonts w:eastAsia="Times New Roman" w:cs="Times New Roman"/>
                <w:vertAlign w:val="subscript"/>
              </w:rPr>
              <w:t>4</w:t>
            </w:r>
          </w:p>
        </w:tc>
        <w:tc>
          <w:tcPr>
            <w:tcW w:w="1350" w:type="dxa"/>
            <w:tcBorders>
              <w:top w:val="single" w:sz="8" w:space="0" w:color="000000"/>
            </w:tcBorders>
          </w:tcPr>
          <w:p w14:paraId="33789E8C" w14:textId="77777777" w:rsidR="00B217CA" w:rsidRDefault="00B217CA" w:rsidP="00B217CA">
            <w:pPr>
              <w:spacing w:line="360" w:lineRule="auto"/>
              <w:jc w:val="right"/>
              <w:rPr>
                <w:rFonts w:eastAsia="Times New Roman" w:cs="Times New Roman"/>
              </w:rPr>
            </w:pPr>
            <w:r>
              <w:rPr>
                <w:rFonts w:eastAsia="Times New Roman" w:cs="Times New Roman"/>
              </w:rPr>
              <w:t>0.33</w:t>
            </w:r>
          </w:p>
        </w:tc>
        <w:tc>
          <w:tcPr>
            <w:tcW w:w="1350" w:type="dxa"/>
            <w:tcBorders>
              <w:top w:val="single" w:sz="8" w:space="0" w:color="000000"/>
            </w:tcBorders>
          </w:tcPr>
          <w:p w14:paraId="4FC8CA4D" w14:textId="77777777" w:rsidR="00B217CA" w:rsidRDefault="00B217CA" w:rsidP="00B217CA">
            <w:pPr>
              <w:spacing w:line="360" w:lineRule="auto"/>
              <w:jc w:val="right"/>
              <w:rPr>
                <w:rFonts w:eastAsia="Times New Roman" w:cs="Times New Roman"/>
              </w:rPr>
            </w:pPr>
            <w:r>
              <w:rPr>
                <w:rFonts w:eastAsia="Times New Roman" w:cs="Times New Roman"/>
              </w:rPr>
              <w:t>1</w:t>
            </w:r>
          </w:p>
        </w:tc>
      </w:tr>
      <w:tr w:rsidR="00B217CA" w14:paraId="39EE8DAA" w14:textId="77777777" w:rsidTr="00B217CA">
        <w:trPr>
          <w:jc w:val="center"/>
        </w:trPr>
        <w:tc>
          <w:tcPr>
            <w:tcW w:w="2065" w:type="dxa"/>
          </w:tcPr>
          <w:p w14:paraId="28A53832" w14:textId="77777777" w:rsidR="00B217CA" w:rsidRDefault="00B217CA" w:rsidP="00B217CA">
            <w:pPr>
              <w:spacing w:line="360" w:lineRule="auto"/>
              <w:rPr>
                <w:rFonts w:eastAsia="Times New Roman" w:cs="Times New Roman"/>
                <w:vertAlign w:val="subscript"/>
              </w:rPr>
            </w:pPr>
            <w:r>
              <w:rPr>
                <w:rFonts w:eastAsia="Times New Roman" w:cs="Times New Roman"/>
              </w:rPr>
              <w:t>2 M KNO</w:t>
            </w:r>
            <w:r>
              <w:rPr>
                <w:rFonts w:eastAsia="Times New Roman" w:cs="Times New Roman"/>
                <w:vertAlign w:val="subscript"/>
              </w:rPr>
              <w:t>3</w:t>
            </w:r>
          </w:p>
        </w:tc>
        <w:tc>
          <w:tcPr>
            <w:tcW w:w="1350" w:type="dxa"/>
          </w:tcPr>
          <w:p w14:paraId="1E50790D" w14:textId="77777777" w:rsidR="00B217CA" w:rsidRDefault="00B217CA" w:rsidP="00B217CA">
            <w:pPr>
              <w:spacing w:line="360" w:lineRule="auto"/>
              <w:jc w:val="right"/>
              <w:rPr>
                <w:rFonts w:eastAsia="Times New Roman" w:cs="Times New Roman"/>
              </w:rPr>
            </w:pPr>
            <w:r>
              <w:rPr>
                <w:rFonts w:eastAsia="Times New Roman" w:cs="Times New Roman"/>
              </w:rPr>
              <w:t>0.67</w:t>
            </w:r>
          </w:p>
        </w:tc>
        <w:tc>
          <w:tcPr>
            <w:tcW w:w="1350" w:type="dxa"/>
          </w:tcPr>
          <w:p w14:paraId="1D96B6C6" w14:textId="77777777" w:rsidR="00B217CA" w:rsidRDefault="00B217CA" w:rsidP="00B217CA">
            <w:pPr>
              <w:spacing w:line="360" w:lineRule="auto"/>
              <w:jc w:val="right"/>
              <w:rPr>
                <w:rFonts w:eastAsia="Times New Roman" w:cs="Times New Roman"/>
              </w:rPr>
            </w:pPr>
            <w:r>
              <w:rPr>
                <w:rFonts w:eastAsia="Times New Roman" w:cs="Times New Roman"/>
              </w:rPr>
              <w:t>2</w:t>
            </w:r>
          </w:p>
        </w:tc>
      </w:tr>
      <w:tr w:rsidR="00B217CA" w14:paraId="63E712CF" w14:textId="77777777" w:rsidTr="00B217CA">
        <w:trPr>
          <w:jc w:val="center"/>
        </w:trPr>
        <w:tc>
          <w:tcPr>
            <w:tcW w:w="2065" w:type="dxa"/>
          </w:tcPr>
          <w:p w14:paraId="0FBD9465" w14:textId="77777777" w:rsidR="00B217CA" w:rsidRDefault="00B217CA" w:rsidP="00B217CA">
            <w:pPr>
              <w:spacing w:line="360" w:lineRule="auto"/>
              <w:rPr>
                <w:rFonts w:eastAsia="Times New Roman" w:cs="Times New Roman"/>
                <w:vertAlign w:val="subscript"/>
              </w:rPr>
            </w:pPr>
            <w:r>
              <w:rPr>
                <w:rFonts w:eastAsia="Times New Roman" w:cs="Times New Roman"/>
              </w:rPr>
              <w:t>2 M Ca(NO</w:t>
            </w:r>
            <w:r>
              <w:rPr>
                <w:rFonts w:eastAsia="Times New Roman" w:cs="Times New Roman"/>
                <w:vertAlign w:val="subscript"/>
              </w:rPr>
              <w:t>3</w:t>
            </w:r>
            <w:r>
              <w:rPr>
                <w:rFonts w:eastAsia="Times New Roman" w:cs="Times New Roman"/>
              </w:rPr>
              <w:t>)</w:t>
            </w:r>
            <w:r>
              <w:rPr>
                <w:rFonts w:eastAsia="Times New Roman" w:cs="Times New Roman"/>
                <w:vertAlign w:val="subscript"/>
              </w:rPr>
              <w:t>2</w:t>
            </w:r>
          </w:p>
        </w:tc>
        <w:tc>
          <w:tcPr>
            <w:tcW w:w="1350" w:type="dxa"/>
          </w:tcPr>
          <w:p w14:paraId="5236EAA2" w14:textId="77777777" w:rsidR="00B217CA" w:rsidRDefault="00B217CA" w:rsidP="00B217CA">
            <w:pPr>
              <w:spacing w:line="360" w:lineRule="auto"/>
              <w:jc w:val="right"/>
              <w:rPr>
                <w:rFonts w:eastAsia="Times New Roman" w:cs="Times New Roman"/>
              </w:rPr>
            </w:pPr>
            <w:r>
              <w:rPr>
                <w:rFonts w:eastAsia="Times New Roman" w:cs="Times New Roman"/>
              </w:rPr>
              <w:t>0.67</w:t>
            </w:r>
          </w:p>
        </w:tc>
        <w:tc>
          <w:tcPr>
            <w:tcW w:w="1350" w:type="dxa"/>
          </w:tcPr>
          <w:p w14:paraId="26A004DB" w14:textId="77777777" w:rsidR="00B217CA" w:rsidRDefault="00B217CA" w:rsidP="00B217CA">
            <w:pPr>
              <w:spacing w:line="360" w:lineRule="auto"/>
              <w:jc w:val="right"/>
              <w:rPr>
                <w:rFonts w:eastAsia="Times New Roman" w:cs="Times New Roman"/>
              </w:rPr>
            </w:pPr>
            <w:r>
              <w:rPr>
                <w:rFonts w:eastAsia="Times New Roman" w:cs="Times New Roman"/>
              </w:rPr>
              <w:t>2</w:t>
            </w:r>
          </w:p>
        </w:tc>
      </w:tr>
      <w:tr w:rsidR="00B217CA" w14:paraId="0947DF43" w14:textId="77777777" w:rsidTr="00B217CA">
        <w:trPr>
          <w:jc w:val="center"/>
        </w:trPr>
        <w:tc>
          <w:tcPr>
            <w:tcW w:w="2065" w:type="dxa"/>
          </w:tcPr>
          <w:p w14:paraId="32C97374" w14:textId="77777777" w:rsidR="00B217CA" w:rsidRDefault="00B217CA" w:rsidP="00B217CA">
            <w:pPr>
              <w:spacing w:line="360" w:lineRule="auto"/>
              <w:rPr>
                <w:rFonts w:eastAsia="Times New Roman" w:cs="Times New Roman"/>
              </w:rPr>
            </w:pPr>
            <w:r>
              <w:rPr>
                <w:rFonts w:eastAsia="Times New Roman" w:cs="Times New Roman"/>
              </w:rPr>
              <w:t>1 M NH</w:t>
            </w:r>
            <w:r>
              <w:rPr>
                <w:rFonts w:eastAsia="Times New Roman" w:cs="Times New Roman"/>
                <w:vertAlign w:val="subscript"/>
              </w:rPr>
              <w:t>4</w:t>
            </w:r>
            <w:r>
              <w:rPr>
                <w:rFonts w:eastAsia="Times New Roman" w:cs="Times New Roman"/>
              </w:rPr>
              <w:t>NO</w:t>
            </w:r>
            <w:r>
              <w:rPr>
                <w:rFonts w:eastAsia="Times New Roman" w:cs="Times New Roman"/>
                <w:vertAlign w:val="subscript"/>
              </w:rPr>
              <w:t>3</w:t>
            </w:r>
          </w:p>
        </w:tc>
        <w:tc>
          <w:tcPr>
            <w:tcW w:w="1350" w:type="dxa"/>
          </w:tcPr>
          <w:p w14:paraId="5935E687" w14:textId="77777777" w:rsidR="00B217CA" w:rsidRDefault="00B217CA" w:rsidP="00B217CA">
            <w:pPr>
              <w:spacing w:line="360" w:lineRule="auto"/>
              <w:jc w:val="right"/>
              <w:rPr>
                <w:rFonts w:eastAsia="Times New Roman" w:cs="Times New Roman"/>
              </w:rPr>
            </w:pPr>
            <w:r>
              <w:rPr>
                <w:rFonts w:eastAsia="Times New Roman" w:cs="Times New Roman"/>
              </w:rPr>
              <w:t>0.33</w:t>
            </w:r>
          </w:p>
        </w:tc>
        <w:tc>
          <w:tcPr>
            <w:tcW w:w="1350" w:type="dxa"/>
          </w:tcPr>
          <w:p w14:paraId="4F9B0627" w14:textId="5CE69072" w:rsidR="00B217CA" w:rsidRDefault="00B217CA" w:rsidP="00B217CA">
            <w:pPr>
              <w:spacing w:line="360" w:lineRule="auto"/>
              <w:jc w:val="right"/>
              <w:rPr>
                <w:rFonts w:eastAsia="Times New Roman" w:cs="Times New Roman"/>
              </w:rPr>
            </w:pPr>
            <w:r>
              <w:rPr>
                <w:rFonts w:eastAsia="Times New Roman" w:cs="Times New Roman"/>
              </w:rPr>
              <w:t>0</w:t>
            </w:r>
          </w:p>
        </w:tc>
      </w:tr>
      <w:tr w:rsidR="00B217CA" w14:paraId="061430F9" w14:textId="77777777" w:rsidTr="00B217CA">
        <w:trPr>
          <w:jc w:val="center"/>
        </w:trPr>
        <w:tc>
          <w:tcPr>
            <w:tcW w:w="2065" w:type="dxa"/>
          </w:tcPr>
          <w:p w14:paraId="35874820" w14:textId="1ADF0B5F" w:rsidR="00B217CA" w:rsidRDefault="00B217CA" w:rsidP="00B217CA">
            <w:pPr>
              <w:spacing w:line="360" w:lineRule="auto"/>
              <w:rPr>
                <w:rFonts w:eastAsia="Times New Roman" w:cs="Times New Roman"/>
              </w:rPr>
            </w:pPr>
            <w:r>
              <w:rPr>
                <w:rFonts w:eastAsia="Times New Roman" w:cs="Times New Roman"/>
              </w:rPr>
              <w:t>8 M NH</w:t>
            </w:r>
            <w:r>
              <w:rPr>
                <w:rFonts w:eastAsia="Times New Roman" w:cs="Times New Roman"/>
                <w:vertAlign w:val="subscript"/>
              </w:rPr>
              <w:t>4</w:t>
            </w:r>
            <w:r>
              <w:rPr>
                <w:rFonts w:eastAsia="Times New Roman" w:cs="Times New Roman"/>
              </w:rPr>
              <w:t>NO</w:t>
            </w:r>
            <w:r>
              <w:rPr>
                <w:rFonts w:eastAsia="Times New Roman" w:cs="Times New Roman"/>
                <w:vertAlign w:val="subscript"/>
              </w:rPr>
              <w:t>3</w:t>
            </w:r>
          </w:p>
        </w:tc>
        <w:tc>
          <w:tcPr>
            <w:tcW w:w="1350" w:type="dxa"/>
          </w:tcPr>
          <w:p w14:paraId="21E6D69C" w14:textId="79C40B15" w:rsidR="00B217CA" w:rsidRDefault="00B217CA" w:rsidP="00B217CA">
            <w:pPr>
              <w:spacing w:line="360" w:lineRule="auto"/>
              <w:jc w:val="right"/>
              <w:rPr>
                <w:rFonts w:eastAsia="Times New Roman" w:cs="Times New Roman"/>
              </w:rPr>
            </w:pPr>
            <w:r>
              <w:rPr>
                <w:rFonts w:eastAsia="Times New Roman" w:cs="Times New Roman"/>
              </w:rPr>
              <w:t>0</w:t>
            </w:r>
          </w:p>
        </w:tc>
        <w:tc>
          <w:tcPr>
            <w:tcW w:w="1350" w:type="dxa"/>
          </w:tcPr>
          <w:p w14:paraId="2FC3D020" w14:textId="1440439A" w:rsidR="00B217CA" w:rsidRDefault="00B217CA" w:rsidP="00B217CA">
            <w:pPr>
              <w:spacing w:line="360" w:lineRule="auto"/>
              <w:jc w:val="right"/>
              <w:rPr>
                <w:rFonts w:eastAsia="Times New Roman" w:cs="Times New Roman"/>
              </w:rPr>
            </w:pPr>
            <w:r>
              <w:rPr>
                <w:rFonts w:eastAsia="Times New Roman" w:cs="Times New Roman"/>
              </w:rPr>
              <w:t>2</w:t>
            </w:r>
          </w:p>
        </w:tc>
      </w:tr>
      <w:tr w:rsidR="00B217CA" w14:paraId="241406E6" w14:textId="77777777" w:rsidTr="00B217CA">
        <w:trPr>
          <w:jc w:val="center"/>
        </w:trPr>
        <w:tc>
          <w:tcPr>
            <w:tcW w:w="2065" w:type="dxa"/>
          </w:tcPr>
          <w:p w14:paraId="254CBFB2" w14:textId="77777777" w:rsidR="00B217CA" w:rsidRDefault="00B217CA" w:rsidP="00B217CA">
            <w:pPr>
              <w:spacing w:line="360" w:lineRule="auto"/>
              <w:rPr>
                <w:rFonts w:eastAsia="Times New Roman" w:cs="Times New Roman"/>
              </w:rPr>
            </w:pPr>
            <w:r>
              <w:rPr>
                <w:rFonts w:eastAsia="Times New Roman" w:cs="Times New Roman"/>
              </w:rPr>
              <w:t>1 M KH</w:t>
            </w:r>
            <w:r>
              <w:rPr>
                <w:rFonts w:eastAsia="Times New Roman" w:cs="Times New Roman"/>
                <w:vertAlign w:val="subscript"/>
              </w:rPr>
              <w:t>2</w:t>
            </w:r>
            <w:r>
              <w:rPr>
                <w:rFonts w:eastAsia="Times New Roman" w:cs="Times New Roman"/>
              </w:rPr>
              <w:t>PO</w:t>
            </w:r>
            <w:r>
              <w:rPr>
                <w:rFonts w:eastAsia="Times New Roman" w:cs="Times New Roman"/>
                <w:vertAlign w:val="subscript"/>
              </w:rPr>
              <w:t>4</w:t>
            </w:r>
          </w:p>
        </w:tc>
        <w:tc>
          <w:tcPr>
            <w:tcW w:w="1350" w:type="dxa"/>
          </w:tcPr>
          <w:p w14:paraId="4441099D" w14:textId="5718591C" w:rsidR="00B217CA" w:rsidRDefault="00B217CA" w:rsidP="00B217CA">
            <w:pPr>
              <w:spacing w:line="360" w:lineRule="auto"/>
              <w:jc w:val="right"/>
              <w:rPr>
                <w:rFonts w:eastAsia="Times New Roman" w:cs="Times New Roman"/>
              </w:rPr>
            </w:pPr>
            <w:r>
              <w:rPr>
                <w:rFonts w:eastAsia="Times New Roman" w:cs="Times New Roman"/>
              </w:rPr>
              <w:t>0.6</w:t>
            </w:r>
            <w:r w:rsidR="00DF2B72">
              <w:rPr>
                <w:rFonts w:eastAsia="Times New Roman" w:cs="Times New Roman"/>
              </w:rPr>
              <w:t>7</w:t>
            </w:r>
          </w:p>
        </w:tc>
        <w:tc>
          <w:tcPr>
            <w:tcW w:w="1350" w:type="dxa"/>
          </w:tcPr>
          <w:p w14:paraId="2CC531CB" w14:textId="77777777" w:rsidR="00B217CA" w:rsidRDefault="00B217CA" w:rsidP="00B217CA">
            <w:pPr>
              <w:spacing w:line="360" w:lineRule="auto"/>
              <w:jc w:val="right"/>
              <w:rPr>
                <w:rFonts w:eastAsia="Times New Roman" w:cs="Times New Roman"/>
              </w:rPr>
            </w:pPr>
            <w:r>
              <w:rPr>
                <w:rFonts w:eastAsia="Times New Roman" w:cs="Times New Roman"/>
              </w:rPr>
              <w:t>0</w:t>
            </w:r>
          </w:p>
        </w:tc>
      </w:tr>
      <w:tr w:rsidR="00B217CA" w14:paraId="302BA0CD" w14:textId="77777777" w:rsidTr="00B217CA">
        <w:trPr>
          <w:jc w:val="center"/>
        </w:trPr>
        <w:tc>
          <w:tcPr>
            <w:tcW w:w="2065" w:type="dxa"/>
          </w:tcPr>
          <w:p w14:paraId="2F596A57" w14:textId="77777777" w:rsidR="00B217CA" w:rsidRDefault="00B217CA" w:rsidP="00B217CA">
            <w:pPr>
              <w:spacing w:line="360" w:lineRule="auto"/>
              <w:rPr>
                <w:rFonts w:eastAsia="Times New Roman" w:cs="Times New Roman"/>
              </w:rPr>
            </w:pPr>
            <w:r>
              <w:rPr>
                <w:rFonts w:eastAsia="Times New Roman" w:cs="Times New Roman"/>
              </w:rPr>
              <w:t xml:space="preserve">1 M </w:t>
            </w:r>
            <w:proofErr w:type="spellStart"/>
            <w:r>
              <w:rPr>
                <w:rFonts w:eastAsia="Times New Roman" w:cs="Times New Roman"/>
              </w:rPr>
              <w:t>KCl</w:t>
            </w:r>
            <w:proofErr w:type="spellEnd"/>
          </w:p>
        </w:tc>
        <w:tc>
          <w:tcPr>
            <w:tcW w:w="1350" w:type="dxa"/>
          </w:tcPr>
          <w:p w14:paraId="1037E8E7" w14:textId="1D6C3192" w:rsidR="00B217CA" w:rsidRDefault="00B217CA" w:rsidP="00B217CA">
            <w:pPr>
              <w:spacing w:line="360" w:lineRule="auto"/>
              <w:jc w:val="right"/>
              <w:rPr>
                <w:rFonts w:eastAsia="Times New Roman" w:cs="Times New Roman"/>
              </w:rPr>
            </w:pPr>
            <w:r>
              <w:rPr>
                <w:rFonts w:eastAsia="Times New Roman" w:cs="Times New Roman"/>
              </w:rPr>
              <w:t>2</w:t>
            </w:r>
          </w:p>
        </w:tc>
        <w:tc>
          <w:tcPr>
            <w:tcW w:w="1350" w:type="dxa"/>
          </w:tcPr>
          <w:p w14:paraId="1B3A8C78" w14:textId="77777777" w:rsidR="00B217CA" w:rsidRDefault="00B217CA" w:rsidP="00B217CA">
            <w:pPr>
              <w:spacing w:line="360" w:lineRule="auto"/>
              <w:jc w:val="right"/>
              <w:rPr>
                <w:rFonts w:eastAsia="Times New Roman" w:cs="Times New Roman"/>
              </w:rPr>
            </w:pPr>
            <w:r>
              <w:rPr>
                <w:rFonts w:eastAsia="Times New Roman" w:cs="Times New Roman"/>
              </w:rPr>
              <w:t>0</w:t>
            </w:r>
          </w:p>
        </w:tc>
      </w:tr>
      <w:tr w:rsidR="00B217CA" w14:paraId="46F0C9AB" w14:textId="77777777" w:rsidTr="00B217CA">
        <w:trPr>
          <w:jc w:val="center"/>
        </w:trPr>
        <w:tc>
          <w:tcPr>
            <w:tcW w:w="2065" w:type="dxa"/>
          </w:tcPr>
          <w:p w14:paraId="14C49DB6" w14:textId="77777777" w:rsidR="00B217CA" w:rsidRDefault="00B217CA" w:rsidP="00B217CA">
            <w:pPr>
              <w:spacing w:line="360" w:lineRule="auto"/>
              <w:rPr>
                <w:rFonts w:eastAsia="Times New Roman" w:cs="Times New Roman"/>
              </w:rPr>
            </w:pPr>
            <w:r>
              <w:rPr>
                <w:rFonts w:eastAsia="Times New Roman" w:cs="Times New Roman"/>
              </w:rPr>
              <w:t>1 M CaCO</w:t>
            </w:r>
            <w:r>
              <w:rPr>
                <w:rFonts w:eastAsia="Times New Roman" w:cs="Times New Roman"/>
                <w:vertAlign w:val="subscript"/>
              </w:rPr>
              <w:t>3</w:t>
            </w:r>
          </w:p>
        </w:tc>
        <w:tc>
          <w:tcPr>
            <w:tcW w:w="1350" w:type="dxa"/>
          </w:tcPr>
          <w:p w14:paraId="7FF5DDC0" w14:textId="532CE659" w:rsidR="00B217CA" w:rsidRDefault="00B217CA" w:rsidP="00B217CA">
            <w:pPr>
              <w:spacing w:line="360" w:lineRule="auto"/>
              <w:jc w:val="right"/>
              <w:rPr>
                <w:rFonts w:eastAsia="Times New Roman" w:cs="Times New Roman"/>
              </w:rPr>
            </w:pPr>
            <w:r>
              <w:rPr>
                <w:rFonts w:eastAsia="Times New Roman" w:cs="Times New Roman"/>
              </w:rPr>
              <w:t>2.67</w:t>
            </w:r>
          </w:p>
        </w:tc>
        <w:tc>
          <w:tcPr>
            <w:tcW w:w="1350" w:type="dxa"/>
          </w:tcPr>
          <w:p w14:paraId="0BE0B79D" w14:textId="77777777" w:rsidR="00B217CA" w:rsidRDefault="00B217CA" w:rsidP="00B217CA">
            <w:pPr>
              <w:spacing w:line="360" w:lineRule="auto"/>
              <w:jc w:val="right"/>
              <w:rPr>
                <w:rFonts w:eastAsia="Times New Roman" w:cs="Times New Roman"/>
              </w:rPr>
            </w:pPr>
            <w:r>
              <w:rPr>
                <w:rFonts w:eastAsia="Times New Roman" w:cs="Times New Roman"/>
              </w:rPr>
              <w:t>0</w:t>
            </w:r>
          </w:p>
        </w:tc>
      </w:tr>
      <w:tr w:rsidR="00B217CA" w14:paraId="32AC1B97" w14:textId="77777777" w:rsidTr="00B217CA">
        <w:trPr>
          <w:trHeight w:val="170"/>
          <w:jc w:val="center"/>
        </w:trPr>
        <w:tc>
          <w:tcPr>
            <w:tcW w:w="2065" w:type="dxa"/>
          </w:tcPr>
          <w:p w14:paraId="1E75717A" w14:textId="77777777" w:rsidR="00B217CA" w:rsidRDefault="00B217CA" w:rsidP="00B217CA">
            <w:pPr>
              <w:spacing w:line="360" w:lineRule="auto"/>
              <w:rPr>
                <w:rFonts w:eastAsia="Times New Roman" w:cs="Times New Roman"/>
                <w:vertAlign w:val="subscript"/>
              </w:rPr>
            </w:pPr>
            <w:r>
              <w:rPr>
                <w:rFonts w:eastAsia="Times New Roman" w:cs="Times New Roman"/>
              </w:rPr>
              <w:t>2 M MgSO</w:t>
            </w:r>
            <w:r>
              <w:rPr>
                <w:rFonts w:eastAsia="Times New Roman" w:cs="Times New Roman"/>
                <w:vertAlign w:val="subscript"/>
              </w:rPr>
              <w:t>4</w:t>
            </w:r>
          </w:p>
        </w:tc>
        <w:tc>
          <w:tcPr>
            <w:tcW w:w="1350" w:type="dxa"/>
          </w:tcPr>
          <w:p w14:paraId="7CD865B3" w14:textId="77777777" w:rsidR="00B217CA" w:rsidRDefault="00B217CA" w:rsidP="00B217CA">
            <w:pPr>
              <w:spacing w:line="360" w:lineRule="auto"/>
              <w:jc w:val="right"/>
              <w:rPr>
                <w:rFonts w:eastAsia="Times New Roman" w:cs="Times New Roman"/>
              </w:rPr>
            </w:pPr>
            <w:r>
              <w:rPr>
                <w:rFonts w:eastAsia="Times New Roman" w:cs="Times New Roman"/>
              </w:rPr>
              <w:t>1</w:t>
            </w:r>
          </w:p>
        </w:tc>
        <w:tc>
          <w:tcPr>
            <w:tcW w:w="1350" w:type="dxa"/>
          </w:tcPr>
          <w:p w14:paraId="04FE811E" w14:textId="77777777" w:rsidR="00B217CA" w:rsidRDefault="00B217CA" w:rsidP="00B217CA">
            <w:pPr>
              <w:spacing w:line="360" w:lineRule="auto"/>
              <w:jc w:val="right"/>
              <w:rPr>
                <w:rFonts w:eastAsia="Times New Roman" w:cs="Times New Roman"/>
              </w:rPr>
            </w:pPr>
            <w:r>
              <w:rPr>
                <w:rFonts w:eastAsia="Times New Roman" w:cs="Times New Roman"/>
              </w:rPr>
              <w:t>1</w:t>
            </w:r>
          </w:p>
        </w:tc>
      </w:tr>
      <w:tr w:rsidR="00B217CA" w14:paraId="4634E1CC" w14:textId="77777777" w:rsidTr="00B217CA">
        <w:trPr>
          <w:jc w:val="center"/>
        </w:trPr>
        <w:tc>
          <w:tcPr>
            <w:tcW w:w="2065" w:type="dxa"/>
          </w:tcPr>
          <w:p w14:paraId="0FAB3278" w14:textId="77777777" w:rsidR="00B217CA" w:rsidRDefault="00B217CA" w:rsidP="00B217CA">
            <w:pPr>
              <w:spacing w:line="360" w:lineRule="auto"/>
              <w:rPr>
                <w:rFonts w:eastAsia="Times New Roman" w:cs="Times New Roman"/>
              </w:rPr>
            </w:pPr>
            <w:r>
              <w:rPr>
                <w:rFonts w:eastAsia="Times New Roman" w:cs="Times New Roman"/>
              </w:rPr>
              <w:t>10% Fe-EDTA</w:t>
            </w:r>
          </w:p>
        </w:tc>
        <w:tc>
          <w:tcPr>
            <w:tcW w:w="1350" w:type="dxa"/>
          </w:tcPr>
          <w:p w14:paraId="05439988" w14:textId="77777777" w:rsidR="00B217CA" w:rsidRDefault="00B217CA" w:rsidP="00B217CA">
            <w:pPr>
              <w:spacing w:line="360" w:lineRule="auto"/>
              <w:jc w:val="right"/>
              <w:rPr>
                <w:rFonts w:eastAsia="Times New Roman" w:cs="Times New Roman"/>
              </w:rPr>
            </w:pPr>
            <w:r>
              <w:rPr>
                <w:rFonts w:eastAsia="Times New Roman" w:cs="Times New Roman"/>
              </w:rPr>
              <w:t>1</w:t>
            </w:r>
          </w:p>
        </w:tc>
        <w:tc>
          <w:tcPr>
            <w:tcW w:w="1350" w:type="dxa"/>
          </w:tcPr>
          <w:p w14:paraId="0E4D4AA2" w14:textId="77777777" w:rsidR="00B217CA" w:rsidRDefault="00B217CA" w:rsidP="00B217CA">
            <w:pPr>
              <w:spacing w:line="360" w:lineRule="auto"/>
              <w:jc w:val="right"/>
              <w:rPr>
                <w:rFonts w:eastAsia="Times New Roman" w:cs="Times New Roman"/>
              </w:rPr>
            </w:pPr>
            <w:r>
              <w:rPr>
                <w:rFonts w:eastAsia="Times New Roman" w:cs="Times New Roman"/>
              </w:rPr>
              <w:t>1</w:t>
            </w:r>
          </w:p>
        </w:tc>
      </w:tr>
      <w:tr w:rsidR="00B217CA" w14:paraId="6F7181E3" w14:textId="77777777" w:rsidTr="00B217CA">
        <w:trPr>
          <w:jc w:val="center"/>
        </w:trPr>
        <w:tc>
          <w:tcPr>
            <w:tcW w:w="2065" w:type="dxa"/>
          </w:tcPr>
          <w:p w14:paraId="75C72ABE" w14:textId="77777777" w:rsidR="00B217CA" w:rsidRDefault="00B217CA" w:rsidP="00B217CA">
            <w:pPr>
              <w:spacing w:line="360" w:lineRule="auto"/>
              <w:rPr>
                <w:rFonts w:eastAsia="Times New Roman" w:cs="Times New Roman"/>
              </w:rPr>
            </w:pPr>
            <w:r>
              <w:rPr>
                <w:rFonts w:eastAsia="Times New Roman" w:cs="Times New Roman"/>
              </w:rPr>
              <w:t>Trace Elements</w:t>
            </w:r>
          </w:p>
        </w:tc>
        <w:tc>
          <w:tcPr>
            <w:tcW w:w="1350" w:type="dxa"/>
          </w:tcPr>
          <w:p w14:paraId="7B560830" w14:textId="77777777" w:rsidR="00B217CA" w:rsidRDefault="00B217CA" w:rsidP="00B217CA">
            <w:pPr>
              <w:spacing w:line="360" w:lineRule="auto"/>
              <w:jc w:val="right"/>
              <w:rPr>
                <w:rFonts w:eastAsia="Times New Roman" w:cs="Times New Roman"/>
              </w:rPr>
            </w:pPr>
            <w:r>
              <w:rPr>
                <w:rFonts w:eastAsia="Times New Roman" w:cs="Times New Roman"/>
              </w:rPr>
              <w:t>1</w:t>
            </w:r>
          </w:p>
        </w:tc>
        <w:tc>
          <w:tcPr>
            <w:tcW w:w="1350" w:type="dxa"/>
          </w:tcPr>
          <w:p w14:paraId="44EA66AB" w14:textId="77777777" w:rsidR="00B217CA" w:rsidRDefault="00B217CA" w:rsidP="00B217CA">
            <w:pPr>
              <w:spacing w:line="360" w:lineRule="auto"/>
              <w:jc w:val="right"/>
              <w:rPr>
                <w:rFonts w:eastAsia="Times New Roman" w:cs="Times New Roman"/>
              </w:rPr>
            </w:pPr>
            <w:r>
              <w:rPr>
                <w:rFonts w:eastAsia="Times New Roman" w:cs="Times New Roman"/>
              </w:rPr>
              <w:t>1</w:t>
            </w:r>
          </w:p>
        </w:tc>
      </w:tr>
    </w:tbl>
    <w:p w14:paraId="56D35721" w14:textId="309856D7" w:rsidR="00B217CA" w:rsidRDefault="00B217CA" w:rsidP="00B217CA">
      <w:pPr>
        <w:spacing w:line="360" w:lineRule="auto"/>
      </w:pPr>
    </w:p>
    <w:p w14:paraId="5F483425" w14:textId="70055890" w:rsidR="00B217CA" w:rsidRDefault="00B217CA">
      <w:r>
        <w:br w:type="page"/>
      </w:r>
    </w:p>
    <w:p w14:paraId="18238673" w14:textId="2E179751" w:rsidR="00B217CA" w:rsidRPr="00B42CA1" w:rsidRDefault="00B42CA1" w:rsidP="00B217CA">
      <w:pPr>
        <w:spacing w:line="360" w:lineRule="auto"/>
      </w:pPr>
      <w:r w:rsidRPr="00B42CA1">
        <w:rPr>
          <w:b/>
          <w:bCs/>
        </w:rPr>
        <w:lastRenderedPageBreak/>
        <w:t>Table S2</w:t>
      </w:r>
      <w:r>
        <w:t xml:space="preserve"> Analysis of variance results exploring effect of nitrogen fertilization, inoculation with </w:t>
      </w:r>
      <w:r>
        <w:rPr>
          <w:i/>
          <w:iCs/>
        </w:rPr>
        <w:t>B. japonicum</w:t>
      </w:r>
      <w:r>
        <w:t xml:space="preserve">, and interactions between soil nitrogen fertilization and inoculation status on whole plant </w:t>
      </w:r>
      <w:proofErr w:type="spellStart"/>
      <w:r>
        <w:t>biomass:pot</w:t>
      </w:r>
      <w:proofErr w:type="spellEnd"/>
      <w:r>
        <w:t xml:space="preserve"> volume</w:t>
      </w:r>
      <w:r w:rsidRPr="00526EFB">
        <w:rPr>
          <w:vertAlign w:val="superscript"/>
        </w:rPr>
        <w:t>*</w:t>
      </w:r>
    </w:p>
    <w:p w14:paraId="07BC41C6" w14:textId="5C340FE3" w:rsidR="00B42CA1" w:rsidRDefault="00B42CA1" w:rsidP="00B217CA">
      <w:pPr>
        <w:spacing w:line="360" w:lineRule="auto"/>
      </w:pPr>
    </w:p>
    <w:tbl>
      <w:tblPr>
        <w:tblStyle w:val="TableGridLight"/>
        <w:tblW w:w="462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2"/>
        <w:gridCol w:w="537"/>
        <w:gridCol w:w="996"/>
        <w:gridCol w:w="1013"/>
      </w:tblGrid>
      <w:tr w:rsidR="00B42CA1" w:rsidRPr="006D105C" w14:paraId="6A2D9566" w14:textId="77777777" w:rsidTr="00B42CA1">
        <w:trPr>
          <w:jc w:val="center"/>
        </w:trPr>
        <w:tc>
          <w:tcPr>
            <w:tcW w:w="2082" w:type="dxa"/>
            <w:tcBorders>
              <w:top w:val="single" w:sz="4" w:space="0" w:color="auto"/>
              <w:bottom w:val="single" w:sz="4" w:space="0" w:color="auto"/>
            </w:tcBorders>
          </w:tcPr>
          <w:p w14:paraId="53222F84" w14:textId="77777777" w:rsidR="00B42CA1" w:rsidRPr="006D105C" w:rsidRDefault="00B42CA1" w:rsidP="00595E4C">
            <w:pPr>
              <w:spacing w:line="276" w:lineRule="auto"/>
            </w:pPr>
          </w:p>
        </w:tc>
        <w:tc>
          <w:tcPr>
            <w:tcW w:w="537" w:type="dxa"/>
            <w:tcBorders>
              <w:top w:val="single" w:sz="4" w:space="0" w:color="auto"/>
              <w:bottom w:val="single" w:sz="4" w:space="0" w:color="auto"/>
            </w:tcBorders>
          </w:tcPr>
          <w:p w14:paraId="6185AC19" w14:textId="77777777" w:rsidR="00B42CA1" w:rsidRPr="006D105C" w:rsidRDefault="00B42CA1" w:rsidP="00595E4C">
            <w:pPr>
              <w:spacing w:line="276" w:lineRule="auto"/>
              <w:jc w:val="right"/>
            </w:pPr>
            <w:r w:rsidRPr="006D105C">
              <w:t>df</w:t>
            </w:r>
          </w:p>
        </w:tc>
        <w:tc>
          <w:tcPr>
            <w:tcW w:w="996" w:type="dxa"/>
            <w:tcBorders>
              <w:top w:val="single" w:sz="4" w:space="0" w:color="auto"/>
              <w:bottom w:val="single" w:sz="4" w:space="0" w:color="auto"/>
            </w:tcBorders>
          </w:tcPr>
          <w:p w14:paraId="6028306B" w14:textId="77777777" w:rsidR="00B42CA1" w:rsidRPr="006D105C" w:rsidRDefault="00B42CA1" w:rsidP="00595E4C">
            <w:pPr>
              <w:spacing w:line="276" w:lineRule="auto"/>
              <w:jc w:val="right"/>
            </w:pPr>
            <w:r w:rsidRPr="006D105C">
              <w:rPr>
                <w:lang w:val="el-GR"/>
              </w:rPr>
              <w:t>χ</w:t>
            </w:r>
            <w:r w:rsidRPr="006D105C">
              <w:rPr>
                <w:vertAlign w:val="superscript"/>
              </w:rPr>
              <w:t>2</w:t>
            </w:r>
          </w:p>
        </w:tc>
        <w:tc>
          <w:tcPr>
            <w:tcW w:w="1013" w:type="dxa"/>
            <w:tcBorders>
              <w:top w:val="single" w:sz="4" w:space="0" w:color="auto"/>
              <w:bottom w:val="single" w:sz="4" w:space="0" w:color="auto"/>
            </w:tcBorders>
          </w:tcPr>
          <w:p w14:paraId="00D663F3" w14:textId="77777777" w:rsidR="00B42CA1" w:rsidRPr="006D105C" w:rsidRDefault="00B42CA1" w:rsidP="00595E4C">
            <w:pPr>
              <w:spacing w:line="276" w:lineRule="auto"/>
              <w:jc w:val="right"/>
            </w:pPr>
            <w:r w:rsidRPr="006D105C">
              <w:rPr>
                <w:i/>
                <w:iCs/>
              </w:rPr>
              <w:t>p</w:t>
            </w:r>
          </w:p>
        </w:tc>
      </w:tr>
      <w:tr w:rsidR="00B42CA1" w:rsidRPr="006D105C" w14:paraId="3697096E" w14:textId="77777777" w:rsidTr="00B42CA1">
        <w:trPr>
          <w:jc w:val="center"/>
        </w:trPr>
        <w:tc>
          <w:tcPr>
            <w:tcW w:w="2082" w:type="dxa"/>
            <w:tcBorders>
              <w:top w:val="single" w:sz="4" w:space="0" w:color="auto"/>
            </w:tcBorders>
          </w:tcPr>
          <w:p w14:paraId="71C94E4E" w14:textId="77777777" w:rsidR="00B42CA1" w:rsidRPr="006D105C" w:rsidRDefault="00B42CA1" w:rsidP="00595E4C">
            <w:pPr>
              <w:spacing w:line="276" w:lineRule="auto"/>
              <w:jc w:val="right"/>
            </w:pPr>
            <w:r>
              <w:t>N fertilization (N)</w:t>
            </w:r>
          </w:p>
        </w:tc>
        <w:tc>
          <w:tcPr>
            <w:tcW w:w="537" w:type="dxa"/>
            <w:tcBorders>
              <w:top w:val="single" w:sz="4" w:space="0" w:color="auto"/>
            </w:tcBorders>
          </w:tcPr>
          <w:p w14:paraId="52CE07E3" w14:textId="77777777" w:rsidR="00B42CA1" w:rsidRPr="006D105C" w:rsidRDefault="00B42CA1" w:rsidP="00595E4C">
            <w:pPr>
              <w:spacing w:line="276" w:lineRule="auto"/>
              <w:jc w:val="right"/>
            </w:pPr>
            <w:r w:rsidRPr="006D105C">
              <w:t>1</w:t>
            </w:r>
          </w:p>
        </w:tc>
        <w:tc>
          <w:tcPr>
            <w:tcW w:w="996" w:type="dxa"/>
            <w:tcBorders>
              <w:top w:val="single" w:sz="4" w:space="0" w:color="auto"/>
            </w:tcBorders>
          </w:tcPr>
          <w:p w14:paraId="45116B8D" w14:textId="6687DA58" w:rsidR="00B42CA1" w:rsidRPr="006D105C" w:rsidRDefault="001763AD" w:rsidP="00595E4C">
            <w:pPr>
              <w:spacing w:line="276" w:lineRule="auto"/>
              <w:jc w:val="right"/>
            </w:pPr>
            <w:r>
              <w:t>37.483</w:t>
            </w:r>
          </w:p>
        </w:tc>
        <w:tc>
          <w:tcPr>
            <w:tcW w:w="1013" w:type="dxa"/>
            <w:tcBorders>
              <w:top w:val="single" w:sz="4" w:space="0" w:color="auto"/>
            </w:tcBorders>
          </w:tcPr>
          <w:p w14:paraId="4857E321" w14:textId="328C3250" w:rsidR="00B42CA1" w:rsidRPr="00835961" w:rsidRDefault="00B42CA1" w:rsidP="00595E4C">
            <w:pPr>
              <w:spacing w:line="276" w:lineRule="auto"/>
              <w:jc w:val="right"/>
              <w:rPr>
                <w:b/>
                <w:bCs/>
              </w:rPr>
            </w:pPr>
            <w:r>
              <w:rPr>
                <w:b/>
                <w:bCs/>
              </w:rPr>
              <w:t>&lt;0.001</w:t>
            </w:r>
          </w:p>
        </w:tc>
      </w:tr>
      <w:tr w:rsidR="00B42CA1" w:rsidRPr="006D105C" w14:paraId="59FE8588" w14:textId="77777777" w:rsidTr="00780AF2">
        <w:trPr>
          <w:jc w:val="center"/>
        </w:trPr>
        <w:tc>
          <w:tcPr>
            <w:tcW w:w="2082" w:type="dxa"/>
          </w:tcPr>
          <w:p w14:paraId="5B5186B8" w14:textId="77777777" w:rsidR="00B42CA1" w:rsidRPr="006D105C" w:rsidRDefault="00B42CA1" w:rsidP="00595E4C">
            <w:pPr>
              <w:spacing w:line="276" w:lineRule="auto"/>
              <w:jc w:val="right"/>
            </w:pPr>
            <w:r>
              <w:t>Inoculation (I)</w:t>
            </w:r>
          </w:p>
        </w:tc>
        <w:tc>
          <w:tcPr>
            <w:tcW w:w="537" w:type="dxa"/>
          </w:tcPr>
          <w:p w14:paraId="61AA1ECD" w14:textId="77777777" w:rsidR="00B42CA1" w:rsidRPr="006D105C" w:rsidRDefault="00B42CA1" w:rsidP="00595E4C">
            <w:pPr>
              <w:spacing w:line="276" w:lineRule="auto"/>
              <w:jc w:val="right"/>
            </w:pPr>
            <w:r>
              <w:t>1</w:t>
            </w:r>
          </w:p>
        </w:tc>
        <w:tc>
          <w:tcPr>
            <w:tcW w:w="996" w:type="dxa"/>
          </w:tcPr>
          <w:p w14:paraId="566C9622" w14:textId="4E82D0EE" w:rsidR="00B42CA1" w:rsidRPr="006D105C" w:rsidRDefault="002E533B" w:rsidP="00595E4C">
            <w:pPr>
              <w:spacing w:line="276" w:lineRule="auto"/>
              <w:jc w:val="right"/>
            </w:pPr>
            <w:r>
              <w:t>0.</w:t>
            </w:r>
            <w:r w:rsidR="001763AD">
              <w:t>801</w:t>
            </w:r>
          </w:p>
        </w:tc>
        <w:tc>
          <w:tcPr>
            <w:tcW w:w="1013" w:type="dxa"/>
          </w:tcPr>
          <w:p w14:paraId="1EC87344" w14:textId="1CEAB684" w:rsidR="00B42CA1" w:rsidRPr="00B42CA1" w:rsidRDefault="00B42CA1" w:rsidP="00595E4C">
            <w:pPr>
              <w:spacing w:line="276" w:lineRule="auto"/>
              <w:jc w:val="right"/>
            </w:pPr>
            <w:r w:rsidRPr="00B42CA1">
              <w:t>0.</w:t>
            </w:r>
            <w:r w:rsidR="001763AD">
              <w:t>371</w:t>
            </w:r>
          </w:p>
        </w:tc>
      </w:tr>
      <w:tr w:rsidR="00B42CA1" w:rsidRPr="006D105C" w14:paraId="538D66D7" w14:textId="77777777" w:rsidTr="00780AF2">
        <w:trPr>
          <w:jc w:val="center"/>
        </w:trPr>
        <w:tc>
          <w:tcPr>
            <w:tcW w:w="2082" w:type="dxa"/>
            <w:tcBorders>
              <w:bottom w:val="single" w:sz="4" w:space="0" w:color="auto"/>
            </w:tcBorders>
          </w:tcPr>
          <w:p w14:paraId="1455935E" w14:textId="77777777" w:rsidR="00B42CA1" w:rsidRPr="006D105C" w:rsidRDefault="00B42CA1" w:rsidP="00595E4C">
            <w:pPr>
              <w:spacing w:line="276" w:lineRule="auto"/>
              <w:jc w:val="right"/>
            </w:pPr>
            <w:r>
              <w:t>N*I</w:t>
            </w:r>
          </w:p>
        </w:tc>
        <w:tc>
          <w:tcPr>
            <w:tcW w:w="537" w:type="dxa"/>
            <w:tcBorders>
              <w:bottom w:val="single" w:sz="4" w:space="0" w:color="auto"/>
            </w:tcBorders>
          </w:tcPr>
          <w:p w14:paraId="32033246" w14:textId="77777777" w:rsidR="00B42CA1" w:rsidRPr="006D105C" w:rsidRDefault="00B42CA1" w:rsidP="00595E4C">
            <w:pPr>
              <w:spacing w:line="276" w:lineRule="auto"/>
              <w:jc w:val="right"/>
            </w:pPr>
            <w:r>
              <w:t>1</w:t>
            </w:r>
          </w:p>
        </w:tc>
        <w:tc>
          <w:tcPr>
            <w:tcW w:w="996" w:type="dxa"/>
            <w:tcBorders>
              <w:bottom w:val="single" w:sz="4" w:space="0" w:color="auto"/>
            </w:tcBorders>
          </w:tcPr>
          <w:p w14:paraId="3FAC78F4" w14:textId="6C6186A6" w:rsidR="00B42CA1" w:rsidRPr="006D105C" w:rsidRDefault="002E533B" w:rsidP="00595E4C">
            <w:pPr>
              <w:spacing w:line="276" w:lineRule="auto"/>
              <w:jc w:val="right"/>
            </w:pPr>
            <w:r>
              <w:t>0.</w:t>
            </w:r>
            <w:r w:rsidR="001763AD">
              <w:t>823</w:t>
            </w:r>
          </w:p>
        </w:tc>
        <w:tc>
          <w:tcPr>
            <w:tcW w:w="1013" w:type="dxa"/>
            <w:tcBorders>
              <w:bottom w:val="single" w:sz="4" w:space="0" w:color="auto"/>
            </w:tcBorders>
          </w:tcPr>
          <w:p w14:paraId="56A8F418" w14:textId="41A9568B" w:rsidR="00B42CA1" w:rsidRPr="00B42CA1" w:rsidRDefault="00B42CA1" w:rsidP="00595E4C">
            <w:pPr>
              <w:spacing w:line="276" w:lineRule="auto"/>
              <w:jc w:val="right"/>
            </w:pPr>
            <w:r w:rsidRPr="00B42CA1">
              <w:t>0.</w:t>
            </w:r>
            <w:r w:rsidR="002E533B">
              <w:t>3</w:t>
            </w:r>
            <w:r w:rsidR="001763AD">
              <w:t>64</w:t>
            </w:r>
          </w:p>
        </w:tc>
      </w:tr>
    </w:tbl>
    <w:p w14:paraId="545251D4" w14:textId="033709DE" w:rsidR="00B42CA1" w:rsidRDefault="00B42CA1" w:rsidP="00B217CA">
      <w:pPr>
        <w:spacing w:line="360" w:lineRule="auto"/>
      </w:pPr>
    </w:p>
    <w:p w14:paraId="2BEE6C1F" w14:textId="777FE2E0" w:rsidR="001F2877" w:rsidRDefault="00B42CA1" w:rsidP="00B42CA1">
      <w:pPr>
        <w:spacing w:line="360" w:lineRule="auto"/>
      </w:pPr>
      <w:r w:rsidRPr="00526EFB">
        <w:rPr>
          <w:vertAlign w:val="superscript"/>
        </w:rPr>
        <w:t>*</w:t>
      </w:r>
      <w:r>
        <w:t xml:space="preserve">Significance determined using Type II Wald </w:t>
      </w:r>
      <w:r>
        <w:rPr>
          <w:lang w:val="el-GR"/>
        </w:rPr>
        <w:t>χ</w:t>
      </w:r>
      <w:r>
        <w:rPr>
          <w:vertAlign w:val="superscript"/>
        </w:rPr>
        <w:t>2</w:t>
      </w:r>
      <w:r>
        <w:t xml:space="preserve"> tests (</w:t>
      </w:r>
      <w:r>
        <w:rPr>
          <w:lang w:val="el-GR"/>
        </w:rPr>
        <w:t>α</w:t>
      </w:r>
      <w:r>
        <w:t xml:space="preserve">=0.05). </w:t>
      </w:r>
      <w:r>
        <w:rPr>
          <w:i/>
          <w:iCs/>
        </w:rPr>
        <w:t>P</w:t>
      </w:r>
      <w:r>
        <w:t>-values less than 0.05 are in bold</w:t>
      </w:r>
      <w:r w:rsidR="002E533B">
        <w:t>.</w:t>
      </w:r>
    </w:p>
    <w:p w14:paraId="5556FE3F" w14:textId="77777777" w:rsidR="001F2877" w:rsidRDefault="001F2877">
      <w:r>
        <w:br w:type="page"/>
      </w:r>
    </w:p>
    <w:p w14:paraId="538BC572" w14:textId="58898F9B" w:rsidR="009C42E2" w:rsidRPr="00D9049F" w:rsidRDefault="001F2877" w:rsidP="001F2877">
      <w:pPr>
        <w:spacing w:line="360" w:lineRule="auto"/>
        <w:rPr>
          <w:vertAlign w:val="superscript"/>
        </w:rPr>
      </w:pPr>
      <w:r w:rsidRPr="00B42CA1">
        <w:rPr>
          <w:b/>
          <w:bCs/>
        </w:rPr>
        <w:lastRenderedPageBreak/>
        <w:t>Table S</w:t>
      </w:r>
      <w:r w:rsidR="00621FD4">
        <w:rPr>
          <w:b/>
          <w:bCs/>
        </w:rPr>
        <w:t>3</w:t>
      </w:r>
      <w:r w:rsidR="009C42E2">
        <w:rPr>
          <w:b/>
          <w:bCs/>
        </w:rPr>
        <w:t xml:space="preserve"> </w:t>
      </w:r>
      <w:r w:rsidR="009C42E2">
        <w:t>Marginal mean, degrees of freedom, and 95% confidence intervals of whole plant biomass: pot volume values across nitrogen fertilization and inoculation treatment combinations</w:t>
      </w:r>
      <w:r w:rsidR="00D9049F">
        <w:rPr>
          <w:vertAlign w:val="superscript"/>
        </w:rPr>
        <w:t>*</w:t>
      </w:r>
    </w:p>
    <w:p w14:paraId="3A1B5773" w14:textId="77777777" w:rsidR="00595E4C" w:rsidRDefault="00595E4C" w:rsidP="001F2877">
      <w:pPr>
        <w:spacing w:line="360" w:lineRule="auto"/>
      </w:pPr>
    </w:p>
    <w:tbl>
      <w:tblPr>
        <w:tblStyle w:val="TableGridLight"/>
        <w:tblW w:w="8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82"/>
        <w:gridCol w:w="876"/>
        <w:gridCol w:w="1702"/>
        <w:gridCol w:w="1702"/>
        <w:gridCol w:w="1736"/>
      </w:tblGrid>
      <w:tr w:rsidR="00D87D4B" w:rsidRPr="006D105C" w14:paraId="69DE8ED6" w14:textId="77777777" w:rsidTr="009C42E2">
        <w:tc>
          <w:tcPr>
            <w:tcW w:w="2582" w:type="dxa"/>
            <w:tcBorders>
              <w:top w:val="single" w:sz="4" w:space="0" w:color="auto"/>
              <w:bottom w:val="single" w:sz="4" w:space="0" w:color="auto"/>
            </w:tcBorders>
          </w:tcPr>
          <w:p w14:paraId="0B0A36CB" w14:textId="67D397EA" w:rsidR="00D87D4B" w:rsidRPr="006D105C" w:rsidRDefault="009C42E2" w:rsidP="009C42E2">
            <w:pPr>
              <w:spacing w:line="276" w:lineRule="auto"/>
              <w:jc w:val="right"/>
            </w:pPr>
            <w:r>
              <w:t>Treatment combination</w:t>
            </w:r>
          </w:p>
        </w:tc>
        <w:tc>
          <w:tcPr>
            <w:tcW w:w="876" w:type="dxa"/>
            <w:tcBorders>
              <w:top w:val="single" w:sz="4" w:space="0" w:color="auto"/>
              <w:bottom w:val="single" w:sz="4" w:space="0" w:color="auto"/>
            </w:tcBorders>
          </w:tcPr>
          <w:p w14:paraId="21E4C099" w14:textId="5D926FF8" w:rsidR="00D87D4B" w:rsidRPr="006D105C" w:rsidRDefault="00D87D4B" w:rsidP="009C42E2">
            <w:pPr>
              <w:spacing w:line="276" w:lineRule="auto"/>
              <w:jc w:val="right"/>
            </w:pPr>
            <w:r>
              <w:t>df</w:t>
            </w:r>
          </w:p>
        </w:tc>
        <w:tc>
          <w:tcPr>
            <w:tcW w:w="1702" w:type="dxa"/>
            <w:tcBorders>
              <w:top w:val="single" w:sz="4" w:space="0" w:color="auto"/>
              <w:bottom w:val="single" w:sz="4" w:space="0" w:color="auto"/>
            </w:tcBorders>
          </w:tcPr>
          <w:p w14:paraId="32C99AD2" w14:textId="47B3B326" w:rsidR="00D87D4B" w:rsidRPr="00D87D4B" w:rsidRDefault="00D87D4B" w:rsidP="009C42E2">
            <w:pPr>
              <w:spacing w:line="276" w:lineRule="auto"/>
              <w:jc w:val="right"/>
            </w:pPr>
            <w:r>
              <w:t>Marginal mean</w:t>
            </w:r>
          </w:p>
        </w:tc>
        <w:tc>
          <w:tcPr>
            <w:tcW w:w="1702" w:type="dxa"/>
            <w:tcBorders>
              <w:top w:val="single" w:sz="4" w:space="0" w:color="auto"/>
              <w:bottom w:val="single" w:sz="4" w:space="0" w:color="auto"/>
            </w:tcBorders>
          </w:tcPr>
          <w:p w14:paraId="5FBD5F8F" w14:textId="67654309" w:rsidR="00D87D4B" w:rsidRPr="00D87D4B" w:rsidRDefault="00D87D4B" w:rsidP="009C42E2">
            <w:pPr>
              <w:spacing w:line="276" w:lineRule="auto"/>
              <w:jc w:val="right"/>
            </w:pPr>
            <w:r w:rsidRPr="00D87D4B">
              <w:t>Lower</w:t>
            </w:r>
            <w:r>
              <w:t xml:space="preserve"> </w:t>
            </w:r>
            <w:r w:rsidRPr="00D87D4B">
              <w:t>95% CI</w:t>
            </w:r>
          </w:p>
        </w:tc>
        <w:tc>
          <w:tcPr>
            <w:tcW w:w="1736" w:type="dxa"/>
            <w:tcBorders>
              <w:top w:val="single" w:sz="4" w:space="0" w:color="auto"/>
              <w:bottom w:val="single" w:sz="4" w:space="0" w:color="auto"/>
            </w:tcBorders>
          </w:tcPr>
          <w:p w14:paraId="7F07D0B4" w14:textId="08AAD290" w:rsidR="00D87D4B" w:rsidRPr="00D87D4B" w:rsidRDefault="00D87D4B" w:rsidP="009C42E2">
            <w:pPr>
              <w:spacing w:line="276" w:lineRule="auto"/>
              <w:jc w:val="right"/>
            </w:pPr>
            <w:r w:rsidRPr="00D87D4B">
              <w:t>Upper 95% CI</w:t>
            </w:r>
          </w:p>
        </w:tc>
      </w:tr>
      <w:tr w:rsidR="00D87D4B" w:rsidRPr="006D105C" w14:paraId="3D54198B" w14:textId="77777777" w:rsidTr="009C42E2">
        <w:tc>
          <w:tcPr>
            <w:tcW w:w="2582" w:type="dxa"/>
            <w:tcBorders>
              <w:top w:val="single" w:sz="4" w:space="0" w:color="auto"/>
            </w:tcBorders>
          </w:tcPr>
          <w:p w14:paraId="1A1A94EA" w14:textId="38CA0630" w:rsidR="00D87D4B" w:rsidRPr="006D105C" w:rsidRDefault="00D87D4B" w:rsidP="009C42E2">
            <w:pPr>
              <w:spacing w:line="276" w:lineRule="auto"/>
              <w:jc w:val="right"/>
            </w:pPr>
            <w:r>
              <w:t>70 - NI</w:t>
            </w:r>
          </w:p>
        </w:tc>
        <w:tc>
          <w:tcPr>
            <w:tcW w:w="876" w:type="dxa"/>
            <w:tcBorders>
              <w:top w:val="single" w:sz="4" w:space="0" w:color="auto"/>
            </w:tcBorders>
          </w:tcPr>
          <w:p w14:paraId="08CFA170" w14:textId="1FD68B51" w:rsidR="00D87D4B" w:rsidRPr="006D105C" w:rsidRDefault="001763AD" w:rsidP="009C42E2">
            <w:pPr>
              <w:spacing w:line="276" w:lineRule="auto"/>
              <w:jc w:val="right"/>
            </w:pPr>
            <w:r>
              <w:t>28.41</w:t>
            </w:r>
          </w:p>
        </w:tc>
        <w:tc>
          <w:tcPr>
            <w:tcW w:w="1702" w:type="dxa"/>
            <w:tcBorders>
              <w:top w:val="single" w:sz="4" w:space="0" w:color="auto"/>
            </w:tcBorders>
          </w:tcPr>
          <w:p w14:paraId="2742E67A" w14:textId="16438AA9" w:rsidR="00D87D4B" w:rsidRPr="006D105C" w:rsidRDefault="001763AD" w:rsidP="009C42E2">
            <w:pPr>
              <w:spacing w:line="276" w:lineRule="auto"/>
              <w:jc w:val="right"/>
            </w:pPr>
            <w:r>
              <w:t>0.534</w:t>
            </w:r>
          </w:p>
        </w:tc>
        <w:tc>
          <w:tcPr>
            <w:tcW w:w="1702" w:type="dxa"/>
            <w:tcBorders>
              <w:top w:val="single" w:sz="4" w:space="0" w:color="auto"/>
            </w:tcBorders>
          </w:tcPr>
          <w:p w14:paraId="207103A8" w14:textId="135F97D9" w:rsidR="00D87D4B" w:rsidRPr="006D105C" w:rsidRDefault="001763AD" w:rsidP="009C42E2">
            <w:pPr>
              <w:spacing w:line="276" w:lineRule="auto"/>
              <w:jc w:val="right"/>
            </w:pPr>
            <w:r>
              <w:t>0.457</w:t>
            </w:r>
          </w:p>
        </w:tc>
        <w:tc>
          <w:tcPr>
            <w:tcW w:w="1736" w:type="dxa"/>
            <w:tcBorders>
              <w:top w:val="single" w:sz="4" w:space="0" w:color="auto"/>
            </w:tcBorders>
          </w:tcPr>
          <w:p w14:paraId="2AA5FFD3" w14:textId="475A76BA" w:rsidR="00D87D4B" w:rsidRPr="00D87D4B" w:rsidRDefault="001763AD" w:rsidP="009C42E2">
            <w:pPr>
              <w:spacing w:line="276" w:lineRule="auto"/>
              <w:jc w:val="right"/>
            </w:pPr>
            <w:r>
              <w:t>0.624</w:t>
            </w:r>
          </w:p>
        </w:tc>
      </w:tr>
      <w:tr w:rsidR="00D87D4B" w:rsidRPr="006D105C" w14:paraId="3BAB2529" w14:textId="77777777" w:rsidTr="009C42E2">
        <w:tc>
          <w:tcPr>
            <w:tcW w:w="2582" w:type="dxa"/>
          </w:tcPr>
          <w:p w14:paraId="5E64C5CE" w14:textId="7256F377" w:rsidR="00D87D4B" w:rsidRPr="006D105C" w:rsidRDefault="00D87D4B" w:rsidP="009C42E2">
            <w:pPr>
              <w:spacing w:line="276" w:lineRule="auto"/>
              <w:jc w:val="right"/>
            </w:pPr>
            <w:r>
              <w:t>70 - YI</w:t>
            </w:r>
          </w:p>
        </w:tc>
        <w:tc>
          <w:tcPr>
            <w:tcW w:w="876" w:type="dxa"/>
          </w:tcPr>
          <w:p w14:paraId="5B0567A5" w14:textId="777132BD" w:rsidR="00D87D4B" w:rsidRPr="006D105C" w:rsidRDefault="001763AD" w:rsidP="009C42E2">
            <w:pPr>
              <w:spacing w:line="276" w:lineRule="auto"/>
              <w:jc w:val="right"/>
            </w:pPr>
            <w:r>
              <w:t>26.48</w:t>
            </w:r>
          </w:p>
        </w:tc>
        <w:tc>
          <w:tcPr>
            <w:tcW w:w="1702" w:type="dxa"/>
          </w:tcPr>
          <w:p w14:paraId="650AEED7" w14:textId="4877C234" w:rsidR="00D87D4B" w:rsidRPr="006D105C" w:rsidRDefault="001763AD" w:rsidP="009C42E2">
            <w:pPr>
              <w:spacing w:line="276" w:lineRule="auto"/>
              <w:jc w:val="right"/>
            </w:pPr>
            <w:r>
              <w:t>0.606</w:t>
            </w:r>
          </w:p>
        </w:tc>
        <w:tc>
          <w:tcPr>
            <w:tcW w:w="1702" w:type="dxa"/>
          </w:tcPr>
          <w:p w14:paraId="79660FC9" w14:textId="7DC182B2" w:rsidR="00D87D4B" w:rsidRPr="006D105C" w:rsidRDefault="001763AD" w:rsidP="009C42E2">
            <w:pPr>
              <w:spacing w:line="276" w:lineRule="auto"/>
              <w:jc w:val="right"/>
            </w:pPr>
            <w:r>
              <w:t>0.530</w:t>
            </w:r>
          </w:p>
        </w:tc>
        <w:tc>
          <w:tcPr>
            <w:tcW w:w="1736" w:type="dxa"/>
          </w:tcPr>
          <w:p w14:paraId="5B7892F8" w14:textId="23746867" w:rsidR="00D87D4B" w:rsidRPr="00D87D4B" w:rsidRDefault="001763AD" w:rsidP="009C42E2">
            <w:pPr>
              <w:spacing w:line="276" w:lineRule="auto"/>
              <w:jc w:val="right"/>
            </w:pPr>
            <w:r>
              <w:t>0.691</w:t>
            </w:r>
          </w:p>
        </w:tc>
      </w:tr>
      <w:tr w:rsidR="00D87D4B" w:rsidRPr="006D105C" w14:paraId="0C3A6444" w14:textId="77777777" w:rsidTr="009C42E2">
        <w:tc>
          <w:tcPr>
            <w:tcW w:w="2582" w:type="dxa"/>
          </w:tcPr>
          <w:p w14:paraId="2FBD7368" w14:textId="63CC774E" w:rsidR="00D87D4B" w:rsidRPr="006D105C" w:rsidRDefault="00D87D4B" w:rsidP="009C42E2">
            <w:pPr>
              <w:spacing w:line="276" w:lineRule="auto"/>
              <w:jc w:val="right"/>
            </w:pPr>
            <w:r>
              <w:t>630 - NI</w:t>
            </w:r>
          </w:p>
        </w:tc>
        <w:tc>
          <w:tcPr>
            <w:tcW w:w="876" w:type="dxa"/>
          </w:tcPr>
          <w:p w14:paraId="12012AA3" w14:textId="05CB0774" w:rsidR="00D87D4B" w:rsidRPr="006D105C" w:rsidRDefault="001763AD" w:rsidP="009C42E2">
            <w:pPr>
              <w:spacing w:line="276" w:lineRule="auto"/>
              <w:jc w:val="right"/>
            </w:pPr>
            <w:r>
              <w:t>23.24</w:t>
            </w:r>
          </w:p>
        </w:tc>
        <w:tc>
          <w:tcPr>
            <w:tcW w:w="1702" w:type="dxa"/>
          </w:tcPr>
          <w:p w14:paraId="2957A76D" w14:textId="2452668F" w:rsidR="00D87D4B" w:rsidRPr="006D105C" w:rsidRDefault="001763AD" w:rsidP="009C42E2">
            <w:pPr>
              <w:spacing w:line="276" w:lineRule="auto"/>
              <w:jc w:val="right"/>
            </w:pPr>
            <w:r>
              <w:t>0.884</w:t>
            </w:r>
          </w:p>
        </w:tc>
        <w:tc>
          <w:tcPr>
            <w:tcW w:w="1702" w:type="dxa"/>
          </w:tcPr>
          <w:p w14:paraId="51CD5820" w14:textId="4BE01363" w:rsidR="00D87D4B" w:rsidRPr="006D105C" w:rsidRDefault="001763AD" w:rsidP="009C42E2">
            <w:pPr>
              <w:spacing w:line="276" w:lineRule="auto"/>
              <w:jc w:val="right"/>
            </w:pPr>
            <w:r>
              <w:t>0.749</w:t>
            </w:r>
          </w:p>
        </w:tc>
        <w:tc>
          <w:tcPr>
            <w:tcW w:w="1736" w:type="dxa"/>
          </w:tcPr>
          <w:p w14:paraId="4DBAA435" w14:textId="34E6ACCE" w:rsidR="00D87D4B" w:rsidRPr="00D87D4B" w:rsidRDefault="001763AD" w:rsidP="009C42E2">
            <w:pPr>
              <w:spacing w:line="276" w:lineRule="auto"/>
              <w:jc w:val="right"/>
            </w:pPr>
            <w:r>
              <w:t>1.044</w:t>
            </w:r>
          </w:p>
        </w:tc>
      </w:tr>
      <w:tr w:rsidR="00D87D4B" w:rsidRPr="006D105C" w14:paraId="23F85853" w14:textId="77777777" w:rsidTr="009C42E2">
        <w:tc>
          <w:tcPr>
            <w:tcW w:w="2582" w:type="dxa"/>
          </w:tcPr>
          <w:p w14:paraId="5F017191" w14:textId="23D71BC2" w:rsidR="00D87D4B" w:rsidRDefault="00D87D4B" w:rsidP="009C42E2">
            <w:pPr>
              <w:spacing w:line="276" w:lineRule="auto"/>
              <w:jc w:val="right"/>
            </w:pPr>
            <w:r>
              <w:t>630 - YI</w:t>
            </w:r>
          </w:p>
        </w:tc>
        <w:tc>
          <w:tcPr>
            <w:tcW w:w="876" w:type="dxa"/>
          </w:tcPr>
          <w:p w14:paraId="556EBB10" w14:textId="7D38721A" w:rsidR="00D87D4B" w:rsidRDefault="001763AD" w:rsidP="009C42E2">
            <w:pPr>
              <w:spacing w:line="276" w:lineRule="auto"/>
              <w:jc w:val="right"/>
            </w:pPr>
            <w:r>
              <w:t>25.04</w:t>
            </w:r>
          </w:p>
        </w:tc>
        <w:tc>
          <w:tcPr>
            <w:tcW w:w="1702" w:type="dxa"/>
          </w:tcPr>
          <w:p w14:paraId="0BFA6CF4" w14:textId="5E223F0B" w:rsidR="00D87D4B" w:rsidRDefault="001763AD" w:rsidP="009C42E2">
            <w:pPr>
              <w:spacing w:line="276" w:lineRule="auto"/>
              <w:jc w:val="right"/>
            </w:pPr>
            <w:r>
              <w:t>0.881</w:t>
            </w:r>
          </w:p>
        </w:tc>
        <w:tc>
          <w:tcPr>
            <w:tcW w:w="1702" w:type="dxa"/>
          </w:tcPr>
          <w:p w14:paraId="140B4A87" w14:textId="22F6DDD2" w:rsidR="00D87D4B" w:rsidRDefault="001763AD" w:rsidP="009C42E2">
            <w:pPr>
              <w:spacing w:line="276" w:lineRule="auto"/>
              <w:jc w:val="right"/>
            </w:pPr>
            <w:r>
              <w:t>0.768</w:t>
            </w:r>
          </w:p>
        </w:tc>
        <w:tc>
          <w:tcPr>
            <w:tcW w:w="1736" w:type="dxa"/>
          </w:tcPr>
          <w:p w14:paraId="1036DE3C" w14:textId="0BB81E75" w:rsidR="00D87D4B" w:rsidRPr="00D87D4B" w:rsidRDefault="001763AD" w:rsidP="009C42E2">
            <w:pPr>
              <w:spacing w:line="276" w:lineRule="auto"/>
              <w:jc w:val="right"/>
            </w:pPr>
            <w:r>
              <w:t>1.010</w:t>
            </w:r>
          </w:p>
        </w:tc>
      </w:tr>
    </w:tbl>
    <w:p w14:paraId="37254478" w14:textId="77777777" w:rsidR="001F2877" w:rsidRDefault="001F2877" w:rsidP="001F2877">
      <w:pPr>
        <w:spacing w:line="360" w:lineRule="auto"/>
      </w:pPr>
    </w:p>
    <w:p w14:paraId="2BC0792D" w14:textId="18F0C414" w:rsidR="001F2877" w:rsidRDefault="001F2877" w:rsidP="001F2877">
      <w:pPr>
        <w:spacing w:line="360" w:lineRule="auto"/>
      </w:pPr>
      <w:r w:rsidRPr="00526EFB">
        <w:rPr>
          <w:vertAlign w:val="superscript"/>
        </w:rPr>
        <w:t>*</w:t>
      </w:r>
      <w:r w:rsidR="009C42E2">
        <w:t xml:space="preserve">All summary statistics determined using back-transformed contrasts extracted from linear mixed effects model where biomass: pot volume was included as the response variable, </w:t>
      </w:r>
      <w:r w:rsidR="00595E4C">
        <w:t>nitrogen fertilization and inoculation treatments were included as individual and interactive categorical fixed effects, and block included as a random intercept term. Degrees of freedom</w:t>
      </w:r>
      <w:r w:rsidR="00CD7792">
        <w:t xml:space="preserve"> (df)</w:t>
      </w:r>
      <w:r w:rsidR="00595E4C">
        <w:t xml:space="preserve"> were approximated using the Kenward and Roger approach</w:t>
      </w:r>
      <w:r w:rsidR="002E533B">
        <w:t xml:space="preserve"> (Kenward &amp; Roger 1997)</w:t>
      </w:r>
      <w:r w:rsidR="00D9049F">
        <w:t>.</w:t>
      </w:r>
      <w:r w:rsidR="00F6735C">
        <w:t xml:space="preserve"> Key: “NI” = uninoculated, “YI” = inoculated</w:t>
      </w:r>
    </w:p>
    <w:p w14:paraId="072CEA04" w14:textId="77777777" w:rsidR="00B42CA1" w:rsidRDefault="00B42CA1">
      <w:r>
        <w:br w:type="page"/>
      </w:r>
    </w:p>
    <w:p w14:paraId="25F4A4DB" w14:textId="298E41F4" w:rsidR="00B42CA1" w:rsidRDefault="00B42CA1" w:rsidP="009C42E2">
      <w:pPr>
        <w:spacing w:line="360" w:lineRule="auto"/>
      </w:pPr>
      <w:r>
        <w:rPr>
          <w:b/>
          <w:bCs/>
        </w:rPr>
        <w:lastRenderedPageBreak/>
        <w:t>Figure S1</w:t>
      </w:r>
    </w:p>
    <w:p w14:paraId="41C5E1DD" w14:textId="6558C3F8" w:rsidR="00B42CA1" w:rsidRDefault="001763AD" w:rsidP="00627ACE">
      <w:pPr>
        <w:spacing w:line="360" w:lineRule="auto"/>
        <w:jc w:val="center"/>
      </w:pPr>
      <w:r>
        <w:rPr>
          <w:noProof/>
        </w:rPr>
        <w:drawing>
          <wp:inline distT="0" distB="0" distL="0" distR="0" wp14:anchorId="1962F90E" wp14:editId="29D19AA1">
            <wp:extent cx="3621266" cy="2414177"/>
            <wp:effectExtent l="0" t="0" r="0" b="0"/>
            <wp:docPr id="459972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972065" name="Picture 459972065"/>
                    <pic:cNvPicPr/>
                  </pic:nvPicPr>
                  <pic:blipFill>
                    <a:blip r:embed="rId6"/>
                    <a:stretch>
                      <a:fillRect/>
                    </a:stretch>
                  </pic:blipFill>
                  <pic:spPr>
                    <a:xfrm>
                      <a:off x="0" y="0"/>
                      <a:ext cx="3638950" cy="2425967"/>
                    </a:xfrm>
                    <a:prstGeom prst="rect">
                      <a:avLst/>
                    </a:prstGeom>
                  </pic:spPr>
                </pic:pic>
              </a:graphicData>
            </a:graphic>
          </wp:inline>
        </w:drawing>
      </w:r>
    </w:p>
    <w:p w14:paraId="718239C0" w14:textId="67FF18E1" w:rsidR="00B42CA1" w:rsidRPr="00B217CA" w:rsidRDefault="00B42CA1" w:rsidP="009C42E2">
      <w:pPr>
        <w:spacing w:line="360" w:lineRule="auto"/>
      </w:pPr>
      <w:r>
        <w:rPr>
          <w:b/>
          <w:bCs/>
        </w:rPr>
        <w:t xml:space="preserve">Figure </w:t>
      </w:r>
      <w:r w:rsidR="00621FD4">
        <w:rPr>
          <w:b/>
          <w:bCs/>
        </w:rPr>
        <w:t>S</w:t>
      </w:r>
      <w:r>
        <w:rPr>
          <w:b/>
          <w:bCs/>
        </w:rPr>
        <w:t>1</w:t>
      </w:r>
      <w:r>
        <w:t xml:space="preserve"> </w:t>
      </w:r>
      <w:r w:rsidRPr="001B10F7">
        <w:t>Effects</w:t>
      </w:r>
      <w:r>
        <w:t xml:space="preserve"> of soil nitrogen fertilization and inoculation status on whole plant biomass: pot volume. Soil nitrogen fertilization is on the x-axis, while inoculation status is represented </w:t>
      </w:r>
      <w:r w:rsidR="00780AF2">
        <w:t>as</w:t>
      </w:r>
      <w:r>
        <w:t xml:space="preserve"> colored boxplots.</w:t>
      </w:r>
      <w:r w:rsidR="00810E5C">
        <w:t xml:space="preserve"> The horizontal dashed line indicates a whole plant biomass: pot volume value of 1 g L</w:t>
      </w:r>
      <w:r w:rsidR="00810E5C">
        <w:rPr>
          <w:vertAlign w:val="superscript"/>
        </w:rPr>
        <w:t>-1</w:t>
      </w:r>
      <w:r w:rsidR="00810E5C">
        <w:t xml:space="preserve">, which is recommended by Poorter </w:t>
      </w:r>
      <w:r w:rsidR="00810E5C" w:rsidRPr="00627ACE">
        <w:rPr>
          <w:i/>
          <w:iCs/>
        </w:rPr>
        <w:t>et al</w:t>
      </w:r>
      <w:r w:rsidR="00810E5C">
        <w:t>. (2012) to minimize the likelihood of pot size induced growth limitation.</w:t>
      </w:r>
      <w:r>
        <w:t xml:space="preserve"> Yellow shaded boxplots indicate individuals that were not inoculated</w:t>
      </w:r>
      <w:r w:rsidRPr="00490BC5">
        <w:t xml:space="preserve"> </w:t>
      </w:r>
      <w:r>
        <w:t xml:space="preserve">with </w:t>
      </w:r>
      <w:r>
        <w:rPr>
          <w:i/>
          <w:iCs/>
        </w:rPr>
        <w:t>B. japonicum</w:t>
      </w:r>
      <w:r>
        <w:t xml:space="preserve">, while red shaded boxplots indicate individuals that were inoculated with </w:t>
      </w:r>
      <w:r>
        <w:rPr>
          <w:i/>
          <w:iCs/>
        </w:rPr>
        <w:t>B. japonicum</w:t>
      </w:r>
      <w:r>
        <w:t>. Boxplot</w:t>
      </w:r>
      <w:r w:rsidR="00056135">
        <w:t>s</w:t>
      </w:r>
      <w:r>
        <w:t xml:space="preserve"> indicate the median, first quartile, and third quartile of the data, while whiskers represent the furthest data point that is not more than 1.5 times the inner quartile range. Compact lettering above each boxplot indicates treatment combinations that are statistically different from each other, which were determined through Tukey’s tests (Tukey: </w:t>
      </w:r>
      <w:r w:rsidRPr="00627ACE">
        <w:rPr>
          <w:i/>
          <w:iCs/>
        </w:rPr>
        <w:t>p</w:t>
      </w:r>
      <w:r>
        <w:t>&lt;0.05).</w:t>
      </w:r>
    </w:p>
    <w:sectPr w:rsidR="00B42CA1" w:rsidRPr="00B217CA">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B6D942" w14:textId="77777777" w:rsidR="00CC4563" w:rsidRDefault="00CC4563" w:rsidP="00627ACE">
      <w:r>
        <w:separator/>
      </w:r>
    </w:p>
  </w:endnote>
  <w:endnote w:type="continuationSeparator" w:id="0">
    <w:p w14:paraId="3C21C116" w14:textId="77777777" w:rsidR="00CC4563" w:rsidRDefault="00CC4563" w:rsidP="00627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82269973"/>
      <w:docPartObj>
        <w:docPartGallery w:val="Page Numbers (Bottom of Page)"/>
        <w:docPartUnique/>
      </w:docPartObj>
    </w:sdtPr>
    <w:sdtContent>
      <w:p w14:paraId="73EC7B50" w14:textId="09B5D88F" w:rsidR="00627ACE" w:rsidRDefault="00627ACE" w:rsidP="00032D4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61AB51" w14:textId="77777777" w:rsidR="00627ACE" w:rsidRDefault="00627ACE" w:rsidP="00627A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sz w:val="20"/>
        <w:szCs w:val="20"/>
      </w:rPr>
      <w:id w:val="1724798935"/>
      <w:docPartObj>
        <w:docPartGallery w:val="Page Numbers (Bottom of Page)"/>
        <w:docPartUnique/>
      </w:docPartObj>
    </w:sdtPr>
    <w:sdtContent>
      <w:p w14:paraId="38A929D2" w14:textId="379C5786" w:rsidR="00627ACE" w:rsidRPr="00627ACE" w:rsidRDefault="00627ACE" w:rsidP="00032D4E">
        <w:pPr>
          <w:pStyle w:val="Footer"/>
          <w:framePr w:wrap="none" w:vAnchor="text" w:hAnchor="margin" w:xAlign="right" w:y="1"/>
          <w:rPr>
            <w:rStyle w:val="PageNumber"/>
            <w:sz w:val="20"/>
            <w:szCs w:val="20"/>
          </w:rPr>
        </w:pPr>
        <w:r w:rsidRPr="00627ACE">
          <w:rPr>
            <w:rStyle w:val="PageNumber"/>
            <w:sz w:val="20"/>
            <w:szCs w:val="20"/>
          </w:rPr>
          <w:t xml:space="preserve">pg. </w:t>
        </w:r>
        <w:r w:rsidRPr="00627ACE">
          <w:rPr>
            <w:rStyle w:val="PageNumber"/>
            <w:sz w:val="20"/>
            <w:szCs w:val="20"/>
          </w:rPr>
          <w:fldChar w:fldCharType="begin"/>
        </w:r>
        <w:r w:rsidRPr="00627ACE">
          <w:rPr>
            <w:rStyle w:val="PageNumber"/>
            <w:sz w:val="20"/>
            <w:szCs w:val="20"/>
          </w:rPr>
          <w:instrText xml:space="preserve"> PAGE </w:instrText>
        </w:r>
        <w:r w:rsidRPr="00627ACE">
          <w:rPr>
            <w:rStyle w:val="PageNumber"/>
            <w:sz w:val="20"/>
            <w:szCs w:val="20"/>
          </w:rPr>
          <w:fldChar w:fldCharType="separate"/>
        </w:r>
        <w:r w:rsidRPr="00627ACE">
          <w:rPr>
            <w:rStyle w:val="PageNumber"/>
            <w:noProof/>
            <w:sz w:val="20"/>
            <w:szCs w:val="20"/>
          </w:rPr>
          <w:t>1</w:t>
        </w:r>
        <w:r w:rsidRPr="00627ACE">
          <w:rPr>
            <w:rStyle w:val="PageNumber"/>
            <w:sz w:val="20"/>
            <w:szCs w:val="20"/>
          </w:rPr>
          <w:fldChar w:fldCharType="end"/>
        </w:r>
        <w:r w:rsidRPr="00627ACE">
          <w:rPr>
            <w:rStyle w:val="PageNumber"/>
            <w:sz w:val="20"/>
            <w:szCs w:val="20"/>
          </w:rPr>
          <w:t xml:space="preserve"> of 4</w:t>
        </w:r>
      </w:p>
    </w:sdtContent>
  </w:sdt>
  <w:p w14:paraId="42348A91" w14:textId="77777777" w:rsidR="00627ACE" w:rsidRPr="00627ACE" w:rsidRDefault="00627ACE" w:rsidP="00627ACE">
    <w:pPr>
      <w:pStyle w:val="Footer"/>
      <w:ind w:right="360"/>
      <w:jc w:val="righ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1A4708" w14:textId="77777777" w:rsidR="00CC4563" w:rsidRDefault="00CC4563" w:rsidP="00627ACE">
      <w:r>
        <w:separator/>
      </w:r>
    </w:p>
  </w:footnote>
  <w:footnote w:type="continuationSeparator" w:id="0">
    <w:p w14:paraId="6060EB5B" w14:textId="77777777" w:rsidR="00CC4563" w:rsidRDefault="00CC4563" w:rsidP="00627A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7CA"/>
    <w:rsid w:val="00056135"/>
    <w:rsid w:val="00124343"/>
    <w:rsid w:val="00141E4A"/>
    <w:rsid w:val="001763AD"/>
    <w:rsid w:val="001F1FD0"/>
    <w:rsid w:val="001F2877"/>
    <w:rsid w:val="002948B1"/>
    <w:rsid w:val="002C360E"/>
    <w:rsid w:val="002E533B"/>
    <w:rsid w:val="003B7AD0"/>
    <w:rsid w:val="0048276C"/>
    <w:rsid w:val="00497794"/>
    <w:rsid w:val="00595E4C"/>
    <w:rsid w:val="005A3AD9"/>
    <w:rsid w:val="00621FD4"/>
    <w:rsid w:val="00627ACE"/>
    <w:rsid w:val="006D0914"/>
    <w:rsid w:val="00780AF2"/>
    <w:rsid w:val="00810E5C"/>
    <w:rsid w:val="009C42E2"/>
    <w:rsid w:val="00AA6C3C"/>
    <w:rsid w:val="00AB1536"/>
    <w:rsid w:val="00B217CA"/>
    <w:rsid w:val="00B42CA1"/>
    <w:rsid w:val="00CC4563"/>
    <w:rsid w:val="00CD7792"/>
    <w:rsid w:val="00D87D4B"/>
    <w:rsid w:val="00D9049F"/>
    <w:rsid w:val="00DF2B72"/>
    <w:rsid w:val="00E9362A"/>
    <w:rsid w:val="00EF70FD"/>
    <w:rsid w:val="00F6735C"/>
    <w:rsid w:val="00F84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873E9C"/>
  <w14:defaultImageDpi w14:val="32767"/>
  <w15:chartTrackingRefBased/>
  <w15:docId w15:val="{DD5FAA46-FCA8-EE49-9F4A-A8C2463FF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B42CA1"/>
    <w:rPr>
      <w:rFonts w:cstheme="minorBid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627ACE"/>
    <w:pPr>
      <w:tabs>
        <w:tab w:val="center" w:pos="4680"/>
        <w:tab w:val="right" w:pos="9360"/>
      </w:tabs>
    </w:pPr>
  </w:style>
  <w:style w:type="character" w:customStyle="1" w:styleId="HeaderChar">
    <w:name w:val="Header Char"/>
    <w:basedOn w:val="DefaultParagraphFont"/>
    <w:link w:val="Header"/>
    <w:uiPriority w:val="99"/>
    <w:rsid w:val="00627ACE"/>
  </w:style>
  <w:style w:type="paragraph" w:styleId="Footer">
    <w:name w:val="footer"/>
    <w:basedOn w:val="Normal"/>
    <w:link w:val="FooterChar"/>
    <w:uiPriority w:val="99"/>
    <w:unhideWhenUsed/>
    <w:rsid w:val="00627ACE"/>
    <w:pPr>
      <w:tabs>
        <w:tab w:val="center" w:pos="4680"/>
        <w:tab w:val="right" w:pos="9360"/>
      </w:tabs>
    </w:pPr>
  </w:style>
  <w:style w:type="character" w:customStyle="1" w:styleId="FooterChar">
    <w:name w:val="Footer Char"/>
    <w:basedOn w:val="DefaultParagraphFont"/>
    <w:link w:val="Footer"/>
    <w:uiPriority w:val="99"/>
    <w:rsid w:val="00627ACE"/>
  </w:style>
  <w:style w:type="character" w:styleId="PageNumber">
    <w:name w:val="page number"/>
    <w:basedOn w:val="DefaultParagraphFont"/>
    <w:uiPriority w:val="99"/>
    <w:semiHidden/>
    <w:unhideWhenUsed/>
    <w:rsid w:val="00627A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3</cp:revision>
  <dcterms:created xsi:type="dcterms:W3CDTF">2024-08-02T17:37:00Z</dcterms:created>
  <dcterms:modified xsi:type="dcterms:W3CDTF">2024-09-09T17:50:00Z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id="CYJzzwhS"/&gt;&lt;style id="http://www.zotero.org/styles/journal-of-experimental-botany" hasBibliography="1" bibliographyStyleHasBeenSet="0"/&gt;&lt;prefs&gt;&lt;pref name="fieldType" value="Field"/&gt;&lt;/prefs&gt;&lt;/data&gt;</vt:lpwstr>
  </property>
</Properties>
</file>