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EF252" w14:textId="70646B94" w:rsidR="00AE69F5" w:rsidRDefault="00AE69F5" w:rsidP="00AE69F5">
      <w:pPr>
        <w:spacing w:line="360" w:lineRule="auto"/>
      </w:pPr>
      <w:r>
        <w:t xml:space="preserve">Terrestrial biosphere models predict leaf photosynthesis based on positive relationships between soil nitrogen, leaf nitrogen, and photosynthetic capacity. While many have documented positive empirical relationships between soil nitrogen and </w:t>
      </w:r>
      <w:r w:rsidR="001135C2">
        <w:t>leaf nitrogen, recent work leveraging photosynthetic least-cost theory suggests that leaf nitrogen allocation is better explained through aboveground local climate or interactions between aboveground climate and soil nutrients than by soil nutrient availability alone.</w:t>
      </w:r>
    </w:p>
    <w:p w14:paraId="3420AB2C" w14:textId="1FFE7291" w:rsidR="00AE69F5" w:rsidRDefault="00AE69F5" w:rsidP="00AE69F5">
      <w:pPr>
        <w:spacing w:line="360" w:lineRule="auto"/>
      </w:pPr>
    </w:p>
    <w:p w14:paraId="7F7DE496" w14:textId="77777777" w:rsidR="00AE69F5" w:rsidRDefault="00AE69F5" w:rsidP="00AE69F5">
      <w:pPr>
        <w:spacing w:line="360" w:lineRule="auto"/>
      </w:pPr>
    </w:p>
    <w:p w14:paraId="5B1A619E" w14:textId="11EF8471" w:rsidR="00C376CD" w:rsidRPr="00F26DFB" w:rsidRDefault="00AE69F5" w:rsidP="00AE69F5">
      <w:pPr>
        <w:spacing w:line="360" w:lineRule="auto"/>
      </w:pPr>
      <w:r>
        <w:t xml:space="preserve">In summer 2020 and 2021, we measured </w:t>
      </w:r>
      <w:r w:rsidR="00F26DFB">
        <w:t>leaf and soil traits in XX individuals spanning XX species across a broad climatic gradient in central and eastern Texas.</w:t>
      </w:r>
      <w:r w:rsidR="00F26DFB" w:rsidRPr="00F26DFB">
        <w:t xml:space="preserve"> </w:t>
      </w:r>
      <w:r w:rsidR="00F26DFB">
        <w:t xml:space="preserve">Texas </w:t>
      </w:r>
      <w:r>
        <w:t xml:space="preserve">is home to a </w:t>
      </w:r>
      <w:r w:rsidR="00F26DFB">
        <w:t xml:space="preserve">diverse climatic gradient, with mean annual precipitation ranging from XX to XX and mean annual temperature ranging from XX to XX, and a wide range in soil characteristics and nutrient availability ranges. </w:t>
      </w:r>
      <w:r w:rsidR="00F26DFB">
        <w:t>Following patterns expected from photosynthetic least-cost theory, we hypothesized that increasing aridity would increase leaf nitrogen allocation, which would allow individuals to maintain photosynthesis at lower water us</w:t>
      </w:r>
      <w:r>
        <w:t>age</w:t>
      </w:r>
      <w:r w:rsidR="00F26DFB">
        <w:t>.</w:t>
      </w:r>
      <w:r>
        <w:t xml:space="preserve"> </w:t>
      </w:r>
      <w:r w:rsidR="00F26DFB">
        <w:t>We also hypothesized that soil nutrient availability would increase the positive effect of aridity on leaf nitrogen allocation and water use efficiency.</w:t>
      </w:r>
    </w:p>
    <w:p w14:paraId="3CC1554B" w14:textId="6B16AFC8" w:rsidR="00C376CD" w:rsidRDefault="00C376CD" w:rsidP="00F26DFB">
      <w:pPr>
        <w:spacing w:line="360" w:lineRule="auto"/>
        <w:rPr>
          <w:b/>
          <w:bCs/>
        </w:rPr>
      </w:pPr>
    </w:p>
    <w:p w14:paraId="60627561" w14:textId="77777777" w:rsidR="00F26DFB" w:rsidRDefault="00F26DFB" w:rsidP="00F26DFB">
      <w:pPr>
        <w:spacing w:line="360" w:lineRule="auto"/>
        <w:rPr>
          <w:b/>
          <w:bCs/>
        </w:rPr>
      </w:pPr>
    </w:p>
    <w:p w14:paraId="0501D29A" w14:textId="4679766F" w:rsidR="0089277C" w:rsidRDefault="0089277C" w:rsidP="00F26DFB">
      <w:pPr>
        <w:spacing w:line="360" w:lineRule="auto"/>
      </w:pPr>
      <w:r>
        <w:rPr>
          <w:b/>
          <w:bCs/>
        </w:rPr>
        <w:t>Methods</w:t>
      </w:r>
    </w:p>
    <w:p w14:paraId="074E51E2" w14:textId="77777777" w:rsidR="00C61F15" w:rsidRDefault="00C61F15">
      <w:pPr>
        <w:rPr>
          <w:i/>
          <w:iCs/>
        </w:rPr>
      </w:pPr>
    </w:p>
    <w:p w14:paraId="2CD2C338" w14:textId="0E01C8EB" w:rsidR="0089277C" w:rsidRDefault="00AC36F9" w:rsidP="00042F4A">
      <w:pPr>
        <w:spacing w:line="360" w:lineRule="auto"/>
      </w:pPr>
      <w:r>
        <w:rPr>
          <w:i/>
          <w:iCs/>
        </w:rPr>
        <w:t>Field site</w:t>
      </w:r>
      <w:r w:rsidR="00C61F15">
        <w:rPr>
          <w:i/>
          <w:iCs/>
        </w:rPr>
        <w:t xml:space="preserve"> selection</w:t>
      </w:r>
    </w:p>
    <w:p w14:paraId="4819A5C5" w14:textId="09FE54DF" w:rsidR="00C61F15" w:rsidRDefault="00C61F15" w:rsidP="00042F4A">
      <w:pPr>
        <w:spacing w:line="360" w:lineRule="auto"/>
      </w:pPr>
      <w:r>
        <w:t>This project was conducted at 26 privately owned properties</w:t>
      </w:r>
      <w:r w:rsidR="008D1F15">
        <w:t xml:space="preserve"> in central and eastern Texas</w:t>
      </w:r>
      <w:r>
        <w:t xml:space="preserve"> between summer</w:t>
      </w:r>
      <w:r w:rsidR="008D1F15">
        <w:t>s</w:t>
      </w:r>
      <w:r>
        <w:t xml:space="preserve"> 2020 and 2021. Fourteen properties were visited </w:t>
      </w:r>
      <w:r w:rsidR="008D1F15">
        <w:t>between June and July</w:t>
      </w:r>
      <w:r>
        <w:t xml:space="preserve"> 2020</w:t>
      </w:r>
      <w:r w:rsidR="008D1F15">
        <w:t>, and</w:t>
      </w:r>
      <w:r>
        <w:t xml:space="preserve"> 1</w:t>
      </w:r>
      <w:r w:rsidR="00AC36F9">
        <w:t>5</w:t>
      </w:r>
      <w:r>
        <w:t xml:space="preserve"> </w:t>
      </w:r>
      <w:r>
        <w:t>properties</w:t>
      </w:r>
      <w:r>
        <w:t xml:space="preserve"> (1</w:t>
      </w:r>
      <w:r w:rsidR="00AC36F9">
        <w:t>1</w:t>
      </w:r>
      <w:r>
        <w:t xml:space="preserve"> unique from 2020) were visited </w:t>
      </w:r>
      <w:r w:rsidR="008D1F15">
        <w:t xml:space="preserve">between May and June </w:t>
      </w:r>
      <w:r>
        <w:t>2021</w:t>
      </w:r>
      <w:r w:rsidR="008D1F15">
        <w:t xml:space="preserve"> (Table 1)</w:t>
      </w:r>
      <w:r>
        <w:t>.</w:t>
      </w:r>
      <w:r w:rsidR="000A5ABE">
        <w:t xml:space="preserve"> For both sampling years, w</w:t>
      </w:r>
      <w:r w:rsidR="005E1917">
        <w:t xml:space="preserve">e explicitly chose properties that contained a </w:t>
      </w:r>
      <w:r w:rsidR="000A5ABE">
        <w:t xml:space="preserve">dominant </w:t>
      </w:r>
      <w:r w:rsidR="005E1917">
        <w:t>savanna/grassland component</w:t>
      </w:r>
      <w:r w:rsidR="000A5ABE">
        <w:t>. We also chose properties to maximize climatic diversity across a broad precipitation gradient</w:t>
      </w:r>
      <w:r w:rsidR="008D1F15">
        <w:t xml:space="preserve"> (Fig. 1).</w:t>
      </w:r>
      <w:r w:rsidR="000A5ABE">
        <w:t xml:space="preserve"> Properties were mostly unmanaged land plots, although a few were either actively managed or had a history of management/grazing. Land management details are noted in Table 1.</w:t>
      </w:r>
      <w:r w:rsidR="00A25850">
        <w:t xml:space="preserve"> Mean annual precipitation across all selected properties for both sampling years ranged from XX to XX, with mean annual temperature ranging between XX and XX.</w:t>
      </w:r>
    </w:p>
    <w:p w14:paraId="62D1F886" w14:textId="2C380C84" w:rsidR="007E7F73" w:rsidRDefault="007E7F73" w:rsidP="00042F4A">
      <w:pPr>
        <w:spacing w:line="360" w:lineRule="auto"/>
      </w:pPr>
    </w:p>
    <w:p w14:paraId="7D44E3A4" w14:textId="6D0EA5C2" w:rsidR="007E7F73" w:rsidRDefault="00AC36F9" w:rsidP="00042F4A">
      <w:pPr>
        <w:spacing w:line="360" w:lineRule="auto"/>
      </w:pPr>
      <w:r>
        <w:rPr>
          <w:i/>
          <w:iCs/>
        </w:rPr>
        <w:t>Field site visits</w:t>
      </w:r>
      <w:r w:rsidR="007E7F73">
        <w:rPr>
          <w:i/>
          <w:iCs/>
        </w:rPr>
        <w:t xml:space="preserve"> and sampling methodology</w:t>
      </w:r>
    </w:p>
    <w:p w14:paraId="0B4A4B49" w14:textId="203657F0" w:rsidR="00AC36F9" w:rsidRDefault="007E7F73" w:rsidP="00042F4A">
      <w:pPr>
        <w:spacing w:line="360" w:lineRule="auto"/>
      </w:pPr>
      <w:r>
        <w:t xml:space="preserve">Due to the uncertainty of the COVID-19 pandemic </w:t>
      </w:r>
      <w:r w:rsidR="00AC36F9">
        <w:t xml:space="preserve">and </w:t>
      </w:r>
      <w:r>
        <w:t xml:space="preserve">high regional </w:t>
      </w:r>
      <w:r w:rsidR="00AC36F9">
        <w:t>contagion risks</w:t>
      </w:r>
      <w:r>
        <w:t xml:space="preserve"> at the time of the 2020 sampling season, we divided property visits into initial property visits and primary property visits</w:t>
      </w:r>
      <w:r w:rsidR="00AC36F9">
        <w:t>. We then repeated this property visit schedule in 2021 to replicate our 2020 sampling effort.</w:t>
      </w:r>
    </w:p>
    <w:p w14:paraId="5FD849C8" w14:textId="07937552" w:rsidR="00AC36F9" w:rsidRDefault="00AC36F9" w:rsidP="00042F4A">
      <w:pPr>
        <w:spacing w:line="360" w:lineRule="auto"/>
      </w:pPr>
    </w:p>
    <w:p w14:paraId="61EB2221" w14:textId="777F9112" w:rsidR="002B29D1" w:rsidRDefault="00AC36F9" w:rsidP="002B29D1">
      <w:pPr>
        <w:autoSpaceDE w:val="0"/>
        <w:autoSpaceDN w:val="0"/>
        <w:adjustRightInd w:val="0"/>
        <w:spacing w:line="360" w:lineRule="auto"/>
        <w:rPr>
          <w:rFonts w:cs="Times New Roman"/>
        </w:rPr>
      </w:pPr>
      <w:r>
        <w:t>Initial property visits consisted of brief visits at each of the 14 properties in</w:t>
      </w:r>
      <w:r w:rsidR="002B29D1">
        <w:t xml:space="preserve"> June</w:t>
      </w:r>
      <w:r>
        <w:t xml:space="preserve"> 2020 and 15 properties in </w:t>
      </w:r>
      <w:r w:rsidR="002B29D1">
        <w:t xml:space="preserve">May </w:t>
      </w:r>
      <w:r>
        <w:t xml:space="preserve">2021. </w:t>
      </w:r>
      <w:r w:rsidR="002B29D1">
        <w:t xml:space="preserve">At each initial property visit, we collected 3 random leaves of the five most dominant species and composite soil samples at random locations in the property. We also recorded leaf area per ground area measurements at random locations in each property to assess plant cover density. In 2021, </w:t>
      </w:r>
      <w:r w:rsidR="002B29D1">
        <w:rPr>
          <w:rFonts w:cs="Times New Roman"/>
        </w:rPr>
        <w:t>we attached a</w:t>
      </w:r>
      <w:r w:rsidR="002B29D1">
        <w:rPr>
          <w:rFonts w:cs="Times New Roman"/>
        </w:rPr>
        <w:t xml:space="preserve"> </w:t>
      </w:r>
      <w:proofErr w:type="spellStart"/>
      <w:r w:rsidR="002B29D1">
        <w:rPr>
          <w:rFonts w:cs="Times New Roman"/>
        </w:rPr>
        <w:t>MultispeQ</w:t>
      </w:r>
      <w:proofErr w:type="spellEnd"/>
      <w:r w:rsidR="002B29D1">
        <w:rPr>
          <w:rFonts w:cs="Times New Roman"/>
        </w:rPr>
        <w:t xml:space="preserve"> photosynthesis device (</w:t>
      </w:r>
      <w:proofErr w:type="spellStart"/>
      <w:r w:rsidR="002B29D1">
        <w:rPr>
          <w:rFonts w:cs="Times New Roman"/>
        </w:rPr>
        <w:t>PhotosynQ</w:t>
      </w:r>
      <w:proofErr w:type="spellEnd"/>
      <w:r w:rsidR="002B29D1">
        <w:rPr>
          <w:rFonts w:cs="Times New Roman"/>
        </w:rPr>
        <w:t xml:space="preserve"> Inc., East Lansing, MI, USA) </w:t>
      </w:r>
      <w:r w:rsidR="002B29D1">
        <w:rPr>
          <w:rFonts w:cs="Times New Roman"/>
        </w:rPr>
        <w:t>prior to leaf collection to obtain chlorophyll fluorescence data and gather snapshot photochemical parameters that drive leaf photosynthesis.</w:t>
      </w:r>
    </w:p>
    <w:p w14:paraId="73ED52DA" w14:textId="72906403" w:rsidR="002B29D1" w:rsidRDefault="002B29D1" w:rsidP="002B29D1">
      <w:pPr>
        <w:autoSpaceDE w:val="0"/>
        <w:autoSpaceDN w:val="0"/>
        <w:adjustRightInd w:val="0"/>
        <w:spacing w:line="360" w:lineRule="auto"/>
        <w:rPr>
          <w:rFonts w:cs="Times New Roman"/>
        </w:rPr>
      </w:pPr>
    </w:p>
    <w:p w14:paraId="753D3CA3" w14:textId="03A489F2" w:rsidR="00E06A40" w:rsidRPr="001B2141" w:rsidRDefault="002B29D1" w:rsidP="001B2141">
      <w:pPr>
        <w:spacing w:line="360" w:lineRule="auto"/>
        <w:rPr>
          <w:rFonts w:eastAsia="Times New Roman" w:cs="Times New Roman"/>
          <w:i/>
          <w:iCs/>
        </w:rPr>
      </w:pPr>
      <w:r>
        <w:rPr>
          <w:rFonts w:cs="Times New Roman"/>
        </w:rPr>
        <w:t>Following initial property visits, five properties for each sampling year were selected for a second, more intensive sampling effort</w:t>
      </w:r>
      <w:r w:rsidR="006F2FA3">
        <w:rPr>
          <w:rFonts w:cs="Times New Roman"/>
        </w:rPr>
        <w:t>. The five properties were chosen based on site position along the climatic gradient in Texas, landowner cooperation and approval, and species similarity relative to the other four properties. The five properties received a second visit to put mixed bed ion exchange resin bags into the soil ~10cm below the litter-cleared soil surface to accumulate soil nitrate-nitrite and ammonium concentrations over a month</w:t>
      </w:r>
      <w:r w:rsidR="001B2141">
        <w:rPr>
          <w:rFonts w:cs="Times New Roman"/>
        </w:rPr>
        <w:t xml:space="preserve">. Activated resin bags (see </w:t>
      </w:r>
      <w:r w:rsidR="001B2141" w:rsidRPr="001B2141">
        <w:rPr>
          <w:rFonts w:eastAsia="Times New Roman" w:cs="Times New Roman"/>
          <w:i/>
          <w:iCs/>
        </w:rPr>
        <w:t>Soil characteristics and soil nutrient availability</w:t>
      </w:r>
      <w:r w:rsidR="001B2141">
        <w:rPr>
          <w:rFonts w:cs="Times New Roman"/>
        </w:rPr>
        <w:t>) were inserted at random locations on the property, but were within 1,000m of each other</w:t>
      </w:r>
      <w:r w:rsidR="006F2FA3">
        <w:rPr>
          <w:rFonts w:cs="Times New Roman"/>
        </w:rPr>
        <w:t xml:space="preserve">. About one month following initial property visits and resin bag insertion, primary properties were visited a final time for a more labor-intensive sampling effort. Sampling at each primary property visit was completed by setting up </w:t>
      </w:r>
      <w:r w:rsidR="006F2FA3">
        <w:rPr>
          <w:rFonts w:cs="Times New Roman"/>
        </w:rPr>
        <w:t xml:space="preserve">5, 1m </w:t>
      </w:r>
      <w:r w:rsidR="006F2FA3">
        <w:rPr>
          <w:rFonts w:cs="Times New Roman"/>
        </w:rPr>
        <w:t>x</w:t>
      </w:r>
      <w:r w:rsidR="006F2FA3">
        <w:rPr>
          <w:rFonts w:cs="Times New Roman"/>
        </w:rPr>
        <w:t xml:space="preserve"> 1m square plots </w:t>
      </w:r>
      <w:r w:rsidR="006F2FA3">
        <w:rPr>
          <w:rFonts w:cs="Times New Roman"/>
        </w:rPr>
        <w:t xml:space="preserve">coupled </w:t>
      </w:r>
      <w:r w:rsidR="006F2FA3">
        <w:rPr>
          <w:rFonts w:cs="Times New Roman"/>
        </w:rPr>
        <w:t>with a 1m</w:t>
      </w:r>
      <w:r w:rsidR="006F2FA3">
        <w:rPr>
          <w:rFonts w:cs="Times New Roman"/>
        </w:rPr>
        <w:t xml:space="preserve"> x</w:t>
      </w:r>
      <w:r w:rsidR="00E06A40">
        <w:rPr>
          <w:rFonts w:cs="Times New Roman"/>
        </w:rPr>
        <w:t xml:space="preserve"> </w:t>
      </w:r>
      <w:r w:rsidR="006F2FA3">
        <w:rPr>
          <w:rFonts w:cs="Times New Roman"/>
        </w:rPr>
        <w:t>0.1m rectangular plot adjacent to each square plot.</w:t>
      </w:r>
      <w:r w:rsidR="001B2141">
        <w:rPr>
          <w:rFonts w:cs="Times New Roman"/>
        </w:rPr>
        <w:t xml:space="preserve"> Plots were set up in the same location as resin bag insertion points, and resin bags were extracted.</w:t>
      </w:r>
      <w:r w:rsidR="006F2FA3">
        <w:rPr>
          <w:rFonts w:cs="Times New Roman"/>
        </w:rPr>
        <w:t xml:space="preserve"> In each square plot, species</w:t>
      </w:r>
      <w:r w:rsidR="006F2FA3">
        <w:rPr>
          <w:rFonts w:cs="Times New Roman"/>
        </w:rPr>
        <w:t xml:space="preserve"> </w:t>
      </w:r>
      <w:r w:rsidR="006F2FA3">
        <w:rPr>
          <w:rFonts w:cs="Times New Roman"/>
        </w:rPr>
        <w:t>composition was determined</w:t>
      </w:r>
      <w:r w:rsidR="006F2FA3">
        <w:rPr>
          <w:rFonts w:cs="Times New Roman"/>
        </w:rPr>
        <w:t xml:space="preserve"> through percent cover estimates using the Daubenmire method </w:t>
      </w:r>
      <w:r w:rsidR="006F2FA3">
        <w:rPr>
          <w:rFonts w:cs="Times New Roman"/>
        </w:rPr>
        <w:fldChar w:fldCharType="begin" w:fldLock="1"/>
      </w:r>
      <w:r w:rsidR="006F2FA3">
        <w:rPr>
          <w:rFonts w:cs="Times New Roman"/>
        </w:rPr>
        <w:instrText>ADDIN CSL_CITATION {"citationItems":[{"id":"ITEM-1","itemData":{"author":[{"dropping-particle":"","family":"Bonham","given":"Charles D","non-dropping-particle":"","parse-names":false,"suffix":""},{"dropping-particle":"","family":"Mergen","given":"Daryl E","non-dropping-particle":"","parse-names":false,"suffix":""},{"dropping-particle":"","family":"Montoya","given":"Sam","non-dropping-particle":"","parse-names":false,"suffix":""}],"container-title":"Rangelands","id":"ITEM-1","issue":"1","issued":{"date-parts":[["2004"]]},"page":"17-22","title":"Plant cover estimation: a contiguous Daubenmire frame","type":"article-journal","volume":"26"},"uris":["http://www.mendeley.com/documents/?uuid=2742278b-b136-40ae-bd19-9a49767c5a45"]},{"id":"ITEM-2","itemData":{"author":[{"dropping-particle":"","family":"Daubenmire","given":"R F","non-dropping-particle":"","parse-names":false,"suffix":""}],"container-title":"Northwest Science","id":"ITEM-2","issued":{"date-parts":[["1959"]]},"page":"39-64","title":"Canopy coverage method of vegetation analysis","type":"article-journal","volume":"33"},"uris":["http://www.mendeley.com/documents/?uuid=d8f26fe8-e8e7-4ead-839a-0cfff0cfa56f"]}],"mendeley":{"formattedCitation":"(Daubenmire, 1959; Bonham &lt;i&gt;et al.&lt;/i&gt;, 2004)","plainTextFormattedCitation":"(Daubenmire, 1959; Bonham et al., 2004)","previouslyFormattedCitation":"(Bonham &lt;i&gt;et al.&lt;/i&gt;, 2004)"},"properties":{"noteIndex":0},"schema":"https://github.com/citation-style-language/schema/raw/master/csl-citation.json"}</w:instrText>
      </w:r>
      <w:r w:rsidR="006F2FA3">
        <w:rPr>
          <w:rFonts w:cs="Times New Roman"/>
        </w:rPr>
        <w:fldChar w:fldCharType="separate"/>
      </w:r>
      <w:r w:rsidR="006F2FA3" w:rsidRPr="006F2FA3">
        <w:rPr>
          <w:rFonts w:cs="Times New Roman"/>
          <w:noProof/>
        </w:rPr>
        <w:t xml:space="preserve">(Daubenmire, 1959; Bonham </w:t>
      </w:r>
      <w:r w:rsidR="006F2FA3" w:rsidRPr="006F2FA3">
        <w:rPr>
          <w:rFonts w:cs="Times New Roman"/>
          <w:i/>
          <w:noProof/>
        </w:rPr>
        <w:t>et al.</w:t>
      </w:r>
      <w:r w:rsidR="006F2FA3" w:rsidRPr="006F2FA3">
        <w:rPr>
          <w:rFonts w:cs="Times New Roman"/>
          <w:noProof/>
        </w:rPr>
        <w:t>, 2004)</w:t>
      </w:r>
      <w:r w:rsidR="006F2FA3">
        <w:rPr>
          <w:rFonts w:cs="Times New Roman"/>
        </w:rPr>
        <w:fldChar w:fldCharType="end"/>
      </w:r>
      <w:r w:rsidR="006F2FA3">
        <w:rPr>
          <w:rFonts w:cs="Times New Roman"/>
        </w:rPr>
        <w:t xml:space="preserve"> and leaves of all species present in the plot were collected. </w:t>
      </w:r>
      <w:r w:rsidR="00E06A40">
        <w:rPr>
          <w:rFonts w:cs="Times New Roman"/>
        </w:rPr>
        <w:t>Leaf area per ground area measurements were collected at 5 points in each square plot</w:t>
      </w:r>
      <w:r w:rsidR="00E06A40">
        <w:rPr>
          <w:rFonts w:cs="Times New Roman"/>
        </w:rPr>
        <w:t xml:space="preserve"> using a LI-COR 2200C (Li-COR Biosciences, Lincoln, NE, USA), and were </w:t>
      </w:r>
      <w:r w:rsidR="00E06A40">
        <w:rPr>
          <w:rFonts w:cs="Times New Roman"/>
        </w:rPr>
        <w:lastRenderedPageBreak/>
        <w:t>used to estimate plot-level leaf area index</w:t>
      </w:r>
      <w:r w:rsidR="00E06A40">
        <w:rPr>
          <w:rFonts w:cs="Times New Roman"/>
        </w:rPr>
        <w:t>. A composite soil sample was also collected down to 10 centimeters below the soil surface within each square plot</w:t>
      </w:r>
      <w:r w:rsidR="00E06A40">
        <w:rPr>
          <w:rFonts w:cs="Times New Roman"/>
        </w:rPr>
        <w:t>.</w:t>
      </w:r>
      <w:r w:rsidR="00E06A40" w:rsidRPr="00E06A40">
        <w:rPr>
          <w:rFonts w:cs="Times New Roman"/>
        </w:rPr>
        <w:t xml:space="preserve"> </w:t>
      </w:r>
      <w:r w:rsidR="00E06A40">
        <w:rPr>
          <w:rFonts w:cs="Times New Roman"/>
        </w:rPr>
        <w:t>The rectangular</w:t>
      </w:r>
      <w:r w:rsidR="00E06A40">
        <w:rPr>
          <w:rFonts w:cs="Times New Roman"/>
        </w:rPr>
        <w:t xml:space="preserve"> 1m x 0.1m</w:t>
      </w:r>
      <w:r w:rsidR="00E06A40">
        <w:rPr>
          <w:rFonts w:cs="Times New Roman"/>
        </w:rPr>
        <w:t xml:space="preserve"> plot was clipped for aboveground biomass</w:t>
      </w:r>
      <w:r w:rsidR="00E06A40">
        <w:rPr>
          <w:rFonts w:cs="Times New Roman"/>
        </w:rPr>
        <w:t>.</w:t>
      </w:r>
    </w:p>
    <w:p w14:paraId="1197EF7D" w14:textId="77777777" w:rsidR="00E06A40" w:rsidRDefault="00E06A40" w:rsidP="00042F4A">
      <w:pPr>
        <w:spacing w:line="360" w:lineRule="auto"/>
      </w:pPr>
    </w:p>
    <w:p w14:paraId="6CD788C3" w14:textId="35B93261" w:rsidR="000A5ABE" w:rsidRDefault="000A5ABE" w:rsidP="00305473">
      <w:pPr>
        <w:spacing w:line="360" w:lineRule="auto"/>
      </w:pPr>
      <w:commentRangeStart w:id="0"/>
      <w:r>
        <w:rPr>
          <w:i/>
          <w:iCs/>
        </w:rPr>
        <w:t>S</w:t>
      </w:r>
      <w:commentRangeEnd w:id="0"/>
      <w:r w:rsidR="00A25850">
        <w:rPr>
          <w:rStyle w:val="CommentReference"/>
        </w:rPr>
        <w:commentReference w:id="0"/>
      </w:r>
      <w:r>
        <w:rPr>
          <w:i/>
          <w:iCs/>
        </w:rPr>
        <w:t>ite climatic data</w:t>
      </w:r>
    </w:p>
    <w:p w14:paraId="62090A4A" w14:textId="289B65ED" w:rsidR="00150719" w:rsidRDefault="00042F4A" w:rsidP="00305473">
      <w:pPr>
        <w:spacing w:line="360" w:lineRule="auto"/>
        <w:rPr>
          <w:rFonts w:eastAsia="Times New Roman" w:cs="Times New Roman"/>
        </w:rPr>
      </w:pPr>
      <w:r>
        <w:t>We acquired gridded 1991-2020 normal temperature, precipitation, and vapor pressure deficit data from PRISM at a 4-km spatial resolution</w:t>
      </w:r>
      <w:r w:rsidR="000A5ABE">
        <w:t xml:space="preserve"> (</w:t>
      </w:r>
      <w:r w:rsidR="000A5ABE" w:rsidRPr="000A5ABE">
        <w:rPr>
          <w:rFonts w:eastAsia="Times New Roman" w:cs="Times New Roman"/>
        </w:rPr>
        <w:t xml:space="preserve">PRISM Climate Group, Oregon State University, https://prism.oregonstate.edu, data created 4 Feb 2014, accessed </w:t>
      </w:r>
      <w:r w:rsidR="000A5ABE">
        <w:rPr>
          <w:rFonts w:eastAsia="Times New Roman" w:cs="Times New Roman"/>
        </w:rPr>
        <w:t>24</w:t>
      </w:r>
      <w:r w:rsidR="000A5ABE" w:rsidRPr="000A5ABE">
        <w:rPr>
          <w:rFonts w:eastAsia="Times New Roman" w:cs="Times New Roman"/>
        </w:rPr>
        <w:t xml:space="preserve"> </w:t>
      </w:r>
      <w:r w:rsidR="000A5ABE">
        <w:rPr>
          <w:rFonts w:eastAsia="Times New Roman" w:cs="Times New Roman"/>
        </w:rPr>
        <w:t>Mar</w:t>
      </w:r>
      <w:r w:rsidR="000A5ABE" w:rsidRPr="000A5ABE">
        <w:rPr>
          <w:rFonts w:eastAsia="Times New Roman" w:cs="Times New Roman"/>
        </w:rPr>
        <w:t xml:space="preserve"> 202</w:t>
      </w:r>
      <w:r w:rsidR="000A5ABE">
        <w:rPr>
          <w:rFonts w:eastAsia="Times New Roman" w:cs="Times New Roman"/>
        </w:rPr>
        <w:t>2</w:t>
      </w:r>
      <w:r>
        <w:rPr>
          <w:rFonts w:eastAsia="Times New Roman" w:cs="Times New Roman"/>
        </w:rPr>
        <w:t>)</w:t>
      </w:r>
      <w:r w:rsidR="00150719">
        <w:rPr>
          <w:rFonts w:eastAsia="Times New Roman" w:cs="Times New Roman"/>
        </w:rPr>
        <w:t xml:space="preserve">. PRISM climate normal data were downloaded using the ‘prism’ R package </w:t>
      </w:r>
      <w:r w:rsidR="00150719">
        <w:rPr>
          <w:rFonts w:eastAsia="Times New Roman" w:cs="Times New Roman"/>
        </w:rPr>
        <w:fldChar w:fldCharType="begin" w:fldLock="1"/>
      </w:r>
      <w:r w:rsidR="00006631">
        <w:rPr>
          <w:rFonts w:eastAsia="Times New Roman" w:cs="Times New Roman"/>
        </w:rPr>
        <w:instrText>ADDIN CSL_CITATION {"citationItems":[{"id":"ITEM-1","itemData":{"DOI":"10.5281/zenodo.33663","author":[{"dropping-particle":"","family":"Hart","given":"Edmund","non-dropping-particle":"","parse-names":false,"suffix":""},{"dropping-particle":"","family":"Bell","given":"Kendon","non-dropping-particle":"","parse-names":false,"suffix":""}],"id":"ITEM-1","issued":{"date-parts":[["2015","11"]]},"publisher":"Zenodo","title":"prism: Access data from the Oregon State Prism climate project","type":"article"},"uris":["http://www.mendeley.com/documents/?uuid=37c6107c-9091-4326-9bc6-9699f97eec66"]}],"mendeley":{"formattedCitation":"(Hart &amp; Bell, 2015)","plainTextFormattedCitation":"(Hart &amp; Bell, 2015)","previouslyFormattedCitation":"(Hart &amp; Bell, 2015)"},"properties":{"noteIndex":0},"schema":"https://github.com/citation-style-language/schema/raw/master/csl-citation.json"}</w:instrText>
      </w:r>
      <w:r w:rsidR="00150719">
        <w:rPr>
          <w:rFonts w:eastAsia="Times New Roman" w:cs="Times New Roman"/>
        </w:rPr>
        <w:fldChar w:fldCharType="separate"/>
      </w:r>
      <w:r w:rsidR="00150719" w:rsidRPr="00150719">
        <w:rPr>
          <w:rFonts w:eastAsia="Times New Roman" w:cs="Times New Roman"/>
          <w:noProof/>
        </w:rPr>
        <w:t>(Hart &amp; Bell, 2015)</w:t>
      </w:r>
      <w:r w:rsidR="00150719">
        <w:rPr>
          <w:rFonts w:eastAsia="Times New Roman" w:cs="Times New Roman"/>
        </w:rPr>
        <w:fldChar w:fldCharType="end"/>
      </w:r>
      <w:r>
        <w:rPr>
          <w:rFonts w:eastAsia="Times New Roman" w:cs="Times New Roman"/>
        </w:rPr>
        <w:t>. We then extracted monthly mean temperature, maximum temperature, minimum temperature, precipitation, maximum vapor pressure deficit, and minimum vapor pressure deficit from the grid cell that contained each field site.</w:t>
      </w:r>
      <w:r w:rsidR="00150719">
        <w:rPr>
          <w:rFonts w:eastAsia="Times New Roman" w:cs="Times New Roman"/>
        </w:rPr>
        <w:t xml:space="preserve"> Mean annual precipitation was then calculated as the sum of precipitation for each month, while mean annual temperature was calculated as the average temperature per month. We also calculated </w:t>
      </w:r>
      <w:r w:rsidR="006A1B27">
        <w:rPr>
          <w:rFonts w:eastAsia="Times New Roman" w:cs="Times New Roman"/>
        </w:rPr>
        <w:t>mean normal</w:t>
      </w:r>
      <w:r w:rsidR="00150719">
        <w:rPr>
          <w:rFonts w:eastAsia="Times New Roman" w:cs="Times New Roman"/>
        </w:rPr>
        <w:t xml:space="preserve"> growing season</w:t>
      </w:r>
      <w:r w:rsidR="006A1B27">
        <w:rPr>
          <w:rFonts w:eastAsia="Times New Roman" w:cs="Times New Roman"/>
        </w:rPr>
        <w:t xml:space="preserve"> temperature, precipitation, and vapor pressure deficit using only months where the minimum temperature was greater than 0</w:t>
      </w:r>
      <w:r w:rsidR="006A1B27">
        <w:rPr>
          <w:rFonts w:eastAsia="Times New Roman" w:cs="Times New Roman"/>
        </w:rPr>
        <w:sym w:font="Symbol" w:char="F0B0"/>
      </w:r>
      <w:r w:rsidR="006A1B27">
        <w:rPr>
          <w:rFonts w:eastAsia="Times New Roman" w:cs="Times New Roman"/>
        </w:rPr>
        <w:t>C.</w:t>
      </w:r>
      <w:r w:rsidR="007E7F73">
        <w:rPr>
          <w:rFonts w:eastAsia="Times New Roman" w:cs="Times New Roman"/>
        </w:rPr>
        <w:t xml:space="preserve"> Finally, we calculated normal growing season aridity by dividing precipitation by </w:t>
      </w:r>
      <w:r w:rsidR="007E7F73" w:rsidRPr="00C376CD">
        <w:rPr>
          <w:rFonts w:eastAsia="Times New Roman" w:cs="Times New Roman"/>
        </w:rPr>
        <w:t>potential evapotranspiration</w:t>
      </w:r>
      <w:r w:rsidR="007E7F73">
        <w:rPr>
          <w:rFonts w:eastAsia="Times New Roman" w:cs="Times New Roman"/>
        </w:rPr>
        <w:t>.</w:t>
      </w:r>
    </w:p>
    <w:p w14:paraId="5E644347" w14:textId="4775E198" w:rsidR="00042F4A" w:rsidRDefault="00042F4A" w:rsidP="00305473">
      <w:pPr>
        <w:spacing w:line="360" w:lineRule="auto"/>
        <w:rPr>
          <w:rFonts w:eastAsia="Times New Roman" w:cs="Times New Roman"/>
        </w:rPr>
      </w:pPr>
    </w:p>
    <w:p w14:paraId="58711C98" w14:textId="328AE863" w:rsidR="00DD12D4" w:rsidRDefault="00042F4A" w:rsidP="00305473">
      <w:pPr>
        <w:spacing w:line="360" w:lineRule="auto"/>
        <w:rPr>
          <w:rFonts w:eastAsia="Times New Roman" w:cs="Times New Roman"/>
        </w:rPr>
      </w:pPr>
      <w:r>
        <w:rPr>
          <w:rFonts w:eastAsia="Times New Roman" w:cs="Times New Roman"/>
        </w:rPr>
        <w:t>Additionally, we acquired gridded daily temperature, precipitation, and vapor pressure deficit from PRISM, again at a 4-km spatial resolution</w:t>
      </w:r>
      <w:r w:rsidR="006A1B27">
        <w:rPr>
          <w:rFonts w:eastAsia="Times New Roman" w:cs="Times New Roman"/>
        </w:rPr>
        <w:t>,</w:t>
      </w:r>
      <w:r>
        <w:rPr>
          <w:rFonts w:eastAsia="Times New Roman" w:cs="Times New Roman"/>
        </w:rPr>
        <w:t xml:space="preserve"> between June 01, </w:t>
      </w:r>
      <w:proofErr w:type="gramStart"/>
      <w:r>
        <w:rPr>
          <w:rFonts w:eastAsia="Times New Roman" w:cs="Times New Roman"/>
        </w:rPr>
        <w:t>2019</w:t>
      </w:r>
      <w:proofErr w:type="gramEnd"/>
      <w:r>
        <w:rPr>
          <w:rFonts w:eastAsia="Times New Roman" w:cs="Times New Roman"/>
        </w:rPr>
        <w:t xml:space="preserve"> and July 31, 2021 </w:t>
      </w:r>
      <w:r>
        <w:t>(</w:t>
      </w:r>
      <w:r w:rsidRPr="000A5ABE">
        <w:rPr>
          <w:rFonts w:eastAsia="Times New Roman" w:cs="Times New Roman"/>
        </w:rPr>
        <w:t xml:space="preserve">PRISM Climate Group, Oregon State University, https://prism.oregonstate.edu, data created 4 Feb 2014, accessed </w:t>
      </w:r>
      <w:r>
        <w:rPr>
          <w:rFonts w:eastAsia="Times New Roman" w:cs="Times New Roman"/>
        </w:rPr>
        <w:t>24</w:t>
      </w:r>
      <w:r w:rsidRPr="000A5ABE">
        <w:rPr>
          <w:rFonts w:eastAsia="Times New Roman" w:cs="Times New Roman"/>
        </w:rPr>
        <w:t xml:space="preserve"> </w:t>
      </w:r>
      <w:r>
        <w:rPr>
          <w:rFonts w:eastAsia="Times New Roman" w:cs="Times New Roman"/>
        </w:rPr>
        <w:t>Mar</w:t>
      </w:r>
      <w:r w:rsidRPr="000A5ABE">
        <w:rPr>
          <w:rFonts w:eastAsia="Times New Roman" w:cs="Times New Roman"/>
        </w:rPr>
        <w:t xml:space="preserve"> 202</w:t>
      </w:r>
      <w:r>
        <w:rPr>
          <w:rFonts w:eastAsia="Times New Roman" w:cs="Times New Roman"/>
        </w:rPr>
        <w:t>2).</w:t>
      </w:r>
      <w:r>
        <w:rPr>
          <w:rFonts w:eastAsia="Times New Roman" w:cs="Times New Roman"/>
        </w:rPr>
        <w:t xml:space="preserve"> PRISM data were downloaded using the ‘prism’ R package </w:t>
      </w:r>
      <w:r>
        <w:rPr>
          <w:rFonts w:eastAsia="Times New Roman" w:cs="Times New Roman"/>
        </w:rPr>
        <w:fldChar w:fldCharType="begin" w:fldLock="1"/>
      </w:r>
      <w:r w:rsidR="00150719">
        <w:rPr>
          <w:rFonts w:eastAsia="Times New Roman" w:cs="Times New Roman"/>
        </w:rPr>
        <w:instrText>ADDIN CSL_CITATION {"citationItems":[{"id":"ITEM-1","itemData":{"DOI":"10.5281/zenodo.33663","author":[{"dropping-particle":"","family":"Hart","given":"Edmund","non-dropping-particle":"","parse-names":false,"suffix":""},{"dropping-particle":"","family":"Bell","given":"Kendon","non-dropping-particle":"","parse-names":false,"suffix":""}],"id":"ITEM-1","issued":{"date-parts":[["2015","11"]]},"publisher":"Zenodo","title":"prism: Access data from the Oregon State Prism climate project","type":"article"},"uris":["http://www.mendeley.com/documents/?uuid=37c6107c-9091-4326-9bc6-9699f97eec66"]}],"mendeley":{"formattedCitation":"(Hart &amp; Bell, 2015)","plainTextFormattedCitation":"(Hart &amp; Bell, 2015)","previouslyFormattedCitation":"(Hart &amp; Bell, 2015)"},"properties":{"noteIndex":0},"schema":"https://github.com/citation-style-language/schema/raw/master/csl-citation.json"}</w:instrText>
      </w:r>
      <w:r>
        <w:rPr>
          <w:rFonts w:eastAsia="Times New Roman" w:cs="Times New Roman"/>
        </w:rPr>
        <w:fldChar w:fldCharType="separate"/>
      </w:r>
      <w:r w:rsidRPr="00042F4A">
        <w:rPr>
          <w:rFonts w:eastAsia="Times New Roman" w:cs="Times New Roman"/>
          <w:noProof/>
        </w:rPr>
        <w:t>(Hart &amp; Bell, 2015)</w:t>
      </w:r>
      <w:r>
        <w:rPr>
          <w:rFonts w:eastAsia="Times New Roman" w:cs="Times New Roman"/>
        </w:rPr>
        <w:fldChar w:fldCharType="end"/>
      </w:r>
      <w:r>
        <w:rPr>
          <w:rFonts w:eastAsia="Times New Roman" w:cs="Times New Roman"/>
        </w:rPr>
        <w:t xml:space="preserve">. We extracted daily mean temperature, maximum </w:t>
      </w:r>
      <w:r>
        <w:rPr>
          <w:rFonts w:eastAsia="Times New Roman" w:cs="Times New Roman"/>
        </w:rPr>
        <w:t>temperature, minimum temperature, precipitation, maximum vapor pressure deficit, and minimum vapor pressure deficit from the grid cell that contained each field site</w:t>
      </w:r>
      <w:r>
        <w:rPr>
          <w:rFonts w:eastAsia="Times New Roman" w:cs="Times New Roman"/>
        </w:rPr>
        <w:t xml:space="preserve"> for the 30 days leading up to each property visit.</w:t>
      </w:r>
      <w:r w:rsidR="00DD12D4">
        <w:rPr>
          <w:rFonts w:eastAsia="Times New Roman" w:cs="Times New Roman"/>
        </w:rPr>
        <w:t xml:space="preserve"> </w:t>
      </w:r>
      <w:r w:rsidR="00DD12D4">
        <w:rPr>
          <w:rFonts w:eastAsia="Times New Roman" w:cs="Times New Roman"/>
        </w:rPr>
        <w:t>We used the PRISM dataset in lieu of local weather station data because the closest weather station for several rural properties were &gt;20-km away and at a different aspect slope or elevation than the property.</w:t>
      </w:r>
    </w:p>
    <w:p w14:paraId="52F36E1A" w14:textId="77777777" w:rsidR="00DD12D4" w:rsidRDefault="00DD12D4" w:rsidP="00305473">
      <w:pPr>
        <w:spacing w:line="360" w:lineRule="auto"/>
        <w:rPr>
          <w:rFonts w:eastAsia="Times New Roman" w:cs="Times New Roman"/>
        </w:rPr>
      </w:pPr>
    </w:p>
    <w:p w14:paraId="0E14C858" w14:textId="0CCB3693" w:rsidR="008559B5" w:rsidRDefault="006A1B27" w:rsidP="00305473">
      <w:pPr>
        <w:spacing w:line="360" w:lineRule="auto"/>
        <w:rPr>
          <w:rFonts w:eastAsia="Times New Roman" w:cs="Times New Roman"/>
        </w:rPr>
      </w:pPr>
      <w:r>
        <w:rPr>
          <w:rFonts w:eastAsia="Times New Roman" w:cs="Times New Roman"/>
        </w:rPr>
        <w:t>Using daily mean temperature</w:t>
      </w:r>
      <w:r w:rsidR="00006631">
        <w:rPr>
          <w:rFonts w:eastAsia="Times New Roman" w:cs="Times New Roman"/>
        </w:rPr>
        <w:t>,</w:t>
      </w:r>
      <w:r>
        <w:rPr>
          <w:rFonts w:eastAsia="Times New Roman" w:cs="Times New Roman"/>
        </w:rPr>
        <w:t xml:space="preserve"> precipitation</w:t>
      </w:r>
      <w:r w:rsidR="00006631">
        <w:rPr>
          <w:rFonts w:eastAsia="Times New Roman" w:cs="Times New Roman"/>
        </w:rPr>
        <w:t xml:space="preserve">, and </w:t>
      </w:r>
      <w:r w:rsidR="00825CED">
        <w:rPr>
          <w:rFonts w:eastAsia="Times New Roman" w:cs="Times New Roman"/>
        </w:rPr>
        <w:t>number of</w:t>
      </w:r>
      <w:r w:rsidR="008559B5">
        <w:rPr>
          <w:rFonts w:eastAsia="Times New Roman" w:cs="Times New Roman"/>
        </w:rPr>
        <w:t xml:space="preserve"> </w:t>
      </w:r>
      <w:r w:rsidR="00825CED">
        <w:rPr>
          <w:rFonts w:eastAsia="Times New Roman" w:cs="Times New Roman"/>
        </w:rPr>
        <w:t xml:space="preserve">daily </w:t>
      </w:r>
      <w:r w:rsidR="008559B5">
        <w:rPr>
          <w:rFonts w:eastAsia="Times New Roman" w:cs="Times New Roman"/>
        </w:rPr>
        <w:t>sunlight hour</w:t>
      </w:r>
      <w:r w:rsidR="00825CED">
        <w:rPr>
          <w:rFonts w:eastAsia="Times New Roman" w:cs="Times New Roman"/>
        </w:rPr>
        <w:t>s</w:t>
      </w:r>
      <w:r>
        <w:rPr>
          <w:rFonts w:eastAsia="Times New Roman" w:cs="Times New Roman"/>
        </w:rPr>
        <w:t xml:space="preserve">, </w:t>
      </w:r>
      <w:r w:rsidR="008559B5">
        <w:rPr>
          <w:rFonts w:eastAsia="Times New Roman" w:cs="Times New Roman"/>
        </w:rPr>
        <w:t xml:space="preserve">we estimated plant-available surface moisture using the ‘splash’ R package, </w:t>
      </w:r>
      <w:r w:rsidR="00825CED">
        <w:rPr>
          <w:rFonts w:eastAsia="Times New Roman" w:cs="Times New Roman"/>
        </w:rPr>
        <w:t xml:space="preserve">which is </w:t>
      </w:r>
      <w:r w:rsidR="008559B5">
        <w:rPr>
          <w:rFonts w:eastAsia="Times New Roman" w:cs="Times New Roman"/>
        </w:rPr>
        <w:t xml:space="preserve">an R implementation of </w:t>
      </w:r>
      <w:r w:rsidR="008559B5">
        <w:rPr>
          <w:rFonts w:eastAsia="Times New Roman" w:cs="Times New Roman"/>
        </w:rPr>
        <w:lastRenderedPageBreak/>
        <w:t xml:space="preserve">the SPLASH model described in </w:t>
      </w:r>
      <w:r w:rsidR="008559B5">
        <w:rPr>
          <w:rFonts w:eastAsia="Times New Roman" w:cs="Times New Roman"/>
        </w:rPr>
        <w:fldChar w:fldCharType="begin" w:fldLock="1"/>
      </w:r>
      <w:r w:rsidR="00825CED">
        <w:rPr>
          <w:rFonts w:eastAsia="Times New Roman" w:cs="Times New Roman"/>
        </w:rPr>
        <w:instrText>ADDIN CSL_CITATION {"citationItems":[{"id":"ITEM-1","itemData":{"DOI":"https://doi.org/10.5194/gmd-10-689-2017","author":[{"dropping-particle":"","family":"Davis","given":"Tyler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Development","id":"ITEM-1","issued":{"date-parts":[["2017"]]},"page":"689-708","title":"Simple process-led algorithms for simulating habitats (SPLASH v.1.0): robust indices of radiation, evapotranspiration and plant-available moisture","type":"article-journal","volume":"10"},"uris":["http://www.mendeley.com/documents/?uuid=95801b65-73a7-4890-84c3-a1902fec7bf3"]}],"mendeley":{"formattedCitation":"(Davis &lt;i&gt;et al.&lt;/i&gt;, 2017)","manualFormatting":"Davis et al. (2017)","plainTextFormattedCitation":"(Davis et al., 2017)","previouslyFormattedCitation":"(Davis &lt;i&gt;et al.&lt;/i&gt;, 2017)"},"properties":{"noteIndex":0},"schema":"https://github.com/citation-style-language/schema/raw/master/csl-citation.json"}</w:instrText>
      </w:r>
      <w:r w:rsidR="008559B5">
        <w:rPr>
          <w:rFonts w:eastAsia="Times New Roman" w:cs="Times New Roman"/>
        </w:rPr>
        <w:fldChar w:fldCharType="separate"/>
      </w:r>
      <w:r w:rsidR="008559B5" w:rsidRPr="008559B5">
        <w:rPr>
          <w:rFonts w:eastAsia="Times New Roman" w:cs="Times New Roman"/>
          <w:noProof/>
        </w:rPr>
        <w:t xml:space="preserve">Davis </w:t>
      </w:r>
      <w:r w:rsidR="008559B5" w:rsidRPr="008559B5">
        <w:rPr>
          <w:rFonts w:eastAsia="Times New Roman" w:cs="Times New Roman"/>
          <w:i/>
          <w:noProof/>
        </w:rPr>
        <w:t>et al.</w:t>
      </w:r>
      <w:r w:rsidR="008559B5" w:rsidRPr="008559B5">
        <w:rPr>
          <w:rFonts w:eastAsia="Times New Roman" w:cs="Times New Roman"/>
          <w:noProof/>
        </w:rPr>
        <w:t xml:space="preserve"> </w:t>
      </w:r>
      <w:r w:rsidR="008559B5">
        <w:rPr>
          <w:rFonts w:eastAsia="Times New Roman" w:cs="Times New Roman"/>
          <w:noProof/>
        </w:rPr>
        <w:t>(</w:t>
      </w:r>
      <w:r w:rsidR="008559B5" w:rsidRPr="008559B5">
        <w:rPr>
          <w:rFonts w:eastAsia="Times New Roman" w:cs="Times New Roman"/>
          <w:noProof/>
        </w:rPr>
        <w:t>2017)</w:t>
      </w:r>
      <w:r w:rsidR="008559B5">
        <w:rPr>
          <w:rFonts w:eastAsia="Times New Roman" w:cs="Times New Roman"/>
        </w:rPr>
        <w:fldChar w:fldCharType="end"/>
      </w:r>
      <w:r w:rsidR="008559B5">
        <w:rPr>
          <w:rFonts w:eastAsia="Times New Roman" w:cs="Times New Roman"/>
        </w:rPr>
        <w:t xml:space="preserve">. The SPLASH model estimates plant-available surface moisture </w:t>
      </w:r>
      <w:r w:rsidR="00DD12D4">
        <w:rPr>
          <w:rFonts w:eastAsia="Times New Roman" w:cs="Times New Roman"/>
        </w:rPr>
        <w:t>using</w:t>
      </w:r>
      <w:r w:rsidR="008559B5">
        <w:rPr>
          <w:rFonts w:eastAsia="Times New Roman" w:cs="Times New Roman"/>
        </w:rPr>
        <w:t xml:space="preserve"> the Priestley-Taylor coefficient (</w:t>
      </w:r>
      <w:r w:rsidR="008559B5">
        <w:rPr>
          <w:rFonts w:eastAsia="Times New Roman" w:cs="Times New Roman"/>
          <w:lang w:val="el-GR"/>
        </w:rPr>
        <w:t>α</w:t>
      </w:r>
      <w:r w:rsidR="008559B5">
        <w:rPr>
          <w:rFonts w:eastAsia="Times New Roman" w:cs="Times New Roman"/>
        </w:rPr>
        <w:t xml:space="preserve">), which is </w:t>
      </w:r>
      <w:r w:rsidR="00DD12D4">
        <w:rPr>
          <w:rFonts w:eastAsia="Times New Roman" w:cs="Times New Roman"/>
        </w:rPr>
        <w:t xml:space="preserve">calculated as the ratio of actual evapotranspiration to equilibrium evapotranspiration </w:t>
      </w:r>
      <w:r w:rsidR="00825CED">
        <w:rPr>
          <w:rFonts w:eastAsia="Times New Roman" w:cs="Times New Roman"/>
        </w:rPr>
        <w:fldChar w:fldCharType="begin" w:fldLock="1"/>
      </w:r>
      <w:r w:rsidR="006F2FA3">
        <w:rPr>
          <w:rFonts w:eastAsia="Times New Roman" w:cs="Times New Roman"/>
        </w:rPr>
        <w:instrText>ADDIN CSL_CITATION {"citationItems":[{"id":"ITEM-1","itemData":{"abstract":"The relationship between potential evaporation and arealevaporation is assessed using a closed-box model of the convectiveboundary layer (CBL). Potential evaporation is defined as theevaporation that would occur from a hypothetical saturated surface,with radiative properties similar to those of the whole area, and smallenough that the excess moisture flux does not modify thecharacteristics of the CBL. It is shown that the equilibrium rate ofpotential evaporation is given by Ep0=αE0,where E0 is the equilibrium evaporation (radiative termof the Penman formula), and α is a coefficient similar to thePriestley-Taylor coefficient. Its expression is ?=1+[1/(?+1)](</w:instrText>
      </w:r>
      <w:r w:rsidR="006F2FA3">
        <w:rPr>
          <w:rFonts w:ascii="Cambria Math" w:eastAsia="Times New Roman" w:hAnsi="Cambria Math" w:cs="Cambria Math"/>
        </w:rPr>
        <w:instrText>⟨</w:instrText>
      </w:r>
      <w:r w:rsidR="006F2FA3">
        <w:rPr>
          <w:rFonts w:eastAsia="Times New Roman" w:cs="Times New Roman"/>
        </w:rPr>
        <w:instrText>??</w:instrText>
      </w:r>
      <w:r w:rsidR="006F2FA3">
        <w:rPr>
          <w:rFonts w:ascii="Cambria Math" w:eastAsia="Times New Roman" w:hAnsi="Cambria Math" w:cs="Cambria Math"/>
        </w:rPr>
        <w:instrText>⟩</w:instrText>
      </w:r>
      <w:r w:rsidR="006F2FA3">
        <w:rPr>
          <w:rFonts w:eastAsia="Times New Roman" w:cs="Times New Roman"/>
        </w:rPr>
        <w:instrText xml:space="preserve">/??), where </w:instrText>
      </w:r>
      <w:r w:rsidR="006F2FA3">
        <w:rPr>
          <w:rFonts w:ascii="Cambria Math" w:eastAsia="Times New Roman" w:hAnsi="Cambria Math" w:cs="Cambria Math"/>
        </w:rPr>
        <w:instrText>⟨</w:instrText>
      </w:r>
      <w:r w:rsidR="006F2FA3">
        <w:rPr>
          <w:rFonts w:eastAsia="Times New Roman" w:cs="Times New Roman"/>
        </w:rPr>
        <w:instrText>??</w:instrText>
      </w:r>
      <w:r w:rsidR="006F2FA3">
        <w:rPr>
          <w:rFonts w:ascii="Cambria Math" w:eastAsia="Times New Roman" w:hAnsi="Cambria Math" w:cs="Cambria Math"/>
        </w:rPr>
        <w:instrText>⟩</w:instrText>
      </w:r>
      <w:r w:rsidR="006F2FA3">
        <w:rPr>
          <w:rFonts w:eastAsia="Times New Roman" w:cs="Times New Roman"/>
        </w:rPr>
        <w:instrText xml:space="preserve"> is the areal surface resistance, ra is the localaerodynamic resistance, and ε is the dimensionless slope of thesaturation specific humidity at the temperature of the air. Itscalculated value is around 1 for any saturated surface surrounded bywater, about 1.3 for saturated grass surrounded by well-watered grassand can be greater than 3 over saturated forest surrounded by forest.The formulation obtained provides a theoretical basis to the overallmean value of 1.26, empirically found by Priestley and Taylor for thecoefficient α. Examining, at the light of this formulation, thecomplementary relationship between potential and actual evaporation(as proposed by Bouchet and Morton), it appears that the sum ofthese two magnitudes is not a constant at equilibrium, but depends onthe value of the areal surface resistance","author":[{"dropping-particle":"","family":"Lhomme","given":"J-P","non-dropping-particle":"","parse-names":false,"suffix":""}],"container-title":"Boundary-Layer Meteorology","id":"ITEM-1","issued":{"date-parts":[["1997"]]},"page":"179-191","title":"A theoretical basis for the Priestley-Taylor coefficient","type":"article-journal","volume":"82"},"uris":["http://www.mendeley.com/documents/?uuid=ac867c5c-8d51-4d48-80c7-b462627436ed"]},{"id":"ITEM-2","itemData":{"author":[{"dropping-particle":"","family":"Priestley","given":"C H B","non-dropping-particle":"","parse-names":false,"suffix":""},{"dropping-particle":"","family":"Taylor","given":"R J","non-dropping-particle":"","parse-names":false,"suffix":""}],"id":"ITEM-2","issue":"2","issued":{"date-parts":[["1972"]]},"page":"81-92","title":"On the assessment of surface heat flux and evaporation using large-scale parameters","type":"article-journal","volume":"100"},"uris":["http://www.mendeley.com/documents/?uuid=5070c5bb-72bd-4c6b-9049-c1d6579223dd"]}],"mendeley":{"formattedCitation":"(Priestley &amp; Taylor, 1972; Lhomme, 1997)","plainTextFormattedCitation":"(Priestley &amp; Taylor, 1972; Lhomme, 1997)","previouslyFormattedCitation":"(Priestley &amp; Taylor, 1972; Lhomme, 1997)"},"properties":{"noteIndex":0},"schema":"https://github.com/citation-style-language/schema/raw/master/csl-citation.json"}</w:instrText>
      </w:r>
      <w:r w:rsidR="00825CED">
        <w:rPr>
          <w:rFonts w:eastAsia="Times New Roman" w:cs="Times New Roman"/>
        </w:rPr>
        <w:fldChar w:fldCharType="separate"/>
      </w:r>
      <w:r w:rsidR="00825CED" w:rsidRPr="00825CED">
        <w:rPr>
          <w:rFonts w:eastAsia="Times New Roman" w:cs="Times New Roman"/>
          <w:noProof/>
        </w:rPr>
        <w:t>(Priestley &amp; Taylor, 1972; Lhomme, 1997)</w:t>
      </w:r>
      <w:r w:rsidR="00825CED">
        <w:rPr>
          <w:rFonts w:eastAsia="Times New Roman" w:cs="Times New Roman"/>
        </w:rPr>
        <w:fldChar w:fldCharType="end"/>
      </w:r>
      <w:r w:rsidR="00DD12D4">
        <w:rPr>
          <w:rFonts w:eastAsia="Times New Roman" w:cs="Times New Roman"/>
        </w:rPr>
        <w:t>.</w:t>
      </w:r>
      <w:r w:rsidR="007E7F73">
        <w:rPr>
          <w:rFonts w:eastAsia="Times New Roman" w:cs="Times New Roman"/>
        </w:rPr>
        <w:t xml:space="preserve"> We also estimated property growing season aridity as a function of mean precipitation and </w:t>
      </w:r>
      <w:r w:rsidR="007E7F73" w:rsidRPr="00C376CD">
        <w:rPr>
          <w:rFonts w:eastAsia="Times New Roman" w:cs="Times New Roman"/>
        </w:rPr>
        <w:t>potential evapotranspiration</w:t>
      </w:r>
      <w:r w:rsidR="007E7F73">
        <w:rPr>
          <w:rFonts w:eastAsia="Times New Roman" w:cs="Times New Roman"/>
        </w:rPr>
        <w:t xml:space="preserve"> of the previous three months leading up to each property visit.</w:t>
      </w:r>
    </w:p>
    <w:p w14:paraId="6AF966AA" w14:textId="7CE4699C" w:rsidR="00E06A40" w:rsidRDefault="00E06A40" w:rsidP="00305473">
      <w:pPr>
        <w:spacing w:line="360" w:lineRule="auto"/>
        <w:rPr>
          <w:rFonts w:eastAsia="Times New Roman" w:cs="Times New Roman"/>
        </w:rPr>
      </w:pPr>
    </w:p>
    <w:p w14:paraId="61B48E90" w14:textId="3FF7A4D8" w:rsidR="00E06A40" w:rsidRDefault="00E06A40" w:rsidP="00305473">
      <w:pPr>
        <w:spacing w:line="360" w:lineRule="auto"/>
        <w:rPr>
          <w:rFonts w:eastAsia="Times New Roman" w:cs="Times New Roman"/>
        </w:rPr>
      </w:pPr>
      <w:r w:rsidRPr="00E06A40">
        <w:rPr>
          <w:rFonts w:eastAsia="Times New Roman" w:cs="Times New Roman"/>
          <w:i/>
          <w:iCs/>
        </w:rPr>
        <w:t>Leaf trait measurements</w:t>
      </w:r>
    </w:p>
    <w:p w14:paraId="2C2859B2" w14:textId="2173A3AD" w:rsidR="00305473" w:rsidRDefault="00305473" w:rsidP="00305473">
      <w:pPr>
        <w:autoSpaceDE w:val="0"/>
        <w:autoSpaceDN w:val="0"/>
        <w:adjustRightInd w:val="0"/>
        <w:spacing w:line="360" w:lineRule="auto"/>
        <w:rPr>
          <w:color w:val="000000"/>
        </w:rPr>
      </w:pPr>
      <w:r w:rsidRPr="00863849">
        <w:rPr>
          <w:color w:val="000000"/>
        </w:rPr>
        <w:t xml:space="preserve">Images of each leaf were </w:t>
      </w:r>
      <w:r>
        <w:rPr>
          <w:color w:val="000000"/>
        </w:rPr>
        <w:t>taken</w:t>
      </w:r>
      <w:r>
        <w:rPr>
          <w:color w:val="000000"/>
        </w:rPr>
        <w:t xml:space="preserve"> immediately following each property visit</w:t>
      </w:r>
      <w:r w:rsidRPr="00863849">
        <w:rPr>
          <w:color w:val="000000"/>
        </w:rPr>
        <w:t xml:space="preserve"> using a flat-</w:t>
      </w:r>
      <w:r>
        <w:rPr>
          <w:color w:val="000000"/>
        </w:rPr>
        <w:t>bed s</w:t>
      </w:r>
      <w:r w:rsidRPr="00863849">
        <w:rPr>
          <w:color w:val="000000"/>
        </w:rPr>
        <w:t>canner</w:t>
      </w:r>
      <w:r>
        <w:rPr>
          <w:color w:val="000000"/>
        </w:rPr>
        <w:t>. Images were then used</w:t>
      </w:r>
      <w:r w:rsidRPr="00863849">
        <w:rPr>
          <w:color w:val="000000"/>
        </w:rPr>
        <w:t xml:space="preserve">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et al., 2012)","plainTextFormattedCitation":"(Schneider et al., 2012)","previouslyFormattedCitation":"(Schneider et al., 2012)"},"properties":{"noteIndex":0},"schema":"https://github.com/citation-style-language/schema/raw/master/csl-citation.json"}</w:instrText>
      </w:r>
      <w:r>
        <w:rPr>
          <w:color w:val="000000"/>
        </w:rPr>
        <w:fldChar w:fldCharType="separate"/>
      </w:r>
      <w:r w:rsidRPr="00025DC6">
        <w:rPr>
          <w:noProof/>
          <w:color w:val="000000"/>
        </w:rPr>
        <w:t>(Schneider et al.,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hours, weighed, and ground until homogenized. Specific leaf area (</w:t>
      </w:r>
      <w:r w:rsidRPr="00F314B9">
        <w:rPr>
          <w:i/>
          <w:color w:val="000000"/>
        </w:rPr>
        <w:t>SLA</w:t>
      </w:r>
      <w:r w:rsidRPr="00863849">
        <w:rPr>
          <w:color w:val="000000"/>
        </w:rPr>
        <w:t xml:space="preserve">; </w:t>
      </w:r>
      <w:r>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 to dry leaf biomass.</w:t>
      </w:r>
      <w:r>
        <w:rPr>
          <w:color w:val="000000"/>
        </w:rPr>
        <w:t xml:space="preserve"> Using subsamples of ground and homogenized leaf biomass, we determined leaf nitrogen content</w:t>
      </w:r>
      <w:r w:rsidRPr="00863849">
        <w:t xml:space="preserve"> (</w:t>
      </w:r>
      <w:proofErr w:type="spellStart"/>
      <w:r w:rsidRPr="00CE3B3D">
        <w:rPr>
          <w:i/>
          <w:iCs/>
        </w:rPr>
        <w:t>N</w:t>
      </w:r>
      <w:r>
        <w:rPr>
          <w:vertAlign w:val="subscript"/>
        </w:rPr>
        <w:t>mass</w:t>
      </w:r>
      <w:proofErr w:type="spellEnd"/>
      <w:r>
        <w:t xml:space="preserve">; </w:t>
      </w:r>
      <w:r w:rsidRPr="00863849">
        <w:t>g g</w:t>
      </w:r>
      <w:r w:rsidRPr="00863849">
        <w:rPr>
          <w:vertAlign w:val="superscript"/>
        </w:rPr>
        <w:t>-1</w:t>
      </w:r>
      <w:r w:rsidRPr="00863849">
        <w:t>)</w:t>
      </w:r>
      <w:r w:rsidRPr="00863849">
        <w:rPr>
          <w:color w:val="000000"/>
        </w:rPr>
        <w:t xml:space="preserve"> </w:t>
      </w:r>
      <w:r>
        <w:rPr>
          <w:color w:val="000000"/>
        </w:rPr>
        <w:t>through elemental combustion analysis (</w:t>
      </w:r>
      <w:r>
        <w:rPr>
          <w:color w:val="000000"/>
        </w:rPr>
        <w:t xml:space="preserve">Costech-4010, </w:t>
      </w:r>
      <w:proofErr w:type="spellStart"/>
      <w:r>
        <w:rPr>
          <w:color w:val="000000"/>
        </w:rPr>
        <w:t>Costech</w:t>
      </w:r>
      <w:proofErr w:type="spellEnd"/>
      <w:r>
        <w:rPr>
          <w:color w:val="000000"/>
        </w:rPr>
        <w:t xml:space="preserve"> Instruments, Valencia, CA) </w:t>
      </w:r>
      <w:r>
        <w:rPr>
          <w:color w:val="000000"/>
        </w:rPr>
        <w:t>and leaf</w:t>
      </w:r>
      <w:r w:rsidRPr="000F06C7">
        <w:rPr>
          <w:color w:val="000000"/>
        </w:rPr>
        <w:t xml:space="preserve"> </w:t>
      </w:r>
      <w:r w:rsidRPr="000F06C7">
        <w:rPr>
          <w:color w:val="000000"/>
          <w:lang w:val="el-GR"/>
        </w:rPr>
        <w:t>δ</w:t>
      </w:r>
      <w:r w:rsidRPr="000F06C7">
        <w:rPr>
          <w:color w:val="000000"/>
          <w:vertAlign w:val="superscript"/>
        </w:rPr>
        <w:t>13</w:t>
      </w:r>
      <w:r w:rsidRPr="000F06C7">
        <w:rPr>
          <w:color w:val="000000"/>
        </w:rPr>
        <w:t>C</w:t>
      </w:r>
      <w:r>
        <w:rPr>
          <w:color w:val="000000"/>
        </w:rPr>
        <w:t xml:space="preserve"> through isotope ratio mass spectroscopy.</w:t>
      </w:r>
      <w:r>
        <w:rPr>
          <w:color w:val="000000"/>
        </w:rPr>
        <w:t xml:space="preserve"> We sent leaf samples to the University of California-Davis Stable Isotope facility to acquire leaf </w:t>
      </w:r>
      <w:r w:rsidRPr="000F06C7">
        <w:rPr>
          <w:color w:val="000000"/>
          <w:lang w:val="el-GR"/>
        </w:rPr>
        <w:t>δ</w:t>
      </w:r>
      <w:r w:rsidRPr="000F06C7">
        <w:rPr>
          <w:color w:val="000000"/>
          <w:vertAlign w:val="superscript"/>
        </w:rPr>
        <w:t>13</w:t>
      </w:r>
      <w:r w:rsidRPr="000F06C7">
        <w:rPr>
          <w:color w:val="000000"/>
        </w:rPr>
        <w:t>C</w:t>
      </w:r>
      <w:r>
        <w:rPr>
          <w:color w:val="000000"/>
        </w:rPr>
        <w:t xml:space="preserve">.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g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Pr="00F45847">
        <w:rPr>
          <w:i/>
          <w:color w:val="000000"/>
        </w:rPr>
        <w:t>SL</w:t>
      </w:r>
      <w:r>
        <w:rPr>
          <w:i/>
          <w:color w:val="000000"/>
        </w:rPr>
        <w:t>A</w:t>
      </w:r>
      <w:r>
        <w:rPr>
          <w:iCs/>
          <w:color w:val="000000"/>
        </w:rPr>
        <w:t>, then multiplying by 10,000 to convert cm</w:t>
      </w:r>
      <w:r>
        <w:rPr>
          <w:iCs/>
          <w:color w:val="000000"/>
          <w:vertAlign w:val="superscript"/>
        </w:rPr>
        <w:t>-2</w:t>
      </w:r>
      <w:r>
        <w:rPr>
          <w:iCs/>
          <w:color w:val="000000"/>
        </w:rPr>
        <w:t xml:space="preserve"> to m</w:t>
      </w:r>
      <w:r>
        <w:rPr>
          <w:iCs/>
          <w:color w:val="000000"/>
          <w:vertAlign w:val="superscript"/>
        </w:rPr>
        <w:t>-2</w:t>
      </w:r>
      <w:r w:rsidRPr="00863849">
        <w:rPr>
          <w:color w:val="000000"/>
        </w:rPr>
        <w:t>.</w:t>
      </w:r>
      <w:r>
        <w:rPr>
          <w:color w:val="000000"/>
        </w:rPr>
        <w:t xml:space="preserve"> </w:t>
      </w:r>
    </w:p>
    <w:p w14:paraId="0E125876" w14:textId="77777777" w:rsidR="00305473" w:rsidRDefault="00305473" w:rsidP="00305473">
      <w:pPr>
        <w:autoSpaceDE w:val="0"/>
        <w:autoSpaceDN w:val="0"/>
        <w:adjustRightInd w:val="0"/>
        <w:spacing w:line="360" w:lineRule="auto"/>
        <w:rPr>
          <w:color w:val="000000"/>
        </w:rPr>
      </w:pPr>
    </w:p>
    <w:p w14:paraId="2305BD3C" w14:textId="78812917" w:rsidR="00305473" w:rsidRDefault="00305473" w:rsidP="00305473">
      <w:pPr>
        <w:autoSpaceDE w:val="0"/>
        <w:autoSpaceDN w:val="0"/>
        <w:adjustRightInd w:val="0"/>
        <w:spacing w:line="360" w:lineRule="auto"/>
        <w:rPr>
          <w:color w:val="000000"/>
        </w:rPr>
      </w:pPr>
      <w:r>
        <w:rPr>
          <w:color w:val="000000"/>
        </w:rPr>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et al., 1989)","manualFormatting":"Farquhar et al. (1989)","plainTextFormattedCitation":"(Farquhar et al., 1989)","previouslyFormattedCitation":"(Farquhar et al.,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described in </w:t>
      </w:r>
      <w:r>
        <w:rPr>
          <w:color w:val="000000"/>
        </w:rPr>
        <w:fldChar w:fldCharType="begin" w:fldLock="1"/>
      </w:r>
      <w:r>
        <w:rPr>
          <w:color w:val="000000"/>
        </w:rPr>
        <w:instrText>ADDIN CSL_CITATION {"citationItems":[{"id":"ITEM-1","itemData":{"DOI":"10.1111/nph.12423","ISSN":"0028-646X","author":[{"dropping-particle":"","family":"Cernusak","given":"Lucas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plants","type":"article-journal","volume":"200"},"uris":["http://www.mendeley.com/documents/?uuid=cd886a9c-b742-409f-8839-609e52483372"]}],"mendeley":{"formattedCitation":"(Cernusak et al., 2013)","manualFormatting":"Cernusak et al. (2013","plainTextFormattedCitation":"(Cernusak et al., 2013)","previouslyFormattedCitation":"(Cernusak et al.,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w:t>
      </w:r>
      <w:r>
        <w:rPr>
          <w:color w:val="000000" w:themeColor="text1"/>
        </w:rPr>
        <w:t xml:space="preserve"> While intercellular and extracellular CO</w:t>
      </w:r>
      <w:r>
        <w:rPr>
          <w:color w:val="000000" w:themeColor="text1"/>
          <w:vertAlign w:val="subscript"/>
        </w:rPr>
        <w:t>2</w:t>
      </w:r>
      <w:r>
        <w:rPr>
          <w:color w:val="000000" w:themeColor="text1"/>
        </w:rPr>
        <w:t xml:space="preserve"> concentrations were directly measured during each </w:t>
      </w:r>
      <w:r>
        <w:rPr>
          <w:color w:val="000000"/>
        </w:rPr>
        <w:t>CO</w:t>
      </w:r>
      <w:r>
        <w:rPr>
          <w:color w:val="000000"/>
          <w:vertAlign w:val="subscript"/>
        </w:rPr>
        <w:t>2</w:t>
      </w:r>
      <w:r>
        <w:rPr>
          <w:color w:val="000000"/>
        </w:rPr>
        <w:t xml:space="preserve"> response curve, deriving </w:t>
      </w:r>
      <w:r>
        <w:rPr>
          <w:color w:val="000000"/>
          <w:lang w:val="el-GR"/>
        </w:rPr>
        <w:t>χ</w:t>
      </w:r>
      <w:r>
        <w:rPr>
          <w:color w:val="000000"/>
        </w:rPr>
        <w:t xml:space="preserve"> from </w:t>
      </w:r>
      <w:r w:rsidRPr="000F06C7">
        <w:rPr>
          <w:color w:val="000000"/>
          <w:lang w:val="el-GR"/>
        </w:rPr>
        <w:t>δ</w:t>
      </w:r>
      <w:r w:rsidRPr="000F06C7">
        <w:rPr>
          <w:color w:val="000000"/>
          <w:vertAlign w:val="superscript"/>
        </w:rPr>
        <w:t>13</w:t>
      </w:r>
      <w:r w:rsidRPr="000F06C7">
        <w:rPr>
          <w:color w:val="000000"/>
        </w:rPr>
        <w:t>C</w:t>
      </w:r>
      <w:r>
        <w:rPr>
          <w:color w:val="000000"/>
        </w:rPr>
        <w:t xml:space="preserve"> provides a more integrative estimate of the </w:t>
      </w:r>
      <w:proofErr w:type="spellStart"/>
      <w:proofErr w:type="gramStart"/>
      <w:r>
        <w:rPr>
          <w:i/>
          <w:color w:val="000000"/>
        </w:rPr>
        <w:t>C</w:t>
      </w:r>
      <w:r>
        <w:rPr>
          <w:color w:val="000000"/>
          <w:vertAlign w:val="subscript"/>
        </w:rPr>
        <w:t>i</w:t>
      </w:r>
      <w:r>
        <w:rPr>
          <w:color w:val="000000"/>
        </w:rPr>
        <w:t>:</w:t>
      </w:r>
      <w:r>
        <w:rPr>
          <w:i/>
          <w:color w:val="000000"/>
        </w:rPr>
        <w:t>C</w:t>
      </w:r>
      <w:r>
        <w:rPr>
          <w:color w:val="000000"/>
          <w:vertAlign w:val="subscript"/>
        </w:rPr>
        <w:t>a</w:t>
      </w:r>
      <w:proofErr w:type="spellEnd"/>
      <w:proofErr w:type="gramEnd"/>
      <w:r>
        <w:rPr>
          <w:color w:val="000000"/>
        </w:rPr>
        <w:t xml:space="preserve"> over an individual leaf’s lifespan . We derived </w:t>
      </w:r>
      <w:r>
        <w:rPr>
          <w:color w:val="000000"/>
          <w:lang w:val="el-GR"/>
        </w:rPr>
        <w:t>χ</w:t>
      </w:r>
      <w:r>
        <w:rPr>
          <w:color w:val="000000"/>
        </w:rPr>
        <w:t xml:space="preserve"> as:</w:t>
      </w:r>
    </w:p>
    <w:p w14:paraId="2E3969C9" w14:textId="77777777" w:rsidR="00305473" w:rsidRDefault="00305473" w:rsidP="00305473">
      <w:pPr>
        <w:autoSpaceDE w:val="0"/>
        <w:autoSpaceDN w:val="0"/>
        <w:adjustRightInd w:val="0"/>
        <w:spacing w:line="360" w:lineRule="auto"/>
        <w:ind w:firstLine="720"/>
        <w:rPr>
          <w:color w:val="000000"/>
        </w:rPr>
      </w:pPr>
    </w:p>
    <w:p w14:paraId="6B9C0654" w14:textId="77777777" w:rsidR="00305473" w:rsidRDefault="00305473" w:rsidP="00305473">
      <w:pPr>
        <w:autoSpaceDE w:val="0"/>
        <w:autoSpaceDN w:val="0"/>
        <w:adjustRightInd w:val="0"/>
        <w:spacing w:line="36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5BABBB33" w14:textId="77777777" w:rsidR="00305473" w:rsidRPr="00A54DE5" w:rsidRDefault="00305473" w:rsidP="00305473">
      <w:pPr>
        <w:autoSpaceDE w:val="0"/>
        <w:autoSpaceDN w:val="0"/>
        <w:adjustRightInd w:val="0"/>
        <w:spacing w:line="360" w:lineRule="auto"/>
        <w:rPr>
          <w:color w:val="000000"/>
        </w:rPr>
      </w:pPr>
    </w:p>
    <w:p w14:paraId="663988F0" w14:textId="77777777" w:rsidR="00305473" w:rsidRDefault="00305473" w:rsidP="00305473">
      <w:pPr>
        <w:autoSpaceDE w:val="0"/>
        <w:autoSpaceDN w:val="0"/>
        <w:adjustRightInd w:val="0"/>
        <w:spacing w:line="36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4847513A" w14:textId="77777777" w:rsidR="00305473" w:rsidRDefault="00305473" w:rsidP="00305473">
      <w:pPr>
        <w:autoSpaceDE w:val="0"/>
        <w:autoSpaceDN w:val="0"/>
        <w:adjustRightInd w:val="0"/>
        <w:spacing w:line="360" w:lineRule="auto"/>
        <w:rPr>
          <w:color w:val="000000"/>
        </w:rPr>
      </w:pPr>
    </w:p>
    <w:p w14:paraId="73040971" w14:textId="77777777" w:rsidR="00305473" w:rsidRDefault="00305473" w:rsidP="00305473">
      <w:pPr>
        <w:autoSpaceDE w:val="0"/>
        <w:autoSpaceDN w:val="0"/>
        <w:adjustRightInd w:val="0"/>
        <w:spacing w:line="36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Pr="000A7D4E">
        <w:rPr>
          <w:iCs/>
          <w:color w:val="000000"/>
        </w:rPr>
        <w:tab/>
      </w:r>
      <w:r w:rsidRPr="000A7D4E">
        <w:rPr>
          <w:iCs/>
          <w:color w:val="000000"/>
        </w:rPr>
        <w:tab/>
      </w:r>
      <w:r w:rsidRPr="000A7D4E">
        <w:rPr>
          <w:iCs/>
          <w:color w:val="000000"/>
        </w:rPr>
        <w:tab/>
      </w:r>
      <w:r w:rsidRPr="000A7D4E">
        <w:rPr>
          <w:iCs/>
          <w:color w:val="000000"/>
        </w:rPr>
        <w:tab/>
      </w:r>
      <w:r w:rsidRPr="000A7D4E">
        <w:rPr>
          <w:iCs/>
          <w:color w:val="000000"/>
        </w:rPr>
        <w:tab/>
      </w:r>
      <w:r w:rsidRPr="000A7D4E">
        <w:rPr>
          <w:iCs/>
          <w:color w:val="000000"/>
        </w:rPr>
        <w:tab/>
      </w:r>
      <w:r w:rsidRPr="000A7D4E">
        <w:rPr>
          <w:iCs/>
          <w:color w:val="000000"/>
        </w:rPr>
        <w:tab/>
      </w:r>
      <w:r w:rsidRPr="000A7D4E">
        <w:rPr>
          <w:iCs/>
          <w:color w:val="000000"/>
        </w:rPr>
        <w:tab/>
      </w:r>
      <w:r>
        <w:rPr>
          <w:iCs/>
          <w:color w:val="000000"/>
        </w:rPr>
        <w:t>(Eqn. 2)</w:t>
      </w:r>
    </w:p>
    <w:p w14:paraId="7CEB190D" w14:textId="77777777" w:rsidR="00305473" w:rsidRDefault="00305473" w:rsidP="00305473">
      <w:pPr>
        <w:autoSpaceDE w:val="0"/>
        <w:autoSpaceDN w:val="0"/>
        <w:adjustRightInd w:val="0"/>
        <w:spacing w:line="360" w:lineRule="auto"/>
        <w:rPr>
          <w:color w:val="000000"/>
        </w:rPr>
      </w:pPr>
    </w:p>
    <w:p w14:paraId="77D7C834" w14:textId="6C5AF54B" w:rsidR="00305473" w:rsidRPr="00305473" w:rsidRDefault="00305473" w:rsidP="00305473">
      <w:pPr>
        <w:autoSpaceDE w:val="0"/>
        <w:autoSpaceDN w:val="0"/>
        <w:adjustRightInd w:val="0"/>
        <w:spacing w:line="360" w:lineRule="auto"/>
        <w:rPr>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dioxide","type":"article-journal","volume":"277"},"uris":["http://www.mendeley.com/documents/?uuid=5b753373-5952-40b2-8d1c-5f652cc2a382"]}],"mendeley":{"formattedCitation":"(Farquhar et al., 1989; Keeling et al., 1979)","plainTextFormattedCitation":"(Farquhar et al., 1989; Keeling et al., 1979)","previouslyFormattedCitation":"(Farquhar et al., 1989; Keeling et al., 1979)"},"properties":{"noteIndex":0},"schema":"https://github.com/citation-style-language/schema/raw/master/csl-citation.json"}</w:instrText>
      </w:r>
      <w:r>
        <w:rPr>
          <w:color w:val="000000"/>
        </w:rPr>
        <w:fldChar w:fldCharType="separate"/>
      </w:r>
      <w:r w:rsidRPr="00025DC6">
        <w:rPr>
          <w:noProof/>
          <w:color w:val="000000"/>
        </w:rPr>
        <w:t>(Farquhar et al., 1989; Keeling et al., 1979)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assumed to be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assumed to be 27</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et al., 1989)","plainTextFormattedCitation":"(Farquhar et al., 1989)","previouslyFormattedCitation":"(Farquhar et al., 1989)"},"properties":{"noteIndex":0},"schema":"https://github.com/citation-style-language/schema/raw/master/csl-citation.json"}</w:instrText>
      </w:r>
      <w:r>
        <w:rPr>
          <w:color w:val="000000"/>
        </w:rPr>
        <w:fldChar w:fldCharType="separate"/>
      </w:r>
      <w:r w:rsidRPr="006344D3">
        <w:rPr>
          <w:noProof/>
          <w:color w:val="000000"/>
        </w:rPr>
        <w:t>(Farquhar et al., 1989)</w:t>
      </w:r>
      <w:r>
        <w:rPr>
          <w:color w:val="000000"/>
        </w:rPr>
        <w:fldChar w:fldCharType="end"/>
      </w:r>
      <w:r>
        <w:rPr>
          <w:color w:val="000000"/>
        </w:rPr>
        <w:t>.</w:t>
      </w:r>
    </w:p>
    <w:p w14:paraId="23E1E54A" w14:textId="2C261B5B" w:rsidR="00E06A40" w:rsidRDefault="00E06A40" w:rsidP="00305473">
      <w:pPr>
        <w:spacing w:line="360" w:lineRule="auto"/>
        <w:rPr>
          <w:rFonts w:eastAsia="Times New Roman" w:cs="Times New Roman"/>
        </w:rPr>
      </w:pPr>
    </w:p>
    <w:p w14:paraId="4CF432DF" w14:textId="4A122041" w:rsidR="00E06A40" w:rsidRPr="001B2141" w:rsidRDefault="00E06A40" w:rsidP="00305473">
      <w:pPr>
        <w:spacing w:line="360" w:lineRule="auto"/>
        <w:rPr>
          <w:rFonts w:eastAsia="Times New Roman" w:cs="Times New Roman"/>
          <w:i/>
          <w:iCs/>
        </w:rPr>
      </w:pPr>
      <w:r w:rsidRPr="001B2141">
        <w:rPr>
          <w:rFonts w:eastAsia="Times New Roman" w:cs="Times New Roman"/>
          <w:i/>
          <w:iCs/>
        </w:rPr>
        <w:t>Soil characteristics and soil nutrient availability</w:t>
      </w:r>
    </w:p>
    <w:p w14:paraId="6FD0633F" w14:textId="13B3252E" w:rsidR="006A1B27" w:rsidRDefault="00E06A40" w:rsidP="00305473">
      <w:pPr>
        <w:spacing w:line="360" w:lineRule="auto"/>
        <w:rPr>
          <w:rFonts w:eastAsia="Times New Roman" w:cs="Times New Roman"/>
        </w:rPr>
      </w:pPr>
      <w:r>
        <w:rPr>
          <w:rFonts w:eastAsia="Times New Roman" w:cs="Times New Roman"/>
        </w:rPr>
        <w:t xml:space="preserve">Composite soil samples from each initial property visit and plot within each primary property visit were sent to the Texas </w:t>
      </w:r>
      <w:r w:rsidR="006A1B27">
        <w:rPr>
          <w:rFonts w:eastAsia="Times New Roman" w:cs="Times New Roman"/>
        </w:rPr>
        <w:t>A&amp;M Soil, Water and Forage Laboratory to quantify soil pH, cation exchange capacity, and macronutrient concentrations. We also determined soil texture using the simple jar method</w:t>
      </w:r>
      <w:r w:rsidR="001B2141">
        <w:rPr>
          <w:rFonts w:eastAsia="Times New Roman" w:cs="Times New Roman"/>
        </w:rPr>
        <w:t>, and were then classified based on percent silt, clay, and sand</w:t>
      </w:r>
    </w:p>
    <w:p w14:paraId="2BFB9B50" w14:textId="77777777" w:rsidR="001B2141" w:rsidRDefault="001B2141" w:rsidP="00305473">
      <w:pPr>
        <w:autoSpaceDE w:val="0"/>
        <w:autoSpaceDN w:val="0"/>
        <w:adjustRightInd w:val="0"/>
        <w:spacing w:line="360" w:lineRule="auto"/>
        <w:rPr>
          <w:rFonts w:eastAsia="Times New Roman" w:cs="Times New Roman"/>
        </w:rPr>
      </w:pPr>
    </w:p>
    <w:p w14:paraId="25EF6965" w14:textId="6AEC80A0" w:rsidR="001B2141" w:rsidRDefault="001B2141" w:rsidP="00305473">
      <w:pPr>
        <w:autoSpaceDE w:val="0"/>
        <w:autoSpaceDN w:val="0"/>
        <w:adjustRightInd w:val="0"/>
        <w:spacing w:line="360" w:lineRule="auto"/>
        <w:rPr>
          <w:color w:val="000000" w:themeColor="text1"/>
        </w:rPr>
      </w:pPr>
      <w:r w:rsidRPr="14AB8DC9">
        <w:rPr>
          <w:color w:val="000000" w:themeColor="text1"/>
        </w:rPr>
        <w:t>We used mixed-bed resin bags to</w:t>
      </w:r>
      <w:r>
        <w:rPr>
          <w:color w:val="000000" w:themeColor="text1"/>
        </w:rPr>
        <w:t xml:space="preserve"> quantify ammonium-N and nitrate-N concentrations in each plot during our gas exchange measurement period. </w:t>
      </w:r>
      <w:r w:rsidRPr="14AB8DC9">
        <w:rPr>
          <w:color w:val="000000" w:themeColor="text1"/>
        </w:rPr>
        <w:t xml:space="preserve">Lycra mesh bags were filled with 5 grams of </w:t>
      </w:r>
      <w:proofErr w:type="spellStart"/>
      <w:r w:rsidRPr="14AB8DC9">
        <w:rPr>
          <w:color w:val="000000" w:themeColor="text1"/>
        </w:rPr>
        <w:t>Dowex</w:t>
      </w:r>
      <w:proofErr w:type="spellEnd"/>
      <w:r w:rsidRPr="14AB8DC9">
        <w:rPr>
          <w:rFonts w:ascii="Symbol" w:eastAsia="Symbol" w:hAnsi="Symbol" w:cs="Symbol"/>
          <w:color w:val="000000" w:themeColor="text1"/>
        </w:rPr>
        <w:t></w:t>
      </w:r>
      <w:r w:rsidRPr="14AB8DC9">
        <w:rPr>
          <w:color w:val="000000" w:themeColor="text1"/>
        </w:rPr>
        <w:t xml:space="preserve"> Marathon MR-3 hydrogen and hydroxide form resin (</w:t>
      </w:r>
      <w:proofErr w:type="spellStart"/>
      <w:r w:rsidRPr="14AB8DC9">
        <w:rPr>
          <w:color w:val="000000" w:themeColor="text1"/>
        </w:rPr>
        <w:t>MilliporeSigma</w:t>
      </w:r>
      <w:proofErr w:type="spellEnd"/>
      <w:r w:rsidRPr="14AB8DC9">
        <w:rPr>
          <w:color w:val="000000" w:themeColor="text1"/>
        </w:rPr>
        <w:t xml:space="preserve">, Burlington, MA USA) and sealed with a zip tie. Each bag was activated by soaking in 0.5 M </w:t>
      </w:r>
      <w:r>
        <w:rPr>
          <w:color w:val="000000" w:themeColor="text1"/>
        </w:rPr>
        <w:t>HCl</w:t>
      </w:r>
      <w:r w:rsidRPr="14AB8DC9">
        <w:rPr>
          <w:color w:val="000000" w:themeColor="text1"/>
        </w:rPr>
        <w:t xml:space="preserve"> for 20 minutes, then in 2 M NaCl until pH of the saline solution stabilized</w:t>
      </w:r>
      <w:r>
        <w:rPr>
          <w:color w:val="000000" w:themeColor="text1"/>
        </w:rPr>
        <w:t xml:space="preserve">, as described in </w:t>
      </w:r>
      <w:r>
        <w:rPr>
          <w:color w:val="000000" w:themeColor="text1"/>
        </w:rPr>
        <w:fldChar w:fldCharType="begin" w:fldLock="1"/>
      </w:r>
      <w:r>
        <w:rPr>
          <w:color w:val="000000" w:themeColor="text1"/>
        </w:rPr>
        <w:instrText>ADDIN CSL_CITATION {"citationItems":[{"id":"ITEM-1","itemData":{"DOI":"10.1111/j.1365-2486.2008.01549.x","ISSN":"13541013","author":[{"dropping-particle":"","family":"Allison","given":"Steven D","non-dropping-particle":"","parse-names":false,"suffix":""},{"dropping-particle":"","family":"Czimczik","given":"Claudia I","non-dropping-particle":"","parse-names":false,"suffix":""},{"dropping-particle":"","family":"Treseder","given":"Kathleen K","non-dropping-particle":"","parse-names":false,"suffix":""}],"container-title":"Global Change Biology","id":"ITEM-1","issue":"5","issued":{"date-parts":[["2008","5"]]},"page":"1156-1168","title":"Microbial activity and soil respiration under nitrogen addition in Alaskan boreal forest","type":"article-journal","volume":"14"},"uris":["http://www.mendeley.com/documents/?uuid=73f92e6d-49bc-4572-9f37-390c9c8dcfb9"]}],"mendeley":{"formattedCitation":"(Allison et al., 2008)","manualFormatting":"Allison et al. (2008)","plainTextFormattedCitation":"(Allison et al., 2008)","previouslyFormattedCitation":"(Allison et al., 2008)"},"properties":{"noteIndex":0},"schema":"https://github.com/citation-style-language/schema/raw/master/csl-citation.json"}</w:instrText>
      </w:r>
      <w:r>
        <w:rPr>
          <w:color w:val="000000" w:themeColor="text1"/>
        </w:rPr>
        <w:fldChar w:fldCharType="separate"/>
      </w:r>
      <w:r w:rsidRPr="000A4196">
        <w:rPr>
          <w:noProof/>
          <w:color w:val="000000" w:themeColor="text1"/>
        </w:rPr>
        <w:t xml:space="preserve">Allison et al. </w:t>
      </w:r>
      <w:r>
        <w:rPr>
          <w:noProof/>
          <w:color w:val="000000" w:themeColor="text1"/>
        </w:rPr>
        <w:t>(</w:t>
      </w:r>
      <w:r w:rsidRPr="000A4196">
        <w:rPr>
          <w:noProof/>
          <w:color w:val="000000" w:themeColor="text1"/>
        </w:rPr>
        <w:t>2008)</w:t>
      </w:r>
      <w:r>
        <w:rPr>
          <w:color w:val="000000" w:themeColor="text1"/>
        </w:rPr>
        <w:fldChar w:fldCharType="end"/>
      </w:r>
      <w:r>
        <w:rPr>
          <w:color w:val="000000" w:themeColor="text1"/>
        </w:rPr>
        <w:t xml:space="preserve">. </w:t>
      </w:r>
      <w:r>
        <w:rPr>
          <w:color w:val="000000" w:themeColor="text1"/>
        </w:rPr>
        <w:t>Five</w:t>
      </w:r>
      <w:r w:rsidRPr="14AB8DC9">
        <w:rPr>
          <w:color w:val="000000" w:themeColor="text1"/>
        </w:rPr>
        <w:t xml:space="preserve"> mixed-bed resin bags w</w:t>
      </w:r>
      <w:r w:rsidR="00305473">
        <w:rPr>
          <w:color w:val="000000" w:themeColor="text1"/>
        </w:rPr>
        <w:t>ere</w:t>
      </w:r>
      <w:r w:rsidRPr="14AB8DC9">
        <w:rPr>
          <w:color w:val="000000" w:themeColor="text1"/>
        </w:rPr>
        <w:t xml:space="preserve"> inserted</w:t>
      </w:r>
      <w:r>
        <w:rPr>
          <w:color w:val="000000" w:themeColor="text1"/>
        </w:rPr>
        <w:t xml:space="preserve"> about</w:t>
      </w:r>
      <w:r w:rsidRPr="14AB8DC9">
        <w:rPr>
          <w:color w:val="000000" w:themeColor="text1"/>
        </w:rPr>
        <w:t xml:space="preserve"> 10 cm </w:t>
      </w:r>
      <w:r w:rsidR="00305473">
        <w:rPr>
          <w:color w:val="000000" w:themeColor="text1"/>
        </w:rPr>
        <w:t>below the litter cleared soil surface and remained in the soil until each primary property visit.</w:t>
      </w:r>
    </w:p>
    <w:p w14:paraId="358869A7" w14:textId="77777777" w:rsidR="001B2141" w:rsidRDefault="001B2141" w:rsidP="00305473">
      <w:pPr>
        <w:autoSpaceDE w:val="0"/>
        <w:autoSpaceDN w:val="0"/>
        <w:adjustRightInd w:val="0"/>
        <w:spacing w:line="360" w:lineRule="auto"/>
        <w:rPr>
          <w:color w:val="000000" w:themeColor="text1"/>
        </w:rPr>
      </w:pPr>
    </w:p>
    <w:p w14:paraId="3C6AF46C" w14:textId="35797346" w:rsidR="001B2141" w:rsidRDefault="001B2141" w:rsidP="00305473">
      <w:pPr>
        <w:autoSpaceDE w:val="0"/>
        <w:autoSpaceDN w:val="0"/>
        <w:adjustRightInd w:val="0"/>
        <w:spacing w:line="360" w:lineRule="auto"/>
        <w:rPr>
          <w:color w:val="000000" w:themeColor="text1"/>
        </w:rPr>
      </w:pPr>
      <w:r>
        <w:rPr>
          <w:color w:val="000000" w:themeColor="text1"/>
        </w:rPr>
        <w:t xml:space="preserve">Prior to anion and cation extraction, each resin bag was rinsed with ultrapure water to remove surface soil residues. Anions and cations were extracted from surface-cleaned resin bags by </w:t>
      </w:r>
      <w:r w:rsidRPr="14AB8DC9">
        <w:rPr>
          <w:color w:val="000000" w:themeColor="text1"/>
        </w:rPr>
        <w:t xml:space="preserve">individually soaking and shaking </w:t>
      </w:r>
      <w:r>
        <w:rPr>
          <w:color w:val="000000" w:themeColor="text1"/>
        </w:rPr>
        <w:t>each</w:t>
      </w:r>
      <w:r w:rsidRPr="14AB8DC9">
        <w:rPr>
          <w:color w:val="000000" w:themeColor="text1"/>
        </w:rPr>
        <w:t xml:space="preserve"> bag in</w:t>
      </w:r>
      <w:r>
        <w:rPr>
          <w:color w:val="000000" w:themeColor="text1"/>
        </w:rPr>
        <w:t xml:space="preserve"> a</w:t>
      </w:r>
      <w:r w:rsidRPr="14AB8DC9">
        <w:rPr>
          <w:color w:val="000000" w:themeColor="text1"/>
        </w:rPr>
        <w:t xml:space="preserve"> </w:t>
      </w:r>
      <w:r>
        <w:rPr>
          <w:color w:val="000000" w:themeColor="text1"/>
        </w:rPr>
        <w:t>100</w:t>
      </w:r>
      <w:r w:rsidRPr="14AB8DC9">
        <w:rPr>
          <w:color w:val="000000" w:themeColor="text1"/>
        </w:rPr>
        <w:t xml:space="preserve">mL of a </w:t>
      </w:r>
      <w:r>
        <w:rPr>
          <w:color w:val="000000" w:themeColor="text1"/>
        </w:rPr>
        <w:t>0.1</w:t>
      </w:r>
      <w:r w:rsidRPr="14AB8DC9">
        <w:rPr>
          <w:color w:val="000000" w:themeColor="text1"/>
        </w:rPr>
        <w:t xml:space="preserve"> M </w:t>
      </w:r>
      <w:r>
        <w:rPr>
          <w:color w:val="000000" w:themeColor="text1"/>
        </w:rPr>
        <w:t xml:space="preserve">HCl/2.0 M NaCl matrix for one hour. </w:t>
      </w:r>
      <w:r w:rsidR="00C376CD">
        <w:rPr>
          <w:color w:val="000000" w:themeColor="text1"/>
        </w:rPr>
        <w:t>W</w:t>
      </w:r>
      <w:r w:rsidRPr="14AB8DC9">
        <w:rPr>
          <w:color w:val="000000" w:themeColor="text1"/>
        </w:rPr>
        <w:t>e quantified nitrate</w:t>
      </w:r>
      <w:r>
        <w:rPr>
          <w:color w:val="000000" w:themeColor="text1"/>
        </w:rPr>
        <w:t>-N</w:t>
      </w:r>
      <w:r w:rsidRPr="14AB8DC9">
        <w:rPr>
          <w:color w:val="000000" w:themeColor="text1"/>
        </w:rPr>
        <w:t xml:space="preserve"> concentrations spectrophotometrically at 540 nm using the end product of a single reagent vanadium (III) chloride </w:t>
      </w:r>
      <w:r>
        <w:rPr>
          <w:color w:val="000000" w:themeColor="text1"/>
        </w:rPr>
        <w:t xml:space="preserve">reaction </w:t>
      </w:r>
      <w:r w:rsidRPr="14AB8DC9">
        <w:rPr>
          <w:color w:val="000000" w:themeColor="text1"/>
        </w:rPr>
        <w:fldChar w:fldCharType="begin" w:fldLock="1"/>
      </w:r>
      <w:r>
        <w:rPr>
          <w:color w:val="000000" w:themeColor="text1"/>
        </w:rPr>
        <w:instrText>ADDIN CSL_CITATION {"citationItems":[{"id":"ITEM-1","itemData":{"DOI":"10.1081/AL-120024647","ISSN":"0003-2719","author":[{"dropping-particle":"","family":"Doane","given":"Timothy A","non-dropping-particle":"","parse-names":false,"suffix":""},{"dropping-particle":"","family":"Horwáth","given":"William R","non-dropping-particle":"","parse-names":false,"suffix":""}],"container-title":"Analytical Letters","id":"ITEM-1","issue":"12","issued":{"date-parts":[["2003","1","10"]]},"page":"2713-2722","title":"Spectrophotometric determination of nitrate with a single reagent","type":"article-journal","volume":"36"},"uris":["http://www.mendeley.com/documents/?uuid=35adb3ad-c2bb-4ab1-8602-8c52cd7771f4"]}],"mendeley":{"formattedCitation":"(Doane &amp; Horwáth, 2003)","plainTextFormattedCitation":"(Doane &amp; Horwáth, 2003)","previouslyFormattedCitation":"(Doane &amp; Horwáth, 2003)"},"properties":{"noteIndex":0},"schema":"https://github.com/citation-style-language/schema/raw/master/csl-citation.json"}</w:instrText>
      </w:r>
      <w:r w:rsidRPr="14AB8DC9">
        <w:rPr>
          <w:color w:val="000000" w:themeColor="text1"/>
        </w:rPr>
        <w:fldChar w:fldCharType="separate"/>
      </w:r>
      <w:r w:rsidRPr="00C947F7">
        <w:rPr>
          <w:noProof/>
          <w:color w:val="000000" w:themeColor="text1"/>
        </w:rPr>
        <w:t>(Doane &amp; Horwáth, 2003)</w:t>
      </w:r>
      <w:r w:rsidRPr="14AB8DC9">
        <w:rPr>
          <w:color w:val="000000" w:themeColor="text1"/>
        </w:rPr>
        <w:fldChar w:fldCharType="end"/>
      </w:r>
      <w:r>
        <w:rPr>
          <w:color w:val="000000" w:themeColor="text1"/>
        </w:rPr>
        <w:t xml:space="preserve"> and ammonium-N concentrations at 650 nm</w:t>
      </w:r>
      <w:r w:rsidRPr="14AB8DC9">
        <w:rPr>
          <w:color w:val="000000" w:themeColor="text1"/>
        </w:rPr>
        <w:t xml:space="preserve"> using the end product of a modified phenol-hypochlorite reaction </w:t>
      </w:r>
      <w:r w:rsidRPr="14AB8DC9">
        <w:rPr>
          <w:color w:val="000000" w:themeColor="text1"/>
        </w:rPr>
        <w:fldChar w:fldCharType="begin" w:fldLock="1"/>
      </w:r>
      <w:r>
        <w:rPr>
          <w:color w:val="000000" w:themeColor="text1"/>
        </w:rPr>
        <w:instrText>ADDIN CSL_CITATION {"citationItems":[{"id":"ITEM-1","itemData":{"DOI":"10.1021/ac60252a045","ISSN":"0003-2700","author":[{"dropping-particle":"","family":"Weatherburn","given":"M W","non-dropping-particle":"","parse-names":false,"suffix":""}],"container-title":"Analytical Chemistry","id":"ITEM-1","issue":"8","issued":{"date-parts":[["1967","7","1"]]},"page":"971-974","title":"Phenol-hypochlorite reaction for determination of ammonia","type":"article-journal","volume":"39"},"uris":["http://www.mendeley.com/documents/?uuid=47b1885b-6ba6-4c35-a231-3995516adac8"]},{"id":"ITEM-2","itemData":{"DOI":"10.2136/sssaj1998.03615995006200020026x","ISSN":"0361-5995","author":[{"dropping-particle":"","family":"Rhine","given":"E D","non-dropping-particle":"","parse-names":false,"suffix":""},{"dropping-particle":"","family":"Mulvaney","given":"R L","non-dropping-particle":"","parse-names":false,"suffix":""},{"dropping-particle":"","family":"Pratt","given":"E J","non-dropping-particle":"","parse-names":false,"suffix":""},{"dropping-particle":"","family":"Sims","given":"G K","non-dropping-particle":"","parse-names":false,"suffix":""}],"container-title":"Soil Science Society of America Journal","id":"ITEM-2","issue":"2","issued":{"date-parts":[["1998"]]},"page":"473","title":"Improving the Berthelot reaction for determining ammonium in soil extracts and water","type":"article-journal","volume":"62"},"uris":["http://www.mendeley.com/documents/?uuid=9ec8dff1-a71c-43c4-8c3c-38d9dfce04bb"]}],"mendeley":{"formattedCitation":"(Rhine et al., 1998; Weatherburn, 1967)","plainTextFormattedCitation":"(Rhine et al., 1998; Weatherburn, 1967)","previouslyFormattedCitation":"(Rhine et al., 1998; Weatherburn, 1967)"},"properties":{"noteIndex":0},"schema":"https://github.com/citation-style-language/schema/raw/master/csl-citation.json"}</w:instrText>
      </w:r>
      <w:r w:rsidRPr="14AB8DC9">
        <w:rPr>
          <w:color w:val="000000" w:themeColor="text1"/>
        </w:rPr>
        <w:fldChar w:fldCharType="separate"/>
      </w:r>
      <w:r w:rsidRPr="00025DC6">
        <w:rPr>
          <w:noProof/>
          <w:color w:val="000000" w:themeColor="text1"/>
        </w:rPr>
        <w:t>(Rhine et al., 1998; Weatherburn, 1967)</w:t>
      </w:r>
      <w:r w:rsidRPr="14AB8DC9">
        <w:rPr>
          <w:color w:val="000000" w:themeColor="text1"/>
        </w:rPr>
        <w:fldChar w:fldCharType="end"/>
      </w:r>
      <w:r w:rsidR="00C376CD">
        <w:rPr>
          <w:color w:val="000000" w:themeColor="text1"/>
        </w:rPr>
        <w:t xml:space="preserve">. Both nitrate-N and ammonium-N protocols were optimized for use with a microplate reader </w:t>
      </w:r>
      <w:r w:rsidR="00C376CD">
        <w:rPr>
          <w:color w:val="000000" w:themeColor="text1"/>
        </w:rPr>
        <w:t>(</w:t>
      </w:r>
      <w:proofErr w:type="spellStart"/>
      <w:r w:rsidR="00C376CD">
        <w:rPr>
          <w:color w:val="000000" w:themeColor="text1"/>
        </w:rPr>
        <w:t>Biotek</w:t>
      </w:r>
      <w:proofErr w:type="spellEnd"/>
      <w:r w:rsidR="00C376CD">
        <w:rPr>
          <w:color w:val="000000" w:themeColor="text1"/>
        </w:rPr>
        <w:t xml:space="preserve"> Synergy H1; </w:t>
      </w:r>
      <w:proofErr w:type="spellStart"/>
      <w:r w:rsidR="00C376CD">
        <w:rPr>
          <w:color w:val="000000" w:themeColor="text1"/>
        </w:rPr>
        <w:t>Biotek</w:t>
      </w:r>
      <w:proofErr w:type="spellEnd"/>
      <w:r w:rsidR="00C376CD">
        <w:rPr>
          <w:color w:val="000000" w:themeColor="text1"/>
        </w:rPr>
        <w:t xml:space="preserve"> Instruments, Winooski, VT USA)</w:t>
      </w:r>
      <w:r>
        <w:rPr>
          <w:color w:val="000000" w:themeColor="text1"/>
        </w:rPr>
        <w:t xml:space="preserve">. We also used a series of negative and positive controls throughout each well plate to verify the accuracy and precision of our measurements. Soil inorganic nitrogen </w:t>
      </w:r>
      <w:r>
        <w:rPr>
          <w:color w:val="000000" w:themeColor="text1"/>
        </w:rPr>
        <w:lastRenderedPageBreak/>
        <w:t>availability (mg L</w:t>
      </w:r>
      <w:r>
        <w:rPr>
          <w:color w:val="000000" w:themeColor="text1"/>
          <w:vertAlign w:val="superscript"/>
        </w:rPr>
        <w:t>-1</w:t>
      </w:r>
      <w:r>
        <w:rPr>
          <w:color w:val="000000" w:themeColor="text1"/>
        </w:rPr>
        <w:t>) was estimated at the plot level as the sum of the nitrate-N and ammonium-N concentration</w:t>
      </w:r>
      <w:r w:rsidR="00305473">
        <w:rPr>
          <w:color w:val="000000" w:themeColor="text1"/>
        </w:rPr>
        <w:t>s</w:t>
      </w:r>
      <w:r>
        <w:rPr>
          <w:color w:val="000000" w:themeColor="text1"/>
        </w:rPr>
        <w:t xml:space="preserve"> </w:t>
      </w:r>
      <w:r w:rsidRPr="14AB8DC9">
        <w:rPr>
          <w:color w:val="000000" w:themeColor="text1"/>
        </w:rPr>
        <w:t>within each plot</w:t>
      </w:r>
      <w:r>
        <w:rPr>
          <w:color w:val="000000" w:themeColor="text1"/>
        </w:rPr>
        <w:t xml:space="preserve">. We then converted soil nitrogen availability values to </w:t>
      </w:r>
      <w:r>
        <w:rPr>
          <w:color w:val="000000" w:themeColor="text1"/>
          <w:lang w:val="el-GR"/>
        </w:rPr>
        <w:t>μ</w:t>
      </w:r>
      <w:r>
        <w:rPr>
          <w:color w:val="000000" w:themeColor="text1"/>
        </w:rPr>
        <w:t>g N g</w:t>
      </w:r>
      <w:r>
        <w:rPr>
          <w:color w:val="000000" w:themeColor="text1"/>
          <w:vertAlign w:val="superscript"/>
        </w:rPr>
        <w:t>-1</w:t>
      </w:r>
      <w:r>
        <w:rPr>
          <w:color w:val="000000" w:themeColor="text1"/>
        </w:rPr>
        <w:t xml:space="preserve"> resin day</w:t>
      </w:r>
      <w:r>
        <w:rPr>
          <w:color w:val="000000" w:themeColor="text1"/>
          <w:vertAlign w:val="superscript"/>
        </w:rPr>
        <w:t>-1</w:t>
      </w:r>
      <w:r>
        <w:rPr>
          <w:color w:val="000000" w:themeColor="text1"/>
        </w:rPr>
        <w:t xml:space="preserve">, as in </w:t>
      </w:r>
      <w:r>
        <w:rPr>
          <w:color w:val="000000" w:themeColor="text1"/>
        </w:rPr>
        <w:fldChar w:fldCharType="begin" w:fldLock="1"/>
      </w:r>
      <w:r>
        <w:rPr>
          <w:color w:val="000000" w:themeColor="text1"/>
        </w:rPr>
        <w:instrText>ADDIN CSL_CITATION {"citationItems":[{"id":"ITEM-1","itemData":{"DOI":"10.1111/j.1365-2486.2008.01549.x","ISSN":"13541013","author":[{"dropping-particle":"","family":"Allison","given":"Steven D","non-dropping-particle":"","parse-names":false,"suffix":""},{"dropping-particle":"","family":"Czimczik","given":"Claudia I","non-dropping-particle":"","parse-names":false,"suffix":""},{"dropping-particle":"","family":"Treseder","given":"Kathleen K","non-dropping-particle":"","parse-names":false,"suffix":""}],"container-title":"Global Change Biology","id":"ITEM-1","issue":"5","issued":{"date-parts":[["2008","5"]]},"page":"1156-1168","title":"Microbial activity and soil respiration under nitrogen addition in Alaskan boreal forest","type":"article-journal","volume":"14"},"uris":["http://www.mendeley.com/documents/?uuid=73f92e6d-49bc-4572-9f37-390c9c8dcfb9"]}],"mendeley":{"formattedCitation":"(Allison et al., 2008)","manualFormatting":"Allison et al. (2008)","plainTextFormattedCitation":"(Allison et al., 2008)","previouslyFormattedCitation":"(Allison et al., 2008)"},"properties":{"noteIndex":0},"schema":"https://github.com/citation-style-language/schema/raw/master/csl-citation.json"}</w:instrText>
      </w:r>
      <w:r>
        <w:rPr>
          <w:color w:val="000000" w:themeColor="text1"/>
        </w:rPr>
        <w:fldChar w:fldCharType="separate"/>
      </w:r>
      <w:r w:rsidRPr="007F6939">
        <w:rPr>
          <w:noProof/>
          <w:color w:val="000000" w:themeColor="text1"/>
        </w:rPr>
        <w:t xml:space="preserve">Allison </w:t>
      </w:r>
      <w:r w:rsidRPr="008F2A49">
        <w:rPr>
          <w:iCs/>
          <w:noProof/>
          <w:color w:val="000000" w:themeColor="text1"/>
        </w:rPr>
        <w:t>et al.</w:t>
      </w:r>
      <w:r w:rsidRPr="007F6939">
        <w:rPr>
          <w:noProof/>
          <w:color w:val="000000" w:themeColor="text1"/>
        </w:rPr>
        <w:t xml:space="preserve"> </w:t>
      </w:r>
      <w:r>
        <w:rPr>
          <w:noProof/>
          <w:color w:val="000000" w:themeColor="text1"/>
        </w:rPr>
        <w:t>(</w:t>
      </w:r>
      <w:r w:rsidRPr="007F6939">
        <w:rPr>
          <w:noProof/>
          <w:color w:val="000000" w:themeColor="text1"/>
        </w:rPr>
        <w:t>2008)</w:t>
      </w:r>
      <w:r>
        <w:rPr>
          <w:color w:val="000000" w:themeColor="text1"/>
        </w:rPr>
        <w:fldChar w:fldCharType="end"/>
      </w:r>
      <w:r>
        <w:rPr>
          <w:color w:val="000000" w:themeColor="text1"/>
        </w:rPr>
        <w:t xml:space="preserve">, to better characterize the accumulation of </w:t>
      </w:r>
      <w:r w:rsidRPr="14AB8DC9">
        <w:rPr>
          <w:color w:val="000000" w:themeColor="text1"/>
        </w:rPr>
        <w:t>nitrate and ammonium</w:t>
      </w:r>
      <w:r>
        <w:rPr>
          <w:color w:val="000000" w:themeColor="text1"/>
        </w:rPr>
        <w:t xml:space="preserve"> ions throughout our gas exchange measurement period.</w:t>
      </w:r>
    </w:p>
    <w:p w14:paraId="36B69D01" w14:textId="16B1FD84" w:rsidR="00305473" w:rsidRDefault="00305473" w:rsidP="00305473">
      <w:pPr>
        <w:autoSpaceDE w:val="0"/>
        <w:autoSpaceDN w:val="0"/>
        <w:adjustRightInd w:val="0"/>
        <w:spacing w:line="360" w:lineRule="auto"/>
        <w:rPr>
          <w:color w:val="000000" w:themeColor="text1"/>
        </w:rPr>
      </w:pPr>
    </w:p>
    <w:p w14:paraId="105C6627" w14:textId="70D85924" w:rsidR="00042F4A" w:rsidRPr="00C376CD" w:rsidRDefault="00305473" w:rsidP="00305473">
      <w:pPr>
        <w:autoSpaceDE w:val="0"/>
        <w:autoSpaceDN w:val="0"/>
        <w:adjustRightInd w:val="0"/>
        <w:spacing w:line="360" w:lineRule="auto"/>
        <w:rPr>
          <w:color w:val="000000" w:themeColor="text1"/>
        </w:rPr>
      </w:pPr>
      <w:r>
        <w:rPr>
          <w:i/>
          <w:iCs/>
          <w:color w:val="000000" w:themeColor="text1"/>
        </w:rPr>
        <w:t>Statistical analysis</w:t>
      </w:r>
    </w:p>
    <w:sectPr w:rsidR="00042F4A" w:rsidRPr="00C376CD" w:rsidSect="00F26DF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3-24T15:03:00Z" w:initials="PEA">
    <w:p w14:paraId="69A7EC25" w14:textId="72B5081C" w:rsidR="00A25850" w:rsidRDefault="00A25850">
      <w:pPr>
        <w:pStyle w:val="CommentText"/>
      </w:pPr>
      <w:r>
        <w:rPr>
          <w:rStyle w:val="CommentReference"/>
        </w:rPr>
        <w:annotationRef/>
      </w:r>
      <w:r>
        <w:t>Need to include bit on climate sunlight hours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7E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706AB" w16cex:dateUtc="2022-03-24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7EC25" w16cid:durableId="25E706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7C"/>
    <w:rsid w:val="00006631"/>
    <w:rsid w:val="00042F4A"/>
    <w:rsid w:val="000A5ABE"/>
    <w:rsid w:val="001135C2"/>
    <w:rsid w:val="00150719"/>
    <w:rsid w:val="001B2141"/>
    <w:rsid w:val="002948B1"/>
    <w:rsid w:val="002B29D1"/>
    <w:rsid w:val="002C360E"/>
    <w:rsid w:val="00305473"/>
    <w:rsid w:val="00497794"/>
    <w:rsid w:val="005A3AD9"/>
    <w:rsid w:val="005E1917"/>
    <w:rsid w:val="006A1B27"/>
    <w:rsid w:val="006F2FA3"/>
    <w:rsid w:val="007E7F73"/>
    <w:rsid w:val="00825CED"/>
    <w:rsid w:val="008559B5"/>
    <w:rsid w:val="0089277C"/>
    <w:rsid w:val="008D1F15"/>
    <w:rsid w:val="00A25850"/>
    <w:rsid w:val="00AC36F9"/>
    <w:rsid w:val="00AE69F5"/>
    <w:rsid w:val="00C376CD"/>
    <w:rsid w:val="00C61F15"/>
    <w:rsid w:val="00DD12D4"/>
    <w:rsid w:val="00E06A40"/>
    <w:rsid w:val="00F2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4052"/>
  <w15:chartTrackingRefBased/>
  <w15:docId w15:val="{3D09A2B0-CA83-4B49-BDA7-ADD1E6FE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5850"/>
    <w:rPr>
      <w:sz w:val="16"/>
      <w:szCs w:val="16"/>
    </w:rPr>
  </w:style>
  <w:style w:type="paragraph" w:styleId="CommentText">
    <w:name w:val="annotation text"/>
    <w:basedOn w:val="Normal"/>
    <w:link w:val="CommentTextChar"/>
    <w:uiPriority w:val="99"/>
    <w:semiHidden/>
    <w:unhideWhenUsed/>
    <w:rsid w:val="00A25850"/>
    <w:rPr>
      <w:sz w:val="20"/>
      <w:szCs w:val="20"/>
    </w:rPr>
  </w:style>
  <w:style w:type="character" w:customStyle="1" w:styleId="CommentTextChar">
    <w:name w:val="Comment Text Char"/>
    <w:basedOn w:val="DefaultParagraphFont"/>
    <w:link w:val="CommentText"/>
    <w:uiPriority w:val="99"/>
    <w:semiHidden/>
    <w:rsid w:val="00A25850"/>
    <w:rPr>
      <w:sz w:val="20"/>
      <w:szCs w:val="20"/>
    </w:rPr>
  </w:style>
  <w:style w:type="paragraph" w:styleId="CommentSubject">
    <w:name w:val="annotation subject"/>
    <w:basedOn w:val="CommentText"/>
    <w:next w:val="CommentText"/>
    <w:link w:val="CommentSubjectChar"/>
    <w:uiPriority w:val="99"/>
    <w:semiHidden/>
    <w:unhideWhenUsed/>
    <w:rsid w:val="00A25850"/>
    <w:rPr>
      <w:b/>
      <w:bCs/>
    </w:rPr>
  </w:style>
  <w:style w:type="character" w:customStyle="1" w:styleId="CommentSubjectChar">
    <w:name w:val="Comment Subject Char"/>
    <w:basedOn w:val="CommentTextChar"/>
    <w:link w:val="CommentSubject"/>
    <w:uiPriority w:val="99"/>
    <w:semiHidden/>
    <w:rsid w:val="00A25850"/>
    <w:rPr>
      <w:b/>
      <w:bCs/>
      <w:sz w:val="20"/>
      <w:szCs w:val="20"/>
    </w:rPr>
  </w:style>
  <w:style w:type="character" w:styleId="LineNumber">
    <w:name w:val="line number"/>
    <w:basedOn w:val="DefaultParagraphFont"/>
    <w:uiPriority w:val="99"/>
    <w:semiHidden/>
    <w:unhideWhenUsed/>
    <w:rsid w:val="00F26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7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7178-0683-D946-ADFB-3ED23E58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4969</Words>
  <Characters>28326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cp:revision>
  <dcterms:created xsi:type="dcterms:W3CDTF">2022-03-24T17:53:00Z</dcterms:created>
  <dcterms:modified xsi:type="dcterms:W3CDTF">2022-03-24T20:17:00Z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