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632FAA72" w14:textId="1F06E13B" w:rsidR="00D23C5C" w:rsidRDefault="00D73E3B" w:rsidP="00D23C5C">
      <w:pPr>
        <w:spacing w:line="480" w:lineRule="auto"/>
        <w:ind w:firstLine="720"/>
      </w:pPr>
      <w:r>
        <w:t>Photosynthesis couples carbon and nitrogen cycles in terrestrial ecosystems</w:t>
      </w:r>
      <w:r w:rsidR="007F633F">
        <w:t xml:space="preserve"> </w:t>
      </w:r>
      <w:r w:rsidR="007F633F">
        <w:fldChar w:fldCharType="begin" w:fldLock="1"/>
      </w:r>
      <w:r w:rsidR="007F633F">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&lt;i&gt;et al.&lt;/i&gt;, 2003)","plainTextFormattedCitation":"(Hungate et al., 2003)","previouslyFormattedCitation":"(Hungate &lt;i&gt;et al.&lt;/i&gt;, 2003)"},"properties":{"noteIndex":0},"schema":"https://github.com/citation-style-language/schema/raw/master/csl-citation.json"}</w:instrText>
      </w:r>
      <w:r w:rsidR="007F633F">
        <w:fldChar w:fldCharType="separate"/>
      </w:r>
      <w:r w:rsidR="007F633F" w:rsidRPr="007F633F">
        <w:rPr>
          <w:noProof/>
        </w:rPr>
        <w:t xml:space="preserve">(Hungate </w:t>
      </w:r>
      <w:r w:rsidR="007F633F" w:rsidRPr="007F633F">
        <w:rPr>
          <w:i/>
          <w:noProof/>
        </w:rPr>
        <w:t>et al.</w:t>
      </w:r>
      <w:r w:rsidR="007F633F" w:rsidRPr="007F633F">
        <w:rPr>
          <w:noProof/>
        </w:rPr>
        <w:t>, 2003)</w:t>
      </w:r>
      <w:r w:rsidR="007F633F">
        <w:fldChar w:fldCharType="end"/>
      </w:r>
      <w:r>
        <w:t>.</w:t>
      </w:r>
      <w:r w:rsidR="007822BE">
        <w:t xml:space="preserve"> Specifically, p</w:t>
      </w:r>
      <w:r>
        <w:t>lants fix carbon dioxide from the atmosphere into simple sugars using enzymes, such as Ribulose-1,5-bisphosphate</w:t>
      </w:r>
      <w:r w:rsidR="003113E2">
        <w:t xml:space="preserve"> carboxylase/oxygenase (“Rubisco”)</w:t>
      </w:r>
      <w:r>
        <w:t xml:space="preserve">, that have large nitrogen requirements to build and maintain </w:t>
      </w:r>
      <w:r>
        <w:fldChar w:fldCharType="begin" w:fldLock="1"/>
      </w:r>
      <w:r w:rsidR="007822BE">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fldChar w:fldCharType="separate"/>
      </w:r>
      <w:r w:rsidRPr="00D73E3B">
        <w:rPr>
          <w:noProof/>
        </w:rPr>
        <w:t>(Evans, 1989)</w:t>
      </w:r>
      <w:r>
        <w:fldChar w:fldCharType="end"/>
      </w:r>
      <w:r>
        <w:t>.</w:t>
      </w:r>
      <w:r w:rsidR="007822BE">
        <w:t xml:space="preserve"> </w:t>
      </w:r>
      <w:r w:rsidR="006318C3">
        <w:t>Recent photosynthetically derived carbon can be accumulated as biomass</w:t>
      </w:r>
      <w:r w:rsidR="003113E2">
        <w:t xml:space="preserve"> (</w:t>
      </w:r>
      <w:r w:rsidR="003113E2" w:rsidRPr="003113E2">
        <w:rPr>
          <w:highlight w:val="yellow"/>
        </w:rPr>
        <w:t>cite</w:t>
      </w:r>
      <w:r w:rsidR="003113E2">
        <w:t xml:space="preserve">), </w:t>
      </w:r>
      <w:r w:rsidR="006318C3">
        <w:t xml:space="preserve">lost </w:t>
      </w:r>
      <w:r w:rsidR="00D23C5C">
        <w:t>as a substrate of</w:t>
      </w:r>
      <w:r w:rsidR="006318C3">
        <w:t xml:space="preserve"> </w:t>
      </w:r>
      <w:r w:rsidR="001A0E1E">
        <w:t xml:space="preserve">plant </w:t>
      </w:r>
      <w:r w:rsidR="006318C3">
        <w:t>respiration</w:t>
      </w:r>
      <w:r w:rsidR="00D23C5C">
        <w:t xml:space="preserve"> </w:t>
      </w:r>
      <w:r w:rsidR="003113E2">
        <w:fldChar w:fldCharType="begin" w:fldLock="1"/>
      </w:r>
      <w:r w:rsidR="001A0E1E">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003113E2">
        <w:fldChar w:fldCharType="separate"/>
      </w:r>
      <w:r w:rsidR="003113E2" w:rsidRPr="003113E2">
        <w:rPr>
          <w:noProof/>
        </w:rPr>
        <w:t>(Glover, 1973)</w:t>
      </w:r>
      <w:r w:rsidR="003113E2">
        <w:fldChar w:fldCharType="end"/>
      </w:r>
      <w:r w:rsidR="006318C3">
        <w:t>, or allocated belowground</w:t>
      </w:r>
      <w:r w:rsidR="00D23C5C">
        <w:t xml:space="preserve"> to acquire nutrients</w:t>
      </w:r>
      <w:r w:rsidR="001A0E1E">
        <w:t xml:space="preserve"> ()</w:t>
      </w:r>
      <w:r w:rsidR="0005340B">
        <w:t>. Belowground photosynthate can be used to acquire nutrients</w:t>
      </w:r>
      <w:r w:rsidR="00D23C5C">
        <w:t xml:space="preserve"> either directly from the soil (</w:t>
      </w:r>
      <w:r w:rsidR="003113E2" w:rsidRPr="003113E2">
        <w:rPr>
          <w:highlight w:val="yellow"/>
        </w:rPr>
        <w:t>cite</w:t>
      </w:r>
      <w:r w:rsidR="00D23C5C">
        <w:t xml:space="preserve">), indirectly through root exudates that prime soil microbial communities </w:t>
      </w:r>
      <w:r w:rsidR="003113E2">
        <w:t xml:space="preserve">and organic matter decomposition </w:t>
      </w:r>
      <w:r w:rsidR="003113E2">
        <w:fldChar w:fldCharType="begin" w:fldLock="1"/>
      </w:r>
      <w:r w:rsidR="003113E2">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&lt;i&gt;et al.&lt;/i&gt;, 2012)","plainTextFormattedCitation":"(Bengtson et al., 2012)","previouslyFormattedCitation":"(Bengtson &lt;i&gt;et al.&lt;/i&gt;, 2012)"},"properties":{"noteIndex":0},"schema":"https://github.com/citation-style-language/schema/raw/master/csl-citation.json"}</w:instrText>
      </w:r>
      <w:r w:rsidR="003113E2">
        <w:fldChar w:fldCharType="separate"/>
      </w:r>
      <w:r w:rsidR="003113E2" w:rsidRPr="003113E2">
        <w:rPr>
          <w:noProof/>
        </w:rPr>
        <w:t xml:space="preserve">(Bengtson </w:t>
      </w:r>
      <w:r w:rsidR="003113E2" w:rsidRPr="003113E2">
        <w:rPr>
          <w:i/>
          <w:noProof/>
        </w:rPr>
        <w:t>et al.</w:t>
      </w:r>
      <w:r w:rsidR="003113E2" w:rsidRPr="003113E2">
        <w:rPr>
          <w:noProof/>
        </w:rPr>
        <w:t>, 2012)</w:t>
      </w:r>
      <w:r w:rsidR="003113E2">
        <w:fldChar w:fldCharType="end"/>
      </w:r>
      <w:r w:rsidR="00D23C5C">
        <w:t xml:space="preserve">, or indirectly through symbioses with mycorrhizal fungi and/or symbiotic nitrogen-fixing bacteria </w:t>
      </w:r>
      <w:r w:rsidR="00D23C5C">
        <w:fldChar w:fldCharType="begin" w:fldLock="1"/>
      </w:r>
      <w:r w:rsidR="002436ED">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Symbiosis","type":"book"},"uris":["http://www.mendeley.com/documents/?uuid=7de52699-7fb0-461b-b0db-02c8da38a432"]}],"mendeley":{"formattedCitation":"(Smith &amp; Read, 2008)","plainTextFormattedCitation":"(Smith &amp; Read, 2008)","previouslyFormattedCitation":"(Smith &amp; Read, 2008)"},"properties":{"noteIndex":0},"schema":"https://github.com/citation-style-language/schema/raw/master/csl-citation.json"}</w:instrText>
      </w:r>
      <w:r w:rsidR="00D23C5C">
        <w:fldChar w:fldCharType="separate"/>
      </w:r>
      <w:r w:rsidR="00D23C5C" w:rsidRPr="00D23C5C">
        <w:rPr>
          <w:noProof/>
        </w:rPr>
        <w:t>(Smith &amp; Read, 2008)</w:t>
      </w:r>
      <w:r w:rsidR="00D23C5C">
        <w:fldChar w:fldCharType="end"/>
      </w:r>
      <w:r w:rsidR="00D23C5C">
        <w:t>. Of these</w:t>
      </w:r>
      <w:r w:rsidR="003113E2">
        <w:t xml:space="preserve"> carbon</w:t>
      </w:r>
      <w:r w:rsidR="00D23C5C">
        <w:t xml:space="preserve"> fates, previous studies note that large percentages of recent photosynthate get allocated belowground for nutrient acquisition (</w:t>
      </w:r>
      <w:r w:rsidR="0080729C">
        <w:t xml:space="preserve">greater than </w:t>
      </w:r>
      <w:r w:rsidR="00D23C5C">
        <w:t xml:space="preserve">30% in some cases; </w:t>
      </w:r>
      <w:r w:rsidR="00D23C5C" w:rsidRPr="005D48AE">
        <w:rPr>
          <w:highlight w:val="yellow"/>
        </w:rPr>
        <w:t>cite</w:t>
      </w:r>
      <w:r w:rsidR="00D23C5C">
        <w:t>).</w:t>
      </w:r>
    </w:p>
    <w:p w14:paraId="6C4075B9" w14:textId="649B3190" w:rsidR="005A4CC1" w:rsidRDefault="002436ED" w:rsidP="005A4CC1">
      <w:pPr>
        <w:spacing w:line="480" w:lineRule="auto"/>
        <w:ind w:firstLine="720"/>
      </w:pPr>
      <w:r>
        <w:t xml:space="preserve">Given that </w:t>
      </w:r>
      <w:r w:rsidR="0080729C">
        <w:t>most</w:t>
      </w:r>
      <w:r>
        <w:t xml:space="preserve"> leaf nitrogen gets allocated to the construction and maintenance of photosynthetic machinery, and the large portion of recent photosynthate that gets allocated belowground for nutrient acquisition, many have found positive relationships between soil nitrogen availability, leaf nitrogen allocation, and photosynthetic capacity</w:t>
      </w:r>
      <w:r w:rsidR="00531BAB">
        <w:t xml:space="preserve"> </w:t>
      </w:r>
      <w:r w:rsidR="00531BAB">
        <w:fldChar w:fldCharType="begin" w:fldLock="1"/>
      </w:r>
      <w:r w:rsidR="00BB24B8">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study","type":"article-journal","volume":"4"},"uris":["http://www.mendeley.com/documents/?uuid=f2d11739-e7fe-4603-a9bb-fc59ddb6a65c"]}],"mendeley":{"formattedCitation":"(Brix, 1971; Walker &lt;i&gt;et al.&lt;/i&gt;, 2014)","plainTextFormattedCitation":"(Brix, 1971; Walker et al., 2014)","previouslyFormattedCitation":"(Brix, 1971; Walker &lt;i&gt;et al.&lt;/i&gt;, 2014)"},"properties":{"noteIndex":0},"schema":"https://github.com/citation-style-language/schema/raw/master/csl-citation.json"}</w:instrText>
      </w:r>
      <w:r w:rsidR="00531BAB">
        <w:fldChar w:fldCharType="separate"/>
      </w:r>
      <w:r w:rsidR="00531BAB" w:rsidRPr="00531BAB">
        <w:rPr>
          <w:noProof/>
        </w:rPr>
        <w:t xml:space="preserve">(Brix, 1971; Walker </w:t>
      </w:r>
      <w:r w:rsidR="00531BAB" w:rsidRPr="00531BAB">
        <w:rPr>
          <w:i/>
          <w:noProof/>
        </w:rPr>
        <w:t>et al.</w:t>
      </w:r>
      <w:r w:rsidR="00531BAB" w:rsidRPr="00531BAB">
        <w:rPr>
          <w:noProof/>
        </w:rPr>
        <w:t>, 2014)</w:t>
      </w:r>
      <w:r w:rsidR="00531BAB">
        <w:fldChar w:fldCharType="end"/>
      </w:r>
      <w:r>
        <w:t>.</w:t>
      </w:r>
      <w:r w:rsidR="00531BAB">
        <w:t xml:space="preserve"> However, contemporary analyses using optimality and photosynthetic least-cost theoretical frameworks indicate that leaf nitrogen allocation can be reliably predicted independent of soil nitrogen availability</w:t>
      </w:r>
      <w:r>
        <w:t xml:space="preserve"> </w:t>
      </w:r>
      <w:r>
        <w:fldChar w:fldCharType="begin" w:fldLock="1"/>
      </w:r>
      <w:r w:rsidR="00531BAB">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climate","type":"article-journal","volume":"14"},"uris":["http://www.mendeley.com/documents/?uuid=d26886a5-de26-4a8d-afa2-a17d2a28ee6e"]}],"mendeley":{"formattedCitation":"(Dong &lt;i&gt;et al.&lt;/i&gt;, 2017, 2020)","plainTextFormattedCitation":"(Dong et al., 2017, 2020)","previouslyFormattedCitation":"(Dong &lt;i&gt;et al.&lt;/i&gt;, 2017, 2020)"},"properties":{"noteIndex":0},"schema":"https://github.com/citation-style-language/schema/raw/master/csl-citation.json"}</w:instrText>
      </w:r>
      <w:r>
        <w:fldChar w:fldCharType="separate"/>
      </w:r>
      <w:r w:rsidRPr="002436ED">
        <w:rPr>
          <w:noProof/>
        </w:rPr>
        <w:t xml:space="preserve">(Dong </w:t>
      </w:r>
      <w:r w:rsidRPr="002436ED">
        <w:rPr>
          <w:i/>
          <w:noProof/>
        </w:rPr>
        <w:t>et al.</w:t>
      </w:r>
      <w:r w:rsidRPr="002436ED">
        <w:rPr>
          <w:noProof/>
        </w:rPr>
        <w:t>, 2017, 2020)</w:t>
      </w:r>
      <w:r>
        <w:fldChar w:fldCharType="end"/>
      </w:r>
      <w:r>
        <w:t>, and may instead be driven by leaf demand to build and maintain photosynthetic machinery</w:t>
      </w:r>
      <w:r w:rsidR="001A0E1E">
        <w:t xml:space="preserve"> </w:t>
      </w:r>
      <w:r w:rsidR="001A0E1E">
        <w:fldChar w:fldCharType="begin" w:fldLock="1"/>
      </w:r>
      <w:r w:rsidR="001A0E1E">
        <w:instrText>ADDIN CSL_CITATION {"citationItems":[{"id":"ITEM-1","itemData":{"DOI":"10.1111/nph.18076","ISSN":"0028-646X","abstract":"Nitrogen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Phytologist","id":"ITEM-1","issued":{"date-parts":[["2022","4","22"]]},"title":"Rising CO2 and warming reduce global canopy demand for nitrogen","type":"article-journal"},"uris":["http://www.mendeley.com/documents/?uuid=8f26b717-0c63-4a11-b766-e27b90eb396f"]}],"mendeley":{"formattedCitation":"(Dong &lt;i&gt;et al.&lt;/i&gt;, 2022)","plainTextFormattedCitation":"(Dong et al., 2022)"},"properties":{"noteIndex":0},"schema":"https://github.com/citation-style-language/schema/raw/master/csl-citation.json"}</w:instrText>
      </w:r>
      <w:r w:rsidR="001A0E1E">
        <w:fldChar w:fldCharType="separate"/>
      </w:r>
      <w:r w:rsidR="001A0E1E" w:rsidRPr="001A0E1E">
        <w:rPr>
          <w:noProof/>
        </w:rPr>
        <w:t xml:space="preserve">(Dong </w:t>
      </w:r>
      <w:r w:rsidR="001A0E1E" w:rsidRPr="001A0E1E">
        <w:rPr>
          <w:i/>
          <w:noProof/>
        </w:rPr>
        <w:t>et al.</w:t>
      </w:r>
      <w:r w:rsidR="001A0E1E" w:rsidRPr="001A0E1E">
        <w:rPr>
          <w:noProof/>
        </w:rPr>
        <w:t>, 2022)</w:t>
      </w:r>
      <w:r w:rsidR="001A0E1E">
        <w:fldChar w:fldCharType="end"/>
      </w:r>
      <w:r>
        <w:t>.</w:t>
      </w:r>
      <w:r w:rsidR="00531BAB">
        <w:t xml:space="preserve"> These studies indicate that leaf nitrogen allocation can be predicted by growing season temperature, growing season irradiance, growing season vapor pressure deficit, leaf mass per area, or soil </w:t>
      </w:r>
      <w:proofErr w:type="spellStart"/>
      <w:r w:rsidR="00531BAB">
        <w:t>pH.</w:t>
      </w:r>
      <w:proofErr w:type="spellEnd"/>
      <w:r w:rsidR="00531BAB">
        <w:t xml:space="preserve"> Further, </w:t>
      </w:r>
      <w:r w:rsidR="00531BAB">
        <w:lastRenderedPageBreak/>
        <w:t xml:space="preserve">relationships between soil nitrogen availability and leaf nitrogen allocation likely depend on plant demand to acquire nutrients, which varies by species, species acquisition strategy, and phenology. Thus, there is a need to better understand </w:t>
      </w:r>
      <w:r w:rsidR="005A4CC1">
        <w:t>primary drivers of leaf nitrogen allocation across different spatiotemporal scales.</w:t>
      </w:r>
    </w:p>
    <w:p w14:paraId="093C0DF2" w14:textId="5F295EFA" w:rsidR="00531BAB" w:rsidRDefault="005A4CC1" w:rsidP="00531BAB">
      <w:pPr>
        <w:spacing w:line="480" w:lineRule="auto"/>
        <w:ind w:firstLine="720"/>
      </w:pPr>
      <w:r>
        <w:t xml:space="preserve">Photosynthetic least-cost theory provides a possible explanation for the integrative role of soil nitrogen availability, aboveground climate, and leaf traits on leaf nitrogen allocation. The theory predicts that plants allocate nitrogen to photosynthetic leaf tissue to maximize photosynthetic carbon gain at the lowest summed cost of using nitrogen and water. The theory predicts that nitrogen and water use are substitutable, such that an increase in either nitrogen or water should induce a predictable acclimation response. For example, plants growing in arid or semiarid regions are predicted to have increased leaf nitrogen allocation, as this response allows a given photosynthetic rate to be achieved with </w:t>
      </w:r>
      <w:r w:rsidR="00BB24B8">
        <w:t>decreased stomatal conductance and water use.</w:t>
      </w:r>
    </w:p>
    <w:p w14:paraId="0E31CC10" w14:textId="1D2CCCFB" w:rsidR="0005340B" w:rsidRDefault="00BB24B8" w:rsidP="0005340B">
      <w:pPr>
        <w:spacing w:line="480" w:lineRule="auto"/>
        <w:ind w:firstLine="720"/>
      </w:pPr>
      <w:r>
        <w:t>To date, few direct tests of photosynthetic least-cost theory exist, and the climatic timescale that leaf nitrogen allocation responds to remains unknown and untested. Understanding primary drivers of leaf nitrogen allocation and the mechanisms underlying these responses is crucial to inform the development of future terrestrial biosphere and Earth system models.</w:t>
      </w:r>
    </w:p>
    <w:p w14:paraId="6334285A" w14:textId="6C37D00F" w:rsidR="00BB24B8" w:rsidRDefault="00AE69F5" w:rsidP="00BB24B8">
      <w:pPr>
        <w:spacing w:line="480" w:lineRule="auto"/>
        <w:ind w:firstLine="720"/>
      </w:pPr>
      <w:r>
        <w:t xml:space="preserve">In summer 2020 and 2021, we measured </w:t>
      </w:r>
      <w:r w:rsidR="00F26DFB">
        <w:t>leaf and soil traits in XX individuals spanning XX species</w:t>
      </w:r>
      <w:r w:rsidR="00BB24B8">
        <w:t xml:space="preserve"> at 25 total sites </w:t>
      </w:r>
      <w:r w:rsidR="00F26DFB">
        <w:t>across a broad climatic gradient in central and eastern Texas.</w:t>
      </w:r>
      <w:r w:rsidR="00F26DFB" w:rsidRPr="00F26DFB">
        <w:t xml:space="preserve"> </w:t>
      </w:r>
      <w:r w:rsidR="00F26DFB">
        <w:t xml:space="preserve">Texas </w:t>
      </w:r>
      <w:r>
        <w:t xml:space="preserve">is home to a </w:t>
      </w:r>
      <w:r w:rsidR="00F26DFB">
        <w:t>diverse climatic gradient, with mean annual precipitation ranging from XX to XX and mean annual temperature ranging from XX to XX, and a wide range in soil characteristics and nutrient availability ranges. Following patterns expected from photosynthetic least-cost theory, we hypothesized that increasing aridity would increase leaf nitrogen allocation, which would allow individuals to maintain photosynthesis at lower water us</w:t>
      </w:r>
      <w:r>
        <w:t>age</w:t>
      </w:r>
      <w:r w:rsidR="00F26DFB">
        <w:t>.</w:t>
      </w:r>
      <w:r>
        <w:t xml:space="preserve"> </w:t>
      </w:r>
      <w:r w:rsidR="00F26DFB">
        <w:t xml:space="preserve">We also hypothesized </w:t>
      </w:r>
      <w:r w:rsidR="00F26DFB">
        <w:lastRenderedPageBreak/>
        <w:t>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Default="001D5368" w:rsidP="00CF6307">
      <w:pPr>
        <w:spacing w:line="480" w:lineRule="auto"/>
      </w:pPr>
      <w:r>
        <w:rPr>
          <w:i/>
          <w:iCs/>
        </w:rPr>
        <w:t>Property selection</w:t>
      </w:r>
    </w:p>
    <w:p w14:paraId="43F6E948" w14:textId="29994C08" w:rsidR="00691B71"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properties</w:t>
      </w:r>
      <w:r w:rsidR="00A34141">
        <w:t xml:space="preserve"> scattered across central and eastern Texas </w:t>
      </w:r>
      <w:r w:rsidR="00997CB9">
        <w:t>in</w:t>
      </w:r>
      <w:r w:rsidR="00A34141">
        <w:t xml:space="preserve"> summer 2020 and summer 2021 (Fig. 1). Fourteen properties were visited between June and July 2020 and 15 properties (11 unique from 2020) were visited between May and June 2021 (Table 1). We explicitly chose properties that contained a dominant savanna or grassland component for both sampling years and maximized between-site climatic and edaphic diversity (</w:t>
      </w:r>
      <w:commentRangeStart w:id="1"/>
      <w:r w:rsidR="00A34141">
        <w:t>Fig. 1</w:t>
      </w:r>
      <w:commentRangeEnd w:id="1"/>
      <w:r w:rsidR="00691B71">
        <w:rPr>
          <w:rStyle w:val="CommentReference"/>
        </w:rPr>
        <w:commentReference w:id="1"/>
      </w:r>
      <w:r w:rsidR="00A34141">
        <w:t xml:space="preserve">). </w:t>
      </w:r>
      <w:r w:rsidR="00691B71">
        <w:t xml:space="preserve">Any properties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234EA46F" w:rsidR="001D5368" w:rsidRPr="001D5368" w:rsidRDefault="001D5368" w:rsidP="00CF6307">
      <w:pPr>
        <w:spacing w:line="480" w:lineRule="auto"/>
        <w:rPr>
          <w:i/>
          <w:iCs/>
        </w:rPr>
      </w:pPr>
      <w:r>
        <w:rPr>
          <w:i/>
          <w:iCs/>
        </w:rPr>
        <w:t xml:space="preserve">Property visits and sampling methodology </w:t>
      </w:r>
    </w:p>
    <w:p w14:paraId="1054E9D1" w14:textId="3D8A232F" w:rsidR="00282C11" w:rsidRDefault="001D5368" w:rsidP="00CF6307">
      <w:pPr>
        <w:spacing w:line="480" w:lineRule="auto"/>
        <w:ind w:firstLine="720"/>
      </w:pPr>
      <w:r>
        <w:t>Due to the uncertainty of the SARS-CoV-2 pandemic and high regional contagion risks at the time of the 2020 field season, we divided property visits into initial property visits and primary property visits. This was done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 the 14 properties in 2020 between June 15 and June 21, and at each of the 15 properties in 2021 between May 25 and June 1.</w:t>
      </w:r>
    </w:p>
    <w:p w14:paraId="1B347A2B" w14:textId="488B65E7"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r w:rsidR="00282C11">
        <w:rPr>
          <w:rFonts w:cs="Times New Roman"/>
        </w:rPr>
        <w:t xml:space="preserve"> In 2020, initial property visits were conducted at each of the 14 properties between June 15 and June 21</w:t>
      </w:r>
      <w:r w:rsidR="00CF6307">
        <w:rPr>
          <w:rFonts w:cs="Times New Roman"/>
        </w:rPr>
        <w:t xml:space="preserve"> and, i</w:t>
      </w:r>
      <w:r w:rsidR="00282C11">
        <w:rPr>
          <w:rFonts w:cs="Times New Roman"/>
        </w:rPr>
        <w:t>n 2021, were conducted at each of the 15 properties between May 25 and June 1.</w:t>
      </w:r>
    </w:p>
    <w:p w14:paraId="753D3CA3" w14:textId="79D83D3D" w:rsidR="00E06A40" w:rsidRPr="0017417D" w:rsidRDefault="002B29D1" w:rsidP="0017417D">
      <w:pPr>
        <w:spacing w:line="480" w:lineRule="auto"/>
        <w:ind w:firstLine="720"/>
        <w:rPr>
          <w:rFonts w:eastAsia="Times New Roman"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 consisted of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1197EF7D" w14:textId="77777777" w:rsidR="00E06A40" w:rsidRDefault="00E06A40" w:rsidP="00CF6307">
      <w:pPr>
        <w:spacing w:line="480" w:lineRule="auto"/>
      </w:pPr>
    </w:p>
    <w:p w14:paraId="6CD788C3" w14:textId="35B93261" w:rsidR="000A5ABE" w:rsidRDefault="000A5ABE" w:rsidP="00CF6307">
      <w:pPr>
        <w:spacing w:line="480" w:lineRule="auto"/>
      </w:pPr>
      <w:commentRangeStart w:id="2"/>
      <w:r>
        <w:rPr>
          <w:i/>
          <w:iCs/>
        </w:rPr>
        <w:t>S</w:t>
      </w:r>
      <w:commentRangeEnd w:id="2"/>
      <w:r w:rsidR="00A25850">
        <w:rPr>
          <w:rStyle w:val="CommentReference"/>
        </w:rPr>
        <w:commentReference w:id="2"/>
      </w:r>
      <w:r>
        <w:rPr>
          <w:i/>
          <w:iCs/>
        </w:rPr>
        <w:t>ite climatic data</w:t>
      </w:r>
    </w:p>
    <w:p w14:paraId="62090A4A" w14:textId="3DE66D0F" w:rsidR="00150719" w:rsidRDefault="00042F4A" w:rsidP="00CF6307">
      <w:pPr>
        <w:spacing w:line="480" w:lineRule="auto"/>
        <w:ind w:firstLine="720"/>
        <w:rPr>
          <w:rFonts w:eastAsia="Times New Roman" w:cs="Times New Roman"/>
        </w:rPr>
      </w:pPr>
      <w:r>
        <w:lastRenderedPageBreak/>
        <w:t xml:space="preserve">We acquired gridded 1991-2020 </w:t>
      </w:r>
      <w:r w:rsidR="00BF6C3C">
        <w:t xml:space="preserve">monthly </w:t>
      </w:r>
      <w:r>
        <w:t>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w:t>
      </w:r>
      <w:proofErr w:type="gramStart"/>
      <w:r w:rsidR="00150719">
        <w:rPr>
          <w:rFonts w:eastAsia="Times New Roman" w:cs="Times New Roman"/>
        </w:rPr>
        <w:t xml:space="preserve">month, </w:t>
      </w:r>
      <w:r w:rsidR="00BF6C3C">
        <w:rPr>
          <w:rFonts w:eastAsia="Times New Roman" w:cs="Times New Roman"/>
        </w:rPr>
        <w:t>and</w:t>
      </w:r>
      <w:proofErr w:type="gramEnd"/>
      <w:r w:rsidR="00150719">
        <w:rPr>
          <w:rFonts w:eastAsia="Times New Roman" w:cs="Times New Roman"/>
        </w:rPr>
        <w:t xml:space="preserve"> mean annual temperature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6F8A6841" w14:textId="6664CB02" w:rsidR="0017417D" w:rsidRDefault="00BF6C3C" w:rsidP="0017417D">
      <w:pPr>
        <w:spacing w:line="480" w:lineRule="auto"/>
        <w:ind w:firstLine="720"/>
        <w:rPr>
          <w:rFonts w:eastAsia="Times New Roman" w:cs="Times New Roman"/>
        </w:rPr>
      </w:pPr>
      <w:r>
        <w:rPr>
          <w:rFonts w:eastAsia="Times New Roman" w:cs="Times New Roman"/>
        </w:rPr>
        <w:t>W</w:t>
      </w:r>
      <w:r w:rsidR="00042F4A">
        <w:rPr>
          <w:rFonts w:eastAsia="Times New Roman" w:cs="Times New Roman"/>
        </w:rPr>
        <w:t>e</w:t>
      </w:r>
      <w:r>
        <w:rPr>
          <w:rFonts w:eastAsia="Times New Roman" w:cs="Times New Roman"/>
        </w:rPr>
        <w:t xml:space="preserve"> also</w:t>
      </w:r>
      <w:r w:rsidR="00042F4A">
        <w:rPr>
          <w:rFonts w:eastAsia="Times New Roman" w:cs="Times New Roman"/>
        </w:rPr>
        <w:t xml:space="preserve"> acquired gridded daily temperature, precipitation, and vapor pressure deficit from PRISM, again at a 4-km spatial resolution</w:t>
      </w:r>
      <w:r w:rsidR="006A1B27">
        <w:rPr>
          <w:rFonts w:eastAsia="Times New Roman" w:cs="Times New Roman"/>
        </w:rPr>
        <w:t>,</w:t>
      </w:r>
      <w:r w:rsidR="00042F4A">
        <w:rPr>
          <w:rFonts w:eastAsia="Times New Roman" w:cs="Times New Roman"/>
        </w:rPr>
        <w:t xml:space="preserve"> between June 01, </w:t>
      </w:r>
      <w:proofErr w:type="gramStart"/>
      <w:r w:rsidR="00042F4A">
        <w:rPr>
          <w:rFonts w:eastAsia="Times New Roman" w:cs="Times New Roman"/>
        </w:rPr>
        <w:t>2019</w:t>
      </w:r>
      <w:proofErr w:type="gramEnd"/>
      <w:r w:rsidR="00042F4A">
        <w:rPr>
          <w:rFonts w:eastAsia="Times New Roman" w:cs="Times New Roman"/>
        </w:rPr>
        <w:t xml:space="preserve"> and July 31, 2021 </w:t>
      </w:r>
      <w:r w:rsidR="00042F4A">
        <w:t>(</w:t>
      </w:r>
      <w:r w:rsidR="00042F4A" w:rsidRPr="000A5ABE">
        <w:rPr>
          <w:rFonts w:eastAsia="Times New Roman" w:cs="Times New Roman"/>
        </w:rPr>
        <w:t xml:space="preserve">PRISM Climate Group, Oregon State University, </w:t>
      </w:r>
      <w:hyperlink r:id="rId10" w:history="1">
        <w:r w:rsidR="00CF6307" w:rsidRPr="008B1E6C">
          <w:rPr>
            <w:rStyle w:val="Hyperlink"/>
            <w:rFonts w:eastAsia="Times New Roman" w:cs="Times New Roman"/>
          </w:rPr>
          <w:t>https://prism.oregonstate.edu</w:t>
        </w:r>
      </w:hyperlink>
      <w:r w:rsidR="00042F4A" w:rsidRPr="000A5ABE">
        <w:rPr>
          <w:rFonts w:eastAsia="Times New Roman" w:cs="Times New Roman"/>
        </w:rPr>
        <w:t xml:space="preserve">, data created 4 Feb 2014, accessed </w:t>
      </w:r>
      <w:r w:rsidR="00042F4A">
        <w:rPr>
          <w:rFonts w:eastAsia="Times New Roman" w:cs="Times New Roman"/>
        </w:rPr>
        <w:t>24</w:t>
      </w:r>
      <w:r w:rsidR="00042F4A" w:rsidRPr="000A5ABE">
        <w:rPr>
          <w:rFonts w:eastAsia="Times New Roman" w:cs="Times New Roman"/>
        </w:rPr>
        <w:t xml:space="preserve"> </w:t>
      </w:r>
      <w:r w:rsidR="00042F4A">
        <w:rPr>
          <w:rFonts w:eastAsia="Times New Roman" w:cs="Times New Roman"/>
        </w:rPr>
        <w:t>Mar</w:t>
      </w:r>
      <w:r w:rsidR="00042F4A" w:rsidRPr="000A5ABE">
        <w:rPr>
          <w:rFonts w:eastAsia="Times New Roman" w:cs="Times New Roman"/>
        </w:rPr>
        <w:t xml:space="preserve"> 202</w:t>
      </w:r>
      <w:r w:rsidR="00042F4A">
        <w:rPr>
          <w:rFonts w:eastAsia="Times New Roman" w:cs="Times New Roman"/>
        </w:rPr>
        <w:t xml:space="preserve">2). PRISM data were downloaded using the ‘prism’ R package </w:t>
      </w:r>
      <w:r w:rsidR="00042F4A">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042F4A">
        <w:rPr>
          <w:rFonts w:eastAsia="Times New Roman" w:cs="Times New Roman"/>
        </w:rPr>
        <w:fldChar w:fldCharType="separate"/>
      </w:r>
      <w:r w:rsidR="00042F4A" w:rsidRPr="00042F4A">
        <w:rPr>
          <w:rFonts w:eastAsia="Times New Roman" w:cs="Times New Roman"/>
          <w:noProof/>
        </w:rPr>
        <w:t>(Hart &amp; Bell, 2015)</w:t>
      </w:r>
      <w:r w:rsidR="00042F4A">
        <w:rPr>
          <w:rFonts w:eastAsia="Times New Roman" w:cs="Times New Roman"/>
        </w:rPr>
        <w:fldChar w:fldCharType="end"/>
      </w:r>
      <w:r w:rsidR="00042F4A">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We used the PRISM dataset in lieu of local weather station data because the closest weather station for several rural properties were </w:t>
      </w:r>
      <w:r w:rsidR="00CF6307">
        <w:rPr>
          <w:rFonts w:eastAsia="Times New Roman" w:cs="Times New Roman"/>
        </w:rPr>
        <w:t xml:space="preserve">greater than </w:t>
      </w:r>
      <w:r w:rsidR="00DD12D4">
        <w:rPr>
          <w:rFonts w:eastAsia="Times New Roman" w:cs="Times New Roman"/>
        </w:rPr>
        <w:t>20</w:t>
      </w:r>
      <w:r w:rsidR="00CF6307">
        <w:rPr>
          <w:rFonts w:eastAsia="Times New Roman" w:cs="Times New Roman"/>
        </w:rPr>
        <w:t xml:space="preserve"> kilometers </w:t>
      </w:r>
      <w:r w:rsidR="00DD12D4">
        <w:rPr>
          <w:rFonts w:eastAsia="Times New Roman" w:cs="Times New Roman"/>
        </w:rPr>
        <w:t xml:space="preserve">away and at a different </w:t>
      </w:r>
      <w:r w:rsidR="0017417D">
        <w:rPr>
          <w:rFonts w:eastAsia="Times New Roman" w:cs="Times New Roman"/>
        </w:rPr>
        <w:t xml:space="preserve">slope direction </w:t>
      </w:r>
      <w:r w:rsidR="00DD12D4">
        <w:rPr>
          <w:rFonts w:eastAsia="Times New Roman" w:cs="Times New Roman"/>
        </w:rPr>
        <w:t>or elevation than the property</w:t>
      </w:r>
      <w:r>
        <w:rPr>
          <w:rFonts w:eastAsia="Times New Roman" w:cs="Times New Roman"/>
        </w:rPr>
        <w:t xml:space="preserve"> itself</w:t>
      </w:r>
      <w:r w:rsidR="00DD12D4">
        <w:rPr>
          <w:rFonts w:eastAsia="Times New Roman" w:cs="Times New Roman"/>
        </w:rPr>
        <w:t>.</w:t>
      </w:r>
    </w:p>
    <w:p w14:paraId="0E14C858" w14:textId="34EDF767" w:rsidR="008559B5" w:rsidRDefault="006A1B27" w:rsidP="00CF6307">
      <w:pPr>
        <w:spacing w:line="480" w:lineRule="auto"/>
        <w:ind w:firstLine="720"/>
        <w:rPr>
          <w:rFonts w:eastAsia="Times New Roman" w:cs="Times New Roman"/>
        </w:rPr>
      </w:pPr>
      <w:r>
        <w:rPr>
          <w:rFonts w:eastAsia="Times New Roman" w:cs="Times New Roman"/>
        </w:rPr>
        <w:lastRenderedPageBreak/>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D73E3B">
        <w:rPr>
          <w:rFonts w:eastAsia="Times New Roman" w:cs="Times New Roman"/>
        </w:rPr>
        <w:instrText>ADDIN CSL_CITATION {"citationItems":[{"id":"ITEM-1","itemData":{"DOI":"10.1023/A:1000281114105","ISSN":"0006-8314","abstract":"The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where </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Meteorology","id":"ITEM-1","issue":"2","issued":{"date-parts":[["1997","2"]]},"page":"179-191","title":"A theoretical basis for the Priestley-Taylor coefficient","type":"article-journal","volume":"82"},"uris":["http://www.mendeley.com/documents/?uuid=ac867c5c-8d51-4d48-80c7-b462627436ed"]},{"id":"ITEM-2","itemData":{"DOI":"10.1175/1520-0493(1972)100&lt;0081:OTAOSH&gt;2.3.CO;2","ISSN":"0027-0644","author":[{"dropping-particle":"","family":"Priestley","given":"C H B","non-dropping-particle":"","parse-names":false,"suffix":""},{"dropping-particle":"","family":"Taylor","given":"R J","non-dropping-particle":"","parse-names":false,"suffix":""}],"container-title":"Monthly Weather Review","id":"ITEM-2","issue":"2","issued":{"date-parts":[["1972","2"]]},"page":"81-92","title":"On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t>
      </w:r>
      <w:r w:rsidR="00327A47">
        <w:rPr>
          <w:rFonts w:eastAsia="Times New Roman" w:cs="Times New Roman"/>
        </w:rPr>
        <w:t>P</w:t>
      </w:r>
      <w:r w:rsidR="007E7F73">
        <w:rPr>
          <w:rFonts w:eastAsia="Times New Roman" w:cs="Times New Roman"/>
        </w:rPr>
        <w:t xml:space="preserve">roperty growing season aridity </w:t>
      </w:r>
      <w:r w:rsidR="0017417D">
        <w:rPr>
          <w:rFonts w:eastAsia="Times New Roman" w:cs="Times New Roman"/>
        </w:rPr>
        <w:t xml:space="preserve">was also calculated </w:t>
      </w:r>
      <w:r w:rsidR="007E7F73">
        <w:rPr>
          <w:rFonts w:eastAsia="Times New Roman" w:cs="Times New Roman"/>
        </w:rPr>
        <w:t xml:space="preserve">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r w:rsidR="00327A47">
        <w:rPr>
          <w:rFonts w:eastAsia="Times New Roman" w:cs="Times New Roman"/>
        </w:rPr>
        <w:t xml:space="preserve"> We also estimated normal property aridity as a function of 1991-2020 mean annual precipitation divided by normal potential evapotranspiration.</w:t>
      </w:r>
    </w:p>
    <w:p w14:paraId="6AF966AA" w14:textId="7CE4699C" w:rsidR="00E06A40" w:rsidRDefault="00E06A40" w:rsidP="00CF6307">
      <w:pPr>
        <w:spacing w:line="480" w:lineRule="auto"/>
        <w:rPr>
          <w:rFonts w:eastAsia="Times New Roman" w:cs="Times New Roman"/>
        </w:rPr>
      </w:pPr>
    </w:p>
    <w:p w14:paraId="61B48E90" w14:textId="4D433D3B" w:rsidR="00E06A40" w:rsidRDefault="00E06A40" w:rsidP="00CF6307">
      <w:pPr>
        <w:spacing w:line="480" w:lineRule="auto"/>
        <w:rPr>
          <w:rFonts w:eastAsia="Times New Roman" w:cs="Times New Roman"/>
        </w:rPr>
      </w:pPr>
      <w:r w:rsidRPr="00E06A40">
        <w:rPr>
          <w:rFonts w:eastAsia="Times New Roman" w:cs="Times New Roman"/>
          <w:i/>
          <w:iCs/>
        </w:rPr>
        <w:t>Leaf trait measurements</w:t>
      </w:r>
      <w:r w:rsidR="00CF6307">
        <w:rPr>
          <w:rFonts w:eastAsia="Times New Roman" w:cs="Times New Roman"/>
          <w:i/>
          <w:iCs/>
        </w:rPr>
        <w:t xml:space="preserve"> and soil characteristics</w:t>
      </w:r>
    </w:p>
    <w:p w14:paraId="2C2859B2" w14:textId="778E61A8" w:rsidR="00305473" w:rsidRDefault="00305473" w:rsidP="00CF6307">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D73E3B">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2305BD3C" w14:textId="658BFC22" w:rsidR="00305473" w:rsidRDefault="00305473" w:rsidP="00CF6307">
      <w:pPr>
        <w:autoSpaceDE w:val="0"/>
        <w:autoSpaceDN w:val="0"/>
        <w:adjustRightInd w:val="0"/>
        <w:spacing w:line="480" w:lineRule="auto"/>
        <w:ind w:firstLine="720"/>
        <w:rPr>
          <w:color w:val="000000"/>
        </w:rPr>
      </w:pPr>
      <w:r>
        <w:rPr>
          <w:color w:val="000000"/>
        </w:rPr>
        <w:lastRenderedPageBreak/>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D73E3B">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CF6307">
      <w:pPr>
        <w:autoSpaceDE w:val="0"/>
        <w:autoSpaceDN w:val="0"/>
        <w:adjustRightInd w:val="0"/>
        <w:spacing w:line="480" w:lineRule="auto"/>
        <w:ind w:firstLine="720"/>
        <w:rPr>
          <w:color w:val="000000"/>
        </w:rPr>
      </w:pPr>
    </w:p>
    <w:p w14:paraId="6B9C0654" w14:textId="77777777" w:rsidR="00305473" w:rsidRDefault="00305473" w:rsidP="00CF6307">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CF6307">
      <w:pPr>
        <w:autoSpaceDE w:val="0"/>
        <w:autoSpaceDN w:val="0"/>
        <w:adjustRightInd w:val="0"/>
        <w:spacing w:line="480" w:lineRule="auto"/>
        <w:rPr>
          <w:color w:val="000000"/>
        </w:rPr>
      </w:pPr>
    </w:p>
    <w:p w14:paraId="663988F0" w14:textId="77777777" w:rsidR="00305473" w:rsidRDefault="00305473" w:rsidP="00CF6307">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CF6307">
      <w:pPr>
        <w:autoSpaceDE w:val="0"/>
        <w:autoSpaceDN w:val="0"/>
        <w:adjustRightInd w:val="0"/>
        <w:spacing w:line="480" w:lineRule="auto"/>
        <w:rPr>
          <w:color w:val="000000"/>
        </w:rPr>
      </w:pPr>
    </w:p>
    <w:p w14:paraId="73040971" w14:textId="77777777" w:rsidR="00305473" w:rsidRDefault="0017417D" w:rsidP="00CF6307">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CF6307">
      <w:pPr>
        <w:autoSpaceDE w:val="0"/>
        <w:autoSpaceDN w:val="0"/>
        <w:adjustRightInd w:val="0"/>
        <w:spacing w:line="480" w:lineRule="auto"/>
        <w:rPr>
          <w:color w:val="000000"/>
        </w:rPr>
      </w:pPr>
    </w:p>
    <w:p w14:paraId="23E1E54A" w14:textId="799900BC" w:rsidR="00E06A40" w:rsidRDefault="00305473" w:rsidP="00CF6307">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2E367B87" w14:textId="2A2F42BA" w:rsidR="00BF6C3C" w:rsidRDefault="00E06A40" w:rsidP="0017417D">
      <w:pPr>
        <w:spacing w:line="480" w:lineRule="auto"/>
        <w:ind w:firstLine="720"/>
        <w:rPr>
          <w:rFonts w:eastAsia="Times New Roman" w:cs="Times New Roman"/>
        </w:rPr>
      </w:pPr>
      <w:r>
        <w:rPr>
          <w:rFonts w:eastAsia="Times New Roman" w:cs="Times New Roman"/>
        </w:rPr>
        <w:t>Composite soil samples from</w:t>
      </w:r>
      <w:r w:rsidR="00BF6C3C">
        <w:rPr>
          <w:rFonts w:eastAsia="Times New Roman" w:cs="Times New Roman"/>
        </w:rPr>
        <w:t xml:space="preserve"> all property visits</w:t>
      </w:r>
      <w:r w:rsidR="00CF6307">
        <w:rPr>
          <w:rFonts w:eastAsia="Times New Roman" w:cs="Times New Roman"/>
        </w:rPr>
        <w:t xml:space="preserve"> were</w:t>
      </w:r>
      <w:r w:rsidR="00BF6C3C">
        <w:rPr>
          <w:rFonts w:eastAsia="Times New Roman" w:cs="Times New Roman"/>
        </w:rPr>
        <w:t xml:space="preserve"> </w:t>
      </w:r>
      <w:r>
        <w:rPr>
          <w:rFonts w:eastAsia="Times New Roman" w:cs="Times New Roman"/>
        </w:rPr>
        <w:t xml:space="preserve">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BF6C3C">
        <w:rPr>
          <w:rFonts w:eastAsia="Times New Roman" w:cs="Times New Roman"/>
        </w:rPr>
        <w:t xml:space="preserve"> to determine percent silt, clay, and sand</w:t>
      </w:r>
      <w:r w:rsidR="0017417D">
        <w:rPr>
          <w:rFonts w:eastAsia="Times New Roman" w:cs="Times New Roman"/>
        </w:rPr>
        <w:t>, as percent clay has been shown in previous analyses to modify expected photosynthetic least-cost patterns</w:t>
      </w:r>
      <w:r w:rsidR="00BF6C3C">
        <w:rPr>
          <w:rFonts w:eastAsia="Times New Roman" w:cs="Times New Roman"/>
        </w:rPr>
        <w:t>.</w:t>
      </w:r>
    </w:p>
    <w:p w14:paraId="4D523409" w14:textId="7537325D" w:rsidR="004219F5" w:rsidRDefault="004219F5" w:rsidP="004219F5">
      <w:pPr>
        <w:spacing w:line="480" w:lineRule="auto"/>
        <w:rPr>
          <w:rFonts w:eastAsia="Times New Roman" w:cs="Times New Roman"/>
        </w:r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t>Plant functional type assignment</w:t>
      </w:r>
    </w:p>
    <w:p w14:paraId="7743D8E9" w14:textId="18754797" w:rsidR="004219F5" w:rsidRDefault="004219F5" w:rsidP="004219F5">
      <w:pPr>
        <w:spacing w:line="480" w:lineRule="auto"/>
        <w:rPr>
          <w:rFonts w:eastAsia="Times New Roman" w:cs="Times New Roman"/>
        </w:rPr>
      </w:pPr>
      <w:r>
        <w:rPr>
          <w:rFonts w:eastAsia="Times New Roman" w:cs="Times New Roman"/>
        </w:rPr>
        <w:lastRenderedPageBreak/>
        <w:tab/>
      </w:r>
      <w:r w:rsidR="00446B04">
        <w:rPr>
          <w:rFonts w:eastAsia="Times New Roman" w:cs="Times New Roman"/>
        </w:rPr>
        <w:t>Collected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 C</w:t>
      </w:r>
      <w:r w:rsidR="00446B04">
        <w:rPr>
          <w:rFonts w:eastAsia="Times New Roman" w:cs="Times New Roman"/>
          <w:vertAlign w:val="subscript"/>
        </w:rPr>
        <w:t>3</w:t>
      </w:r>
      <w:r w:rsidR="00446B04">
        <w:rPr>
          <w:rFonts w:eastAsia="Times New Roman" w:cs="Times New Roman"/>
        </w:rPr>
        <w:t xml:space="preserve"> annual graminoids (), C</w:t>
      </w:r>
      <w:r w:rsidR="00446B04">
        <w:rPr>
          <w:rFonts w:eastAsia="Times New Roman" w:cs="Times New Roman"/>
          <w:vertAlign w:val="subscript"/>
        </w:rPr>
        <w:t>4</w:t>
      </w:r>
      <w:r w:rsidR="00446B04">
        <w:rPr>
          <w:rFonts w:eastAsia="Times New Roman" w:cs="Times New Roman"/>
        </w:rPr>
        <w:t xml:space="preserve"> graminoids, and C</w:t>
      </w:r>
      <w:r w:rsidR="00446B04">
        <w:rPr>
          <w:rFonts w:eastAsia="Times New Roman" w:cs="Times New Roman"/>
          <w:vertAlign w:val="subscript"/>
        </w:rPr>
        <w:t>3</w:t>
      </w:r>
      <w:r w:rsidR="00446B04">
        <w:rPr>
          <w:rFonts w:eastAsia="Times New Roman" w:cs="Times New Roman"/>
        </w:rPr>
        <w:t xml:space="preserve"> shrubs ().</w:t>
      </w:r>
      <w:r w:rsidR="0017417D">
        <w:rPr>
          <w:rFonts w:eastAsia="Times New Roman" w:cs="Times New Roman"/>
        </w:rPr>
        <w:t xml:space="preserve"> We used plant functional type as the primary descriptor of species as we were unable to identify several species down to a genus level.</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65E5962C" w:rsidR="00042F4A" w:rsidRDefault="00305473" w:rsidP="00CF6307">
      <w:pPr>
        <w:autoSpaceDE w:val="0"/>
        <w:autoSpaceDN w:val="0"/>
        <w:adjustRightInd w:val="0"/>
        <w:spacing w:line="480" w:lineRule="auto"/>
        <w:rPr>
          <w:color w:val="000000" w:themeColor="text1"/>
        </w:rPr>
      </w:pPr>
      <w:r>
        <w:rPr>
          <w:i/>
          <w:iCs/>
          <w:color w:val="000000" w:themeColor="text1"/>
        </w:rPr>
        <w:t>Statistical analysis</w:t>
      </w:r>
    </w:p>
    <w:p w14:paraId="667CB889" w14:textId="77777777" w:rsidR="00B14AEF" w:rsidRDefault="00306B99" w:rsidP="00B14AEF">
      <w:pPr>
        <w:autoSpaceDE w:val="0"/>
        <w:autoSpaceDN w:val="0"/>
        <w:adjustRightInd w:val="0"/>
        <w:spacing w:line="480" w:lineRule="auto"/>
        <w:ind w:firstLine="720"/>
        <w:rPr>
          <w:color w:val="000000" w:themeColor="text1"/>
        </w:rPr>
      </w:pPr>
      <w:r>
        <w:rPr>
          <w:color w:val="000000" w:themeColor="text1"/>
        </w:rPr>
        <w:t>We constructed a series of linear mixed-effects models to explore the effect</w:t>
      </w:r>
      <w:r w:rsidR="004219F5">
        <w:rPr>
          <w:color w:val="000000" w:themeColor="text1"/>
        </w:rPr>
        <w:t>s of edaphic and climatic factors on leaf nitrogen allocation and water use efficiency.</w:t>
      </w:r>
      <w:r>
        <w:rPr>
          <w:color w:val="000000" w:themeColor="text1"/>
        </w:rPr>
        <w:t xml:space="preserve"> </w:t>
      </w:r>
      <w:r w:rsidR="006A5604">
        <w:rPr>
          <w:color w:val="000000" w:themeColor="text1"/>
        </w:rPr>
        <w:t>We included soil nitrogen availability, soil pH, mean annual temperature, mean annual precipitation, short-term temperature, and short-term precipitation as continuous fixed effects</w:t>
      </w:r>
      <w:r w:rsidR="00B14AEF">
        <w:rPr>
          <w:color w:val="000000" w:themeColor="text1"/>
        </w:rPr>
        <w:t xml:space="preserve">, with plant functional type as a categorical fixed effect. We also included interactions between all fixed effects as additional model coefficients. To account for interspecies variation within each plant functional type, we included species as a random intercept term. </w:t>
      </w:r>
    </w:p>
    <w:p w14:paraId="3DF08D8A" w14:textId="193D2480" w:rsidR="00327DDB" w:rsidRDefault="00B14AEF" w:rsidP="00B14AEF">
      <w:pPr>
        <w:autoSpaceDE w:val="0"/>
        <w:autoSpaceDN w:val="0"/>
        <w:adjustRightInd w:val="0"/>
        <w:spacing w:line="480" w:lineRule="auto"/>
        <w:ind w:firstLine="720"/>
        <w:rPr>
          <w:color w:val="000000" w:themeColor="text1"/>
        </w:rPr>
      </w:pPr>
      <w:r>
        <w:rPr>
          <w:color w:val="000000" w:themeColor="text1"/>
        </w:rPr>
        <w:t xml:space="preserve">Short-term temperature and precipitation were chosen using model selection. </w:t>
      </w:r>
      <w:r w:rsidR="00327DDB">
        <w:rPr>
          <w:color w:val="000000" w:themeColor="text1"/>
        </w:rPr>
        <w:t>We constructed a series of linear mixed-effects models to determine appropriate short-term temperature and precipitation timescales to include in the models explained above. To determine the short-term temperature timescale to include in our models, constructed a series of models using a series o</w:t>
      </w:r>
    </w:p>
    <w:p w14:paraId="43146D34" w14:textId="6C92270A" w:rsidR="00327DDB" w:rsidRDefault="00327DDB" w:rsidP="00B14AEF">
      <w:pPr>
        <w:autoSpaceDE w:val="0"/>
        <w:autoSpaceDN w:val="0"/>
        <w:adjustRightInd w:val="0"/>
        <w:spacing w:line="480" w:lineRule="auto"/>
        <w:ind w:firstLine="720"/>
        <w:rPr>
          <w:color w:val="000000" w:themeColor="text1"/>
        </w:rPr>
      </w:pPr>
      <w:r>
        <w:rPr>
          <w:color w:val="000000" w:themeColor="text1"/>
        </w:rPr>
        <w:t xml:space="preserve">we used Akaike Information Criterion with </w:t>
      </w:r>
    </w:p>
    <w:p w14:paraId="36ADD802" w14:textId="77777777" w:rsidR="00327DDB" w:rsidRDefault="00327DDB" w:rsidP="00B14AEF">
      <w:pPr>
        <w:autoSpaceDE w:val="0"/>
        <w:autoSpaceDN w:val="0"/>
        <w:adjustRightInd w:val="0"/>
        <w:spacing w:line="480" w:lineRule="auto"/>
        <w:ind w:firstLine="720"/>
        <w:rPr>
          <w:color w:val="000000" w:themeColor="text1"/>
        </w:rPr>
      </w:pPr>
    </w:p>
    <w:p w14:paraId="73656826" w14:textId="77777777" w:rsidR="00327DDB" w:rsidRDefault="00327DDB" w:rsidP="00B14AEF">
      <w:pPr>
        <w:autoSpaceDE w:val="0"/>
        <w:autoSpaceDN w:val="0"/>
        <w:adjustRightInd w:val="0"/>
        <w:spacing w:line="480" w:lineRule="auto"/>
        <w:ind w:firstLine="720"/>
        <w:rPr>
          <w:color w:val="000000" w:themeColor="text1"/>
        </w:rPr>
      </w:pPr>
    </w:p>
    <w:p w14:paraId="79B3583F" w14:textId="37E5511C" w:rsidR="00327DDB" w:rsidRDefault="00327DDB" w:rsidP="00B14AEF">
      <w:pPr>
        <w:autoSpaceDE w:val="0"/>
        <w:autoSpaceDN w:val="0"/>
        <w:adjustRightInd w:val="0"/>
        <w:spacing w:line="480" w:lineRule="auto"/>
        <w:ind w:firstLine="720"/>
        <w:rPr>
          <w:color w:val="000000" w:themeColor="text1"/>
        </w:rPr>
      </w:pPr>
      <w:r>
        <w:rPr>
          <w:color w:val="000000" w:themeColor="text1"/>
        </w:rPr>
        <w:lastRenderedPageBreak/>
        <w:t>W</w:t>
      </w:r>
      <w:r w:rsidR="00B14AEF">
        <w:rPr>
          <w:color w:val="000000" w:themeColor="text1"/>
        </w:rPr>
        <w:t>e constructed a series of single factor mixed effects models where</w:t>
      </w:r>
      <w:r>
        <w:rPr>
          <w:color w:val="000000" w:themeColor="text1"/>
        </w:rPr>
        <w:t xml:space="preserve"> either</w:t>
      </w:r>
      <w:r w:rsidR="00B14AEF">
        <w:rPr>
          <w:color w:val="000000" w:themeColor="text1"/>
        </w:rPr>
        <w:t xml:space="preserve"> short-term temperature </w:t>
      </w:r>
      <w:r>
        <w:rPr>
          <w:color w:val="000000" w:themeColor="text1"/>
        </w:rPr>
        <w:t xml:space="preserve">or short-term precipitation </w:t>
      </w:r>
      <w:r w:rsidR="00B14AEF">
        <w:rPr>
          <w:color w:val="000000" w:themeColor="text1"/>
        </w:rPr>
        <w:t>was included as the only fixed effec</w:t>
      </w:r>
      <w:r>
        <w:rPr>
          <w:color w:val="000000" w:themeColor="text1"/>
        </w:rPr>
        <w:t>t</w:t>
      </w:r>
      <w:r w:rsidR="00B14AEF">
        <w:rPr>
          <w:color w:val="000000" w:themeColor="text1"/>
        </w:rPr>
        <w:t>.</w:t>
      </w:r>
      <w:r>
        <w:rPr>
          <w:color w:val="000000" w:themeColor="text1"/>
        </w:rPr>
        <w:t xml:space="preserve"> Species was included as a random intercept term. We used a series of time ranges </w:t>
      </w:r>
      <w:r w:rsidR="00B14AEF">
        <w:rPr>
          <w:color w:val="000000" w:themeColor="text1"/>
        </w:rPr>
        <w:t xml:space="preserve"> </w:t>
      </w:r>
    </w:p>
    <w:p w14:paraId="20163B97" w14:textId="77777777" w:rsidR="00327DDB" w:rsidRDefault="00327DDB" w:rsidP="00B14AEF">
      <w:pPr>
        <w:autoSpaceDE w:val="0"/>
        <w:autoSpaceDN w:val="0"/>
        <w:adjustRightInd w:val="0"/>
        <w:spacing w:line="480" w:lineRule="auto"/>
        <w:ind w:firstLine="720"/>
        <w:rPr>
          <w:color w:val="000000" w:themeColor="text1"/>
        </w:rPr>
      </w:pPr>
    </w:p>
    <w:p w14:paraId="5CA56E24" w14:textId="77777777" w:rsidR="00327DDB" w:rsidRDefault="00327DDB" w:rsidP="00B14AEF">
      <w:pPr>
        <w:autoSpaceDE w:val="0"/>
        <w:autoSpaceDN w:val="0"/>
        <w:adjustRightInd w:val="0"/>
        <w:spacing w:line="480" w:lineRule="auto"/>
        <w:ind w:firstLine="720"/>
        <w:rPr>
          <w:color w:val="000000" w:themeColor="text1"/>
        </w:rPr>
      </w:pPr>
    </w:p>
    <w:p w14:paraId="66C76F17" w14:textId="7D16541A" w:rsidR="00B14AEF" w:rsidRDefault="00B14AEF" w:rsidP="00B14AEF">
      <w:pPr>
        <w:autoSpaceDE w:val="0"/>
        <w:autoSpaceDN w:val="0"/>
        <w:adjustRightInd w:val="0"/>
        <w:spacing w:line="480" w:lineRule="auto"/>
        <w:ind w:firstLine="720"/>
        <w:rPr>
          <w:color w:val="000000" w:themeColor="text1"/>
        </w:rPr>
      </w:pPr>
      <w:r>
        <w:rPr>
          <w:color w:val="000000" w:themeColor="text1"/>
        </w:rPr>
        <w:t>Species was included as a random intercept term to maintain the random effect structure.</w:t>
      </w:r>
    </w:p>
    <w:p w14:paraId="6D0B4BDE" w14:textId="77777777" w:rsidR="00B14AEF" w:rsidRDefault="00B14AEF" w:rsidP="00B14AEF">
      <w:pPr>
        <w:autoSpaceDE w:val="0"/>
        <w:autoSpaceDN w:val="0"/>
        <w:adjustRightInd w:val="0"/>
        <w:spacing w:line="480" w:lineRule="auto"/>
        <w:ind w:firstLine="720"/>
        <w:rPr>
          <w:color w:val="000000" w:themeColor="text1"/>
        </w:rPr>
      </w:pPr>
    </w:p>
    <w:p w14:paraId="54C8148B" w14:textId="4A7B08BE" w:rsidR="00B14AEF" w:rsidRDefault="00B14AEF" w:rsidP="00B14AEF">
      <w:pPr>
        <w:autoSpaceDE w:val="0"/>
        <w:autoSpaceDN w:val="0"/>
        <w:adjustRightInd w:val="0"/>
        <w:spacing w:line="480" w:lineRule="auto"/>
        <w:ind w:firstLine="720"/>
        <w:rPr>
          <w:color w:val="000000" w:themeColor="text1"/>
        </w:rPr>
      </w:pPr>
      <w:r>
        <w:rPr>
          <w:color w:val="000000" w:themeColor="text1"/>
        </w:rPr>
        <w:t xml:space="preserve">Specifically, we constructed a series of single factor mixed effects models for both </w:t>
      </w:r>
    </w:p>
    <w:p w14:paraId="24170869" w14:textId="77777777" w:rsidR="00B14AEF" w:rsidRDefault="00B14AEF" w:rsidP="00B14AEF">
      <w:pPr>
        <w:autoSpaceDE w:val="0"/>
        <w:autoSpaceDN w:val="0"/>
        <w:adjustRightInd w:val="0"/>
        <w:spacing w:line="480" w:lineRule="auto"/>
        <w:ind w:firstLine="720"/>
        <w:rPr>
          <w:color w:val="000000" w:themeColor="text1"/>
        </w:rPr>
      </w:pPr>
    </w:p>
    <w:p w14:paraId="26D396BD" w14:textId="0F7C06A1" w:rsidR="006A5604" w:rsidRDefault="00B14AEF" w:rsidP="00B14AEF">
      <w:pPr>
        <w:autoSpaceDE w:val="0"/>
        <w:autoSpaceDN w:val="0"/>
        <w:adjustRightInd w:val="0"/>
        <w:spacing w:line="480" w:lineRule="auto"/>
        <w:ind w:firstLine="720"/>
        <w:rPr>
          <w:color w:val="000000" w:themeColor="text1"/>
        </w:rPr>
      </w:pPr>
      <w:r>
        <w:rPr>
          <w:color w:val="000000" w:themeColor="text1"/>
        </w:rPr>
        <w:t>we used Akaike Information Criterion and Bayesian Information Criterion to</w:t>
      </w:r>
    </w:p>
    <w:p w14:paraId="6355BDB7" w14:textId="77777777" w:rsidR="006A5604" w:rsidRDefault="006A5604" w:rsidP="00CF6307">
      <w:pPr>
        <w:autoSpaceDE w:val="0"/>
        <w:autoSpaceDN w:val="0"/>
        <w:adjustRightInd w:val="0"/>
        <w:spacing w:line="480" w:lineRule="auto"/>
        <w:ind w:firstLine="720"/>
        <w:rPr>
          <w:color w:val="000000" w:themeColor="text1"/>
        </w:rPr>
      </w:pPr>
    </w:p>
    <w:p w14:paraId="29460966" w14:textId="7200A2AF" w:rsidR="006A5604" w:rsidRDefault="006A5604" w:rsidP="006A5604">
      <w:pPr>
        <w:autoSpaceDE w:val="0"/>
        <w:autoSpaceDN w:val="0"/>
        <w:adjustRightInd w:val="0"/>
        <w:spacing w:line="480" w:lineRule="auto"/>
        <w:ind w:firstLine="720"/>
        <w:rPr>
          <w:color w:val="000000" w:themeColor="text1"/>
        </w:rPr>
      </w:pPr>
      <w:r>
        <w:rPr>
          <w:color w:val="000000" w:themeColor="text1"/>
        </w:rPr>
        <w:t>Climatic timescales were chosen using Akaike Information Criterion and Bayesian Information Criterion to select</w:t>
      </w:r>
    </w:p>
    <w:p w14:paraId="32ECA265" w14:textId="77777777" w:rsidR="006A5604" w:rsidRDefault="006A5604" w:rsidP="006A5604">
      <w:pPr>
        <w:autoSpaceDE w:val="0"/>
        <w:autoSpaceDN w:val="0"/>
        <w:adjustRightInd w:val="0"/>
        <w:spacing w:line="480" w:lineRule="auto"/>
        <w:ind w:firstLine="720"/>
        <w:rPr>
          <w:color w:val="000000" w:themeColor="text1"/>
        </w:rPr>
      </w:pPr>
    </w:p>
    <w:p w14:paraId="6C0A9C25" w14:textId="77777777" w:rsidR="006A5604" w:rsidRDefault="006A5604" w:rsidP="006A5604">
      <w:pPr>
        <w:autoSpaceDE w:val="0"/>
        <w:autoSpaceDN w:val="0"/>
        <w:adjustRightInd w:val="0"/>
        <w:spacing w:line="480" w:lineRule="auto"/>
        <w:ind w:firstLine="720"/>
        <w:rPr>
          <w:color w:val="000000" w:themeColor="text1"/>
        </w:rPr>
      </w:pPr>
    </w:p>
    <w:p w14:paraId="38872B14" w14:textId="723EBDF7" w:rsidR="004219F5" w:rsidRDefault="006A5604" w:rsidP="006A5604">
      <w:pPr>
        <w:autoSpaceDE w:val="0"/>
        <w:autoSpaceDN w:val="0"/>
        <w:adjustRightInd w:val="0"/>
        <w:spacing w:line="480" w:lineRule="auto"/>
        <w:ind w:firstLine="720"/>
        <w:rPr>
          <w:color w:val="000000" w:themeColor="text1"/>
        </w:rPr>
      </w:pPr>
      <w:r>
        <w:rPr>
          <w:color w:val="000000" w:themeColor="text1"/>
        </w:rPr>
        <w:t xml:space="preserve"> to select the daily climate threshold that best explained effects of edaphic characteristics on leaf nitrogen allocation and water use efficiency. This was done using a sequence of mean daily temperature and total precipitation values that ranged from five days before each site visit to thirty days before each site visit on a single day timestep.</w:t>
      </w:r>
    </w:p>
    <w:p w14:paraId="40BE324F" w14:textId="77777777" w:rsidR="00306B99" w:rsidRDefault="00306B99" w:rsidP="00CF6307">
      <w:pPr>
        <w:autoSpaceDE w:val="0"/>
        <w:autoSpaceDN w:val="0"/>
        <w:adjustRightInd w:val="0"/>
        <w:spacing w:line="480" w:lineRule="auto"/>
        <w:rPr>
          <w:color w:val="000000" w:themeColor="text1"/>
        </w:rPr>
      </w:pP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4141D0E4" w14:textId="01B44EDC" w:rsidR="001A0E1E" w:rsidRPr="001A0E1E" w:rsidRDefault="00AA3362" w:rsidP="001A0E1E">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1A0E1E" w:rsidRPr="001A0E1E">
        <w:rPr>
          <w:rFonts w:cs="Times New Roman"/>
          <w:b/>
          <w:bCs/>
          <w:noProof/>
        </w:rPr>
        <w:t>Bengtson P, Barker J, Grayston SJ</w:t>
      </w:r>
      <w:r w:rsidR="001A0E1E" w:rsidRPr="001A0E1E">
        <w:rPr>
          <w:rFonts w:cs="Times New Roman"/>
          <w:noProof/>
        </w:rPr>
        <w:t xml:space="preserve">. </w:t>
      </w:r>
      <w:r w:rsidR="001A0E1E" w:rsidRPr="001A0E1E">
        <w:rPr>
          <w:rFonts w:cs="Times New Roman"/>
          <w:b/>
          <w:bCs/>
          <w:noProof/>
        </w:rPr>
        <w:t>2012</w:t>
      </w:r>
      <w:r w:rsidR="001A0E1E" w:rsidRPr="001A0E1E">
        <w:rPr>
          <w:rFonts w:cs="Times New Roman"/>
          <w:noProof/>
        </w:rPr>
        <w:t xml:space="preserve">. Evidence of a strong coupling between root exudation, C and N availability, and stimulated SOM decomposition caused by rhizosphere priming effects. </w:t>
      </w:r>
      <w:r w:rsidR="001A0E1E" w:rsidRPr="001A0E1E">
        <w:rPr>
          <w:rFonts w:cs="Times New Roman"/>
          <w:i/>
          <w:iCs/>
          <w:noProof/>
        </w:rPr>
        <w:t>Ecology and Evolution</w:t>
      </w:r>
      <w:r w:rsidR="001A0E1E" w:rsidRPr="001A0E1E">
        <w:rPr>
          <w:rFonts w:cs="Times New Roman"/>
          <w:noProof/>
        </w:rPr>
        <w:t xml:space="preserve"> </w:t>
      </w:r>
      <w:r w:rsidR="001A0E1E" w:rsidRPr="001A0E1E">
        <w:rPr>
          <w:rFonts w:cs="Times New Roman"/>
          <w:b/>
          <w:bCs/>
          <w:noProof/>
        </w:rPr>
        <w:t>2</w:t>
      </w:r>
      <w:r w:rsidR="001A0E1E" w:rsidRPr="001A0E1E">
        <w:rPr>
          <w:rFonts w:cs="Times New Roman"/>
          <w:noProof/>
        </w:rPr>
        <w:t>: 1843–1852.</w:t>
      </w:r>
    </w:p>
    <w:p w14:paraId="14F79C03"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Bonham CD, Mergen DE, Montoya S</w:t>
      </w:r>
      <w:r w:rsidRPr="001A0E1E">
        <w:rPr>
          <w:rFonts w:cs="Times New Roman"/>
          <w:noProof/>
        </w:rPr>
        <w:t xml:space="preserve">. </w:t>
      </w:r>
      <w:r w:rsidRPr="001A0E1E">
        <w:rPr>
          <w:rFonts w:cs="Times New Roman"/>
          <w:b/>
          <w:bCs/>
          <w:noProof/>
        </w:rPr>
        <w:t>2004</w:t>
      </w:r>
      <w:r w:rsidRPr="001A0E1E">
        <w:rPr>
          <w:rFonts w:cs="Times New Roman"/>
          <w:noProof/>
        </w:rPr>
        <w:t xml:space="preserve">. Plant cover estimation: a contiguous Daubenmire frame. </w:t>
      </w:r>
      <w:r w:rsidRPr="001A0E1E">
        <w:rPr>
          <w:rFonts w:cs="Times New Roman"/>
          <w:i/>
          <w:iCs/>
          <w:noProof/>
        </w:rPr>
        <w:t>Rangelands</w:t>
      </w:r>
      <w:r w:rsidRPr="001A0E1E">
        <w:rPr>
          <w:rFonts w:cs="Times New Roman"/>
          <w:noProof/>
        </w:rPr>
        <w:t xml:space="preserve"> </w:t>
      </w:r>
      <w:r w:rsidRPr="001A0E1E">
        <w:rPr>
          <w:rFonts w:cs="Times New Roman"/>
          <w:b/>
          <w:bCs/>
          <w:noProof/>
        </w:rPr>
        <w:t>26</w:t>
      </w:r>
      <w:r w:rsidRPr="001A0E1E">
        <w:rPr>
          <w:rFonts w:cs="Times New Roman"/>
          <w:noProof/>
        </w:rPr>
        <w:t>: 17–22.</w:t>
      </w:r>
    </w:p>
    <w:p w14:paraId="7A28E91E"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Brix H</w:t>
      </w:r>
      <w:r w:rsidRPr="001A0E1E">
        <w:rPr>
          <w:rFonts w:cs="Times New Roman"/>
          <w:noProof/>
        </w:rPr>
        <w:t xml:space="preserve">. </w:t>
      </w:r>
      <w:r w:rsidRPr="001A0E1E">
        <w:rPr>
          <w:rFonts w:cs="Times New Roman"/>
          <w:b/>
          <w:bCs/>
          <w:noProof/>
        </w:rPr>
        <w:t>1971</w:t>
      </w:r>
      <w:r w:rsidRPr="001A0E1E">
        <w:rPr>
          <w:rFonts w:cs="Times New Roman"/>
          <w:noProof/>
        </w:rPr>
        <w:t xml:space="preserve">. Effects of nitrogen fertilization on photosynthesis and respiration in Douglas-fir. </w:t>
      </w:r>
      <w:r w:rsidRPr="001A0E1E">
        <w:rPr>
          <w:rFonts w:cs="Times New Roman"/>
          <w:i/>
          <w:iCs/>
          <w:noProof/>
        </w:rPr>
        <w:t>Forest Science</w:t>
      </w:r>
      <w:r w:rsidRPr="001A0E1E">
        <w:rPr>
          <w:rFonts w:cs="Times New Roman"/>
          <w:noProof/>
        </w:rPr>
        <w:t xml:space="preserve"> </w:t>
      </w:r>
      <w:r w:rsidRPr="001A0E1E">
        <w:rPr>
          <w:rFonts w:cs="Times New Roman"/>
          <w:b/>
          <w:bCs/>
          <w:noProof/>
        </w:rPr>
        <w:t>17</w:t>
      </w:r>
      <w:r w:rsidRPr="001A0E1E">
        <w:rPr>
          <w:rFonts w:cs="Times New Roman"/>
          <w:noProof/>
        </w:rPr>
        <w:t>: 407–414.</w:t>
      </w:r>
    </w:p>
    <w:p w14:paraId="0E840F6D"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Cernusak LA, Ubierna N, Winter K, Holtum JAM, Marshall JD, Farquhar GD</w:t>
      </w:r>
      <w:r w:rsidRPr="001A0E1E">
        <w:rPr>
          <w:rFonts w:cs="Times New Roman"/>
          <w:noProof/>
        </w:rPr>
        <w:t xml:space="preserve">. </w:t>
      </w:r>
      <w:r w:rsidRPr="001A0E1E">
        <w:rPr>
          <w:rFonts w:cs="Times New Roman"/>
          <w:b/>
          <w:bCs/>
          <w:noProof/>
        </w:rPr>
        <w:t>2013</w:t>
      </w:r>
      <w:r w:rsidRPr="001A0E1E">
        <w:rPr>
          <w:rFonts w:cs="Times New Roman"/>
          <w:noProof/>
        </w:rPr>
        <w:t xml:space="preserve">. Environmental and physiological determinants of carbon isotope discrimination in terrestrial plants. </w:t>
      </w:r>
      <w:r w:rsidRPr="001A0E1E">
        <w:rPr>
          <w:rFonts w:cs="Times New Roman"/>
          <w:i/>
          <w:iCs/>
          <w:noProof/>
        </w:rPr>
        <w:t>New Phytologist</w:t>
      </w:r>
      <w:r w:rsidRPr="001A0E1E">
        <w:rPr>
          <w:rFonts w:cs="Times New Roman"/>
          <w:noProof/>
        </w:rPr>
        <w:t xml:space="preserve"> </w:t>
      </w:r>
      <w:r w:rsidRPr="001A0E1E">
        <w:rPr>
          <w:rFonts w:cs="Times New Roman"/>
          <w:b/>
          <w:bCs/>
          <w:noProof/>
        </w:rPr>
        <w:t>200</w:t>
      </w:r>
      <w:r w:rsidRPr="001A0E1E">
        <w:rPr>
          <w:rFonts w:cs="Times New Roman"/>
          <w:noProof/>
        </w:rPr>
        <w:t>: 950–965.</w:t>
      </w:r>
    </w:p>
    <w:p w14:paraId="7B506EE2"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Daubenmire RF</w:t>
      </w:r>
      <w:r w:rsidRPr="001A0E1E">
        <w:rPr>
          <w:rFonts w:cs="Times New Roman"/>
          <w:noProof/>
        </w:rPr>
        <w:t xml:space="preserve">. </w:t>
      </w:r>
      <w:r w:rsidRPr="001A0E1E">
        <w:rPr>
          <w:rFonts w:cs="Times New Roman"/>
          <w:b/>
          <w:bCs/>
          <w:noProof/>
        </w:rPr>
        <w:t>1959</w:t>
      </w:r>
      <w:r w:rsidRPr="001A0E1E">
        <w:rPr>
          <w:rFonts w:cs="Times New Roman"/>
          <w:noProof/>
        </w:rPr>
        <w:t xml:space="preserve">. Canopy coverage method of vegetation analysis. </w:t>
      </w:r>
      <w:r w:rsidRPr="001A0E1E">
        <w:rPr>
          <w:rFonts w:cs="Times New Roman"/>
          <w:i/>
          <w:iCs/>
          <w:noProof/>
        </w:rPr>
        <w:t>Northwest Science</w:t>
      </w:r>
      <w:r w:rsidRPr="001A0E1E">
        <w:rPr>
          <w:rFonts w:cs="Times New Roman"/>
          <w:noProof/>
        </w:rPr>
        <w:t xml:space="preserve"> </w:t>
      </w:r>
      <w:r w:rsidRPr="001A0E1E">
        <w:rPr>
          <w:rFonts w:cs="Times New Roman"/>
          <w:b/>
          <w:bCs/>
          <w:noProof/>
        </w:rPr>
        <w:t>33</w:t>
      </w:r>
      <w:r w:rsidRPr="001A0E1E">
        <w:rPr>
          <w:rFonts w:cs="Times New Roman"/>
          <w:noProof/>
        </w:rPr>
        <w:t>: 39–64.</w:t>
      </w:r>
    </w:p>
    <w:p w14:paraId="57BACD56"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Davis TW, Prentice IC, Stocker BD, Thomas RT, Whitley RJ, Wang H, Evans BJ, Gallego-Sala A V, Sykes MT, Cramer W</w:t>
      </w:r>
      <w:r w:rsidRPr="001A0E1E">
        <w:rPr>
          <w:rFonts w:cs="Times New Roman"/>
          <w:noProof/>
        </w:rPr>
        <w:t xml:space="preserve">. </w:t>
      </w:r>
      <w:r w:rsidRPr="001A0E1E">
        <w:rPr>
          <w:rFonts w:cs="Times New Roman"/>
          <w:b/>
          <w:bCs/>
          <w:noProof/>
        </w:rPr>
        <w:t>2017</w:t>
      </w:r>
      <w:r w:rsidRPr="001A0E1E">
        <w:rPr>
          <w:rFonts w:cs="Times New Roman"/>
          <w:noProof/>
        </w:rPr>
        <w:t xml:space="preserve">. Simple process-led algorithms for simulating habitats (SPLASH v.1.0): robust indices of radiation, evapotranspiration and plant-available moisture. </w:t>
      </w:r>
      <w:r w:rsidRPr="001A0E1E">
        <w:rPr>
          <w:rFonts w:cs="Times New Roman"/>
          <w:i/>
          <w:iCs/>
          <w:noProof/>
        </w:rPr>
        <w:t>Geoscientific Model Development</w:t>
      </w:r>
      <w:r w:rsidRPr="001A0E1E">
        <w:rPr>
          <w:rFonts w:cs="Times New Roman"/>
          <w:noProof/>
        </w:rPr>
        <w:t xml:space="preserve"> </w:t>
      </w:r>
      <w:r w:rsidRPr="001A0E1E">
        <w:rPr>
          <w:rFonts w:cs="Times New Roman"/>
          <w:b/>
          <w:bCs/>
          <w:noProof/>
        </w:rPr>
        <w:t>10</w:t>
      </w:r>
      <w:r w:rsidRPr="001A0E1E">
        <w:rPr>
          <w:rFonts w:cs="Times New Roman"/>
          <w:noProof/>
        </w:rPr>
        <w:t>: 689–708.</w:t>
      </w:r>
    </w:p>
    <w:p w14:paraId="34643230"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Dong N, Prentice IC, Evans BJ, Caddy-Retalic S, Lowe AJ, Wright IJ</w:t>
      </w:r>
      <w:r w:rsidRPr="001A0E1E">
        <w:rPr>
          <w:rFonts w:cs="Times New Roman"/>
          <w:noProof/>
        </w:rPr>
        <w:t xml:space="preserve">. </w:t>
      </w:r>
      <w:r w:rsidRPr="001A0E1E">
        <w:rPr>
          <w:rFonts w:cs="Times New Roman"/>
          <w:b/>
          <w:bCs/>
          <w:noProof/>
        </w:rPr>
        <w:t>2017</w:t>
      </w:r>
      <w:r w:rsidRPr="001A0E1E">
        <w:rPr>
          <w:rFonts w:cs="Times New Roman"/>
          <w:noProof/>
        </w:rPr>
        <w:t xml:space="preserve">. Leaf nitrogen from first principles: field evidence for adaptive variation with climate. </w:t>
      </w:r>
      <w:r w:rsidRPr="001A0E1E">
        <w:rPr>
          <w:rFonts w:cs="Times New Roman"/>
          <w:i/>
          <w:iCs/>
          <w:noProof/>
        </w:rPr>
        <w:t>Biogeosciences</w:t>
      </w:r>
      <w:r w:rsidRPr="001A0E1E">
        <w:rPr>
          <w:rFonts w:cs="Times New Roman"/>
          <w:noProof/>
        </w:rPr>
        <w:t xml:space="preserve"> </w:t>
      </w:r>
      <w:r w:rsidRPr="001A0E1E">
        <w:rPr>
          <w:rFonts w:cs="Times New Roman"/>
          <w:b/>
          <w:bCs/>
          <w:noProof/>
        </w:rPr>
        <w:t>14</w:t>
      </w:r>
      <w:r w:rsidRPr="001A0E1E">
        <w:rPr>
          <w:rFonts w:cs="Times New Roman"/>
          <w:noProof/>
        </w:rPr>
        <w:t>: 481–495.</w:t>
      </w:r>
    </w:p>
    <w:p w14:paraId="02E61C08"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Dong N, Prentice IC, Wright IJ, Evans BJ, Togashi HF, Caddy-Retalic S, McInerney FA, Sparrow B, Leitch E, Lowe AJ</w:t>
      </w:r>
      <w:r w:rsidRPr="001A0E1E">
        <w:rPr>
          <w:rFonts w:cs="Times New Roman"/>
          <w:noProof/>
        </w:rPr>
        <w:t xml:space="preserve">. </w:t>
      </w:r>
      <w:r w:rsidRPr="001A0E1E">
        <w:rPr>
          <w:rFonts w:cs="Times New Roman"/>
          <w:b/>
          <w:bCs/>
          <w:noProof/>
        </w:rPr>
        <w:t>2020</w:t>
      </w:r>
      <w:r w:rsidRPr="001A0E1E">
        <w:rPr>
          <w:rFonts w:cs="Times New Roman"/>
          <w:noProof/>
        </w:rPr>
        <w:t xml:space="preserve">. Components of leaf‐trait variation along environmental </w:t>
      </w:r>
      <w:r w:rsidRPr="001A0E1E">
        <w:rPr>
          <w:rFonts w:cs="Times New Roman"/>
          <w:noProof/>
        </w:rPr>
        <w:lastRenderedPageBreak/>
        <w:t xml:space="preserve">gradients. </w:t>
      </w:r>
      <w:r w:rsidRPr="001A0E1E">
        <w:rPr>
          <w:rFonts w:cs="Times New Roman"/>
          <w:i/>
          <w:iCs/>
          <w:noProof/>
        </w:rPr>
        <w:t>New Phytologist</w:t>
      </w:r>
      <w:r w:rsidRPr="001A0E1E">
        <w:rPr>
          <w:rFonts w:cs="Times New Roman"/>
          <w:noProof/>
        </w:rPr>
        <w:t xml:space="preserve"> </w:t>
      </w:r>
      <w:r w:rsidRPr="001A0E1E">
        <w:rPr>
          <w:rFonts w:cs="Times New Roman"/>
          <w:b/>
          <w:bCs/>
          <w:noProof/>
        </w:rPr>
        <w:t>228</w:t>
      </w:r>
      <w:r w:rsidRPr="001A0E1E">
        <w:rPr>
          <w:rFonts w:cs="Times New Roman"/>
          <w:noProof/>
        </w:rPr>
        <w:t>: 82–94.</w:t>
      </w:r>
    </w:p>
    <w:p w14:paraId="50CE020C"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Dong N, Wright IJ, Chen JM, Luo X, Wang H, Keenan TF, Smith NG, Prentice IC</w:t>
      </w:r>
      <w:r w:rsidRPr="001A0E1E">
        <w:rPr>
          <w:rFonts w:cs="Times New Roman"/>
          <w:noProof/>
        </w:rPr>
        <w:t xml:space="preserve">. </w:t>
      </w:r>
      <w:r w:rsidRPr="001A0E1E">
        <w:rPr>
          <w:rFonts w:cs="Times New Roman"/>
          <w:b/>
          <w:bCs/>
          <w:noProof/>
        </w:rPr>
        <w:t>2022</w:t>
      </w:r>
      <w:r w:rsidRPr="001A0E1E">
        <w:rPr>
          <w:rFonts w:cs="Times New Roman"/>
          <w:noProof/>
        </w:rPr>
        <w:t xml:space="preserve">. Rising CO2 and warming reduce global canopy demand for nitrogen. </w:t>
      </w:r>
      <w:r w:rsidRPr="001A0E1E">
        <w:rPr>
          <w:rFonts w:cs="Times New Roman"/>
          <w:i/>
          <w:iCs/>
          <w:noProof/>
        </w:rPr>
        <w:t>New Phytologist</w:t>
      </w:r>
      <w:r w:rsidRPr="001A0E1E">
        <w:rPr>
          <w:rFonts w:cs="Times New Roman"/>
          <w:noProof/>
        </w:rPr>
        <w:t>.</w:t>
      </w:r>
    </w:p>
    <w:p w14:paraId="0A316779"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Evans JR</w:t>
      </w:r>
      <w:r w:rsidRPr="001A0E1E">
        <w:rPr>
          <w:rFonts w:cs="Times New Roman"/>
          <w:noProof/>
        </w:rPr>
        <w:t xml:space="preserve">. </w:t>
      </w:r>
      <w:r w:rsidRPr="001A0E1E">
        <w:rPr>
          <w:rFonts w:cs="Times New Roman"/>
          <w:b/>
          <w:bCs/>
          <w:noProof/>
        </w:rPr>
        <w:t>1989</w:t>
      </w:r>
      <w:r w:rsidRPr="001A0E1E">
        <w:rPr>
          <w:rFonts w:cs="Times New Roman"/>
          <w:noProof/>
        </w:rPr>
        <w:t xml:space="preserve">. Photosynthesis and nitrogen relationships in leaves of C3 plants. </w:t>
      </w:r>
      <w:r w:rsidRPr="001A0E1E">
        <w:rPr>
          <w:rFonts w:cs="Times New Roman"/>
          <w:i/>
          <w:iCs/>
          <w:noProof/>
        </w:rPr>
        <w:t>Oecologia</w:t>
      </w:r>
      <w:r w:rsidRPr="001A0E1E">
        <w:rPr>
          <w:rFonts w:cs="Times New Roman"/>
          <w:noProof/>
        </w:rPr>
        <w:t xml:space="preserve"> </w:t>
      </w:r>
      <w:r w:rsidRPr="001A0E1E">
        <w:rPr>
          <w:rFonts w:cs="Times New Roman"/>
          <w:b/>
          <w:bCs/>
          <w:noProof/>
        </w:rPr>
        <w:t>78</w:t>
      </w:r>
      <w:r w:rsidRPr="001A0E1E">
        <w:rPr>
          <w:rFonts w:cs="Times New Roman"/>
          <w:noProof/>
        </w:rPr>
        <w:t>: 9–19.</w:t>
      </w:r>
    </w:p>
    <w:p w14:paraId="245B40A9"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Farquhar GD, Ehleringer JR, Hubick KT</w:t>
      </w:r>
      <w:r w:rsidRPr="001A0E1E">
        <w:rPr>
          <w:rFonts w:cs="Times New Roman"/>
          <w:noProof/>
        </w:rPr>
        <w:t xml:space="preserve">. </w:t>
      </w:r>
      <w:r w:rsidRPr="001A0E1E">
        <w:rPr>
          <w:rFonts w:cs="Times New Roman"/>
          <w:b/>
          <w:bCs/>
          <w:noProof/>
        </w:rPr>
        <w:t>1989</w:t>
      </w:r>
      <w:r w:rsidRPr="001A0E1E">
        <w:rPr>
          <w:rFonts w:cs="Times New Roman"/>
          <w:noProof/>
        </w:rPr>
        <w:t xml:space="preserve">. Carbon isotope discrimination and photosynthesis. </w:t>
      </w:r>
      <w:r w:rsidRPr="001A0E1E">
        <w:rPr>
          <w:rFonts w:cs="Times New Roman"/>
          <w:i/>
          <w:iCs/>
          <w:noProof/>
        </w:rPr>
        <w:t>Annual Review of Plant Physiology and Plant Molecular Biology</w:t>
      </w:r>
      <w:r w:rsidRPr="001A0E1E">
        <w:rPr>
          <w:rFonts w:cs="Times New Roman"/>
          <w:noProof/>
        </w:rPr>
        <w:t xml:space="preserve"> </w:t>
      </w:r>
      <w:r w:rsidRPr="001A0E1E">
        <w:rPr>
          <w:rFonts w:cs="Times New Roman"/>
          <w:b/>
          <w:bCs/>
          <w:noProof/>
        </w:rPr>
        <w:t>40</w:t>
      </w:r>
      <w:r w:rsidRPr="001A0E1E">
        <w:rPr>
          <w:rFonts w:cs="Times New Roman"/>
          <w:noProof/>
        </w:rPr>
        <w:t>: 503–537.</w:t>
      </w:r>
    </w:p>
    <w:p w14:paraId="5BCC539B"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Glover J</w:t>
      </w:r>
      <w:r w:rsidRPr="001A0E1E">
        <w:rPr>
          <w:rFonts w:cs="Times New Roman"/>
          <w:noProof/>
        </w:rPr>
        <w:t xml:space="preserve">. </w:t>
      </w:r>
      <w:r w:rsidRPr="001A0E1E">
        <w:rPr>
          <w:rFonts w:cs="Times New Roman"/>
          <w:b/>
          <w:bCs/>
          <w:noProof/>
        </w:rPr>
        <w:t>1973</w:t>
      </w:r>
      <w:r w:rsidRPr="001A0E1E">
        <w:rPr>
          <w:rFonts w:cs="Times New Roman"/>
          <w:noProof/>
        </w:rPr>
        <w:t xml:space="preserve">. The dark respiration of sugar-cane and the loss of photosynthate during the growth of a crop. </w:t>
      </w:r>
      <w:r w:rsidRPr="001A0E1E">
        <w:rPr>
          <w:rFonts w:cs="Times New Roman"/>
          <w:i/>
          <w:iCs/>
          <w:noProof/>
        </w:rPr>
        <w:t>Annals of Botany</w:t>
      </w:r>
      <w:r w:rsidRPr="001A0E1E">
        <w:rPr>
          <w:rFonts w:cs="Times New Roman"/>
          <w:noProof/>
        </w:rPr>
        <w:t xml:space="preserve"> </w:t>
      </w:r>
      <w:r w:rsidRPr="001A0E1E">
        <w:rPr>
          <w:rFonts w:cs="Times New Roman"/>
          <w:b/>
          <w:bCs/>
          <w:noProof/>
        </w:rPr>
        <w:t>37</w:t>
      </w:r>
      <w:r w:rsidRPr="001A0E1E">
        <w:rPr>
          <w:rFonts w:cs="Times New Roman"/>
          <w:noProof/>
        </w:rPr>
        <w:t>: 845–852.</w:t>
      </w:r>
    </w:p>
    <w:p w14:paraId="48B054B3"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Hart E, Bell K</w:t>
      </w:r>
      <w:r w:rsidRPr="001A0E1E">
        <w:rPr>
          <w:rFonts w:cs="Times New Roman"/>
          <w:noProof/>
        </w:rPr>
        <w:t xml:space="preserve">. </w:t>
      </w:r>
      <w:r w:rsidRPr="001A0E1E">
        <w:rPr>
          <w:rFonts w:cs="Times New Roman"/>
          <w:b/>
          <w:bCs/>
          <w:noProof/>
        </w:rPr>
        <w:t>2015</w:t>
      </w:r>
      <w:r w:rsidRPr="001A0E1E">
        <w:rPr>
          <w:rFonts w:cs="Times New Roman"/>
          <w:noProof/>
        </w:rPr>
        <w:t>. prism: Access data from the Oregon State Prism climate project.</w:t>
      </w:r>
    </w:p>
    <w:p w14:paraId="2FAE2661"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Hungate BA, Dukes JS, Shaw MR, Luo Y, Field CB</w:t>
      </w:r>
      <w:r w:rsidRPr="001A0E1E">
        <w:rPr>
          <w:rFonts w:cs="Times New Roman"/>
          <w:noProof/>
        </w:rPr>
        <w:t xml:space="preserve">. </w:t>
      </w:r>
      <w:r w:rsidRPr="001A0E1E">
        <w:rPr>
          <w:rFonts w:cs="Times New Roman"/>
          <w:b/>
          <w:bCs/>
          <w:noProof/>
        </w:rPr>
        <w:t>2003</w:t>
      </w:r>
      <w:r w:rsidRPr="001A0E1E">
        <w:rPr>
          <w:rFonts w:cs="Times New Roman"/>
          <w:noProof/>
        </w:rPr>
        <w:t xml:space="preserve">. Nitrogen and climate change. </w:t>
      </w:r>
      <w:r w:rsidRPr="001A0E1E">
        <w:rPr>
          <w:rFonts w:cs="Times New Roman"/>
          <w:i/>
          <w:iCs/>
          <w:noProof/>
        </w:rPr>
        <w:t>Science</w:t>
      </w:r>
      <w:r w:rsidRPr="001A0E1E">
        <w:rPr>
          <w:rFonts w:cs="Times New Roman"/>
          <w:noProof/>
        </w:rPr>
        <w:t xml:space="preserve"> </w:t>
      </w:r>
      <w:r w:rsidRPr="001A0E1E">
        <w:rPr>
          <w:rFonts w:cs="Times New Roman"/>
          <w:b/>
          <w:bCs/>
          <w:noProof/>
        </w:rPr>
        <w:t>302</w:t>
      </w:r>
      <w:r w:rsidRPr="001A0E1E">
        <w:rPr>
          <w:rFonts w:cs="Times New Roman"/>
          <w:noProof/>
        </w:rPr>
        <w:t>: 1512–1513.</w:t>
      </w:r>
    </w:p>
    <w:p w14:paraId="4703186D"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Katabuchi M</w:t>
      </w:r>
      <w:r w:rsidRPr="001A0E1E">
        <w:rPr>
          <w:rFonts w:cs="Times New Roman"/>
          <w:noProof/>
        </w:rPr>
        <w:t xml:space="preserve">. </w:t>
      </w:r>
      <w:r w:rsidRPr="001A0E1E">
        <w:rPr>
          <w:rFonts w:cs="Times New Roman"/>
          <w:b/>
          <w:bCs/>
          <w:noProof/>
        </w:rPr>
        <w:t>2015</w:t>
      </w:r>
      <w:r w:rsidRPr="001A0E1E">
        <w:rPr>
          <w:rFonts w:cs="Times New Roman"/>
          <w:noProof/>
        </w:rPr>
        <w:t xml:space="preserve">. LeafArea: An R package for rapid digital analysis of leaf area. </w:t>
      </w:r>
      <w:r w:rsidRPr="001A0E1E">
        <w:rPr>
          <w:rFonts w:cs="Times New Roman"/>
          <w:i/>
          <w:iCs/>
          <w:noProof/>
        </w:rPr>
        <w:t>Ecological Research</w:t>
      </w:r>
      <w:r w:rsidRPr="001A0E1E">
        <w:rPr>
          <w:rFonts w:cs="Times New Roman"/>
          <w:noProof/>
        </w:rPr>
        <w:t xml:space="preserve"> </w:t>
      </w:r>
      <w:r w:rsidRPr="001A0E1E">
        <w:rPr>
          <w:rFonts w:cs="Times New Roman"/>
          <w:b/>
          <w:bCs/>
          <w:noProof/>
        </w:rPr>
        <w:t>30</w:t>
      </w:r>
      <w:r w:rsidRPr="001A0E1E">
        <w:rPr>
          <w:rFonts w:cs="Times New Roman"/>
          <w:noProof/>
        </w:rPr>
        <w:t>: 1073–1077.</w:t>
      </w:r>
    </w:p>
    <w:p w14:paraId="5CCCE87C"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Keeling CD, Mook WG, Tans PP</w:t>
      </w:r>
      <w:r w:rsidRPr="001A0E1E">
        <w:rPr>
          <w:rFonts w:cs="Times New Roman"/>
          <w:noProof/>
        </w:rPr>
        <w:t xml:space="preserve">. </w:t>
      </w:r>
      <w:r w:rsidRPr="001A0E1E">
        <w:rPr>
          <w:rFonts w:cs="Times New Roman"/>
          <w:b/>
          <w:bCs/>
          <w:noProof/>
        </w:rPr>
        <w:t>1979</w:t>
      </w:r>
      <w:r w:rsidRPr="001A0E1E">
        <w:rPr>
          <w:rFonts w:cs="Times New Roman"/>
          <w:noProof/>
        </w:rPr>
        <w:t xml:space="preserve">. Recent trends in the </w:t>
      </w:r>
      <w:r w:rsidRPr="001A0E1E">
        <w:rPr>
          <w:rFonts w:cs="Times New Roman"/>
          <w:noProof/>
          <w:vertAlign w:val="superscript"/>
        </w:rPr>
        <w:t>13</w:t>
      </w:r>
      <w:r w:rsidRPr="001A0E1E">
        <w:rPr>
          <w:rFonts w:cs="Times New Roman"/>
          <w:noProof/>
        </w:rPr>
        <w:t>C/</w:t>
      </w:r>
      <w:r w:rsidRPr="001A0E1E">
        <w:rPr>
          <w:rFonts w:cs="Times New Roman"/>
          <w:noProof/>
          <w:vertAlign w:val="superscript"/>
        </w:rPr>
        <w:t>12</w:t>
      </w:r>
      <w:r w:rsidRPr="001A0E1E">
        <w:rPr>
          <w:rFonts w:cs="Times New Roman"/>
          <w:noProof/>
        </w:rPr>
        <w:t xml:space="preserve">C ratio of atmospheric carbon dioxide. </w:t>
      </w:r>
      <w:r w:rsidRPr="001A0E1E">
        <w:rPr>
          <w:rFonts w:cs="Times New Roman"/>
          <w:i/>
          <w:iCs/>
          <w:noProof/>
        </w:rPr>
        <w:t>Nature</w:t>
      </w:r>
      <w:r w:rsidRPr="001A0E1E">
        <w:rPr>
          <w:rFonts w:cs="Times New Roman"/>
          <w:noProof/>
        </w:rPr>
        <w:t xml:space="preserve"> </w:t>
      </w:r>
      <w:r w:rsidRPr="001A0E1E">
        <w:rPr>
          <w:rFonts w:cs="Times New Roman"/>
          <w:b/>
          <w:bCs/>
          <w:noProof/>
        </w:rPr>
        <w:t>277</w:t>
      </w:r>
      <w:r w:rsidRPr="001A0E1E">
        <w:rPr>
          <w:rFonts w:cs="Times New Roman"/>
          <w:noProof/>
        </w:rPr>
        <w:t>: 121–123.</w:t>
      </w:r>
    </w:p>
    <w:p w14:paraId="3BFFC38D"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Lhomme J-P</w:t>
      </w:r>
      <w:r w:rsidRPr="001A0E1E">
        <w:rPr>
          <w:rFonts w:cs="Times New Roman"/>
          <w:noProof/>
        </w:rPr>
        <w:t xml:space="preserve">. </w:t>
      </w:r>
      <w:r w:rsidRPr="001A0E1E">
        <w:rPr>
          <w:rFonts w:cs="Times New Roman"/>
          <w:b/>
          <w:bCs/>
          <w:noProof/>
        </w:rPr>
        <w:t>1997</w:t>
      </w:r>
      <w:r w:rsidRPr="001A0E1E">
        <w:rPr>
          <w:rFonts w:cs="Times New Roman"/>
          <w:noProof/>
        </w:rPr>
        <w:t xml:space="preserve">. A theoretical basis for the Priestley-Taylor coefficient. </w:t>
      </w:r>
      <w:r w:rsidRPr="001A0E1E">
        <w:rPr>
          <w:rFonts w:cs="Times New Roman"/>
          <w:i/>
          <w:iCs/>
          <w:noProof/>
        </w:rPr>
        <w:t>Boundary-Layer Meteorology</w:t>
      </w:r>
      <w:r w:rsidRPr="001A0E1E">
        <w:rPr>
          <w:rFonts w:cs="Times New Roman"/>
          <w:noProof/>
        </w:rPr>
        <w:t xml:space="preserve"> </w:t>
      </w:r>
      <w:r w:rsidRPr="001A0E1E">
        <w:rPr>
          <w:rFonts w:cs="Times New Roman"/>
          <w:b/>
          <w:bCs/>
          <w:noProof/>
        </w:rPr>
        <w:t>82</w:t>
      </w:r>
      <w:r w:rsidRPr="001A0E1E">
        <w:rPr>
          <w:rFonts w:cs="Times New Roman"/>
          <w:noProof/>
        </w:rPr>
        <w:t>: 179–191.</w:t>
      </w:r>
    </w:p>
    <w:p w14:paraId="5DFDBE47"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Prentice IC, Dong N, Gleason SM, Maire V, Wright IJ</w:t>
      </w:r>
      <w:r w:rsidRPr="001A0E1E">
        <w:rPr>
          <w:rFonts w:cs="Times New Roman"/>
          <w:noProof/>
        </w:rPr>
        <w:t xml:space="preserve">. </w:t>
      </w:r>
      <w:r w:rsidRPr="001A0E1E">
        <w:rPr>
          <w:rFonts w:cs="Times New Roman"/>
          <w:b/>
          <w:bCs/>
          <w:noProof/>
        </w:rPr>
        <w:t>2014</w:t>
      </w:r>
      <w:r w:rsidRPr="001A0E1E">
        <w:rPr>
          <w:rFonts w:cs="Times New Roman"/>
          <w:noProof/>
        </w:rPr>
        <w:t xml:space="preserve">. Balancing the costs of carbon gain and water transport: testing a new theoretical framework for plant functional ecology. </w:t>
      </w:r>
      <w:r w:rsidRPr="001A0E1E">
        <w:rPr>
          <w:rFonts w:cs="Times New Roman"/>
          <w:i/>
          <w:iCs/>
          <w:noProof/>
        </w:rPr>
        <w:t>Ecology Letters</w:t>
      </w:r>
      <w:r w:rsidRPr="001A0E1E">
        <w:rPr>
          <w:rFonts w:cs="Times New Roman"/>
          <w:noProof/>
        </w:rPr>
        <w:t xml:space="preserve"> </w:t>
      </w:r>
      <w:r w:rsidRPr="001A0E1E">
        <w:rPr>
          <w:rFonts w:cs="Times New Roman"/>
          <w:b/>
          <w:bCs/>
          <w:noProof/>
        </w:rPr>
        <w:t>17</w:t>
      </w:r>
      <w:r w:rsidRPr="001A0E1E">
        <w:rPr>
          <w:rFonts w:cs="Times New Roman"/>
          <w:noProof/>
        </w:rPr>
        <w:t>: 82–91.</w:t>
      </w:r>
    </w:p>
    <w:p w14:paraId="6A79A3A0"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Priestley CHB, Taylor RJ</w:t>
      </w:r>
      <w:r w:rsidRPr="001A0E1E">
        <w:rPr>
          <w:rFonts w:cs="Times New Roman"/>
          <w:noProof/>
        </w:rPr>
        <w:t xml:space="preserve">. </w:t>
      </w:r>
      <w:r w:rsidRPr="001A0E1E">
        <w:rPr>
          <w:rFonts w:cs="Times New Roman"/>
          <w:b/>
          <w:bCs/>
          <w:noProof/>
        </w:rPr>
        <w:t>1972</w:t>
      </w:r>
      <w:r w:rsidRPr="001A0E1E">
        <w:rPr>
          <w:rFonts w:cs="Times New Roman"/>
          <w:noProof/>
        </w:rPr>
        <w:t xml:space="preserve">. On the Assessment of Surface Heat Flux and Evaporation Using Large-Scale Parameters. </w:t>
      </w:r>
      <w:r w:rsidRPr="001A0E1E">
        <w:rPr>
          <w:rFonts w:cs="Times New Roman"/>
          <w:i/>
          <w:iCs/>
          <w:noProof/>
        </w:rPr>
        <w:t>Monthly Weather Review</w:t>
      </w:r>
      <w:r w:rsidRPr="001A0E1E">
        <w:rPr>
          <w:rFonts w:cs="Times New Roman"/>
          <w:noProof/>
        </w:rPr>
        <w:t xml:space="preserve"> </w:t>
      </w:r>
      <w:r w:rsidRPr="001A0E1E">
        <w:rPr>
          <w:rFonts w:cs="Times New Roman"/>
          <w:b/>
          <w:bCs/>
          <w:noProof/>
        </w:rPr>
        <w:t>100</w:t>
      </w:r>
      <w:r w:rsidRPr="001A0E1E">
        <w:rPr>
          <w:rFonts w:cs="Times New Roman"/>
          <w:noProof/>
        </w:rPr>
        <w:t>: 81–92.</w:t>
      </w:r>
    </w:p>
    <w:p w14:paraId="5787184D"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lastRenderedPageBreak/>
        <w:t>Schneider CA, Rasband WS, Eliceiri KW</w:t>
      </w:r>
      <w:r w:rsidRPr="001A0E1E">
        <w:rPr>
          <w:rFonts w:cs="Times New Roman"/>
          <w:noProof/>
        </w:rPr>
        <w:t xml:space="preserve">. </w:t>
      </w:r>
      <w:r w:rsidRPr="001A0E1E">
        <w:rPr>
          <w:rFonts w:cs="Times New Roman"/>
          <w:b/>
          <w:bCs/>
          <w:noProof/>
        </w:rPr>
        <w:t>2012</w:t>
      </w:r>
      <w:r w:rsidRPr="001A0E1E">
        <w:rPr>
          <w:rFonts w:cs="Times New Roman"/>
          <w:noProof/>
        </w:rPr>
        <w:t xml:space="preserve">. NIH Image to ImageJ: 25 years of image analysis. </w:t>
      </w:r>
      <w:r w:rsidRPr="001A0E1E">
        <w:rPr>
          <w:rFonts w:cs="Times New Roman"/>
          <w:i/>
          <w:iCs/>
          <w:noProof/>
        </w:rPr>
        <w:t>Nature methods</w:t>
      </w:r>
      <w:r w:rsidRPr="001A0E1E">
        <w:rPr>
          <w:rFonts w:cs="Times New Roman"/>
          <w:noProof/>
        </w:rPr>
        <w:t xml:space="preserve"> </w:t>
      </w:r>
      <w:r w:rsidRPr="001A0E1E">
        <w:rPr>
          <w:rFonts w:cs="Times New Roman"/>
          <w:b/>
          <w:bCs/>
          <w:noProof/>
        </w:rPr>
        <w:t>9</w:t>
      </w:r>
      <w:r w:rsidRPr="001A0E1E">
        <w:rPr>
          <w:rFonts w:cs="Times New Roman"/>
          <w:noProof/>
        </w:rPr>
        <w:t>: 671–675.</w:t>
      </w:r>
    </w:p>
    <w:p w14:paraId="74BC2061"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Smith SE, Read DJ</w:t>
      </w:r>
      <w:r w:rsidRPr="001A0E1E">
        <w:rPr>
          <w:rFonts w:cs="Times New Roman"/>
          <w:noProof/>
        </w:rPr>
        <w:t xml:space="preserve">. </w:t>
      </w:r>
      <w:r w:rsidRPr="001A0E1E">
        <w:rPr>
          <w:rFonts w:cs="Times New Roman"/>
          <w:b/>
          <w:bCs/>
          <w:noProof/>
        </w:rPr>
        <w:t>2008</w:t>
      </w:r>
      <w:r w:rsidRPr="001A0E1E">
        <w:rPr>
          <w:rFonts w:cs="Times New Roman"/>
          <w:noProof/>
        </w:rPr>
        <w:t xml:space="preserve">. </w:t>
      </w:r>
      <w:r w:rsidRPr="001A0E1E">
        <w:rPr>
          <w:rFonts w:cs="Times New Roman"/>
          <w:i/>
          <w:iCs/>
          <w:noProof/>
        </w:rPr>
        <w:t>Mycorrhizal Symbiosis</w:t>
      </w:r>
      <w:r w:rsidRPr="001A0E1E">
        <w:rPr>
          <w:rFonts w:cs="Times New Roman"/>
          <w:noProof/>
        </w:rPr>
        <w:t>.</w:t>
      </w:r>
    </w:p>
    <w:p w14:paraId="70332458" w14:textId="77777777" w:rsidR="001A0E1E" w:rsidRPr="001A0E1E" w:rsidRDefault="001A0E1E" w:rsidP="001A0E1E">
      <w:pPr>
        <w:widowControl w:val="0"/>
        <w:autoSpaceDE w:val="0"/>
        <w:autoSpaceDN w:val="0"/>
        <w:adjustRightInd w:val="0"/>
        <w:spacing w:line="480" w:lineRule="auto"/>
        <w:rPr>
          <w:rFonts w:cs="Times New Roman"/>
          <w:noProof/>
        </w:rPr>
      </w:pPr>
      <w:r w:rsidRPr="001A0E1E">
        <w:rPr>
          <w:rFonts w:cs="Times New Roman"/>
          <w:b/>
          <w:bCs/>
          <w:noProof/>
        </w:rPr>
        <w:t>Walker AP, Beckerman AP, Gu L, Kattge J, Cernusak LA, Domingues TF, Scales JC, Wohlfahrt G, Wullschleger SD, Woodward FI</w:t>
      </w:r>
      <w:r w:rsidRPr="001A0E1E">
        <w:rPr>
          <w:rFonts w:cs="Times New Roman"/>
          <w:noProof/>
        </w:rPr>
        <w:t xml:space="preserve">. </w:t>
      </w:r>
      <w:r w:rsidRPr="001A0E1E">
        <w:rPr>
          <w:rFonts w:cs="Times New Roman"/>
          <w:b/>
          <w:bCs/>
          <w:noProof/>
        </w:rPr>
        <w:t>2014</w:t>
      </w:r>
      <w:r w:rsidRPr="001A0E1E">
        <w:rPr>
          <w:rFonts w:cs="Times New Roman"/>
          <w:noProof/>
        </w:rPr>
        <w:t xml:space="preserve">. The relationship of leaf photosynthetic traits - Vcmax and Jmax - to leaf nitrogen, leaf phosphorus, and specific leaf area: a meta-analysis and modeling study. </w:t>
      </w:r>
      <w:r w:rsidRPr="001A0E1E">
        <w:rPr>
          <w:rFonts w:cs="Times New Roman"/>
          <w:i/>
          <w:iCs/>
          <w:noProof/>
        </w:rPr>
        <w:t>Ecology and Evolution</w:t>
      </w:r>
      <w:r w:rsidRPr="001A0E1E">
        <w:rPr>
          <w:rFonts w:cs="Times New Roman"/>
          <w:noProof/>
        </w:rPr>
        <w:t xml:space="preserve"> </w:t>
      </w:r>
      <w:r w:rsidRPr="001A0E1E">
        <w:rPr>
          <w:rFonts w:cs="Times New Roman"/>
          <w:b/>
          <w:bCs/>
          <w:noProof/>
        </w:rPr>
        <w:t>4</w:t>
      </w:r>
      <w:r w:rsidRPr="001A0E1E">
        <w:rPr>
          <w:rFonts w:cs="Times New Roman"/>
          <w:noProof/>
        </w:rPr>
        <w:t>: 3218–3235.</w:t>
      </w:r>
    </w:p>
    <w:p w14:paraId="58BCB247" w14:textId="75062E97" w:rsidR="00AA3362" w:rsidRPr="00AA3362" w:rsidRDefault="00AA3362" w:rsidP="001A0E1E">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5-17T13:54:00Z" w:initials="PEA">
    <w:p w14:paraId="4EAC9E26" w14:textId="458B72E6" w:rsidR="00691B71" w:rsidRDefault="00691B71">
      <w:pPr>
        <w:pStyle w:val="CommentText"/>
      </w:pPr>
      <w:r>
        <w:rPr>
          <w:rStyle w:val="CommentReference"/>
        </w:rPr>
        <w:annotationRef/>
      </w:r>
      <w:r>
        <w:t>Climate normal vs. study site plots</w:t>
      </w:r>
    </w:p>
  </w:comment>
  <w:comment w:id="2"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4EAC9E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62E277B" w16cex:dateUtc="2022-05-17T18:54: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4EAC9E26" w16cid:durableId="262E277B"/>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5340B"/>
    <w:rsid w:val="000A5ABE"/>
    <w:rsid w:val="000D64F7"/>
    <w:rsid w:val="001102C6"/>
    <w:rsid w:val="001135C2"/>
    <w:rsid w:val="00150719"/>
    <w:rsid w:val="00160CD3"/>
    <w:rsid w:val="0017417D"/>
    <w:rsid w:val="001A0E1E"/>
    <w:rsid w:val="001B2141"/>
    <w:rsid w:val="001C5251"/>
    <w:rsid w:val="001D5368"/>
    <w:rsid w:val="002436ED"/>
    <w:rsid w:val="002808EB"/>
    <w:rsid w:val="00282C11"/>
    <w:rsid w:val="002948B1"/>
    <w:rsid w:val="002B29D1"/>
    <w:rsid w:val="002C360E"/>
    <w:rsid w:val="00305473"/>
    <w:rsid w:val="00306B99"/>
    <w:rsid w:val="003113E2"/>
    <w:rsid w:val="00327A47"/>
    <w:rsid w:val="00327DDB"/>
    <w:rsid w:val="004219F5"/>
    <w:rsid w:val="00446B04"/>
    <w:rsid w:val="00495511"/>
    <w:rsid w:val="00497794"/>
    <w:rsid w:val="00531BAB"/>
    <w:rsid w:val="005A3AD9"/>
    <w:rsid w:val="005A4CC1"/>
    <w:rsid w:val="005D48AE"/>
    <w:rsid w:val="005E1917"/>
    <w:rsid w:val="006165B0"/>
    <w:rsid w:val="00621EDD"/>
    <w:rsid w:val="006318C3"/>
    <w:rsid w:val="00640078"/>
    <w:rsid w:val="00691B71"/>
    <w:rsid w:val="006A1B27"/>
    <w:rsid w:val="006A5604"/>
    <w:rsid w:val="006F2FA3"/>
    <w:rsid w:val="0070140E"/>
    <w:rsid w:val="00756384"/>
    <w:rsid w:val="007822BE"/>
    <w:rsid w:val="007E7F73"/>
    <w:rsid w:val="007F633F"/>
    <w:rsid w:val="0080729C"/>
    <w:rsid w:val="00825CED"/>
    <w:rsid w:val="00851585"/>
    <w:rsid w:val="008559B5"/>
    <w:rsid w:val="0089277C"/>
    <w:rsid w:val="008D1F15"/>
    <w:rsid w:val="00997CB9"/>
    <w:rsid w:val="00A25850"/>
    <w:rsid w:val="00A34141"/>
    <w:rsid w:val="00A64E3D"/>
    <w:rsid w:val="00AA3362"/>
    <w:rsid w:val="00AC36F9"/>
    <w:rsid w:val="00AE69F5"/>
    <w:rsid w:val="00B14994"/>
    <w:rsid w:val="00B14AEF"/>
    <w:rsid w:val="00BB24B8"/>
    <w:rsid w:val="00BF6C3C"/>
    <w:rsid w:val="00C376CD"/>
    <w:rsid w:val="00C61F15"/>
    <w:rsid w:val="00C70ED1"/>
    <w:rsid w:val="00CF2D20"/>
    <w:rsid w:val="00CF6307"/>
    <w:rsid w:val="00D23C5C"/>
    <w:rsid w:val="00D73E3B"/>
    <w:rsid w:val="00DC0E39"/>
    <w:rsid w:val="00DD12D4"/>
    <w:rsid w:val="00E06A40"/>
    <w:rsid w:val="00E97E11"/>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8901</Words>
  <Characters>50738</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dcterms:created xsi:type="dcterms:W3CDTF">2022-03-24T17:53:00Z</dcterms:created>
  <dcterms:modified xsi:type="dcterms:W3CDTF">2022-05-23T22:14:00Z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