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B4439" w14:textId="01A8AB42" w:rsidR="00472D96" w:rsidRDefault="00472D96" w:rsidP="00D01EB4">
      <w:pPr>
        <w:rPr>
          <w:bCs/>
        </w:rPr>
      </w:pPr>
      <w:r>
        <w:t>Leaf acclimation to elevated CO</w:t>
      </w:r>
      <w:r>
        <w:rPr>
          <w:vertAlign w:val="subscript"/>
        </w:rPr>
        <w:t>2</w:t>
      </w:r>
      <w:r>
        <w:t xml:space="preserve"> </w:t>
      </w:r>
      <w:r w:rsidR="009F6308">
        <w:t xml:space="preserve">is </w:t>
      </w:r>
      <w:r>
        <w:t xml:space="preserve">independent of soil nitrogen fertilization and </w:t>
      </w:r>
      <w:proofErr w:type="spellStart"/>
      <w:r>
        <w:t>rhizobial</w:t>
      </w:r>
      <w:proofErr w:type="spellEnd"/>
      <w:r>
        <w:t xml:space="preserve"> inoculation</w:t>
      </w:r>
    </w:p>
    <w:p w14:paraId="42A734CC" w14:textId="23A14DB4" w:rsidR="00472D96" w:rsidRDefault="00472D96" w:rsidP="00D01EB4">
      <w:pPr>
        <w:rPr>
          <w:bCs/>
        </w:rPr>
      </w:pPr>
    </w:p>
    <w:p w14:paraId="7E2EB2D3" w14:textId="5E89BB67" w:rsidR="00472D96" w:rsidRPr="00472D96" w:rsidRDefault="00472D96" w:rsidP="00D01EB4">
      <w:pPr>
        <w:rPr>
          <w:bCs/>
          <w:vertAlign w:val="superscript"/>
        </w:rPr>
      </w:pPr>
      <w:r>
        <w:rPr>
          <w:bCs/>
        </w:rPr>
        <w:t>Evan A. Perkowski</w:t>
      </w:r>
      <w:r>
        <w:rPr>
          <w:bCs/>
          <w:vertAlign w:val="superscript"/>
        </w:rPr>
        <w:t>1</w:t>
      </w:r>
      <w:r>
        <w:rPr>
          <w:bCs/>
        </w:rPr>
        <w:t>; Nicholas G Smith</w:t>
      </w:r>
      <w:r>
        <w:rPr>
          <w:bCs/>
          <w:vertAlign w:val="superscript"/>
        </w:rPr>
        <w:t>1</w:t>
      </w:r>
    </w:p>
    <w:p w14:paraId="49220A12" w14:textId="2C4248C4" w:rsidR="00472D96" w:rsidRDefault="00472D96" w:rsidP="00D01EB4">
      <w:pPr>
        <w:rPr>
          <w:b/>
        </w:rPr>
      </w:pPr>
      <w:r w:rsidRPr="00472D96">
        <w:rPr>
          <w:bCs/>
          <w:vertAlign w:val="superscript"/>
        </w:rPr>
        <w:t>1</w:t>
      </w:r>
      <w:r w:rsidRPr="00472D96">
        <w:rPr>
          <w:bCs/>
        </w:rPr>
        <w:t>Department</w:t>
      </w:r>
      <w:r>
        <w:rPr>
          <w:bCs/>
        </w:rPr>
        <w:t xml:space="preserve"> of Biological Sciences, Texas Tech University, Lubbock, USA</w:t>
      </w:r>
    </w:p>
    <w:p w14:paraId="7AF41396" w14:textId="77777777" w:rsidR="00472D96" w:rsidRDefault="00472D96" w:rsidP="00D01EB4">
      <w:pPr>
        <w:rPr>
          <w:b/>
        </w:rPr>
      </w:pPr>
    </w:p>
    <w:p w14:paraId="36F09D71" w14:textId="77B5225C" w:rsidR="00472D96" w:rsidRPr="00FE014F" w:rsidRDefault="00472D96" w:rsidP="00D01EB4">
      <w:pPr>
        <w:rPr>
          <w:bCs/>
        </w:rPr>
      </w:pPr>
      <w:r w:rsidRPr="00FE014F">
        <w:rPr>
          <w:b/>
        </w:rPr>
        <w:t>Abstract</w:t>
      </w:r>
    </w:p>
    <w:p w14:paraId="7E0FB5DB" w14:textId="103C11B0" w:rsidR="002C360E" w:rsidRPr="001E5165" w:rsidRDefault="00472D96" w:rsidP="00D01EB4">
      <w:pPr>
        <w:rPr>
          <w:bCs/>
        </w:rPr>
      </w:pPr>
      <w:r w:rsidRPr="00FE014F">
        <w:rPr>
          <w:bCs/>
        </w:rPr>
        <w:t>Plants acclimate to increasing CO</w:t>
      </w:r>
      <w:r w:rsidRPr="00FE014F">
        <w:rPr>
          <w:bCs/>
          <w:vertAlign w:val="subscript"/>
        </w:rPr>
        <w:t>2</w:t>
      </w:r>
      <w:r w:rsidRPr="00FE014F">
        <w:rPr>
          <w:bCs/>
        </w:rPr>
        <w:t xml:space="preserve"> by reducing leaf nutrient allocation and photosynthetic capacity at the leaf level, a response that often occurs alongside growth stimulation at the whole plant level. Nutrient limitation has been hypothesized to be the</w:t>
      </w:r>
      <w:r>
        <w:rPr>
          <w:bCs/>
        </w:rPr>
        <w:t xml:space="preserve"> primary mechanism driving leaf and whole plant acclimation responses to </w:t>
      </w:r>
      <w:r w:rsidRPr="00FE014F">
        <w:rPr>
          <w:bCs/>
        </w:rPr>
        <w:t>CO</w:t>
      </w:r>
      <w:r w:rsidRPr="00FE014F">
        <w:rPr>
          <w:bCs/>
          <w:vertAlign w:val="subscript"/>
        </w:rPr>
        <w:t>2</w:t>
      </w:r>
      <w:r w:rsidRPr="00FE014F">
        <w:rPr>
          <w:bCs/>
        </w:rPr>
        <w:t>, as nutrient availability commonly limits primary productivity and may decrease with increasing CO</w:t>
      </w:r>
      <w:r w:rsidRPr="00FE014F">
        <w:rPr>
          <w:bCs/>
          <w:vertAlign w:val="subscript"/>
        </w:rPr>
        <w:t>2</w:t>
      </w:r>
      <w:r w:rsidRPr="00FE014F">
        <w:rPr>
          <w:bCs/>
        </w:rPr>
        <w:t xml:space="preserve"> over time. However, recent work leveraging photosynthetic least-cost theory indicates that these acclimation responses may instead be the result of optimal resource investment toward photosynthetic capacity, which maximizes nutrient allocation to whole plant growth.</w:t>
      </w:r>
      <w:r>
        <w:rPr>
          <w:bCs/>
        </w:rPr>
        <w:t xml:space="preserve"> Acclimation responses to CO</w:t>
      </w:r>
      <w:r>
        <w:rPr>
          <w:bCs/>
          <w:vertAlign w:val="subscript"/>
        </w:rPr>
        <w:t>2</w:t>
      </w:r>
      <w:r>
        <w:rPr>
          <w:bCs/>
        </w:rPr>
        <w:t xml:space="preserve"> may also vary in species with different nutrient acquisition strategies, but few studies have examined</w:t>
      </w:r>
      <w:r w:rsidR="001E5165">
        <w:rPr>
          <w:bCs/>
        </w:rPr>
        <w:t xml:space="preserve"> </w:t>
      </w:r>
      <w:r>
        <w:rPr>
          <w:bCs/>
        </w:rPr>
        <w:t>these responses across a soil nitrogen availability gradient</w:t>
      </w:r>
      <w:r w:rsidR="001E5165">
        <w:rPr>
          <w:bCs/>
        </w:rPr>
        <w:t xml:space="preserve"> and</w:t>
      </w:r>
      <w:r w:rsidR="005B642A">
        <w:rPr>
          <w:bCs/>
        </w:rPr>
        <w:t xml:space="preserve"> in species with</w:t>
      </w:r>
      <w:r w:rsidR="001E5165">
        <w:rPr>
          <w:bCs/>
        </w:rPr>
        <w:t xml:space="preserve"> different nutrient acquisition strategies</w:t>
      </w:r>
      <w:r>
        <w:rPr>
          <w:bCs/>
        </w:rPr>
        <w:t xml:space="preserve">. To test </w:t>
      </w:r>
      <w:r w:rsidRPr="00FE014F">
        <w:rPr>
          <w:bCs/>
        </w:rPr>
        <w:t xml:space="preserve">whether nutrient limitation or optimal leaf resource investment controls </w:t>
      </w:r>
      <w:r w:rsidR="001E5165">
        <w:rPr>
          <w:bCs/>
        </w:rPr>
        <w:t xml:space="preserve">leaf and whole </w:t>
      </w:r>
      <w:r w:rsidRPr="00FE014F">
        <w:rPr>
          <w:bCs/>
        </w:rPr>
        <w:t>plant acclimation</w:t>
      </w:r>
      <w:r>
        <w:rPr>
          <w:bCs/>
        </w:rPr>
        <w:t xml:space="preserve"> responses</w:t>
      </w:r>
      <w:r w:rsidRPr="00FE014F">
        <w:rPr>
          <w:bCs/>
        </w:rPr>
        <w:t xml:space="preserve"> to CO</w:t>
      </w:r>
      <w:r w:rsidRPr="00FE014F">
        <w:rPr>
          <w:bCs/>
          <w:vertAlign w:val="subscript"/>
        </w:rPr>
        <w:t>2</w:t>
      </w:r>
      <w:r w:rsidRPr="00FE014F">
        <w:rPr>
          <w:bCs/>
        </w:rPr>
        <w:t xml:space="preserve"> and how nutrient acquisition strategy modifies these responses, we grew </w:t>
      </w:r>
      <w:r>
        <w:rPr>
          <w:bCs/>
          <w:i/>
          <w:iCs/>
        </w:rPr>
        <w:t>Glycine max</w:t>
      </w:r>
      <w:r>
        <w:rPr>
          <w:bCs/>
        </w:rPr>
        <w:t xml:space="preserve"> L. (</w:t>
      </w:r>
      <w:proofErr w:type="spellStart"/>
      <w:r>
        <w:rPr>
          <w:bCs/>
        </w:rPr>
        <w:t>Merr</w:t>
      </w:r>
      <w:proofErr w:type="spellEnd"/>
      <w:r>
        <w:rPr>
          <w:bCs/>
        </w:rPr>
        <w:t xml:space="preserve">) seedlings </w:t>
      </w:r>
      <w:r w:rsidRPr="00FE014F">
        <w:rPr>
          <w:bCs/>
        </w:rPr>
        <w:t>under two atmospheric CO</w:t>
      </w:r>
      <w:r w:rsidRPr="00FE014F">
        <w:rPr>
          <w:bCs/>
          <w:vertAlign w:val="subscript"/>
        </w:rPr>
        <w:t>2</w:t>
      </w:r>
      <w:r w:rsidRPr="00FE014F">
        <w:rPr>
          <w:bCs/>
        </w:rPr>
        <w:t xml:space="preserve"> levels, </w:t>
      </w:r>
      <w:r>
        <w:rPr>
          <w:bCs/>
        </w:rPr>
        <w:t xml:space="preserve">with and without </w:t>
      </w:r>
      <w:proofErr w:type="spellStart"/>
      <w:r>
        <w:rPr>
          <w:bCs/>
          <w:i/>
          <w:iCs/>
        </w:rPr>
        <w:t>Bradyrhizobium</w:t>
      </w:r>
      <w:proofErr w:type="spellEnd"/>
      <w:r>
        <w:rPr>
          <w:bCs/>
          <w:i/>
          <w:iCs/>
        </w:rPr>
        <w:t xml:space="preserve"> japonicum</w:t>
      </w:r>
      <w:r>
        <w:rPr>
          <w:bCs/>
        </w:rPr>
        <w:t xml:space="preserve"> inoculation, and across nine </w:t>
      </w:r>
      <w:r w:rsidRPr="00FE014F">
        <w:rPr>
          <w:bCs/>
        </w:rPr>
        <w:t xml:space="preserve">soil nitrogen fertilization treatments in a full factorial growth chamber experiment. </w:t>
      </w:r>
      <w:r>
        <w:rPr>
          <w:bCs/>
        </w:rPr>
        <w:t xml:space="preserve">After seven weeks, </w:t>
      </w:r>
      <w:r>
        <w:rPr>
          <w:bCs/>
          <w:i/>
          <w:iCs/>
        </w:rPr>
        <w:t>G. max</w:t>
      </w:r>
      <w:r>
        <w:rPr>
          <w:bCs/>
        </w:rPr>
        <w:t xml:space="preserve"> demonstrated a </w:t>
      </w:r>
      <w:r w:rsidR="00D01EB4">
        <w:rPr>
          <w:bCs/>
        </w:rPr>
        <w:t xml:space="preserve">strong downregulation in leaf nitrogen content, </w:t>
      </w:r>
      <w:r w:rsidR="00D01EB4">
        <w:rPr>
          <w:bCs/>
          <w:i/>
          <w:iCs/>
        </w:rPr>
        <w:t>V</w:t>
      </w:r>
      <w:r w:rsidR="00D01EB4">
        <w:rPr>
          <w:bCs/>
          <w:vertAlign w:val="subscript"/>
        </w:rPr>
        <w:t>cmax25</w:t>
      </w:r>
      <w:r w:rsidR="00D01EB4">
        <w:rPr>
          <w:bCs/>
        </w:rPr>
        <w:t xml:space="preserve">, and </w:t>
      </w:r>
      <w:r w:rsidR="00D01EB4">
        <w:rPr>
          <w:bCs/>
          <w:i/>
          <w:iCs/>
        </w:rPr>
        <w:t>J</w:t>
      </w:r>
      <w:r w:rsidR="00D01EB4">
        <w:rPr>
          <w:bCs/>
          <w:vertAlign w:val="subscript"/>
        </w:rPr>
        <w:t>max25</w:t>
      </w:r>
      <w:r w:rsidR="00D01EB4">
        <w:rPr>
          <w:bCs/>
        </w:rPr>
        <w:t xml:space="preserve"> under elevated CO</w:t>
      </w:r>
      <w:r w:rsidR="00D01EB4">
        <w:rPr>
          <w:bCs/>
          <w:vertAlign w:val="subscript"/>
        </w:rPr>
        <w:t>2</w:t>
      </w:r>
      <w:r w:rsidR="00D01EB4">
        <w:rPr>
          <w:bCs/>
        </w:rPr>
        <w:t xml:space="preserve">, patterns that were not causally linked to changes in soil nitrogen fertilization or inoculation treatment. A relatively stronger downregulation in leaf nitrogen content than </w:t>
      </w:r>
      <w:r w:rsidR="00D01EB4">
        <w:rPr>
          <w:bCs/>
          <w:i/>
          <w:iCs/>
        </w:rPr>
        <w:t>V</w:t>
      </w:r>
      <w:r w:rsidR="00D01EB4">
        <w:rPr>
          <w:bCs/>
          <w:vertAlign w:val="subscript"/>
        </w:rPr>
        <w:t>cmax25</w:t>
      </w:r>
      <w:r w:rsidR="00D01EB4">
        <w:rPr>
          <w:bCs/>
        </w:rPr>
        <w:t xml:space="preserve"> increased the proportion of leaf nitrogen content allocated to photosynthesis, while a relatively stronger downregulation in </w:t>
      </w:r>
      <w:r w:rsidR="00D01EB4">
        <w:rPr>
          <w:bCs/>
          <w:i/>
          <w:iCs/>
        </w:rPr>
        <w:t>V</w:t>
      </w:r>
      <w:r w:rsidR="00D01EB4">
        <w:rPr>
          <w:bCs/>
          <w:vertAlign w:val="subscript"/>
        </w:rPr>
        <w:t>cmax25</w:t>
      </w:r>
      <w:r w:rsidR="00D01EB4">
        <w:rPr>
          <w:bCs/>
        </w:rPr>
        <w:t xml:space="preserve"> than </w:t>
      </w:r>
      <w:r w:rsidR="00D01EB4">
        <w:rPr>
          <w:bCs/>
          <w:i/>
          <w:iCs/>
        </w:rPr>
        <w:t>J</w:t>
      </w:r>
      <w:r w:rsidR="00D01EB4">
        <w:rPr>
          <w:bCs/>
          <w:vertAlign w:val="subscript"/>
        </w:rPr>
        <w:t>max25</w:t>
      </w:r>
      <w:r w:rsidR="00D01EB4">
        <w:rPr>
          <w:bCs/>
        </w:rPr>
        <w:t xml:space="preserve"> stimulated </w:t>
      </w:r>
      <w:r w:rsidR="00D01EB4">
        <w:rPr>
          <w:bCs/>
          <w:i/>
          <w:iCs/>
        </w:rPr>
        <w:t>J</w:t>
      </w:r>
      <w:r w:rsidR="00D01EB4">
        <w:rPr>
          <w:bCs/>
          <w:vertAlign w:val="subscript"/>
        </w:rPr>
        <w:t>max25</w:t>
      </w:r>
      <w:r w:rsidR="00D01EB4">
        <w:rPr>
          <w:bCs/>
        </w:rPr>
        <w:t>:</w:t>
      </w:r>
      <w:r w:rsidR="00D01EB4">
        <w:rPr>
          <w:bCs/>
          <w:i/>
          <w:iCs/>
        </w:rPr>
        <w:t>V</w:t>
      </w:r>
      <w:r w:rsidR="00D01EB4">
        <w:rPr>
          <w:bCs/>
          <w:vertAlign w:val="subscript"/>
        </w:rPr>
        <w:t>cmax25</w:t>
      </w:r>
      <w:r w:rsidR="00D01EB4">
        <w:rPr>
          <w:bCs/>
        </w:rPr>
        <w:t xml:space="preserve"> under elevated CO</w:t>
      </w:r>
      <w:r w:rsidR="00D01EB4">
        <w:rPr>
          <w:bCs/>
          <w:vertAlign w:val="subscript"/>
        </w:rPr>
        <w:t>2</w:t>
      </w:r>
      <w:r w:rsidR="00D01EB4">
        <w:rPr>
          <w:bCs/>
        </w:rPr>
        <w:t xml:space="preserve">. These leaf acclimation responses to </w:t>
      </w:r>
      <w:r w:rsidR="001E5165">
        <w:rPr>
          <w:bCs/>
        </w:rPr>
        <w:t>elevated CO</w:t>
      </w:r>
      <w:r w:rsidR="001E5165">
        <w:rPr>
          <w:bCs/>
          <w:vertAlign w:val="subscript"/>
        </w:rPr>
        <w:t>2</w:t>
      </w:r>
      <w:r>
        <w:rPr>
          <w:bCs/>
        </w:rPr>
        <w:t xml:space="preserve"> corresponded with strong stimulations in total leaf area and total biomass, a pattern that was generally stronger with increasing fertilization and in inoculated pots. Whole plant acclimation responses to CO</w:t>
      </w:r>
      <w:r>
        <w:rPr>
          <w:bCs/>
          <w:vertAlign w:val="subscript"/>
        </w:rPr>
        <w:t>2</w:t>
      </w:r>
      <w:r>
        <w:rPr>
          <w:bCs/>
        </w:rPr>
        <w:t xml:space="preserve"> were driven by reductions in the cost of acquiring nitrogen with increasing fertilization and inoculation. Overall, these results provide strong support for patterns expected from photosynthetic least-cost theory, showing that optimal resource investment is the primary mechanism governing </w:t>
      </w:r>
      <w:r>
        <w:rPr>
          <w:bCs/>
          <w:i/>
          <w:iCs/>
        </w:rPr>
        <w:t>G. max</w:t>
      </w:r>
      <w:r>
        <w:rPr>
          <w:bCs/>
        </w:rPr>
        <w:t xml:space="preserve"> acclimation responses to elevated CO</w:t>
      </w:r>
      <w:r>
        <w:rPr>
          <w:bCs/>
          <w:vertAlign w:val="subscript"/>
        </w:rPr>
        <w:t>2</w:t>
      </w:r>
      <w:r>
        <w:rPr>
          <w:bCs/>
        </w:rPr>
        <w:t>.</w:t>
      </w:r>
    </w:p>
    <w:sectPr w:rsidR="002C360E" w:rsidRPr="001E51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D96"/>
    <w:rsid w:val="001E5165"/>
    <w:rsid w:val="002948B1"/>
    <w:rsid w:val="002C360E"/>
    <w:rsid w:val="00415D49"/>
    <w:rsid w:val="00426B28"/>
    <w:rsid w:val="00472D96"/>
    <w:rsid w:val="00497794"/>
    <w:rsid w:val="005A3AD9"/>
    <w:rsid w:val="005B642A"/>
    <w:rsid w:val="006F7EF6"/>
    <w:rsid w:val="009F6308"/>
    <w:rsid w:val="00D01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240511"/>
  <w15:chartTrackingRefBased/>
  <w15:docId w15:val="{9FF53D31-1DA9-D048-9C6A-A63718454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2D96"/>
    <w:rPr>
      <w:rFonts w:eastAsia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9F6308"/>
    <w:rPr>
      <w:rFonts w:eastAsia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9F630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F630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6308"/>
    <w:rPr>
      <w:rFonts w:eastAsia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630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6308"/>
    <w:rPr>
      <w:rFonts w:eastAsia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Tech University</Company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Perkowski, Evan A</dc:creator>
  <cp:keywords/>
  <dc:description/>
  <cp:lastModifiedBy>Perkowski, Evan A</cp:lastModifiedBy>
  <cp:revision>2</cp:revision>
  <dcterms:created xsi:type="dcterms:W3CDTF">2023-01-06T16:14:00Z</dcterms:created>
  <dcterms:modified xsi:type="dcterms:W3CDTF">2023-01-06T16:14:00Z</dcterms:modified>
</cp:coreProperties>
</file>