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6D413" w14:textId="16E48303" w:rsidR="0074160B" w:rsidRDefault="00780225" w:rsidP="002C3630">
      <w:pPr>
        <w:spacing w:after="0"/>
      </w:pPr>
      <w:r>
        <w:t>Evan A. Perkowski, Ph.D.</w:t>
      </w:r>
    </w:p>
    <w:p w14:paraId="51584B30" w14:textId="1ABE76CC" w:rsidR="00780225" w:rsidRDefault="00780225" w:rsidP="002C3630">
      <w:pPr>
        <w:spacing w:after="0"/>
      </w:pPr>
      <w:r>
        <w:t>Department of Biological Sciences</w:t>
      </w:r>
    </w:p>
    <w:p w14:paraId="10B8B584" w14:textId="36E50A08" w:rsidR="00780225" w:rsidRDefault="00780225" w:rsidP="002C3630">
      <w:pPr>
        <w:spacing w:after="0"/>
      </w:pPr>
      <w:r>
        <w:t>Texas Tech University</w:t>
      </w:r>
    </w:p>
    <w:p w14:paraId="2C84EF98" w14:textId="2D4346C7" w:rsidR="00780225" w:rsidRDefault="00780225" w:rsidP="002C3630">
      <w:pPr>
        <w:spacing w:after="0"/>
      </w:pPr>
      <w:r>
        <w:t>Lubbock, TX, USA</w:t>
      </w:r>
    </w:p>
    <w:p w14:paraId="3B1678FE" w14:textId="5F93F8A8" w:rsidR="00780225" w:rsidRDefault="00780225">
      <w:hyperlink r:id="rId5" w:history="1">
        <w:r w:rsidRPr="004C7C31">
          <w:rPr>
            <w:rStyle w:val="Hyperlink"/>
          </w:rPr>
          <w:t>evan.a.perkowski@ttu.edu</w:t>
        </w:r>
      </w:hyperlink>
    </w:p>
    <w:p w14:paraId="0494ECCA" w14:textId="4222748E" w:rsidR="00780225" w:rsidRDefault="00780225">
      <w:r w:rsidRPr="00780225">
        <w:rPr>
          <w:highlight w:val="yellow"/>
        </w:rPr>
        <w:t>[date]</w:t>
      </w:r>
    </w:p>
    <w:p w14:paraId="6D73D6CA" w14:textId="1DD33B89" w:rsidR="00780225" w:rsidRDefault="00780225">
      <w:r>
        <w:t xml:space="preserve">Dear Editorial Board at </w:t>
      </w:r>
      <w:r>
        <w:rPr>
          <w:i/>
          <w:iCs/>
        </w:rPr>
        <w:t>Ecology Letters</w:t>
      </w:r>
      <w:r>
        <w:t>,</w:t>
      </w:r>
    </w:p>
    <w:p w14:paraId="4E67174A" w14:textId="1139219B" w:rsidR="007734C4" w:rsidRPr="0033428C" w:rsidRDefault="00780225">
      <w:r>
        <w:t xml:space="preserve">Please find </w:t>
      </w:r>
      <w:r w:rsidR="007734C4">
        <w:t>enclosed</w:t>
      </w:r>
      <w:r>
        <w:t xml:space="preserve"> </w:t>
      </w:r>
      <w:r w:rsidR="00EC55CB">
        <w:t xml:space="preserve">the manuscript, titled “A synthesis of theoretical understanding and empirical evidence for plant responses to nitrogen and phosphorus supply”. We submit this manuscript as a </w:t>
      </w:r>
      <w:r w:rsidR="00EC55CB">
        <w:rPr>
          <w:i/>
          <w:iCs/>
        </w:rPr>
        <w:t>Synthesis</w:t>
      </w:r>
      <w:r w:rsidR="00EC55CB">
        <w:t xml:space="preserve"> article, </w:t>
      </w:r>
      <w:r w:rsidR="007734C4">
        <w:t xml:space="preserve">following Dr. Jonathan Chase’s approval of our proposal on July 14, 2026. We also ask that it be considered for the </w:t>
      </w:r>
      <w:r w:rsidR="007734C4">
        <w:rPr>
          <w:i/>
          <w:iCs/>
        </w:rPr>
        <w:t>Ecological and Evolutionary Responses to Multiple Stressors</w:t>
      </w:r>
      <w:r w:rsidR="007734C4">
        <w:t xml:space="preserve"> special feature.</w:t>
      </w:r>
      <w:r w:rsidR="0033428C">
        <w:t xml:space="preserve"> This manuscript is not being considered elsewhere, and all coauthors approve its submission to </w:t>
      </w:r>
      <w:r w:rsidR="0033428C">
        <w:rPr>
          <w:i/>
          <w:iCs/>
        </w:rPr>
        <w:t>Ecology Letters</w:t>
      </w:r>
      <w:r w:rsidR="005E105E">
        <w:t xml:space="preserve"> with no conflicts of interest to declare</w:t>
      </w:r>
      <w:r w:rsidR="0033428C">
        <w:t>.</w:t>
      </w:r>
      <w:r w:rsidR="002C3630">
        <w:t xml:space="preserve"> As required, files of the cited recent papers by the authors are uploaded as supporting files.</w:t>
      </w:r>
    </w:p>
    <w:p w14:paraId="5F58D5C8" w14:textId="0080E64B" w:rsidR="002D0CA0" w:rsidRDefault="002D0CA0" w:rsidP="002D0CA0">
      <w:r w:rsidRPr="006477F5">
        <w:t xml:space="preserve">Carbon (C), nitrogen (N), and phosphorus (P) cycles are tightly coupled in terrestrial ecosystems. </w:t>
      </w:r>
      <w:sdt>
        <w:sdtPr>
          <w:tag w:val="goog_rdk_6"/>
          <w:id w:val="1972655620"/>
        </w:sdtPr>
        <w:sdtContent/>
      </w:sdt>
      <w:r w:rsidRPr="006477F5">
        <w:t xml:space="preserve">Although terrestrial biosphere models are beginning to incorporate coupled C-N-P cycles, projections of the land carbon sink still diverge across models, with greater divergence </w:t>
      </w:r>
      <w:r>
        <w:t xml:space="preserve">observed </w:t>
      </w:r>
      <w:r w:rsidRPr="006477F5">
        <w:t xml:space="preserve">among nutrient-coupled models than models that only incorporate </w:t>
      </w:r>
      <w:r>
        <w:t xml:space="preserve">the </w:t>
      </w:r>
      <w:r w:rsidRPr="006477F5">
        <w:t xml:space="preserve">C cycle. This uncertainty stems, in part, from an incomplete understanding of how N and P interact to influence leaf nutrient content, physiology, and biomass allocation, and how these responses scale to regulate ecosystem productivity. </w:t>
      </w:r>
      <w:r w:rsidR="009268D1">
        <w:t>E</w:t>
      </w:r>
      <w:r w:rsidRPr="006477F5">
        <w:t>xisting syntheses quantif</w:t>
      </w:r>
      <w:r w:rsidR="002C3630">
        <w:t>y</w:t>
      </w:r>
      <w:r w:rsidRPr="006477F5">
        <w:t xml:space="preserve"> these interactions for only a few whole-plant traits relevant for terrestrial biosphere modeling, restricting their ability to provide an empirical and theoretical basis for improving model performance and reliability. To address this gap, we compiled 5,680 observations from 90 full-factorial N-by-P supply experiments worldwide. We used this dataset to quantify the individual and interactive effects of N and P </w:t>
      </w:r>
      <w:r>
        <w:t>supply</w:t>
      </w:r>
      <w:r w:rsidRPr="006477F5">
        <w:t xml:space="preserve"> on 19 leaf and whole-plant variables relevant for </w:t>
      </w:r>
      <w:r w:rsidR="009268D1">
        <w:t xml:space="preserve">modeling and refining </w:t>
      </w:r>
      <w:r w:rsidRPr="006477F5">
        <w:t>ecophysiological theory.</w:t>
      </w:r>
    </w:p>
    <w:p w14:paraId="021B73FC" w14:textId="340C960B" w:rsidR="005E105E" w:rsidRDefault="002D0CA0" w:rsidP="002D0CA0">
      <w:r w:rsidRPr="006477F5">
        <w:t>This synthesis establishes several novel principles for understanding C-N-P interactions</w:t>
      </w:r>
      <w:r w:rsidR="00BA02AB">
        <w:t xml:space="preserve"> and extends a body of work from our group on how nutrient supply, climatic demand and acquisition strategy determine leaf and whole-plant responses to environmental change. </w:t>
      </w:r>
      <w:r w:rsidR="00BA02AB" w:rsidRPr="002C3630">
        <w:t>First</w:t>
      </w:r>
      <w:r w:rsidR="00BA02AB">
        <w:t xml:space="preserve">, N and P </w:t>
      </w:r>
      <w:r w:rsidR="002C3630">
        <w:t>addition</w:t>
      </w:r>
      <w:r w:rsidR="00BA02AB">
        <w:t xml:space="preserve"> increased leaf nutrient content and aboveground biomass production more strongly than they increased leaf-level photosynthetic variables, highlighting the need for models to relax assumptions about constant leaf nutrient-photosynthesis relationships. This result extends the C-N framework proposed in Stocker et al. (2025) to now include P addition and combined N+P addition and a larger set of leaf and whole-plant </w:t>
      </w:r>
      <w:r w:rsidR="005E105E">
        <w:t>variables</w:t>
      </w:r>
      <w:r w:rsidR="002C3630">
        <w:t>. This result also</w:t>
      </w:r>
      <w:r w:rsidR="00435D60">
        <w:t xml:space="preserve"> extends findings from </w:t>
      </w:r>
      <w:r w:rsidR="00BA02AB">
        <w:t xml:space="preserve">species-level N fertilization experiments showing that climatic demand drives variance in leaf-level photosynthetic traits more strongly than N fertilization (Perkowski et al. 2025). </w:t>
      </w:r>
      <w:r w:rsidR="00BA02AB" w:rsidRPr="002C3630">
        <w:t>Second</w:t>
      </w:r>
      <w:r w:rsidR="00BA02AB">
        <w:t xml:space="preserve">, most responses to combined N+P addition were additive, with synergistic exceptions for leaf N:P and aboveground net primary production. These </w:t>
      </w:r>
      <w:r w:rsidR="00BA02AB">
        <w:t xml:space="preserve">responses highlight the idea that N and P play </w:t>
      </w:r>
      <w:r w:rsidR="00BA02AB">
        <w:lastRenderedPageBreak/>
        <w:t>largely distinct roles on processes related to leaf nutrient allocation</w:t>
      </w:r>
      <w:r w:rsidR="005E105E">
        <w:t xml:space="preserve"> and</w:t>
      </w:r>
      <w:r w:rsidR="00BA02AB">
        <w:t xml:space="preserve"> leaf-level photosynthesis.</w:t>
      </w:r>
      <w:r w:rsidR="00BA02AB">
        <w:t xml:space="preserve"> </w:t>
      </w:r>
      <w:r w:rsidR="005E105E" w:rsidRPr="002C3630">
        <w:t>T</w:t>
      </w:r>
      <w:r w:rsidR="00BA02AB" w:rsidRPr="002C3630">
        <w:t>hird</w:t>
      </w:r>
      <w:r w:rsidR="00BA02AB">
        <w:t xml:space="preserve">, </w:t>
      </w:r>
      <w:r w:rsidR="002C3630">
        <w:t>climat</w:t>
      </w:r>
      <w:r w:rsidR="00605150">
        <w:t>e</w:t>
      </w:r>
      <w:r w:rsidR="002C3630">
        <w:t xml:space="preserve"> </w:t>
      </w:r>
      <w:r w:rsidR="00605150">
        <w:t>strongly modified</w:t>
      </w:r>
      <w:r w:rsidR="002C3630">
        <w:t xml:space="preserve"> area-based leaf nutrient responses to their respective nutrient addition, with the strongest </w:t>
      </w:r>
      <w:r w:rsidR="00BA02AB">
        <w:t xml:space="preserve">leaf N response to </w:t>
      </w:r>
      <w:proofErr w:type="spellStart"/>
      <w:r w:rsidR="00BA02AB">
        <w:t>N</w:t>
      </w:r>
      <w:proofErr w:type="spellEnd"/>
      <w:r w:rsidR="00BA02AB">
        <w:t xml:space="preserve"> addition observed in colder, drier environments and the strongest leaf P response to P addition observed in colder, drier, and brighter environments.</w:t>
      </w:r>
      <w:r w:rsidR="00605150">
        <w:t xml:space="preserve"> </w:t>
      </w:r>
      <w:proofErr w:type="spellStart"/>
      <w:r w:rsidR="00BA02AB">
        <w:t>Cheaib</w:t>
      </w:r>
      <w:proofErr w:type="spellEnd"/>
      <w:r w:rsidR="00BA02AB">
        <w:t xml:space="preserve"> et al. (2025b) established similar patterns for leaf N responses to N addition, and the present analysis builds on this work by showing that the same climatic demand responses also apply for leaf P.</w:t>
      </w:r>
      <w:r w:rsidR="00605150">
        <w:t xml:space="preserve"> Overall, these patterns highlight the idea that leaf nutrient responses to nutrient supply are often strongest in environments with the expected greatest photosynthetic demand.</w:t>
      </w:r>
      <w:r w:rsidR="00BA02AB">
        <w:t xml:space="preserve"> </w:t>
      </w:r>
      <w:r w:rsidR="00BA02AB" w:rsidRPr="002C3630">
        <w:t>Fourth</w:t>
      </w:r>
      <w:r w:rsidR="00BA02AB">
        <w:t>, mycorrhizal acquisition strategy and N</w:t>
      </w:r>
      <w:r w:rsidR="00BA02AB">
        <w:rPr>
          <w:vertAlign w:val="subscript"/>
        </w:rPr>
        <w:t>2</w:t>
      </w:r>
      <w:r w:rsidR="00BA02AB">
        <w:t>-fixation ability modified plant responses to N, P, and combined N+P addition more strongly than photosynthetic pathway</w:t>
      </w:r>
      <w:r w:rsidR="005E105E">
        <w:t>, building on the idea that acquisition strategy is a central axis that explains plant nutrient economics across environmental gradients (</w:t>
      </w:r>
      <w:proofErr w:type="spellStart"/>
      <w:r w:rsidR="005E105E">
        <w:t>Cheaib</w:t>
      </w:r>
      <w:proofErr w:type="spellEnd"/>
      <w:r w:rsidR="005E105E">
        <w:t xml:space="preserve"> et al. 2025a).</w:t>
      </w:r>
    </w:p>
    <w:p w14:paraId="46D125E6" w14:textId="540E8DB4" w:rsidR="002D0CA0" w:rsidRDefault="005E105E" w:rsidP="002D0CA0">
      <w:r>
        <w:t>W</w:t>
      </w:r>
      <w:r w:rsidR="002D0CA0" w:rsidRPr="006477F5">
        <w:t>e believe that this synthesis will be of broad interest to plant ecologists, ecosystem ecologists, and model developers.</w:t>
      </w:r>
      <w:r>
        <w:t xml:space="preserve"> </w:t>
      </w:r>
      <w:r w:rsidR="002D0CA0" w:rsidRPr="006477F5">
        <w:t>Please contact me using the e-mail listed above with any questions or concerns.</w:t>
      </w:r>
    </w:p>
    <w:p w14:paraId="60A7C5D7" w14:textId="77777777" w:rsidR="002D0CA0" w:rsidRPr="006477F5" w:rsidRDefault="002D0CA0" w:rsidP="002D0CA0">
      <w:r w:rsidRPr="006477F5">
        <w:t>Sincerely,</w:t>
      </w:r>
    </w:p>
    <w:p w14:paraId="1F5DA86B" w14:textId="77777777" w:rsidR="002D0CA0" w:rsidRPr="006477F5" w:rsidRDefault="002D0CA0" w:rsidP="002D0CA0"/>
    <w:p w14:paraId="6712C625" w14:textId="77777777" w:rsidR="002D0CA0" w:rsidRPr="006477F5" w:rsidRDefault="002D0CA0" w:rsidP="002D0CA0"/>
    <w:p w14:paraId="564858E6" w14:textId="77777777" w:rsidR="002D0CA0" w:rsidRPr="006477F5" w:rsidRDefault="002D0CA0" w:rsidP="002D0CA0">
      <w:pPr>
        <w:spacing w:after="120"/>
      </w:pPr>
      <w:r w:rsidRPr="006477F5">
        <w:t>Evan A. Perkowski, Ph.D.</w:t>
      </w:r>
    </w:p>
    <w:p w14:paraId="53731E34" w14:textId="61E4EFE6" w:rsidR="002D0CA0" w:rsidRPr="00605150" w:rsidRDefault="002D0CA0" w:rsidP="002D0CA0">
      <w:pPr>
        <w:rPr>
          <w:i/>
          <w:iCs/>
        </w:rPr>
      </w:pPr>
      <w:r w:rsidRPr="006477F5">
        <w:rPr>
          <w:i/>
          <w:iCs/>
        </w:rPr>
        <w:t xml:space="preserve">On behalf of co-authors </w:t>
      </w:r>
      <w:proofErr w:type="spellStart"/>
      <w:r w:rsidRPr="006477F5">
        <w:rPr>
          <w:i/>
          <w:iCs/>
          <w:color w:val="000000"/>
        </w:rPr>
        <w:t>Alissar</w:t>
      </w:r>
      <w:proofErr w:type="spellEnd"/>
      <w:r w:rsidRPr="006477F5">
        <w:rPr>
          <w:i/>
          <w:iCs/>
          <w:color w:val="000000"/>
        </w:rPr>
        <w:t xml:space="preserve"> Cheaib, Monika R. Kelley, Jan A. </w:t>
      </w:r>
      <w:proofErr w:type="spellStart"/>
      <w:r w:rsidRPr="006477F5">
        <w:rPr>
          <w:i/>
          <w:iCs/>
          <w:color w:val="000000"/>
        </w:rPr>
        <w:t>Lankhorst</w:t>
      </w:r>
      <w:proofErr w:type="spellEnd"/>
      <w:r w:rsidRPr="006477F5">
        <w:rPr>
          <w:i/>
          <w:iCs/>
          <w:color w:val="000000"/>
        </w:rPr>
        <w:t xml:space="preserve">, Astrid </w:t>
      </w:r>
      <w:proofErr w:type="spellStart"/>
      <w:r w:rsidRPr="006477F5">
        <w:rPr>
          <w:i/>
          <w:iCs/>
          <w:color w:val="000000"/>
        </w:rPr>
        <w:t>Odé</w:t>
      </w:r>
      <w:proofErr w:type="spellEnd"/>
      <w:r w:rsidRPr="006477F5">
        <w:rPr>
          <w:i/>
          <w:iCs/>
          <w:color w:val="000000"/>
        </w:rPr>
        <w:t>, Daniil J.P. Scheifes, Huiying Xu, Daisy Cárate-Tandalla, Hugo J. de Boer, Ning Dong, Benjamin D. Stocker, Karin T. Rebel, I. Colin Prentice, Sandy P. Harrison, and Nicholas G. Smith</w:t>
      </w:r>
    </w:p>
    <w:p w14:paraId="025A9B38" w14:textId="28D6AF61" w:rsidR="002D0CA0" w:rsidRPr="006477F5" w:rsidRDefault="002D0CA0" w:rsidP="009268D1">
      <w:pPr>
        <w:spacing w:after="120"/>
        <w:rPr>
          <w:b/>
          <w:bCs/>
        </w:rPr>
      </w:pPr>
      <w:r w:rsidRPr="006477F5">
        <w:rPr>
          <w:b/>
          <w:bCs/>
        </w:rPr>
        <w:t>References</w:t>
      </w:r>
    </w:p>
    <w:p w14:paraId="69A5972C" w14:textId="3363CB17" w:rsidR="002C3630" w:rsidRPr="002C3630" w:rsidRDefault="002C3630" w:rsidP="002C3630">
      <w:pPr>
        <w:spacing w:after="120" w:line="240" w:lineRule="auto"/>
        <w:rPr>
          <w:rFonts w:eastAsia="Times New Roman"/>
          <w:kern w:val="0"/>
          <w14:ligatures w14:val="none"/>
        </w:rPr>
      </w:pPr>
      <w:proofErr w:type="spellStart"/>
      <w:r w:rsidRPr="002C3630">
        <w:rPr>
          <w:rFonts w:eastAsia="Times New Roman"/>
          <w:b/>
          <w:bCs/>
          <w:kern w:val="0"/>
          <w14:ligatures w14:val="none"/>
        </w:rPr>
        <w:t>Cheaib</w:t>
      </w:r>
      <w:proofErr w:type="spellEnd"/>
      <w:r w:rsidRPr="002C3630">
        <w:rPr>
          <w:rFonts w:eastAsia="Times New Roman"/>
          <w:b/>
          <w:bCs/>
          <w:kern w:val="0"/>
          <w14:ligatures w14:val="none"/>
        </w:rPr>
        <w:t xml:space="preserve"> A, Chieppa J, Perkowski EA, Smith NG</w:t>
      </w:r>
      <w:r w:rsidRPr="002C3630">
        <w:rPr>
          <w:rFonts w:eastAsia="Times New Roman"/>
          <w:kern w:val="0"/>
          <w14:ligatures w14:val="none"/>
        </w:rPr>
        <w:t xml:space="preserve">. </w:t>
      </w:r>
      <w:r w:rsidRPr="002C3630">
        <w:rPr>
          <w:rFonts w:eastAsia="Times New Roman"/>
          <w:b/>
          <w:bCs/>
          <w:kern w:val="0"/>
          <w14:ligatures w14:val="none"/>
        </w:rPr>
        <w:t>2025a</w:t>
      </w:r>
      <w:r w:rsidRPr="002C3630">
        <w:rPr>
          <w:rFonts w:eastAsia="Times New Roman"/>
          <w:kern w:val="0"/>
          <w14:ligatures w14:val="none"/>
        </w:rPr>
        <w:t xml:space="preserve">. Soil resource acquisition strategy modulates global plant nutrient and water economics. </w:t>
      </w:r>
      <w:r w:rsidRPr="002C3630">
        <w:rPr>
          <w:rFonts w:eastAsia="Times New Roman"/>
          <w:i/>
          <w:iCs/>
          <w:kern w:val="0"/>
          <w14:ligatures w14:val="none"/>
        </w:rPr>
        <w:t>New Phytologist</w:t>
      </w:r>
      <w:r w:rsidRPr="002C3630">
        <w:rPr>
          <w:rFonts w:eastAsia="Times New Roman"/>
          <w:kern w:val="0"/>
          <w14:ligatures w14:val="none"/>
        </w:rPr>
        <w:t xml:space="preserve"> </w:t>
      </w:r>
      <w:r w:rsidRPr="002C3630">
        <w:rPr>
          <w:rFonts w:eastAsia="Times New Roman"/>
          <w:b/>
          <w:bCs/>
          <w:kern w:val="0"/>
          <w14:ligatures w14:val="none"/>
        </w:rPr>
        <w:t>246</w:t>
      </w:r>
      <w:r w:rsidRPr="002C3630">
        <w:rPr>
          <w:rFonts w:eastAsia="Times New Roman"/>
          <w:kern w:val="0"/>
          <w14:ligatures w14:val="none"/>
        </w:rPr>
        <w:t>: 1536–1553.</w:t>
      </w:r>
    </w:p>
    <w:p w14:paraId="1935E83C" w14:textId="10A56015" w:rsidR="002C3630" w:rsidRPr="002C3630" w:rsidRDefault="002C3630" w:rsidP="002C3630">
      <w:pPr>
        <w:spacing w:after="120" w:line="240" w:lineRule="auto"/>
        <w:rPr>
          <w:rFonts w:eastAsia="Times New Roman"/>
          <w:kern w:val="0"/>
          <w14:ligatures w14:val="none"/>
        </w:rPr>
      </w:pPr>
      <w:proofErr w:type="spellStart"/>
      <w:r w:rsidRPr="002C3630">
        <w:rPr>
          <w:rFonts w:eastAsia="Times New Roman"/>
          <w:b/>
          <w:bCs/>
          <w:kern w:val="0"/>
          <w14:ligatures w14:val="none"/>
        </w:rPr>
        <w:t>Cheaib</w:t>
      </w:r>
      <w:proofErr w:type="spellEnd"/>
      <w:r w:rsidRPr="002C3630">
        <w:rPr>
          <w:rFonts w:eastAsia="Times New Roman"/>
          <w:b/>
          <w:bCs/>
          <w:kern w:val="0"/>
          <w14:ligatures w14:val="none"/>
        </w:rPr>
        <w:t xml:space="preserve"> A, Waring EF, McNellis R, Perkowski EA, Martina JP, Seabloom EW, Borer ET, Wilfahrt PA, Dong N, Prentice IC, </w:t>
      </w:r>
      <w:r w:rsidRPr="002C3630">
        <w:rPr>
          <w:rFonts w:eastAsia="Times New Roman"/>
          <w:b/>
          <w:bCs/>
          <w:i/>
          <w:iCs/>
          <w:kern w:val="0"/>
          <w14:ligatures w14:val="none"/>
        </w:rPr>
        <w:t>et al.</w:t>
      </w:r>
      <w:r w:rsidRPr="002C3630">
        <w:rPr>
          <w:rFonts w:eastAsia="Times New Roman"/>
          <w:kern w:val="0"/>
          <w14:ligatures w14:val="none"/>
        </w:rPr>
        <w:t xml:space="preserve"> </w:t>
      </w:r>
      <w:r w:rsidRPr="002C3630">
        <w:rPr>
          <w:rFonts w:eastAsia="Times New Roman"/>
          <w:b/>
          <w:bCs/>
          <w:kern w:val="0"/>
          <w14:ligatures w14:val="none"/>
        </w:rPr>
        <w:t>2025b</w:t>
      </w:r>
      <w:r w:rsidRPr="002C3630">
        <w:rPr>
          <w:rFonts w:eastAsia="Times New Roman"/>
          <w:kern w:val="0"/>
          <w14:ligatures w14:val="none"/>
        </w:rPr>
        <w:t xml:space="preserve">. Soil nitrogen supply exerts largest influence on leaf nitrogen in environments with the greatest leaf nitrogen demand. </w:t>
      </w:r>
      <w:r w:rsidRPr="002C3630">
        <w:rPr>
          <w:rFonts w:eastAsia="Times New Roman"/>
          <w:i/>
          <w:iCs/>
          <w:kern w:val="0"/>
          <w14:ligatures w14:val="none"/>
        </w:rPr>
        <w:t>Ecology Letters</w:t>
      </w:r>
      <w:r w:rsidRPr="002C3630">
        <w:rPr>
          <w:rFonts w:eastAsia="Times New Roman"/>
          <w:kern w:val="0"/>
          <w14:ligatures w14:val="none"/>
        </w:rPr>
        <w:t xml:space="preserve"> </w:t>
      </w:r>
      <w:r w:rsidRPr="002C3630">
        <w:rPr>
          <w:rFonts w:eastAsia="Times New Roman"/>
          <w:b/>
          <w:bCs/>
          <w:kern w:val="0"/>
          <w14:ligatures w14:val="none"/>
        </w:rPr>
        <w:t>28</w:t>
      </w:r>
      <w:r w:rsidRPr="002C3630">
        <w:rPr>
          <w:rFonts w:eastAsia="Times New Roman"/>
          <w:kern w:val="0"/>
          <w14:ligatures w14:val="none"/>
        </w:rPr>
        <w:t>: 1–13.</w:t>
      </w:r>
    </w:p>
    <w:p w14:paraId="2BB40B97" w14:textId="16FCF1F5" w:rsidR="002C3630" w:rsidRDefault="002C3630" w:rsidP="002C3630">
      <w:pPr>
        <w:spacing w:after="120" w:line="240" w:lineRule="auto"/>
        <w:rPr>
          <w:rFonts w:eastAsia="Times New Roman"/>
          <w:kern w:val="0"/>
          <w14:ligatures w14:val="none"/>
        </w:rPr>
      </w:pPr>
      <w:r w:rsidRPr="002C3630">
        <w:rPr>
          <w:rFonts w:eastAsia="Times New Roman"/>
          <w:b/>
          <w:bCs/>
          <w:kern w:val="0"/>
          <w14:ligatures w14:val="none"/>
        </w:rPr>
        <w:t xml:space="preserve">Perkowski EA, </w:t>
      </w:r>
      <w:proofErr w:type="spellStart"/>
      <w:r w:rsidRPr="002C3630">
        <w:rPr>
          <w:rFonts w:eastAsia="Times New Roman"/>
          <w:b/>
          <w:bCs/>
          <w:kern w:val="0"/>
          <w14:ligatures w14:val="none"/>
        </w:rPr>
        <w:t>Ezekannagha</w:t>
      </w:r>
      <w:proofErr w:type="spellEnd"/>
      <w:r w:rsidRPr="002C3630">
        <w:rPr>
          <w:rFonts w:eastAsia="Times New Roman"/>
          <w:b/>
          <w:bCs/>
          <w:kern w:val="0"/>
          <w14:ligatures w14:val="none"/>
        </w:rPr>
        <w:t xml:space="preserve"> E, Smith NG</w:t>
      </w:r>
      <w:r w:rsidRPr="002C3630">
        <w:rPr>
          <w:rFonts w:eastAsia="Times New Roman"/>
          <w:kern w:val="0"/>
          <w14:ligatures w14:val="none"/>
        </w:rPr>
        <w:t xml:space="preserve">. </w:t>
      </w:r>
      <w:r w:rsidRPr="002C3630">
        <w:rPr>
          <w:rFonts w:eastAsia="Times New Roman"/>
          <w:b/>
          <w:bCs/>
          <w:kern w:val="0"/>
          <w14:ligatures w14:val="none"/>
        </w:rPr>
        <w:t>2025</w:t>
      </w:r>
      <w:r w:rsidRPr="002C3630">
        <w:rPr>
          <w:rFonts w:eastAsia="Times New Roman"/>
          <w:kern w:val="0"/>
          <w14:ligatures w14:val="none"/>
        </w:rPr>
        <w:t>. Nitrogen demand, availability, and acquisition strategy control plant responses to elevated CO</w:t>
      </w:r>
      <w:r w:rsidRPr="002C3630">
        <w:rPr>
          <w:rFonts w:eastAsia="Times New Roman"/>
          <w:kern w:val="0"/>
          <w:vertAlign w:val="subscript"/>
          <w14:ligatures w14:val="none"/>
        </w:rPr>
        <w:t>2</w:t>
      </w:r>
      <w:r w:rsidRPr="002C3630">
        <w:rPr>
          <w:rFonts w:eastAsia="Times New Roman"/>
          <w:kern w:val="0"/>
          <w14:ligatures w14:val="none"/>
        </w:rPr>
        <w:t xml:space="preserve"> (A Rogers, Ed.). </w:t>
      </w:r>
      <w:r w:rsidRPr="002C3630">
        <w:rPr>
          <w:rFonts w:eastAsia="Times New Roman"/>
          <w:i/>
          <w:iCs/>
          <w:kern w:val="0"/>
          <w14:ligatures w14:val="none"/>
        </w:rPr>
        <w:t>Journal of Experimental Botany</w:t>
      </w:r>
      <w:r w:rsidRPr="002C3630">
        <w:rPr>
          <w:rFonts w:eastAsia="Times New Roman"/>
          <w:kern w:val="0"/>
          <w14:ligatures w14:val="none"/>
        </w:rPr>
        <w:t xml:space="preserve"> </w:t>
      </w:r>
      <w:r w:rsidRPr="002C3630">
        <w:rPr>
          <w:rFonts w:eastAsia="Times New Roman"/>
          <w:b/>
          <w:bCs/>
          <w:kern w:val="0"/>
          <w14:ligatures w14:val="none"/>
        </w:rPr>
        <w:t>76</w:t>
      </w:r>
      <w:r w:rsidRPr="002C3630">
        <w:rPr>
          <w:rFonts w:eastAsia="Times New Roman"/>
          <w:kern w:val="0"/>
          <w14:ligatures w14:val="none"/>
        </w:rPr>
        <w:t>: 2908–2923.</w:t>
      </w:r>
    </w:p>
    <w:p w14:paraId="014A6AE7" w14:textId="77777777" w:rsidR="002C3630" w:rsidRPr="002C3630" w:rsidRDefault="002C3630" w:rsidP="002C3630">
      <w:pPr>
        <w:spacing w:after="0" w:line="240" w:lineRule="auto"/>
        <w:rPr>
          <w:rFonts w:eastAsia="Times New Roman"/>
          <w:kern w:val="0"/>
          <w14:ligatures w14:val="none"/>
        </w:rPr>
      </w:pPr>
      <w:r w:rsidRPr="002C3630">
        <w:rPr>
          <w:rFonts w:eastAsia="Times New Roman"/>
          <w:b/>
          <w:bCs/>
          <w:kern w:val="0"/>
          <w14:ligatures w14:val="none"/>
        </w:rPr>
        <w:t xml:space="preserve">Stocker BD, Dong N, Perkowski EA, Schneider PD, Xu H, de Boer HJ, Rebel KT, Smith NG, van </w:t>
      </w:r>
      <w:proofErr w:type="spellStart"/>
      <w:r w:rsidRPr="002C3630">
        <w:rPr>
          <w:rFonts w:eastAsia="Times New Roman"/>
          <w:b/>
          <w:bCs/>
          <w:kern w:val="0"/>
          <w14:ligatures w14:val="none"/>
        </w:rPr>
        <w:t>Sundert</w:t>
      </w:r>
      <w:proofErr w:type="spellEnd"/>
      <w:r w:rsidRPr="002C3630">
        <w:rPr>
          <w:rFonts w:eastAsia="Times New Roman"/>
          <w:b/>
          <w:bCs/>
          <w:kern w:val="0"/>
          <w14:ligatures w14:val="none"/>
        </w:rPr>
        <w:t xml:space="preserve"> K, Wang H, </w:t>
      </w:r>
      <w:r w:rsidRPr="002C3630">
        <w:rPr>
          <w:rFonts w:eastAsia="Times New Roman"/>
          <w:b/>
          <w:bCs/>
          <w:i/>
          <w:iCs/>
          <w:kern w:val="0"/>
          <w14:ligatures w14:val="none"/>
        </w:rPr>
        <w:t>et al.</w:t>
      </w:r>
      <w:r w:rsidRPr="002C3630">
        <w:rPr>
          <w:rFonts w:eastAsia="Times New Roman"/>
          <w:kern w:val="0"/>
          <w14:ligatures w14:val="none"/>
        </w:rPr>
        <w:t xml:space="preserve"> </w:t>
      </w:r>
      <w:r w:rsidRPr="002C3630">
        <w:rPr>
          <w:rFonts w:eastAsia="Times New Roman"/>
          <w:b/>
          <w:bCs/>
          <w:kern w:val="0"/>
          <w14:ligatures w14:val="none"/>
        </w:rPr>
        <w:t>2025</w:t>
      </w:r>
      <w:r w:rsidRPr="002C3630">
        <w:rPr>
          <w:rFonts w:eastAsia="Times New Roman"/>
          <w:kern w:val="0"/>
          <w14:ligatures w14:val="none"/>
        </w:rPr>
        <w:t xml:space="preserve">. Empirical evidence and theoretical understanding of ecosystem carbon and nitrogen cycle interactions. </w:t>
      </w:r>
      <w:r w:rsidRPr="002C3630">
        <w:rPr>
          <w:rFonts w:eastAsia="Times New Roman"/>
          <w:i/>
          <w:iCs/>
          <w:kern w:val="0"/>
          <w14:ligatures w14:val="none"/>
        </w:rPr>
        <w:t>New Phytologist</w:t>
      </w:r>
      <w:r w:rsidRPr="002C3630">
        <w:rPr>
          <w:rFonts w:eastAsia="Times New Roman"/>
          <w:kern w:val="0"/>
          <w14:ligatures w14:val="none"/>
        </w:rPr>
        <w:t xml:space="preserve"> </w:t>
      </w:r>
      <w:r w:rsidRPr="002C3630">
        <w:rPr>
          <w:rFonts w:eastAsia="Times New Roman"/>
          <w:b/>
          <w:bCs/>
          <w:kern w:val="0"/>
          <w14:ligatures w14:val="none"/>
        </w:rPr>
        <w:t>245</w:t>
      </w:r>
      <w:r w:rsidRPr="002C3630">
        <w:rPr>
          <w:rFonts w:eastAsia="Times New Roman"/>
          <w:kern w:val="0"/>
          <w14:ligatures w14:val="none"/>
        </w:rPr>
        <w:t>: 49–68.</w:t>
      </w:r>
    </w:p>
    <w:sectPr w:rsidR="002C3630" w:rsidRPr="002C3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25"/>
    <w:rsid w:val="001D5844"/>
    <w:rsid w:val="001D7CFF"/>
    <w:rsid w:val="002875D0"/>
    <w:rsid w:val="002C3630"/>
    <w:rsid w:val="002D0CA0"/>
    <w:rsid w:val="0033428C"/>
    <w:rsid w:val="00435D60"/>
    <w:rsid w:val="005C540B"/>
    <w:rsid w:val="005E105E"/>
    <w:rsid w:val="00605150"/>
    <w:rsid w:val="0074160B"/>
    <w:rsid w:val="007734C4"/>
    <w:rsid w:val="00780225"/>
    <w:rsid w:val="008A4017"/>
    <w:rsid w:val="009268D1"/>
    <w:rsid w:val="00BA02AB"/>
    <w:rsid w:val="00EC55CB"/>
    <w:rsid w:val="00ED272B"/>
    <w:rsid w:val="00F523EA"/>
    <w:rsid w:val="00FD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BC0FC"/>
  <w15:chartTrackingRefBased/>
  <w15:docId w15:val="{E9DE713B-4C76-244B-B155-DF86738A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2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02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2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2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2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2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02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02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2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2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2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0225"/>
    <w:pPr>
      <w:spacing w:before="160"/>
      <w:jc w:val="center"/>
    </w:pPr>
    <w:rPr>
      <w:i/>
      <w:iCs/>
      <w:color w:val="404040" w:themeColor="text1" w:themeTint="BF"/>
    </w:rPr>
  </w:style>
  <w:style w:type="character" w:customStyle="1" w:styleId="QuoteChar">
    <w:name w:val="Quote Char"/>
    <w:basedOn w:val="DefaultParagraphFont"/>
    <w:link w:val="Quote"/>
    <w:uiPriority w:val="29"/>
    <w:rsid w:val="00780225"/>
    <w:rPr>
      <w:i/>
      <w:iCs/>
      <w:color w:val="404040" w:themeColor="text1" w:themeTint="BF"/>
    </w:rPr>
  </w:style>
  <w:style w:type="paragraph" w:styleId="ListParagraph">
    <w:name w:val="List Paragraph"/>
    <w:basedOn w:val="Normal"/>
    <w:uiPriority w:val="34"/>
    <w:qFormat/>
    <w:rsid w:val="00780225"/>
    <w:pPr>
      <w:ind w:left="720"/>
      <w:contextualSpacing/>
    </w:pPr>
  </w:style>
  <w:style w:type="character" w:styleId="IntenseEmphasis">
    <w:name w:val="Intense Emphasis"/>
    <w:basedOn w:val="DefaultParagraphFont"/>
    <w:uiPriority w:val="21"/>
    <w:qFormat/>
    <w:rsid w:val="00780225"/>
    <w:rPr>
      <w:i/>
      <w:iCs/>
      <w:color w:val="0F4761" w:themeColor="accent1" w:themeShade="BF"/>
    </w:rPr>
  </w:style>
  <w:style w:type="paragraph" w:styleId="IntenseQuote">
    <w:name w:val="Intense Quote"/>
    <w:basedOn w:val="Normal"/>
    <w:next w:val="Normal"/>
    <w:link w:val="IntenseQuoteChar"/>
    <w:uiPriority w:val="30"/>
    <w:qFormat/>
    <w:rsid w:val="0078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25"/>
    <w:rPr>
      <w:i/>
      <w:iCs/>
      <w:color w:val="0F4761" w:themeColor="accent1" w:themeShade="BF"/>
    </w:rPr>
  </w:style>
  <w:style w:type="character" w:styleId="IntenseReference">
    <w:name w:val="Intense Reference"/>
    <w:basedOn w:val="DefaultParagraphFont"/>
    <w:uiPriority w:val="32"/>
    <w:qFormat/>
    <w:rsid w:val="00780225"/>
    <w:rPr>
      <w:b/>
      <w:bCs/>
      <w:smallCaps/>
      <w:color w:val="0F4761" w:themeColor="accent1" w:themeShade="BF"/>
      <w:spacing w:val="5"/>
    </w:rPr>
  </w:style>
  <w:style w:type="character" w:styleId="Hyperlink">
    <w:name w:val="Hyperlink"/>
    <w:basedOn w:val="DefaultParagraphFont"/>
    <w:uiPriority w:val="99"/>
    <w:unhideWhenUsed/>
    <w:rsid w:val="00780225"/>
    <w:rPr>
      <w:color w:val="467886" w:themeColor="hyperlink"/>
      <w:u w:val="single"/>
    </w:rPr>
  </w:style>
  <w:style w:type="character" w:styleId="UnresolvedMention">
    <w:name w:val="Unresolved Mention"/>
    <w:basedOn w:val="DefaultParagraphFont"/>
    <w:uiPriority w:val="99"/>
    <w:semiHidden/>
    <w:unhideWhenUsed/>
    <w:rsid w:val="00780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evan.a.perkowski@tt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912B78-E02D-BB47-AE91-7974323C645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90286709514"/>
    <we:property name="MENDELEY_CITATIONS" value="[]"/>
    <we:property name="MENDELEY_CITATIONS_LOCALE_CODE" value="&quot;en-US&quot;"/>
    <we:property name="MENDELEY_CITATIONS_STYLE" value="{&quot;id&quot;:&quot;https://www.zotero.org/styles/ecology-letters&quot;,&quot;title&quot;:&quot;Ecology Letter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8C635-FA06-6245-B831-2552036B9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3</cp:revision>
  <dcterms:created xsi:type="dcterms:W3CDTF">2026-09-24T19:38:00Z</dcterms:created>
  <dcterms:modified xsi:type="dcterms:W3CDTF">2026-09-24T22:02:00Z</dcterms:modified>
</cp:coreProperties>
</file>