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E41E2" w14:textId="77777777" w:rsidR="00524FE6" w:rsidRDefault="00524FE6" w:rsidP="00524FE6">
      <w:pPr>
        <w:spacing w:line="360" w:lineRule="auto"/>
        <w:rPr>
          <w:b/>
          <w:bCs/>
        </w:rPr>
      </w:pPr>
      <w:r>
        <w:rPr>
          <w:b/>
          <w:bCs/>
        </w:rPr>
        <w:t xml:space="preserve">Table 1 </w:t>
      </w:r>
      <w:r>
        <w:rPr>
          <w:color w:val="000000"/>
        </w:rPr>
        <w:t>Description and scale</w:t>
      </w:r>
      <w:r w:rsidRPr="004A04DC">
        <w:rPr>
          <w:color w:val="000000"/>
        </w:rPr>
        <w:t xml:space="preserve"> of </w:t>
      </w:r>
      <w:r w:rsidRPr="004A04DC">
        <w:t xml:space="preserve">variables </w:t>
      </w:r>
      <w:r>
        <w:rPr>
          <w:color w:val="000000"/>
        </w:rPr>
        <w:t>used in this synthesis</w:t>
      </w:r>
    </w:p>
    <w:tbl>
      <w:tblPr>
        <w:tblStyle w:val="GridTable6Colorful"/>
        <w:tblW w:w="7825" w:type="dxa"/>
        <w:jc w:val="center"/>
        <w:tblLayout w:type="fixed"/>
        <w:tblLook w:val="04A0" w:firstRow="1" w:lastRow="0" w:firstColumn="1" w:lastColumn="0" w:noHBand="0" w:noVBand="1"/>
      </w:tblPr>
      <w:tblGrid>
        <w:gridCol w:w="1615"/>
        <w:gridCol w:w="3870"/>
        <w:gridCol w:w="2340"/>
      </w:tblGrid>
      <w:tr w:rsidR="00524FE6" w:rsidRPr="009F1126" w14:paraId="3461532A" w14:textId="77777777" w:rsidTr="00C66B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tcPr>
          <w:p w14:paraId="77A24BA5" w14:textId="77777777" w:rsidR="00524FE6" w:rsidRPr="009F1126" w:rsidRDefault="00524FE6" w:rsidP="00C66BAA">
            <w:pPr>
              <w:spacing w:line="360" w:lineRule="auto"/>
              <w:rPr>
                <w:rFonts w:ascii="Arial" w:eastAsia="Arial" w:hAnsi="Arial" w:cs="Arial"/>
                <w:color w:val="000000"/>
                <w:sz w:val="20"/>
                <w:szCs w:val="20"/>
              </w:rPr>
            </w:pPr>
            <w:r w:rsidRPr="009F1126">
              <w:rPr>
                <w:rFonts w:ascii="Arial" w:eastAsia="Arial" w:hAnsi="Arial" w:cs="Arial"/>
                <w:color w:val="000000"/>
                <w:sz w:val="20"/>
                <w:szCs w:val="20"/>
              </w:rPr>
              <w:t>Variable</w:t>
            </w:r>
          </w:p>
        </w:tc>
        <w:tc>
          <w:tcPr>
            <w:tcW w:w="3870" w:type="dxa"/>
          </w:tcPr>
          <w:p w14:paraId="283D0343" w14:textId="77777777" w:rsidR="00524FE6" w:rsidRPr="009F1126" w:rsidRDefault="00524FE6" w:rsidP="00C66BAA">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Pr>
                <w:rFonts w:ascii="Arial" w:eastAsia="Arial" w:hAnsi="Arial" w:cs="Arial"/>
                <w:color w:val="000000"/>
                <w:sz w:val="20"/>
                <w:szCs w:val="20"/>
              </w:rPr>
              <w:t xml:space="preserve">Variable </w:t>
            </w:r>
            <w:r w:rsidRPr="009F1126">
              <w:rPr>
                <w:rFonts w:ascii="Arial" w:eastAsia="Arial" w:hAnsi="Arial" w:cs="Arial"/>
                <w:color w:val="000000"/>
                <w:sz w:val="20"/>
                <w:szCs w:val="20"/>
              </w:rPr>
              <w:t>Description</w:t>
            </w:r>
          </w:p>
        </w:tc>
        <w:tc>
          <w:tcPr>
            <w:tcW w:w="2340" w:type="dxa"/>
          </w:tcPr>
          <w:p w14:paraId="47B2E0A7" w14:textId="77777777" w:rsidR="00524FE6" w:rsidRPr="009F1126" w:rsidRDefault="00524FE6" w:rsidP="00C66BAA">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Variable type</w:t>
            </w:r>
          </w:p>
        </w:tc>
      </w:tr>
      <w:tr w:rsidR="00524FE6" w:rsidRPr="009F1126" w14:paraId="785FC1B5"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4C04CB3"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i/>
                <w:iCs/>
                <w:color w:val="000000"/>
                <w:sz w:val="20"/>
                <w:szCs w:val="20"/>
              </w:rPr>
              <w:t>M</w:t>
            </w:r>
            <w:r w:rsidRPr="009F1126">
              <w:rPr>
                <w:rFonts w:ascii="Arial" w:eastAsia="Arial" w:hAnsi="Arial" w:cs="Arial"/>
                <w:color w:val="000000"/>
                <w:sz w:val="20"/>
                <w:szCs w:val="20"/>
                <w:vertAlign w:val="subscript"/>
              </w:rPr>
              <w:t>area</w:t>
            </w:r>
          </w:p>
        </w:tc>
        <w:tc>
          <w:tcPr>
            <w:tcW w:w="3870" w:type="dxa"/>
            <w:vAlign w:val="center"/>
          </w:tcPr>
          <w:p w14:paraId="304B2BB8"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dry biomass per unit leaf area</w:t>
            </w:r>
          </w:p>
        </w:tc>
        <w:tc>
          <w:tcPr>
            <w:tcW w:w="2340" w:type="dxa"/>
            <w:vAlign w:val="center"/>
          </w:tcPr>
          <w:p w14:paraId="4ED910A1"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structure, morphology</w:t>
            </w:r>
          </w:p>
        </w:tc>
      </w:tr>
      <w:tr w:rsidR="00524FE6" w:rsidRPr="009F1126" w14:paraId="3975F3BC"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C973910"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mass</w:t>
            </w:r>
          </w:p>
        </w:tc>
        <w:tc>
          <w:tcPr>
            <w:tcW w:w="3870" w:type="dxa"/>
            <w:vAlign w:val="center"/>
          </w:tcPr>
          <w:p w14:paraId="2074DB7A"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nitrogen content per unit leaf biomass</w:t>
            </w:r>
          </w:p>
        </w:tc>
        <w:tc>
          <w:tcPr>
            <w:tcW w:w="2340" w:type="dxa"/>
            <w:vAlign w:val="center"/>
          </w:tcPr>
          <w:p w14:paraId="3E14A7CB"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524FE6" w:rsidRPr="009F1126" w14:paraId="01904888"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D1436BB" w14:textId="77777777" w:rsidR="00524FE6" w:rsidRPr="009F1126" w:rsidRDefault="00524FE6" w:rsidP="00C66BAA">
            <w:pPr>
              <w:rPr>
                <w:rFonts w:ascii="Arial" w:eastAsia="Arial" w:hAnsi="Arial" w:cs="Arial"/>
                <w:color w:val="000000"/>
                <w:sz w:val="20"/>
                <w:szCs w:val="20"/>
                <w:vertAlign w:val="subscript"/>
              </w:rPr>
            </w:pP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area</w:t>
            </w:r>
          </w:p>
        </w:tc>
        <w:tc>
          <w:tcPr>
            <w:tcW w:w="3870" w:type="dxa"/>
            <w:vAlign w:val="center"/>
          </w:tcPr>
          <w:p w14:paraId="0B84900F"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nitrogen content per unit leaf area</w:t>
            </w:r>
          </w:p>
        </w:tc>
        <w:tc>
          <w:tcPr>
            <w:tcW w:w="2340" w:type="dxa"/>
            <w:vAlign w:val="center"/>
          </w:tcPr>
          <w:p w14:paraId="7797471E"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524FE6" w:rsidRPr="009F1126" w14:paraId="2BB8D55D"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73B3BD6" w14:textId="77777777" w:rsidR="00524FE6" w:rsidRPr="009F1126" w:rsidRDefault="00524FE6"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mass</w:t>
            </w:r>
            <w:proofErr w:type="spellEnd"/>
          </w:p>
        </w:tc>
        <w:tc>
          <w:tcPr>
            <w:tcW w:w="3870" w:type="dxa"/>
            <w:vAlign w:val="center"/>
          </w:tcPr>
          <w:p w14:paraId="56733D96"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phosphorus content per unit leaf biomass</w:t>
            </w:r>
          </w:p>
        </w:tc>
        <w:tc>
          <w:tcPr>
            <w:tcW w:w="2340" w:type="dxa"/>
            <w:vAlign w:val="center"/>
          </w:tcPr>
          <w:p w14:paraId="1E0E755B"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524FE6" w:rsidRPr="009F1126" w14:paraId="7E5BFED7"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CDE1830" w14:textId="77777777" w:rsidR="00524FE6" w:rsidRPr="009F1126" w:rsidRDefault="00524FE6"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area</w:t>
            </w:r>
            <w:proofErr w:type="spellEnd"/>
          </w:p>
        </w:tc>
        <w:tc>
          <w:tcPr>
            <w:tcW w:w="3870" w:type="dxa"/>
            <w:vAlign w:val="center"/>
          </w:tcPr>
          <w:p w14:paraId="1F52ED9D"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phosphorus content per unit leaf area</w:t>
            </w:r>
          </w:p>
        </w:tc>
        <w:tc>
          <w:tcPr>
            <w:tcW w:w="2340" w:type="dxa"/>
            <w:vAlign w:val="center"/>
          </w:tcPr>
          <w:p w14:paraId="4B726365"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524FE6" w:rsidRPr="009F1126" w14:paraId="14874B57"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A4C868D"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color w:val="000000"/>
                <w:sz w:val="20"/>
                <w:szCs w:val="20"/>
              </w:rPr>
              <w:t>Leaf N:P</w:t>
            </w:r>
          </w:p>
        </w:tc>
        <w:tc>
          <w:tcPr>
            <w:tcW w:w="3870" w:type="dxa"/>
            <w:vAlign w:val="center"/>
          </w:tcPr>
          <w:p w14:paraId="54D2A038"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ratio of leaf nitrogen content (</w:t>
            </w: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mass</w:t>
            </w:r>
            <w:r w:rsidRPr="009F1126">
              <w:rPr>
                <w:rFonts w:ascii="Arial" w:eastAsia="Arial" w:hAnsi="Arial" w:cs="Arial"/>
                <w:color w:val="000000"/>
                <w:sz w:val="20"/>
                <w:szCs w:val="20"/>
              </w:rPr>
              <w:t>) to leaf phosphorus content (</w:t>
            </w: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mass</w:t>
            </w:r>
            <w:proofErr w:type="spellEnd"/>
            <w:r w:rsidRPr="009F1126">
              <w:rPr>
                <w:rFonts w:ascii="Arial" w:eastAsia="Arial" w:hAnsi="Arial" w:cs="Arial"/>
                <w:color w:val="000000"/>
                <w:sz w:val="20"/>
                <w:szCs w:val="20"/>
              </w:rPr>
              <w:t>)</w:t>
            </w:r>
          </w:p>
        </w:tc>
        <w:tc>
          <w:tcPr>
            <w:tcW w:w="2340" w:type="dxa"/>
            <w:vAlign w:val="center"/>
          </w:tcPr>
          <w:p w14:paraId="2F596BBF"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524FE6" w:rsidRPr="009F1126" w14:paraId="7781F894"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56210FD" w14:textId="77777777" w:rsidR="00524FE6" w:rsidRPr="009F1126" w:rsidRDefault="00524FE6" w:rsidP="00C66BAA">
            <w:pPr>
              <w:rPr>
                <w:rFonts w:ascii="Arial" w:eastAsia="Arial" w:hAnsi="Arial" w:cs="Arial"/>
                <w:color w:val="000000"/>
                <w:sz w:val="20"/>
                <w:szCs w:val="20"/>
                <w:vertAlign w:val="subscript"/>
              </w:rPr>
            </w:pPr>
            <w:r w:rsidRPr="009F1126">
              <w:rPr>
                <w:rFonts w:ascii="Arial" w:eastAsia="Arial" w:hAnsi="Arial" w:cs="Arial"/>
                <w:i/>
                <w:iCs/>
                <w:color w:val="000000"/>
                <w:sz w:val="20"/>
                <w:szCs w:val="20"/>
              </w:rPr>
              <w:t>A</w:t>
            </w:r>
            <w:r w:rsidRPr="009F1126">
              <w:rPr>
                <w:rFonts w:ascii="Arial" w:eastAsia="Arial" w:hAnsi="Arial" w:cs="Arial"/>
                <w:color w:val="000000"/>
                <w:sz w:val="20"/>
                <w:szCs w:val="20"/>
                <w:vertAlign w:val="subscript"/>
              </w:rPr>
              <w:t>sat</w:t>
            </w:r>
          </w:p>
        </w:tc>
        <w:tc>
          <w:tcPr>
            <w:tcW w:w="3870" w:type="dxa"/>
            <w:vAlign w:val="center"/>
          </w:tcPr>
          <w:p w14:paraId="3E327F38"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light-saturated net photosynthesis rate</w:t>
            </w:r>
            <w:r>
              <w:rPr>
                <w:rFonts w:ascii="Arial" w:eastAsia="Arial" w:hAnsi="Arial" w:cs="Arial"/>
                <w:color w:val="000000"/>
                <w:sz w:val="20"/>
                <w:szCs w:val="20"/>
              </w:rPr>
              <w:t xml:space="preserve"> at measurement temperature</w:t>
            </w:r>
          </w:p>
        </w:tc>
        <w:tc>
          <w:tcPr>
            <w:tcW w:w="2340" w:type="dxa"/>
            <w:vAlign w:val="center"/>
          </w:tcPr>
          <w:p w14:paraId="324761DC"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524FE6" w:rsidRPr="009F1126" w14:paraId="5D59CBAD"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02A46CB" w14:textId="77777777" w:rsidR="00524FE6" w:rsidRPr="009F1126" w:rsidRDefault="00524FE6" w:rsidP="00C66BAA">
            <w:pPr>
              <w:spacing w:line="360" w:lineRule="auto"/>
              <w:rPr>
                <w:rFonts w:ascii="Arial" w:eastAsia="Arial" w:hAnsi="Arial" w:cs="Arial"/>
                <w:i/>
                <w:iCs/>
                <w:color w:val="000000"/>
                <w:sz w:val="20"/>
                <w:szCs w:val="20"/>
              </w:rPr>
            </w:pPr>
            <w:r w:rsidRPr="009F1126">
              <w:rPr>
                <w:rFonts w:ascii="Arial" w:eastAsia="Arial" w:hAnsi="Arial" w:cs="Arial"/>
                <w:i/>
                <w:iCs/>
                <w:color w:val="000000"/>
                <w:sz w:val="20"/>
                <w:szCs w:val="20"/>
              </w:rPr>
              <w:t>R</w:t>
            </w:r>
            <w:r w:rsidRPr="009F1126">
              <w:rPr>
                <w:rFonts w:ascii="Arial" w:eastAsia="Arial" w:hAnsi="Arial" w:cs="Arial"/>
                <w:color w:val="000000"/>
                <w:sz w:val="20"/>
                <w:szCs w:val="20"/>
                <w:vertAlign w:val="subscript"/>
              </w:rPr>
              <w:t>d</w:t>
            </w:r>
          </w:p>
        </w:tc>
        <w:tc>
          <w:tcPr>
            <w:tcW w:w="3870" w:type="dxa"/>
            <w:vAlign w:val="center"/>
          </w:tcPr>
          <w:p w14:paraId="00EAAB59"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dark respiration rate at measurement temperature</w:t>
            </w:r>
          </w:p>
        </w:tc>
        <w:tc>
          <w:tcPr>
            <w:tcW w:w="2340" w:type="dxa"/>
            <w:vAlign w:val="center"/>
          </w:tcPr>
          <w:p w14:paraId="45BC2164"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524FE6" w:rsidRPr="009F1126" w14:paraId="5F47CFED"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8E782B0" w14:textId="77777777" w:rsidR="00524FE6" w:rsidRPr="009F1126" w:rsidRDefault="00524FE6" w:rsidP="00C66BAA">
            <w:pPr>
              <w:spacing w:line="360" w:lineRule="auto"/>
              <w:rPr>
                <w:rFonts w:ascii="Arial" w:eastAsia="Arial" w:hAnsi="Arial" w:cs="Arial"/>
                <w:i/>
                <w:iCs/>
                <w:color w:val="000000"/>
                <w:sz w:val="20"/>
                <w:szCs w:val="20"/>
              </w:rPr>
            </w:pPr>
            <w:proofErr w:type="spellStart"/>
            <w:r w:rsidRPr="009F1126">
              <w:rPr>
                <w:rFonts w:ascii="Arial" w:eastAsia="Arial" w:hAnsi="Arial" w:cs="Arial"/>
                <w:i/>
                <w:iCs/>
                <w:color w:val="000000"/>
                <w:sz w:val="20"/>
                <w:szCs w:val="20"/>
              </w:rPr>
              <w:t>g</w:t>
            </w:r>
            <w:r w:rsidRPr="009F1126">
              <w:rPr>
                <w:rFonts w:ascii="Arial" w:eastAsia="Arial" w:hAnsi="Arial" w:cs="Arial"/>
                <w:color w:val="000000"/>
                <w:sz w:val="20"/>
                <w:szCs w:val="20"/>
                <w:vertAlign w:val="subscript"/>
              </w:rPr>
              <w:t>sw</w:t>
            </w:r>
            <w:proofErr w:type="spellEnd"/>
          </w:p>
        </w:tc>
        <w:tc>
          <w:tcPr>
            <w:tcW w:w="3870" w:type="dxa"/>
            <w:vAlign w:val="center"/>
          </w:tcPr>
          <w:p w14:paraId="448D87C8"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 xml:space="preserve">stomatal conductance rate at </w:t>
            </w:r>
            <w:r>
              <w:rPr>
                <w:rFonts w:ascii="Arial" w:eastAsia="Arial" w:hAnsi="Arial" w:cs="Arial"/>
                <w:color w:val="000000"/>
                <w:sz w:val="20"/>
                <w:szCs w:val="20"/>
              </w:rPr>
              <w:t>measurement</w:t>
            </w:r>
            <w:r w:rsidRPr="009F1126">
              <w:rPr>
                <w:rFonts w:ascii="Arial" w:eastAsia="Arial" w:hAnsi="Arial" w:cs="Arial"/>
                <w:color w:val="000000"/>
                <w:sz w:val="20"/>
                <w:szCs w:val="20"/>
              </w:rPr>
              <w:t xml:space="preserve"> temperature</w:t>
            </w:r>
          </w:p>
        </w:tc>
        <w:tc>
          <w:tcPr>
            <w:tcW w:w="2340" w:type="dxa"/>
            <w:vAlign w:val="center"/>
          </w:tcPr>
          <w:p w14:paraId="049EE870"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524FE6" w:rsidRPr="009F1126" w14:paraId="64BC6FFE"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1009CA0" w14:textId="77777777" w:rsidR="00524FE6" w:rsidRPr="009F1126" w:rsidRDefault="00524FE6"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V</w:t>
            </w:r>
            <w:r w:rsidRPr="009F1126">
              <w:rPr>
                <w:rFonts w:ascii="Arial" w:eastAsia="Arial" w:hAnsi="Arial" w:cs="Arial"/>
                <w:color w:val="000000"/>
                <w:sz w:val="20"/>
                <w:szCs w:val="20"/>
                <w:vertAlign w:val="subscript"/>
              </w:rPr>
              <w:t>cmax</w:t>
            </w:r>
            <w:proofErr w:type="spellEnd"/>
          </w:p>
        </w:tc>
        <w:tc>
          <w:tcPr>
            <w:tcW w:w="3870" w:type="dxa"/>
            <w:vAlign w:val="center"/>
          </w:tcPr>
          <w:p w14:paraId="6F8584AF"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 xml:space="preserve">apparent maximum rate of Rubisco carboxylation, taken as reported in study (measurement temperature or </w:t>
            </w:r>
            <w:r>
              <w:rPr>
                <w:rFonts w:ascii="Arial" w:eastAsia="Arial" w:hAnsi="Arial" w:cs="Arial"/>
                <w:color w:val="000000"/>
                <w:sz w:val="20"/>
                <w:szCs w:val="20"/>
              </w:rPr>
              <w:t xml:space="preserve">standardized to </w:t>
            </w:r>
            <w:r w:rsidRPr="009F1126">
              <w:rPr>
                <w:rFonts w:ascii="Arial" w:eastAsia="Arial" w:hAnsi="Arial" w:cs="Arial"/>
                <w:color w:val="000000"/>
                <w:sz w:val="20"/>
                <w:szCs w:val="20"/>
              </w:rPr>
              <w:t>25ºC)</w:t>
            </w:r>
          </w:p>
        </w:tc>
        <w:tc>
          <w:tcPr>
            <w:tcW w:w="2340" w:type="dxa"/>
            <w:vAlign w:val="center"/>
          </w:tcPr>
          <w:p w14:paraId="70401041"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524FE6" w:rsidRPr="009F1126" w14:paraId="2B30A8AC"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C215025" w14:textId="77777777" w:rsidR="00524FE6" w:rsidRPr="009F1126" w:rsidRDefault="00524FE6"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J</w:t>
            </w:r>
            <w:r w:rsidRPr="009F1126">
              <w:rPr>
                <w:rFonts w:ascii="Arial" w:eastAsia="Arial" w:hAnsi="Arial" w:cs="Arial"/>
                <w:color w:val="000000"/>
                <w:sz w:val="20"/>
                <w:szCs w:val="20"/>
                <w:vertAlign w:val="subscript"/>
              </w:rPr>
              <w:t>max</w:t>
            </w:r>
            <w:proofErr w:type="spellEnd"/>
          </w:p>
        </w:tc>
        <w:tc>
          <w:tcPr>
            <w:tcW w:w="3870" w:type="dxa"/>
            <w:vAlign w:val="center"/>
          </w:tcPr>
          <w:p w14:paraId="150C725C"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 xml:space="preserve">apparent maximum rate of electron transport for RuBP regeneration, taken as reported in study (measurement temperature or </w:t>
            </w:r>
            <w:r>
              <w:rPr>
                <w:rFonts w:ascii="Arial" w:eastAsia="Arial" w:hAnsi="Arial" w:cs="Arial"/>
                <w:color w:val="000000"/>
                <w:sz w:val="20"/>
                <w:szCs w:val="20"/>
              </w:rPr>
              <w:t xml:space="preserve">standardized to </w:t>
            </w:r>
            <w:r w:rsidRPr="009F1126">
              <w:rPr>
                <w:rFonts w:ascii="Arial" w:eastAsia="Arial" w:hAnsi="Arial" w:cs="Arial"/>
                <w:color w:val="000000"/>
                <w:sz w:val="20"/>
                <w:szCs w:val="20"/>
              </w:rPr>
              <w:t>25ºC)</w:t>
            </w:r>
          </w:p>
        </w:tc>
        <w:tc>
          <w:tcPr>
            <w:tcW w:w="2340" w:type="dxa"/>
            <w:vAlign w:val="center"/>
          </w:tcPr>
          <w:p w14:paraId="198C01E0"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524FE6" w:rsidRPr="009F1126" w14:paraId="6793B640"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4C38E1A" w14:textId="77777777" w:rsidR="00524FE6" w:rsidRPr="00516A68" w:rsidRDefault="00524FE6" w:rsidP="00C66BAA">
            <w:pPr>
              <w:rPr>
                <w:rFonts w:ascii="Arial" w:eastAsia="Arial" w:hAnsi="Arial" w:cs="Arial"/>
                <w:color w:val="000000"/>
                <w:sz w:val="20"/>
                <w:szCs w:val="20"/>
              </w:rPr>
            </w:pPr>
            <w:proofErr w:type="spellStart"/>
            <w:proofErr w:type="gramStart"/>
            <w:r>
              <w:rPr>
                <w:rFonts w:ascii="Arial" w:eastAsia="Arial" w:hAnsi="Arial" w:cs="Arial"/>
                <w:i/>
                <w:iCs/>
                <w:color w:val="000000"/>
                <w:sz w:val="20"/>
                <w:szCs w:val="20"/>
              </w:rPr>
              <w:t>J</w:t>
            </w:r>
            <w:r>
              <w:rPr>
                <w:rFonts w:ascii="Arial" w:eastAsia="Arial" w:hAnsi="Arial" w:cs="Arial"/>
                <w:color w:val="000000"/>
                <w:sz w:val="20"/>
                <w:szCs w:val="20"/>
                <w:vertAlign w:val="subscript"/>
              </w:rPr>
              <w:t>max</w:t>
            </w:r>
            <w:r>
              <w:rPr>
                <w:rFonts w:ascii="Arial" w:eastAsia="Arial" w:hAnsi="Arial" w:cs="Arial"/>
                <w:color w:val="000000"/>
                <w:sz w:val="20"/>
                <w:szCs w:val="20"/>
              </w:rPr>
              <w:t>:</w:t>
            </w:r>
            <w:r>
              <w:rPr>
                <w:rFonts w:ascii="Arial" w:eastAsia="Arial" w:hAnsi="Arial" w:cs="Arial"/>
                <w:i/>
                <w:iCs/>
                <w:color w:val="000000"/>
                <w:sz w:val="20"/>
                <w:szCs w:val="20"/>
              </w:rPr>
              <w:t>V</w:t>
            </w:r>
            <w:r>
              <w:rPr>
                <w:rFonts w:ascii="Arial" w:eastAsia="Arial" w:hAnsi="Arial" w:cs="Arial"/>
                <w:color w:val="000000"/>
                <w:sz w:val="20"/>
                <w:szCs w:val="20"/>
                <w:vertAlign w:val="subscript"/>
              </w:rPr>
              <w:t>cmax</w:t>
            </w:r>
            <w:proofErr w:type="spellEnd"/>
            <w:proofErr w:type="gramEnd"/>
          </w:p>
        </w:tc>
        <w:tc>
          <w:tcPr>
            <w:tcW w:w="3870" w:type="dxa"/>
            <w:vAlign w:val="center"/>
          </w:tcPr>
          <w:p w14:paraId="5D2F3716" w14:textId="77777777" w:rsidR="00524FE6" w:rsidRPr="00516A68"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Pr>
                <w:rFonts w:ascii="Arial" w:eastAsia="Arial" w:hAnsi="Arial" w:cs="Arial"/>
                <w:color w:val="000000"/>
                <w:sz w:val="20"/>
                <w:szCs w:val="20"/>
              </w:rPr>
              <w:t xml:space="preserve">ratio of </w:t>
            </w:r>
            <w:proofErr w:type="spellStart"/>
            <w:r>
              <w:rPr>
                <w:rFonts w:ascii="Arial" w:eastAsia="Arial" w:hAnsi="Arial" w:cs="Arial"/>
                <w:i/>
                <w:iCs/>
                <w:color w:val="000000"/>
                <w:sz w:val="20"/>
                <w:szCs w:val="20"/>
              </w:rPr>
              <w:t>J</w:t>
            </w:r>
            <w:r>
              <w:rPr>
                <w:rFonts w:ascii="Arial" w:eastAsia="Arial" w:hAnsi="Arial" w:cs="Arial"/>
                <w:color w:val="000000"/>
                <w:sz w:val="20"/>
                <w:szCs w:val="20"/>
                <w:vertAlign w:val="subscript"/>
              </w:rPr>
              <w:t>max</w:t>
            </w:r>
            <w:proofErr w:type="spellEnd"/>
            <w:r>
              <w:rPr>
                <w:rFonts w:ascii="Arial" w:eastAsia="Arial" w:hAnsi="Arial" w:cs="Arial"/>
                <w:color w:val="000000"/>
                <w:sz w:val="20"/>
                <w:szCs w:val="20"/>
              </w:rPr>
              <w:t xml:space="preserve"> to </w:t>
            </w:r>
            <w:proofErr w:type="spellStart"/>
            <w:r>
              <w:rPr>
                <w:rFonts w:ascii="Arial" w:eastAsia="Arial" w:hAnsi="Arial" w:cs="Arial"/>
                <w:i/>
                <w:iCs/>
                <w:color w:val="000000"/>
                <w:sz w:val="20"/>
                <w:szCs w:val="20"/>
              </w:rPr>
              <w:t>V</w:t>
            </w:r>
            <w:r>
              <w:rPr>
                <w:rFonts w:ascii="Arial" w:eastAsia="Arial" w:hAnsi="Arial" w:cs="Arial"/>
                <w:color w:val="000000"/>
                <w:sz w:val="20"/>
                <w:szCs w:val="20"/>
                <w:vertAlign w:val="subscript"/>
              </w:rPr>
              <w:t>cmax</w:t>
            </w:r>
            <w:proofErr w:type="spellEnd"/>
            <w:r>
              <w:rPr>
                <w:rFonts w:ascii="Arial" w:eastAsia="Arial" w:hAnsi="Arial" w:cs="Arial"/>
                <w:color w:val="000000"/>
                <w:sz w:val="20"/>
                <w:szCs w:val="20"/>
              </w:rPr>
              <w:t xml:space="preserve"> (individual rates collected at measurement temperature or standardized to </w:t>
            </w:r>
            <w:r w:rsidRPr="009F1126">
              <w:rPr>
                <w:rFonts w:ascii="Arial" w:eastAsia="Arial" w:hAnsi="Arial" w:cs="Arial"/>
                <w:color w:val="000000"/>
                <w:sz w:val="20"/>
                <w:szCs w:val="20"/>
              </w:rPr>
              <w:t>25ºC</w:t>
            </w:r>
            <w:r>
              <w:rPr>
                <w:rFonts w:ascii="Arial" w:eastAsia="Arial" w:hAnsi="Arial" w:cs="Arial"/>
                <w:color w:val="000000"/>
                <w:sz w:val="20"/>
                <w:szCs w:val="20"/>
              </w:rPr>
              <w:t>)</w:t>
            </w:r>
          </w:p>
        </w:tc>
        <w:tc>
          <w:tcPr>
            <w:tcW w:w="2340" w:type="dxa"/>
            <w:vAlign w:val="center"/>
          </w:tcPr>
          <w:p w14:paraId="7761374E"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Pr>
                <w:rFonts w:ascii="Arial" w:eastAsia="Arial" w:hAnsi="Arial" w:cs="Arial"/>
                <w:color w:val="000000"/>
                <w:sz w:val="20"/>
                <w:szCs w:val="20"/>
              </w:rPr>
              <w:t>leaf photosynthesis</w:t>
            </w:r>
          </w:p>
        </w:tc>
      </w:tr>
      <w:tr w:rsidR="00524FE6" w:rsidRPr="009F1126" w14:paraId="74002E33"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8C3AC50" w14:textId="77777777" w:rsidR="00524FE6" w:rsidRPr="009F1126" w:rsidRDefault="00524FE6" w:rsidP="00C66BAA">
            <w:pPr>
              <w:rPr>
                <w:rFonts w:ascii="Arial" w:eastAsia="Arial" w:hAnsi="Arial" w:cs="Arial"/>
                <w:i/>
                <w:iCs/>
                <w:color w:val="000000"/>
                <w:sz w:val="20"/>
                <w:szCs w:val="20"/>
              </w:rPr>
            </w:pPr>
            <w:r w:rsidRPr="009F1126">
              <w:rPr>
                <w:rFonts w:ascii="Arial" w:eastAsia="Arial" w:hAnsi="Arial" w:cs="Arial"/>
                <w:i/>
                <w:iCs/>
                <w:color w:val="000000"/>
                <w:sz w:val="20"/>
                <w:szCs w:val="20"/>
              </w:rPr>
              <w:t>PNUE</w:t>
            </w:r>
          </w:p>
        </w:tc>
        <w:tc>
          <w:tcPr>
            <w:tcW w:w="3870" w:type="dxa"/>
            <w:vAlign w:val="center"/>
          </w:tcPr>
          <w:p w14:paraId="75B64496"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photosynthetic nitrogen-use efficiency (</w:t>
            </w:r>
            <w:r w:rsidRPr="009F1126">
              <w:rPr>
                <w:rFonts w:ascii="Arial" w:eastAsia="Arial" w:hAnsi="Arial" w:cs="Arial"/>
                <w:i/>
                <w:iCs/>
                <w:color w:val="000000"/>
                <w:sz w:val="20"/>
                <w:szCs w:val="20"/>
              </w:rPr>
              <w:t>A</w:t>
            </w:r>
            <w:r w:rsidRPr="009F1126">
              <w:rPr>
                <w:rFonts w:ascii="Arial" w:eastAsia="Arial" w:hAnsi="Arial" w:cs="Arial"/>
                <w:color w:val="000000"/>
                <w:sz w:val="20"/>
                <w:szCs w:val="20"/>
                <w:vertAlign w:val="subscript"/>
              </w:rPr>
              <w:t>sat</w:t>
            </w:r>
            <w:r w:rsidRPr="009F1126">
              <w:rPr>
                <w:rFonts w:ascii="Arial" w:eastAsia="Arial" w:hAnsi="Arial" w:cs="Arial"/>
                <w:color w:val="000000"/>
                <w:sz w:val="20"/>
                <w:szCs w:val="20"/>
              </w:rPr>
              <w:t>/</w:t>
            </w: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area</w:t>
            </w:r>
            <w:r w:rsidRPr="009F1126">
              <w:rPr>
                <w:rFonts w:ascii="Arial" w:eastAsia="Arial" w:hAnsi="Arial" w:cs="Arial"/>
                <w:color w:val="000000"/>
                <w:sz w:val="20"/>
                <w:szCs w:val="20"/>
              </w:rPr>
              <w:t>)</w:t>
            </w:r>
          </w:p>
        </w:tc>
        <w:tc>
          <w:tcPr>
            <w:tcW w:w="2340" w:type="dxa"/>
            <w:vAlign w:val="center"/>
          </w:tcPr>
          <w:p w14:paraId="6C72324A"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resource use efficiency</w:t>
            </w:r>
          </w:p>
        </w:tc>
      </w:tr>
      <w:tr w:rsidR="00524FE6" w:rsidRPr="009F1126" w14:paraId="17B804C5"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45F95B54" w14:textId="77777777" w:rsidR="00524FE6" w:rsidRPr="009F1126" w:rsidRDefault="00524FE6" w:rsidP="00C66BAA">
            <w:pPr>
              <w:rPr>
                <w:rFonts w:ascii="Arial" w:eastAsia="Arial" w:hAnsi="Arial" w:cs="Arial"/>
                <w:i/>
                <w:iCs/>
                <w:color w:val="000000"/>
                <w:sz w:val="20"/>
                <w:szCs w:val="20"/>
              </w:rPr>
            </w:pPr>
            <w:r w:rsidRPr="009F1126">
              <w:rPr>
                <w:rFonts w:ascii="Arial" w:eastAsia="Arial" w:hAnsi="Arial" w:cs="Arial"/>
                <w:i/>
                <w:iCs/>
                <w:color w:val="000000"/>
                <w:sz w:val="20"/>
                <w:szCs w:val="20"/>
              </w:rPr>
              <w:t>PPUE</w:t>
            </w:r>
          </w:p>
        </w:tc>
        <w:tc>
          <w:tcPr>
            <w:tcW w:w="3870" w:type="dxa"/>
            <w:vAlign w:val="center"/>
          </w:tcPr>
          <w:p w14:paraId="0A3188A6"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photosynthetic phosphorus use efficiency (</w:t>
            </w:r>
            <w:r w:rsidRPr="009F1126">
              <w:rPr>
                <w:rFonts w:ascii="Arial" w:eastAsia="Arial" w:hAnsi="Arial" w:cs="Arial"/>
                <w:i/>
                <w:iCs/>
                <w:color w:val="000000"/>
                <w:sz w:val="20"/>
                <w:szCs w:val="20"/>
              </w:rPr>
              <w:t>A</w:t>
            </w:r>
            <w:r w:rsidRPr="009F1126">
              <w:rPr>
                <w:rFonts w:ascii="Arial" w:eastAsia="Arial" w:hAnsi="Arial" w:cs="Arial"/>
                <w:color w:val="000000"/>
                <w:sz w:val="20"/>
                <w:szCs w:val="20"/>
                <w:vertAlign w:val="subscript"/>
              </w:rPr>
              <w:t>sat</w:t>
            </w:r>
            <w:r w:rsidRPr="009F1126">
              <w:rPr>
                <w:rFonts w:ascii="Arial" w:eastAsia="Arial" w:hAnsi="Arial" w:cs="Arial"/>
                <w:color w:val="000000"/>
                <w:sz w:val="20"/>
                <w:szCs w:val="20"/>
              </w:rPr>
              <w:t>/</w:t>
            </w: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area</w:t>
            </w:r>
            <w:proofErr w:type="spellEnd"/>
            <w:r w:rsidRPr="009F1126">
              <w:rPr>
                <w:rFonts w:ascii="Arial" w:eastAsia="Arial" w:hAnsi="Arial" w:cs="Arial"/>
                <w:color w:val="000000"/>
                <w:sz w:val="20"/>
                <w:szCs w:val="20"/>
              </w:rPr>
              <w:t>)</w:t>
            </w:r>
          </w:p>
        </w:tc>
        <w:tc>
          <w:tcPr>
            <w:tcW w:w="2340" w:type="dxa"/>
            <w:vAlign w:val="center"/>
          </w:tcPr>
          <w:p w14:paraId="295407B2"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resource use efficiency</w:t>
            </w:r>
          </w:p>
        </w:tc>
      </w:tr>
      <w:tr w:rsidR="00524FE6" w:rsidRPr="009F1126" w14:paraId="2E767B49"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99BA986"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color w:val="000000"/>
                <w:sz w:val="20"/>
                <w:szCs w:val="20"/>
              </w:rPr>
              <w:t>Leaf production</w:t>
            </w:r>
          </w:p>
        </w:tc>
        <w:tc>
          <w:tcPr>
            <w:tcW w:w="3870" w:type="dxa"/>
            <w:vAlign w:val="center"/>
          </w:tcPr>
          <w:p w14:paraId="33C336BF"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investment in leaf production, includes total leaf area and leaf area index</w:t>
            </w:r>
          </w:p>
        </w:tc>
        <w:tc>
          <w:tcPr>
            <w:tcW w:w="2340" w:type="dxa"/>
            <w:vAlign w:val="center"/>
          </w:tcPr>
          <w:p w14:paraId="631818A6"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524FE6" w:rsidRPr="009F1126" w14:paraId="2EBB04EC"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2647757"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color w:val="000000"/>
                <w:sz w:val="20"/>
                <w:szCs w:val="20"/>
              </w:rPr>
              <w:t>Biomass production</w:t>
            </w:r>
          </w:p>
        </w:tc>
        <w:tc>
          <w:tcPr>
            <w:tcW w:w="3870" w:type="dxa"/>
            <w:vAlign w:val="center"/>
          </w:tcPr>
          <w:p w14:paraId="3342F396"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total biomass production (community-scale estimate of total biomass per unit ground area)</w:t>
            </w:r>
          </w:p>
        </w:tc>
        <w:tc>
          <w:tcPr>
            <w:tcW w:w="2340" w:type="dxa"/>
            <w:vAlign w:val="center"/>
          </w:tcPr>
          <w:p w14:paraId="2A879710"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524FE6" w:rsidRPr="009F1126" w14:paraId="5CFA4907"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7B8AFD8"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color w:val="000000"/>
                <w:sz w:val="20"/>
                <w:szCs w:val="20"/>
              </w:rPr>
              <w:t>Aboveground biomass production</w:t>
            </w:r>
          </w:p>
        </w:tc>
        <w:tc>
          <w:tcPr>
            <w:tcW w:w="3870" w:type="dxa"/>
            <w:vAlign w:val="center"/>
          </w:tcPr>
          <w:p w14:paraId="633ED0B3"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aboveground biomass production (community-scale estimate of aboveground biomass per unit ground area)</w:t>
            </w:r>
          </w:p>
        </w:tc>
        <w:tc>
          <w:tcPr>
            <w:tcW w:w="2340" w:type="dxa"/>
            <w:vAlign w:val="center"/>
          </w:tcPr>
          <w:p w14:paraId="7BD95E0E"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524FE6" w:rsidRPr="009F1126" w14:paraId="17526E49"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8D07AD2"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color w:val="000000"/>
                <w:sz w:val="20"/>
                <w:szCs w:val="20"/>
              </w:rPr>
              <w:t>Belowground biomass production</w:t>
            </w:r>
          </w:p>
        </w:tc>
        <w:tc>
          <w:tcPr>
            <w:tcW w:w="3870" w:type="dxa"/>
            <w:vAlign w:val="center"/>
          </w:tcPr>
          <w:p w14:paraId="410485A2"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belowground biomass production (community-scale estimate of belowground biomass per unit ground area)</w:t>
            </w:r>
          </w:p>
        </w:tc>
        <w:tc>
          <w:tcPr>
            <w:tcW w:w="2340" w:type="dxa"/>
            <w:vAlign w:val="center"/>
          </w:tcPr>
          <w:p w14:paraId="65876C4B"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524FE6" w:rsidRPr="009F1126" w14:paraId="2DC9609B"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05DB5B8" w14:textId="77777777" w:rsidR="00524FE6" w:rsidRPr="009F1126" w:rsidRDefault="00524FE6" w:rsidP="00C66BAA">
            <w:pPr>
              <w:rPr>
                <w:rFonts w:ascii="Arial" w:eastAsia="Arial" w:hAnsi="Arial" w:cs="Arial"/>
                <w:color w:val="000000"/>
                <w:sz w:val="20"/>
                <w:szCs w:val="20"/>
              </w:rPr>
            </w:pPr>
            <w:r w:rsidRPr="009F1126">
              <w:rPr>
                <w:rFonts w:ascii="Arial" w:eastAsia="Arial" w:hAnsi="Arial" w:cs="Arial"/>
                <w:color w:val="000000"/>
                <w:sz w:val="20"/>
                <w:szCs w:val="20"/>
              </w:rPr>
              <w:t>Root mass fraction</w:t>
            </w:r>
          </w:p>
        </w:tc>
        <w:tc>
          <w:tcPr>
            <w:tcW w:w="3870" w:type="dxa"/>
            <w:vAlign w:val="center"/>
          </w:tcPr>
          <w:p w14:paraId="36112D75"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root biomass per unit total biomass</w:t>
            </w:r>
          </w:p>
        </w:tc>
        <w:tc>
          <w:tcPr>
            <w:tcW w:w="2340" w:type="dxa"/>
            <w:vAlign w:val="center"/>
          </w:tcPr>
          <w:p w14:paraId="4C09C4A2" w14:textId="77777777" w:rsidR="00524FE6" w:rsidRPr="009F1126" w:rsidRDefault="00524FE6"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 partitioning</w:t>
            </w:r>
          </w:p>
        </w:tc>
      </w:tr>
      <w:tr w:rsidR="00524FE6" w:rsidRPr="009F1126" w14:paraId="274B6DE0"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18BE769" w14:textId="77777777" w:rsidR="00524FE6" w:rsidRPr="009F1126" w:rsidRDefault="00524FE6" w:rsidP="00C66BAA">
            <w:pPr>
              <w:rPr>
                <w:rFonts w:ascii="Arial" w:eastAsia="Arial" w:hAnsi="Arial" w:cs="Arial"/>
                <w:color w:val="000000"/>
                <w:sz w:val="20"/>
                <w:szCs w:val="20"/>
              </w:rPr>
            </w:pPr>
            <w:proofErr w:type="spellStart"/>
            <w:proofErr w:type="gramStart"/>
            <w:r w:rsidRPr="009F1126">
              <w:rPr>
                <w:rFonts w:ascii="Arial" w:eastAsia="Arial" w:hAnsi="Arial" w:cs="Arial"/>
                <w:color w:val="000000"/>
                <w:sz w:val="20"/>
                <w:szCs w:val="20"/>
              </w:rPr>
              <w:t>Root:shoot</w:t>
            </w:r>
            <w:proofErr w:type="spellEnd"/>
            <w:proofErr w:type="gramEnd"/>
          </w:p>
        </w:tc>
        <w:tc>
          <w:tcPr>
            <w:tcW w:w="3870" w:type="dxa"/>
            <w:vAlign w:val="center"/>
          </w:tcPr>
          <w:p w14:paraId="0F397D77"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ratio of root biomass to shoot (aboveground) biomass</w:t>
            </w:r>
          </w:p>
        </w:tc>
        <w:tc>
          <w:tcPr>
            <w:tcW w:w="2340" w:type="dxa"/>
            <w:vAlign w:val="center"/>
          </w:tcPr>
          <w:p w14:paraId="2B8EFB4C" w14:textId="77777777" w:rsidR="00524FE6" w:rsidRPr="009F1126" w:rsidRDefault="00524FE6"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 partitioning</w:t>
            </w:r>
          </w:p>
        </w:tc>
      </w:tr>
    </w:tbl>
    <w:p w14:paraId="13C2E6FF" w14:textId="77777777" w:rsidR="00524FE6" w:rsidRDefault="00524FE6" w:rsidP="00524FE6">
      <w:pPr>
        <w:rPr>
          <w:i/>
          <w:iCs/>
          <w:color w:val="000000"/>
        </w:rPr>
      </w:pPr>
      <w:r>
        <w:rPr>
          <w:i/>
          <w:iCs/>
          <w:color w:val="000000"/>
        </w:rPr>
        <w:br w:type="page"/>
      </w:r>
    </w:p>
    <w:p w14:paraId="66059600" w14:textId="77777777" w:rsidR="00524FE6" w:rsidRDefault="00524FE6" w:rsidP="00CE29D4">
      <w:pPr>
        <w:rPr>
          <w:b/>
          <w:bCs/>
          <w:color w:val="000000"/>
        </w:rPr>
      </w:pPr>
      <w:r>
        <w:rPr>
          <w:b/>
          <w:bCs/>
          <w:color w:val="000000"/>
        </w:rPr>
        <w:lastRenderedPageBreak/>
        <w:t>Figure 1</w:t>
      </w:r>
    </w:p>
    <w:p w14:paraId="7F5858E2" w14:textId="77777777" w:rsidR="00524FE6" w:rsidRDefault="00524FE6" w:rsidP="00CE29D4">
      <w:pPr>
        <w:jc w:val="center"/>
        <w:rPr>
          <w:b/>
          <w:bCs/>
          <w:color w:val="000000"/>
        </w:rPr>
      </w:pPr>
      <w:r>
        <w:rPr>
          <w:b/>
          <w:bCs/>
          <w:noProof/>
          <w:color w:val="000000"/>
        </w:rPr>
        <w:drawing>
          <wp:inline distT="0" distB="0" distL="0" distR="0" wp14:anchorId="4F4E0A27" wp14:editId="7FE84DB6">
            <wp:extent cx="3752352" cy="3430034"/>
            <wp:effectExtent l="0" t="0" r="0" b="0"/>
            <wp:docPr id="90705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50479" name="Picture 907050479"/>
                    <pic:cNvPicPr/>
                  </pic:nvPicPr>
                  <pic:blipFill>
                    <a:blip r:embed="rId4"/>
                    <a:stretch>
                      <a:fillRect/>
                    </a:stretch>
                  </pic:blipFill>
                  <pic:spPr>
                    <a:xfrm>
                      <a:off x="0" y="0"/>
                      <a:ext cx="3819752" cy="3491644"/>
                    </a:xfrm>
                    <a:prstGeom prst="rect">
                      <a:avLst/>
                    </a:prstGeom>
                  </pic:spPr>
                </pic:pic>
              </a:graphicData>
            </a:graphic>
          </wp:inline>
        </w:drawing>
      </w:r>
    </w:p>
    <w:p w14:paraId="123C98D7" w14:textId="77777777" w:rsidR="00CE29D4" w:rsidRDefault="00CE29D4" w:rsidP="00CE29D4">
      <w:pPr>
        <w:rPr>
          <w:b/>
          <w:bCs/>
          <w:color w:val="000000"/>
        </w:rPr>
      </w:pPr>
    </w:p>
    <w:p w14:paraId="7B56E2F7" w14:textId="5ED0FB11" w:rsidR="00524FE6" w:rsidRDefault="00524FE6" w:rsidP="00CE29D4">
      <w:pPr>
        <w:rPr>
          <w:b/>
          <w:bCs/>
          <w:color w:val="000000"/>
        </w:rPr>
      </w:pPr>
      <w:r>
        <w:rPr>
          <w:b/>
          <w:bCs/>
          <w:color w:val="000000"/>
        </w:rPr>
        <w:t xml:space="preserve">Figure 1. </w:t>
      </w:r>
      <w:r>
        <w:rPr>
          <w:color w:val="000000"/>
        </w:rPr>
        <w:t xml:space="preserve">Climate variability across experimental sites, as indicated by relationships between </w:t>
      </w:r>
      <w:r>
        <w:t xml:space="preserve">1970–2000 </w:t>
      </w:r>
      <w:r>
        <w:rPr>
          <w:color w:val="000000"/>
        </w:rPr>
        <w:t xml:space="preserve">mean annual temperature (x-axis) and mean annual precipitation (y-axis). </w:t>
      </w:r>
      <w:r>
        <w:t>Black points represent individual study sites. Points are superimposed onto a Whittaker biome plot where the colored polygons indicate the climate distribution of major terrestrial biomes. The Whittaker biome plot was generated using the ‘</w:t>
      </w:r>
      <w:proofErr w:type="spellStart"/>
      <w:r>
        <w:t>plotbiomes</w:t>
      </w:r>
      <w:proofErr w:type="spellEnd"/>
      <w:r>
        <w:t xml:space="preserve">’ R package </w:t>
      </w:r>
      <w:sdt>
        <w:sdtPr>
          <w:rPr>
            <w:color w:val="000000"/>
          </w:rPr>
          <w:tag w:val="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
          <w:id w:val="-395503728"/>
          <w:placeholder>
            <w:docPart w:val="89D03B4B264FDC49925829FB6389F8E4"/>
          </w:placeholder>
        </w:sdtPr>
        <w:sdtContent>
          <w:r w:rsidRPr="00571FB6">
            <w:rPr>
              <w:color w:val="000000"/>
            </w:rPr>
            <w:t>(Valentin &amp; Levin, 2018)</w:t>
          </w:r>
        </w:sdtContent>
      </w:sdt>
      <w:r>
        <w:t>.</w:t>
      </w:r>
    </w:p>
    <w:p w14:paraId="17E2BF87" w14:textId="5F0B9DD6" w:rsidR="00ED5192" w:rsidRDefault="00ED5192" w:rsidP="00CE29D4">
      <w:pPr>
        <w:spacing w:after="160"/>
      </w:pPr>
      <w:r>
        <w:br w:type="page"/>
      </w:r>
    </w:p>
    <w:p w14:paraId="7F7CBA56" w14:textId="77777777" w:rsidR="00ED5192" w:rsidRDefault="00ED5192" w:rsidP="00CE29D4">
      <w:pPr>
        <w:rPr>
          <w:b/>
          <w:bCs/>
          <w:color w:val="000000"/>
        </w:rPr>
      </w:pPr>
      <w:r>
        <w:rPr>
          <w:b/>
          <w:bCs/>
          <w:color w:val="000000"/>
        </w:rPr>
        <w:lastRenderedPageBreak/>
        <w:t>Figure 2</w:t>
      </w:r>
    </w:p>
    <w:p w14:paraId="6F0564BC" w14:textId="77777777" w:rsidR="00ED5192" w:rsidRDefault="00ED5192" w:rsidP="00CE29D4">
      <w:pPr>
        <w:jc w:val="center"/>
        <w:rPr>
          <w:b/>
          <w:bCs/>
          <w:color w:val="000000"/>
        </w:rPr>
      </w:pPr>
      <w:r>
        <w:rPr>
          <w:b/>
          <w:bCs/>
          <w:noProof/>
          <w:color w:val="000000"/>
        </w:rPr>
        <w:drawing>
          <wp:inline distT="0" distB="0" distL="0" distR="0" wp14:anchorId="538AAFD6" wp14:editId="4F9ABAA0">
            <wp:extent cx="3388329" cy="6776658"/>
            <wp:effectExtent l="0" t="0" r="3175" b="0"/>
            <wp:docPr id="19505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9920" name="Picture 1950559920"/>
                    <pic:cNvPicPr/>
                  </pic:nvPicPr>
                  <pic:blipFill>
                    <a:blip r:embed="rId5"/>
                    <a:stretch>
                      <a:fillRect/>
                    </a:stretch>
                  </pic:blipFill>
                  <pic:spPr>
                    <a:xfrm>
                      <a:off x="0" y="0"/>
                      <a:ext cx="3409233" cy="6818465"/>
                    </a:xfrm>
                    <a:prstGeom prst="rect">
                      <a:avLst/>
                    </a:prstGeom>
                  </pic:spPr>
                </pic:pic>
              </a:graphicData>
            </a:graphic>
          </wp:inline>
        </w:drawing>
      </w:r>
    </w:p>
    <w:p w14:paraId="5BB31014" w14:textId="7DF67266" w:rsidR="00ED5192" w:rsidRPr="00CE29D4" w:rsidRDefault="00ED5192" w:rsidP="00CE29D4">
      <w:pPr>
        <w:rPr>
          <w:b/>
          <w:bCs/>
          <w:color w:val="000000"/>
        </w:rPr>
      </w:pPr>
      <w:r>
        <w:rPr>
          <w:b/>
          <w:bCs/>
          <w:color w:val="000000"/>
        </w:rPr>
        <w:t xml:space="preserve">Figure 2. </w:t>
      </w:r>
      <w:r>
        <w:rPr>
          <w:color w:val="000000"/>
        </w:rPr>
        <w:t>Leaf (panel a), photosynthetic (panel b), and biomass (panel c) individual responses to N, P, and combined N+P addition. Variables for each category are listed on the y-axis using acronyms explained in Table 1, with the number of observations for each variable listed in parentheses. Large points indicate the meta-analytic mean of the log-response ratio and error bars indicate the associated 95% confidence intervals. Red colored points indicate N addition responses, blue colored points indicate P addition responses, and orange points indicate combined N+P addition responses.</w:t>
      </w:r>
      <w:r>
        <w:br w:type="page"/>
      </w:r>
    </w:p>
    <w:p w14:paraId="2593CB1F" w14:textId="77777777" w:rsidR="00ED5192" w:rsidRDefault="00ED5192" w:rsidP="00CE29D4">
      <w:pPr>
        <w:rPr>
          <w:b/>
          <w:bCs/>
          <w:color w:val="000000"/>
        </w:rPr>
      </w:pPr>
      <w:r>
        <w:rPr>
          <w:b/>
          <w:bCs/>
          <w:color w:val="000000"/>
        </w:rPr>
        <w:lastRenderedPageBreak/>
        <w:t>Figure 3</w:t>
      </w:r>
    </w:p>
    <w:p w14:paraId="31E43962" w14:textId="77777777" w:rsidR="00ED5192" w:rsidRDefault="00ED5192" w:rsidP="00CE29D4">
      <w:pPr>
        <w:jc w:val="center"/>
        <w:rPr>
          <w:b/>
          <w:bCs/>
          <w:color w:val="000000"/>
        </w:rPr>
      </w:pPr>
      <w:r>
        <w:rPr>
          <w:b/>
          <w:bCs/>
          <w:noProof/>
          <w:color w:val="000000"/>
        </w:rPr>
        <w:drawing>
          <wp:inline distT="0" distB="0" distL="0" distR="0" wp14:anchorId="37CD0556" wp14:editId="480F77E9">
            <wp:extent cx="3393939" cy="6787878"/>
            <wp:effectExtent l="0" t="0" r="0" b="0"/>
            <wp:docPr id="4955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632" name="Picture 49554632"/>
                    <pic:cNvPicPr/>
                  </pic:nvPicPr>
                  <pic:blipFill>
                    <a:blip r:embed="rId6"/>
                    <a:stretch>
                      <a:fillRect/>
                    </a:stretch>
                  </pic:blipFill>
                  <pic:spPr>
                    <a:xfrm>
                      <a:off x="0" y="0"/>
                      <a:ext cx="3419284" cy="6838567"/>
                    </a:xfrm>
                    <a:prstGeom prst="rect">
                      <a:avLst/>
                    </a:prstGeom>
                  </pic:spPr>
                </pic:pic>
              </a:graphicData>
            </a:graphic>
          </wp:inline>
        </w:drawing>
      </w:r>
    </w:p>
    <w:p w14:paraId="1B7A2544" w14:textId="77777777" w:rsidR="00ED5192" w:rsidRDefault="00ED5192" w:rsidP="00CE29D4">
      <w:pPr>
        <w:rPr>
          <w:b/>
          <w:bCs/>
          <w:color w:val="000000"/>
        </w:rPr>
      </w:pPr>
      <w:r>
        <w:rPr>
          <w:b/>
          <w:bCs/>
          <w:color w:val="000000"/>
        </w:rPr>
        <w:t xml:space="preserve">Figure 3. </w:t>
      </w:r>
      <w:r>
        <w:rPr>
          <w:color w:val="000000"/>
        </w:rPr>
        <w:t xml:space="preserve">Interactive effects of N and P addition on leaf nutrient (a), photosynthetic (b) and biomass (c) variables (acronyms explained in Table 1). Large points indicate the meta-analytic mean of the Hedges’ </w:t>
      </w:r>
      <w:r>
        <w:rPr>
          <w:i/>
          <w:iCs/>
          <w:color w:val="000000"/>
        </w:rPr>
        <w:t>d</w:t>
      </w:r>
      <w:r>
        <w:rPr>
          <w:color w:val="000000"/>
        </w:rPr>
        <w:t xml:space="preserve">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xml:space="preserve">), error bars indicate 95% confidence intervals, and sample sizes are reported in parentheses. Black-colored points indicate additive interactions, </w:t>
      </w:r>
      <w:sdt>
        <w:sdtPr>
          <w:tag w:val="goog_rdk_10"/>
          <w:id w:val="883762821"/>
        </w:sdtPr>
        <w:sdtContent/>
      </w:sdt>
      <w:r>
        <w:rPr>
          <w:color w:val="000000"/>
        </w:rPr>
        <w:t>green-colored points indicate synergistic interactions, and purple-colored points indicate antagonistic interactions.</w:t>
      </w:r>
    </w:p>
    <w:p w14:paraId="37F4722D" w14:textId="77777777" w:rsidR="00ED5192" w:rsidRDefault="00ED5192" w:rsidP="00CE29D4">
      <w:pPr>
        <w:rPr>
          <w:b/>
          <w:bCs/>
          <w:color w:val="000000"/>
        </w:rPr>
      </w:pPr>
      <w:r>
        <w:rPr>
          <w:b/>
          <w:bCs/>
          <w:color w:val="000000"/>
        </w:rPr>
        <w:br w:type="page"/>
      </w:r>
    </w:p>
    <w:p w14:paraId="58A88230" w14:textId="77777777" w:rsidR="00ED5192" w:rsidRDefault="00ED5192" w:rsidP="00CE29D4">
      <w:pPr>
        <w:rPr>
          <w:b/>
          <w:bCs/>
        </w:rPr>
      </w:pPr>
      <w:r>
        <w:rPr>
          <w:b/>
          <w:bCs/>
        </w:rPr>
        <w:lastRenderedPageBreak/>
        <w:t>Figure 4</w:t>
      </w:r>
    </w:p>
    <w:p w14:paraId="5397590F" w14:textId="69F16166" w:rsidR="00ED5192" w:rsidRDefault="00CE29D4" w:rsidP="00CE29D4">
      <w:pPr>
        <w:rPr>
          <w:b/>
          <w:bCs/>
        </w:rPr>
      </w:pPr>
      <w:r>
        <w:rPr>
          <w:b/>
          <w:bCs/>
          <w:noProof/>
          <w14:ligatures w14:val="standardContextual"/>
        </w:rPr>
        <w:drawing>
          <wp:inline distT="0" distB="0" distL="0" distR="0" wp14:anchorId="6C3272EC" wp14:editId="159E5EE3">
            <wp:extent cx="5943600" cy="5547360"/>
            <wp:effectExtent l="0" t="0" r="3175" b="0"/>
            <wp:docPr id="107654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0174" name="Picture 10765401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547360"/>
                    </a:xfrm>
                    <a:prstGeom prst="rect">
                      <a:avLst/>
                    </a:prstGeom>
                  </pic:spPr>
                </pic:pic>
              </a:graphicData>
            </a:graphic>
          </wp:inline>
        </w:drawing>
      </w:r>
    </w:p>
    <w:p w14:paraId="71558FC1" w14:textId="37C2D8EA" w:rsidR="00ED5192" w:rsidRDefault="00ED5192" w:rsidP="00CE29D4">
      <w:pPr>
        <w:rPr>
          <w:b/>
          <w:bCs/>
        </w:rPr>
      </w:pPr>
      <w:r>
        <w:rPr>
          <w:b/>
          <w:bCs/>
        </w:rPr>
        <w:t xml:space="preserve">Figure 4. </w:t>
      </w:r>
      <w:r>
        <w:rPr>
          <w:color w:val="000000"/>
        </w:rPr>
        <w:t xml:space="preserve">Climate moderator effects on </w:t>
      </w:r>
      <w:r>
        <w:rPr>
          <w:i/>
          <w:iCs/>
          <w:color w:val="000000"/>
        </w:rPr>
        <w:t>N</w:t>
      </w:r>
      <w:r>
        <w:rPr>
          <w:color w:val="000000"/>
          <w:vertAlign w:val="subscript"/>
        </w:rPr>
        <w:t>area</w:t>
      </w:r>
      <w:r>
        <w:rPr>
          <w:color w:val="000000"/>
        </w:rPr>
        <w:t xml:space="preserve"> responses to N addition (top row), </w:t>
      </w:r>
      <w:proofErr w:type="spellStart"/>
      <w:r>
        <w:rPr>
          <w:i/>
          <w:iCs/>
          <w:color w:val="000000"/>
        </w:rPr>
        <w:t>P</w:t>
      </w:r>
      <w:r>
        <w:rPr>
          <w:color w:val="000000"/>
          <w:vertAlign w:val="subscript"/>
        </w:rPr>
        <w:t>area</w:t>
      </w:r>
      <w:proofErr w:type="spellEnd"/>
      <w:r>
        <w:rPr>
          <w:color w:val="000000"/>
        </w:rPr>
        <w:t xml:space="preserve"> responses to P addition (middle row), and leaf N:P interaction responses (bottom row). Panels (a), (b), and (c) describe the growing season temperature, moisture index, and light availability effects on </w:t>
      </w:r>
      <w:r>
        <w:rPr>
          <w:i/>
          <w:iCs/>
          <w:color w:val="000000"/>
        </w:rPr>
        <w:t>N</w:t>
      </w:r>
      <w:r>
        <w:rPr>
          <w:color w:val="000000"/>
          <w:vertAlign w:val="subscript"/>
        </w:rPr>
        <w:t>area</w:t>
      </w:r>
      <w:r>
        <w:rPr>
          <w:color w:val="000000"/>
        </w:rPr>
        <w:t xml:space="preserve"> responses to N addition, respectively. Panels (d), (e), and (f) describe the growing season temperature, moisture index, and light availability effects on </w:t>
      </w:r>
      <w:proofErr w:type="spellStart"/>
      <w:r>
        <w:rPr>
          <w:i/>
          <w:iCs/>
          <w:color w:val="000000"/>
        </w:rPr>
        <w:t>P</w:t>
      </w:r>
      <w:r>
        <w:rPr>
          <w:color w:val="000000"/>
          <w:vertAlign w:val="subscript"/>
        </w:rPr>
        <w:t>area</w:t>
      </w:r>
      <w:proofErr w:type="spellEnd"/>
      <w:r>
        <w:rPr>
          <w:color w:val="000000"/>
        </w:rPr>
        <w:t xml:space="preserve"> responses to P addition. Finally, panels (g), (h), and (</w:t>
      </w:r>
      <w:proofErr w:type="spellStart"/>
      <w:r>
        <w:rPr>
          <w:color w:val="000000"/>
        </w:rPr>
        <w:t>i</w:t>
      </w:r>
      <w:proofErr w:type="spellEnd"/>
      <w:r>
        <w:rPr>
          <w:color w:val="000000"/>
        </w:rPr>
        <w:t xml:space="preserve">) describe the growing season temperature, moisture index, and light availability effect on leaf N:P interaction effect sizes. Points indicate individual data points, sized to reflect </w:t>
      </w:r>
      <w:r>
        <w:t>the inverse of the standard error</w:t>
      </w:r>
      <w:r>
        <w:rPr>
          <w:color w:val="000000"/>
        </w:rPr>
        <w:t xml:space="preserve">. </w:t>
      </w:r>
      <w:r>
        <w:t>Trendlines and associated 95% confidence interval error ribbons are drawn using meta-regression model predictions generated using the ‘</w:t>
      </w:r>
      <w:proofErr w:type="spellStart"/>
      <w:r>
        <w:t>orchaRd</w:t>
      </w:r>
      <w:proofErr w:type="spellEnd"/>
      <w:r>
        <w:t xml:space="preserve">’ R package </w:t>
      </w:r>
      <w:r>
        <w:rPr>
          <w:color w:val="000000"/>
        </w:rPr>
        <w:t xml:space="preserve">(Nakagawa </w:t>
      </w:r>
      <w:r>
        <w:rPr>
          <w:i/>
          <w:iCs/>
          <w:color w:val="000000"/>
        </w:rPr>
        <w:t>et al.</w:t>
      </w:r>
      <w:r>
        <w:rPr>
          <w:color w:val="000000"/>
        </w:rPr>
        <w:t>, 2023). Solid trendlines indicate cases where climate had a significant moderator effect (</w:t>
      </w:r>
      <w:r>
        <w:rPr>
          <w:i/>
          <w:iCs/>
          <w:color w:val="000000"/>
        </w:rPr>
        <w:t>p</w:t>
      </w:r>
      <w:r>
        <w:rPr>
          <w:color w:val="000000"/>
        </w:rPr>
        <w:t>&lt;0.05), dashed trendlines indicate cases where climate had a marginal moderator effect (0.05&lt;</w:t>
      </w:r>
      <w:r>
        <w:rPr>
          <w:i/>
          <w:iCs/>
          <w:color w:val="000000"/>
        </w:rPr>
        <w:t>p</w:t>
      </w:r>
      <w:r>
        <w:rPr>
          <w:color w:val="000000"/>
        </w:rPr>
        <w:t>&lt;0.1), and absent trendlines indicate cases where climate did not have a significant or marginally significant moderator effect (</w:t>
      </w:r>
      <w:r>
        <w:rPr>
          <w:i/>
          <w:iCs/>
          <w:color w:val="000000"/>
        </w:rPr>
        <w:t>p</w:t>
      </w:r>
      <w:r>
        <w:rPr>
          <w:color w:val="000000"/>
        </w:rPr>
        <w:t>&gt;0.1).</w:t>
      </w:r>
      <w:r>
        <w:rPr>
          <w:b/>
          <w:bCs/>
        </w:rPr>
        <w:br w:type="page"/>
      </w:r>
    </w:p>
    <w:p w14:paraId="7E7CABA5" w14:textId="77777777" w:rsidR="00ED5192" w:rsidRDefault="00ED5192" w:rsidP="00CE29D4">
      <w:pPr>
        <w:rPr>
          <w:b/>
          <w:bCs/>
          <w:color w:val="000000"/>
        </w:rPr>
      </w:pPr>
      <w:r>
        <w:rPr>
          <w:b/>
          <w:bCs/>
          <w:color w:val="000000"/>
        </w:rPr>
        <w:lastRenderedPageBreak/>
        <w:t>Figure 5.</w:t>
      </w:r>
    </w:p>
    <w:p w14:paraId="0FD1CDE8" w14:textId="77777777" w:rsidR="00ED5192" w:rsidRDefault="00ED5192" w:rsidP="00CE29D4">
      <w:pPr>
        <w:jc w:val="center"/>
        <w:rPr>
          <w:b/>
          <w:bCs/>
          <w:color w:val="000000"/>
        </w:rPr>
      </w:pPr>
      <w:r>
        <w:rPr>
          <w:b/>
          <w:bCs/>
          <w:noProof/>
          <w:color w:val="000000"/>
        </w:rPr>
        <w:drawing>
          <wp:inline distT="0" distB="0" distL="0" distR="0" wp14:anchorId="2E35F899" wp14:editId="154BA6B1">
            <wp:extent cx="3495791" cy="6580314"/>
            <wp:effectExtent l="0" t="0" r="0" b="0"/>
            <wp:docPr id="46640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9169" name="Picture 466409169"/>
                    <pic:cNvPicPr/>
                  </pic:nvPicPr>
                  <pic:blipFill>
                    <a:blip r:embed="rId8"/>
                    <a:stretch>
                      <a:fillRect/>
                    </a:stretch>
                  </pic:blipFill>
                  <pic:spPr>
                    <a:xfrm>
                      <a:off x="0" y="0"/>
                      <a:ext cx="3574170" cy="6727851"/>
                    </a:xfrm>
                    <a:prstGeom prst="rect">
                      <a:avLst/>
                    </a:prstGeom>
                  </pic:spPr>
                </pic:pic>
              </a:graphicData>
            </a:graphic>
          </wp:inline>
        </w:drawing>
      </w:r>
    </w:p>
    <w:p w14:paraId="4D443032" w14:textId="124683A9" w:rsidR="00ED5192" w:rsidRDefault="00ED5192" w:rsidP="00CE29D4">
      <w:pPr>
        <w:rPr>
          <w:b/>
          <w:bCs/>
          <w:color w:val="000000"/>
        </w:rPr>
      </w:pPr>
      <w:r>
        <w:rPr>
          <w:b/>
          <w:bCs/>
          <w:color w:val="000000"/>
        </w:rPr>
        <w:t>Figure 5.</w:t>
      </w:r>
      <w:r w:rsidRPr="00994D07">
        <w:rPr>
          <w:color w:val="000000"/>
        </w:rPr>
        <w:t xml:space="preserve"> </w:t>
      </w:r>
      <w:r>
        <w:rPr>
          <w:color w:val="000000"/>
        </w:rPr>
        <w:t xml:space="preserve">Plant functional type effects on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Panel (a) describes the N</w:t>
      </w:r>
      <w:r>
        <w:rPr>
          <w:color w:val="000000"/>
          <w:vertAlign w:val="subscript"/>
        </w:rPr>
        <w:t>2</w:t>
      </w:r>
      <w:r>
        <w:rPr>
          <w:color w:val="000000"/>
        </w:rPr>
        <w:t xml:space="preserve"> fixation ability effect on these variables, panel (b) describes the mycorrhizal nutrient acquisition strategy effect on these variables, and panel (c) describes the photosynthetic pathway effect on these variables.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and error bars indicate the associated 95% confidence intervals.</w:t>
      </w:r>
      <w:r>
        <w:rPr>
          <w:b/>
          <w:bCs/>
          <w:color w:val="000000"/>
        </w:rPr>
        <w:br w:type="page"/>
      </w:r>
    </w:p>
    <w:p w14:paraId="4BF9CCCC" w14:textId="77777777" w:rsidR="00ED5192" w:rsidRDefault="00ED5192" w:rsidP="00CE29D4">
      <w:pPr>
        <w:rPr>
          <w:b/>
          <w:bCs/>
          <w:color w:val="000000"/>
        </w:rPr>
      </w:pPr>
      <w:r>
        <w:rPr>
          <w:b/>
          <w:bCs/>
          <w:color w:val="000000"/>
        </w:rPr>
        <w:lastRenderedPageBreak/>
        <w:t>Figure 6</w:t>
      </w:r>
    </w:p>
    <w:p w14:paraId="493297C2" w14:textId="77777777" w:rsidR="00ED5192" w:rsidRDefault="00ED5192" w:rsidP="00CE29D4">
      <w:pPr>
        <w:jc w:val="center"/>
        <w:rPr>
          <w:b/>
          <w:bCs/>
          <w:color w:val="000000"/>
        </w:rPr>
      </w:pPr>
      <w:r>
        <w:rPr>
          <w:b/>
          <w:bCs/>
          <w:noProof/>
          <w:color w:val="000000"/>
        </w:rPr>
        <w:drawing>
          <wp:inline distT="0" distB="0" distL="0" distR="0" wp14:anchorId="6DB993F1" wp14:editId="25780F9C">
            <wp:extent cx="3494915" cy="6578663"/>
            <wp:effectExtent l="0" t="0" r="0" b="0"/>
            <wp:docPr id="8062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3465" name="Picture 806293465"/>
                    <pic:cNvPicPr/>
                  </pic:nvPicPr>
                  <pic:blipFill>
                    <a:blip r:embed="rId9"/>
                    <a:stretch>
                      <a:fillRect/>
                    </a:stretch>
                  </pic:blipFill>
                  <pic:spPr>
                    <a:xfrm>
                      <a:off x="0" y="0"/>
                      <a:ext cx="3602003" cy="6780240"/>
                    </a:xfrm>
                    <a:prstGeom prst="rect">
                      <a:avLst/>
                    </a:prstGeom>
                  </pic:spPr>
                </pic:pic>
              </a:graphicData>
            </a:graphic>
          </wp:inline>
        </w:drawing>
      </w:r>
    </w:p>
    <w:p w14:paraId="3382EC3F" w14:textId="09FBA2BA" w:rsidR="0074160B" w:rsidRPr="00CE29D4" w:rsidRDefault="00ED5192">
      <w:pPr>
        <w:rPr>
          <w:b/>
          <w:bCs/>
          <w:color w:val="000000"/>
        </w:rPr>
      </w:pPr>
      <w:r>
        <w:rPr>
          <w:b/>
          <w:bCs/>
          <w:color w:val="000000"/>
        </w:rPr>
        <w:t xml:space="preserve">Figure 6. </w:t>
      </w:r>
      <w:r>
        <w:rPr>
          <w:color w:val="000000"/>
        </w:rPr>
        <w:t xml:space="preserve">Plant functional type effects on </w:t>
      </w:r>
      <w:proofErr w:type="spellStart"/>
      <w:r>
        <w:rPr>
          <w:i/>
          <w:iCs/>
          <w:color w:val="000000"/>
        </w:rPr>
        <w:t>P</w:t>
      </w:r>
      <w:r>
        <w:rPr>
          <w:color w:val="000000"/>
          <w:vertAlign w:val="subscript"/>
        </w:rPr>
        <w:t>mass</w:t>
      </w:r>
      <w:proofErr w:type="spellEnd"/>
      <w:r>
        <w:rPr>
          <w:color w:val="000000"/>
        </w:rPr>
        <w:t xml:space="preserve">, </w:t>
      </w:r>
      <w:proofErr w:type="spellStart"/>
      <w:r>
        <w:rPr>
          <w:i/>
          <w:iCs/>
          <w:color w:val="000000"/>
        </w:rPr>
        <w:t>P</w:t>
      </w:r>
      <w:r>
        <w:rPr>
          <w:color w:val="000000"/>
          <w:vertAlign w:val="subscript"/>
        </w:rPr>
        <w:t>area</w:t>
      </w:r>
      <w:proofErr w:type="spellEnd"/>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P addition. Panel (a) describes the N</w:t>
      </w:r>
      <w:r>
        <w:rPr>
          <w:color w:val="000000"/>
          <w:vertAlign w:val="subscript"/>
        </w:rPr>
        <w:t>2</w:t>
      </w:r>
      <w:r>
        <w:rPr>
          <w:color w:val="000000"/>
        </w:rPr>
        <w:t xml:space="preserve"> fixation ability effect on these variables, panel (b) describes the mycorrhizal nutrient acquisition strategy effect on these variables, and panel (c) describes the photosynthetic pathway effect on these variables.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with error bars indicating the associated 95% confidence intervals.</w:t>
      </w:r>
    </w:p>
    <w:sectPr w:rsidR="0074160B" w:rsidRPr="00CE2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FE6"/>
    <w:rsid w:val="001D7CFF"/>
    <w:rsid w:val="002875D0"/>
    <w:rsid w:val="00524FE6"/>
    <w:rsid w:val="005C540B"/>
    <w:rsid w:val="0074160B"/>
    <w:rsid w:val="007F105D"/>
    <w:rsid w:val="00CE29D4"/>
    <w:rsid w:val="00ED272B"/>
    <w:rsid w:val="00ED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6F473F"/>
  <w15:chartTrackingRefBased/>
  <w15:docId w15:val="{B895DE03-11CB-114D-8529-BF3DD9A9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FE6"/>
    <w:pPr>
      <w:spacing w:after="0" w:line="240" w:lineRule="auto"/>
    </w:pPr>
    <w:rPr>
      <w:rFonts w:eastAsia="Times New Roman"/>
      <w:kern w:val="0"/>
      <w:lang w:val="en"/>
      <w14:ligatures w14:val="none"/>
    </w:rPr>
  </w:style>
  <w:style w:type="paragraph" w:styleId="Heading1">
    <w:name w:val="heading 1"/>
    <w:basedOn w:val="Normal"/>
    <w:next w:val="Normal"/>
    <w:link w:val="Heading1Char"/>
    <w:uiPriority w:val="9"/>
    <w:qFormat/>
    <w:rsid w:val="00524FE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524FE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524FE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524FE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524FE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524FE6"/>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524FE6"/>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524FE6"/>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524FE6"/>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F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F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4F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4F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4F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4F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4F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4FE6"/>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524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FE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524F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4FE6"/>
    <w:pPr>
      <w:spacing w:before="160" w:after="160" w:line="278" w:lineRule="auto"/>
      <w:jc w:val="center"/>
    </w:pPr>
    <w:rPr>
      <w:rFonts w:eastAsiaTheme="minorHAns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524FE6"/>
    <w:rPr>
      <w:i/>
      <w:iCs/>
      <w:color w:val="404040" w:themeColor="text1" w:themeTint="BF"/>
    </w:rPr>
  </w:style>
  <w:style w:type="paragraph" w:styleId="ListParagraph">
    <w:name w:val="List Paragraph"/>
    <w:basedOn w:val="Normal"/>
    <w:uiPriority w:val="34"/>
    <w:qFormat/>
    <w:rsid w:val="00524FE6"/>
    <w:pPr>
      <w:spacing w:after="160" w:line="278" w:lineRule="auto"/>
      <w:ind w:left="720"/>
      <w:contextualSpacing/>
    </w:pPr>
    <w:rPr>
      <w:rFonts w:eastAsiaTheme="minorHAnsi"/>
      <w:kern w:val="2"/>
      <w:lang w:val="en-US"/>
      <w14:ligatures w14:val="standardContextual"/>
    </w:rPr>
  </w:style>
  <w:style w:type="character" w:styleId="IntenseEmphasis">
    <w:name w:val="Intense Emphasis"/>
    <w:basedOn w:val="DefaultParagraphFont"/>
    <w:uiPriority w:val="21"/>
    <w:qFormat/>
    <w:rsid w:val="00524FE6"/>
    <w:rPr>
      <w:i/>
      <w:iCs/>
      <w:color w:val="0F4761" w:themeColor="accent1" w:themeShade="BF"/>
    </w:rPr>
  </w:style>
  <w:style w:type="paragraph" w:styleId="IntenseQuote">
    <w:name w:val="Intense Quote"/>
    <w:basedOn w:val="Normal"/>
    <w:next w:val="Normal"/>
    <w:link w:val="IntenseQuoteChar"/>
    <w:uiPriority w:val="30"/>
    <w:qFormat/>
    <w:rsid w:val="00524FE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524FE6"/>
    <w:rPr>
      <w:i/>
      <w:iCs/>
      <w:color w:val="0F4761" w:themeColor="accent1" w:themeShade="BF"/>
    </w:rPr>
  </w:style>
  <w:style w:type="character" w:styleId="IntenseReference">
    <w:name w:val="Intense Reference"/>
    <w:basedOn w:val="DefaultParagraphFont"/>
    <w:uiPriority w:val="32"/>
    <w:qFormat/>
    <w:rsid w:val="00524FE6"/>
    <w:rPr>
      <w:b/>
      <w:bCs/>
      <w:smallCaps/>
      <w:color w:val="0F4761" w:themeColor="accent1" w:themeShade="BF"/>
      <w:spacing w:val="5"/>
    </w:rPr>
  </w:style>
  <w:style w:type="table" w:styleId="GridTable6Colorful">
    <w:name w:val="Grid Table 6 Colorful"/>
    <w:basedOn w:val="TableNormal"/>
    <w:uiPriority w:val="51"/>
    <w:rsid w:val="00524FE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glossaryDocument" Target="glossary/document.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89D03B4B264FDC49925829FB6389F8E4"/>
        <w:category>
          <w:name w:val="General"/>
          <w:gallery w:val="placeholder"/>
        </w:category>
        <w:types>
          <w:type w:val="bbPlcHdr"/>
        </w:types>
        <w:behaviors>
          <w:behavior w:val="content"/>
        </w:behaviors>
        <w:guid w:val="{0D93A9E1-9905-A445-8071-0FDD80B5E7AB}"/>
      </w:docPartPr>
      <w:docPartBody>
        <w:p w:rsidR="00000000" w:rsidRDefault="002E1E9B" w:rsidP="002E1E9B">
          <w:pPr>
            <w:pStyle w:val="89D03B4B264FDC49925829FB6389F8E4"/>
          </w:pPr>
          <w:r w:rsidRPr="008C6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9B"/>
    <w:rsid w:val="002E1E9B"/>
    <w:rsid w:val="00317579"/>
    <w:rsid w:val="007F1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1E9B"/>
    <w:rPr>
      <w:color w:val="666666"/>
    </w:rPr>
  </w:style>
  <w:style w:type="paragraph" w:customStyle="1" w:styleId="89D03B4B264FDC49925829FB6389F8E4">
    <w:name w:val="89D03B4B264FDC49925829FB6389F8E4"/>
    <w:rsid w:val="002E1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dcterms:created xsi:type="dcterms:W3CDTF">2026-10-05T21:50:00Z</dcterms:created>
  <dcterms:modified xsi:type="dcterms:W3CDTF">2026-10-05T22:24:00Z</dcterms:modified>
</cp:coreProperties>
</file>