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8F7C0B5" w:rsidR="00E01953" w:rsidRDefault="00E01953" w:rsidP="00E65796">
      <w:pPr>
        <w:spacing w:after="240" w:line="480" w:lineRule="auto"/>
        <w:rPr>
          <w:b/>
          <w:bCs/>
        </w:rPr>
      </w:pPr>
      <w:r>
        <w:rPr>
          <w:b/>
          <w:bCs/>
        </w:rPr>
        <w:t>Global response patterns of plant functional traits to combined nitrogen and phosphorus addition are govern</w:t>
      </w:r>
      <w:r w:rsidR="00E65796">
        <w:rPr>
          <w:b/>
          <w:bCs/>
        </w:rPr>
        <w:t>ed</w:t>
      </w:r>
      <w:r>
        <w:rPr>
          <w:b/>
          <w:bCs/>
        </w:rPr>
        <w:t xml:space="preserve"> by additive interactions</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6"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1BA424E8" w14:textId="03EE6AAA" w:rsidR="009E05F7" w:rsidRDefault="0088602C" w:rsidP="001403D8">
      <w:pPr>
        <w:spacing w:line="360" w:lineRule="auto"/>
      </w:pPr>
      <w:r>
        <w:t>The availability of nutrients such as nitrogen</w:t>
      </w:r>
      <w:r w:rsidR="006D0DA9">
        <w:t xml:space="preserve"> (N)</w:t>
      </w:r>
      <w:r>
        <w:t xml:space="preserve"> and phosphorus </w:t>
      </w:r>
      <w:r w:rsidR="006D0DA9">
        <w:t xml:space="preserve">(P) </w:t>
      </w:r>
      <w:r>
        <w:t>play</w:t>
      </w:r>
      <w:r w:rsidR="009E05F7">
        <w:t>s</w:t>
      </w:r>
      <w:r>
        <w:t xml:space="preserve"> an important role in shaping plant </w:t>
      </w:r>
      <w:proofErr w:type="spellStart"/>
      <w:r>
        <w:t>ecophysiological</w:t>
      </w:r>
      <w:proofErr w:type="spellEnd"/>
      <w:r>
        <w:t xml:space="preserve"> responses to global change. </w:t>
      </w:r>
      <w:r w:rsidR="00E97E5B">
        <w:t xml:space="preserve">While </w:t>
      </w:r>
      <w:r w:rsidR="00237FD0">
        <w:t>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leaf and whole-plant trait data</w:t>
      </w:r>
      <w:r w:rsidR="00E01953" w:rsidDel="00600496">
        <w:t xml:space="preserve"> </w:t>
      </w:r>
      <w:r w:rsidR="00E01953">
        <w:t xml:space="preserve">from full-factorial </w:t>
      </w:r>
      <w:r w:rsidR="00237FD0">
        <w:t>N</w:t>
      </w:r>
      <w:r w:rsidR="00E01953">
        <w:t xml:space="preserve"> and </w:t>
      </w:r>
      <w:r w:rsidR="00237FD0">
        <w:t>P</w:t>
      </w:r>
      <w:r w:rsidR="00E01953">
        <w:t xml:space="preserve"> addition experiments across the globe and conducted a meta-analysis.</w:t>
      </w:r>
      <w:r w:rsidR="00E01953" w:rsidRPr="00E01953">
        <w:t xml:space="preserve"> </w:t>
      </w:r>
      <w:r w:rsidR="00E01953">
        <w:t>We used this approach to quantify the</w:t>
      </w:r>
      <w:r w:rsidR="00E65796">
        <w:t xml:space="preserve"> individual and interactive</w:t>
      </w:r>
      <w:r w:rsidR="00E01953">
        <w:t xml:space="preserve"> effects of </w:t>
      </w:r>
      <w:r w:rsidR="00237FD0">
        <w:t>N</w:t>
      </w:r>
      <w:r w:rsidR="00E65796">
        <w:t xml:space="preserve"> and</w:t>
      </w:r>
      <w:r w:rsidR="00E01953">
        <w:t xml:space="preserve"> </w:t>
      </w:r>
      <w:r w:rsidR="00237FD0">
        <w:t>P</w:t>
      </w:r>
      <w:r w:rsidR="00F22968">
        <w:t xml:space="preserve"> addition</w:t>
      </w:r>
      <w:r w:rsidR="00E01953">
        <w:t xml:space="preserve"> on leaf nutrient content,</w:t>
      </w:r>
      <w:r w:rsidR="00F22968">
        <w:t xml:space="preserve"> leaf photosynthetic traits,</w:t>
      </w:r>
      <w:r w:rsidR="00E01953">
        <w:t xml:space="preserve"> and biomass partitioning. </w:t>
      </w:r>
      <w:r w:rsidR="008D13D3">
        <w:t>N</w:t>
      </w:r>
      <w:r w:rsidR="00F7416C">
        <w:t>utrient addition played no role in shaping leaf-level photosynthetic parameters</w:t>
      </w:r>
      <w:r w:rsidR="008D13D3">
        <w:t xml:space="preserve">. </w:t>
      </w:r>
      <w:r w:rsidR="00F7416C">
        <w:t xml:space="preserve">These patterns were observed despite </w:t>
      </w:r>
      <w:r w:rsidR="00237FD0">
        <w:t>N</w:t>
      </w:r>
      <w:r w:rsidR="00F7416C">
        <w:t xml:space="preserve"> addition increasing leaf </w:t>
      </w:r>
      <w:r w:rsidR="00237FD0">
        <w:t>N</w:t>
      </w:r>
      <w:r w:rsidR="00F7416C">
        <w:t xml:space="preserve"> content, </w:t>
      </w:r>
      <w:r w:rsidR="00237FD0">
        <w:t>P</w:t>
      </w:r>
      <w:r w:rsidR="00F7416C">
        <w:t xml:space="preserve"> addition increasing leaf </w:t>
      </w:r>
      <w:r w:rsidR="00237FD0">
        <w:t>P</w:t>
      </w:r>
      <w:r w:rsidR="00F7416C">
        <w:t xml:space="preserve"> content, and both nutrient additions increasing aboveground biomass </w:t>
      </w:r>
      <w:r w:rsidR="008D13D3">
        <w:t>and</w:t>
      </w:r>
      <w:r w:rsidR="00F7416C">
        <w:t xml:space="preserve"> decreasing the root mass fraction. The combined effects of </w:t>
      </w:r>
      <w:r w:rsidR="00237FD0">
        <w:t>N</w:t>
      </w:r>
      <w:r w:rsidR="00F7416C">
        <w:t xml:space="preserve"> and </w:t>
      </w:r>
      <w:r w:rsidR="00237FD0">
        <w:t>P</w:t>
      </w:r>
      <w:r w:rsidR="00F7416C">
        <w:t xml:space="preserve"> addition on leaf and whole-plant traits were </w:t>
      </w:r>
      <w:r w:rsidR="00237FD0">
        <w:t>largely</w:t>
      </w:r>
      <w:r w:rsidR="00F7416C">
        <w:t xml:space="preserve"> driven by additive interactions, indicating that</w:t>
      </w:r>
      <w:r w:rsidR="001403D8">
        <w:t xml:space="preserve"> these effects</w:t>
      </w:r>
      <w:r w:rsidR="00F7416C">
        <w:t xml:space="preserve"> were the result of independent effects of each nutrient addition. </w:t>
      </w:r>
      <w:r w:rsidR="009E05F7">
        <w:t>Regions with greater demand for soil resources (e.g., colder and drier regions) exhibited stronger leaf N content responses to N addition as well as stronger leaf P content responses to P addition, providing some support for climate-related demand for soil resources controlling leaf nutrient responses to nutrient addition. These findings provide important information needed to understand carbon-nitrogen-phosphorus cycle dynamics and provides a foundation for</w:t>
      </w:r>
      <w:r w:rsidR="002B616F">
        <w:t xml:space="preserve"> understanding how to incorporate </w:t>
      </w:r>
      <w:r w:rsidR="009E05F7">
        <w:t>carbon-nitrogen-phosphorus interactions in land surface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64D476CA"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9D2FE3" w:rsidRPr="009D2FE3">
            <w:rPr>
              <w:rFonts w:eastAsia="Times New Roman"/>
              <w:color w:val="000000"/>
            </w:rPr>
            <w:t xml:space="preserve">(Hungate </w:t>
          </w:r>
          <w:r w:rsidR="009D2FE3" w:rsidRPr="009D2FE3">
            <w:rPr>
              <w:rFonts w:eastAsia="Times New Roman"/>
              <w:i/>
              <w:iCs/>
              <w:color w:val="000000"/>
            </w:rPr>
            <w:t>et al.</w:t>
          </w:r>
          <w:r w:rsidR="009D2FE3" w:rsidRPr="009D2FE3">
            <w:rPr>
              <w:rFonts w:eastAsia="Times New Roman"/>
              <w:color w:val="000000"/>
            </w:rPr>
            <w:t xml:space="preserve">, 2003; </w:t>
          </w:r>
          <w:proofErr w:type="spellStart"/>
          <w:r w:rsidR="009D2FE3" w:rsidRPr="009D2FE3">
            <w:rPr>
              <w:rFonts w:eastAsia="Times New Roman"/>
              <w:color w:val="000000"/>
            </w:rPr>
            <w:t>LeBauer</w:t>
          </w:r>
          <w:proofErr w:type="spellEnd"/>
          <w:r w:rsidR="009D2FE3" w:rsidRPr="009D2FE3">
            <w:rPr>
              <w:rFonts w:eastAsia="Times New Roman"/>
              <w:color w:val="000000"/>
            </w:rPr>
            <w:t xml:space="preserve"> &amp; Treseder, 2008; Wieder </w:t>
          </w:r>
          <w:r w:rsidR="009D2FE3" w:rsidRPr="009D2FE3">
            <w:rPr>
              <w:rFonts w:eastAsia="Times New Roman"/>
              <w:i/>
              <w:iCs/>
              <w:color w:val="000000"/>
            </w:rPr>
            <w:t>et al.</w:t>
          </w:r>
          <w:r w:rsidR="009D2FE3" w:rsidRPr="009D2FE3">
            <w:rPr>
              <w:rFonts w:eastAsia="Times New Roman"/>
              <w:color w:val="000000"/>
            </w:rPr>
            <w:t xml:space="preserve">, 2015; Fay </w:t>
          </w:r>
          <w:r w:rsidR="009D2FE3" w:rsidRPr="009D2FE3">
            <w:rPr>
              <w:rFonts w:eastAsia="Times New Roman"/>
              <w:i/>
              <w:iCs/>
              <w:color w:val="000000"/>
            </w:rPr>
            <w:t>et al.</w:t>
          </w:r>
          <w:r w:rsidR="009D2FE3" w:rsidRPr="009D2FE3">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
          <w:id w:val="673923544"/>
          <w:placeholder>
            <w:docPart w:val="DefaultPlaceholder_-1854013440"/>
          </w:placeholder>
        </w:sdtPr>
        <w:sdtContent>
          <w:r w:rsidR="009D2FE3" w:rsidRPr="009D2FE3">
            <w:rPr>
              <w:rFonts w:eastAsia="Times New Roman"/>
              <w:color w:val="000000"/>
            </w:rPr>
            <w:t xml:space="preserve">(Wieder </w:t>
          </w:r>
          <w:r w:rsidR="009D2FE3" w:rsidRPr="009D2FE3">
            <w:rPr>
              <w:rFonts w:eastAsia="Times New Roman"/>
              <w:i/>
              <w:iCs/>
              <w:color w:val="000000"/>
            </w:rPr>
            <w:t>et al.</w:t>
          </w:r>
          <w:r w:rsidR="009D2FE3" w:rsidRPr="009D2FE3">
            <w:rPr>
              <w:rFonts w:eastAsia="Times New Roman"/>
              <w:color w:val="000000"/>
            </w:rPr>
            <w:t xml:space="preserve">, 2015; </w:t>
          </w:r>
          <w:proofErr w:type="spellStart"/>
          <w:r w:rsidR="009D2FE3" w:rsidRPr="009D2FE3">
            <w:rPr>
              <w:rFonts w:eastAsia="Times New Roman"/>
              <w:color w:val="000000"/>
            </w:rPr>
            <w:t>Braghiere</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2022)</w:t>
          </w:r>
        </w:sdtContent>
      </w:sdt>
      <w:r w:rsidR="009D2FE3">
        <w:rPr>
          <w:color w:val="000000"/>
        </w:rPr>
        <w:t xml:space="preserve"> and ensemble analyses 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n0sImlzVGVtcG9yYXJ5IjpmYWxzZX1dfQ=="/>
          <w:id w:val="-439061544"/>
          <w:placeholder>
            <w:docPart w:val="DefaultPlaceholder_-1854013440"/>
          </w:placeholder>
        </w:sdtPr>
        <w:sdtContent>
          <w:r w:rsidR="009D2FE3" w:rsidRPr="009D2FE3">
            <w:rPr>
              <w:rFonts w:eastAsia="Times New Roman"/>
              <w:color w:val="000000"/>
            </w:rPr>
            <w:t>(Kou-</w:t>
          </w:r>
          <w:r w:rsidR="009D2FE3" w:rsidRPr="009D2FE3">
            <w:rPr>
              <w:rFonts w:eastAsia="Times New Roman"/>
              <w:color w:val="000000"/>
            </w:rPr>
            <w:lastRenderedPageBreak/>
            <w:t xml:space="preserve">Giesbrecht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9D2FE3" w:rsidRPr="009D2FE3">
            <w:rPr>
              <w:rFonts w:eastAsia="Times New Roman"/>
              <w:color w:val="000000"/>
            </w:rPr>
            <w:t xml:space="preserve">(Davies-Barnard </w:t>
          </w:r>
          <w:r w:rsidR="009D2FE3" w:rsidRPr="009D2FE3">
            <w:rPr>
              <w:rFonts w:eastAsia="Times New Roman"/>
              <w:i/>
              <w:iCs/>
              <w:color w:val="000000"/>
            </w:rPr>
            <w:t>et al.</w:t>
          </w:r>
          <w:r w:rsidR="009D2FE3" w:rsidRPr="009D2FE3">
            <w:rPr>
              <w:rFonts w:eastAsia="Times New Roman"/>
              <w:color w:val="000000"/>
            </w:rPr>
            <w:t xml:space="preserve">, 2020; Kou-Giesbrecht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9D2FE3">
        <w:rPr>
          <w:color w:val="000000"/>
        </w:rPr>
        <w:t xml:space="preserve">. </w:t>
      </w:r>
      <w:r w:rsidR="00B30EF8">
        <w:rPr>
          <w:color w:val="000000"/>
        </w:rPr>
        <w:t xml:space="preserve">This disparity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 xml:space="preserve">drive ecosystem carbon and nutrient fluxes </w:t>
      </w:r>
      <w:r w:rsidR="009D2FE3">
        <w:rPr>
          <w:color w:val="000000"/>
        </w:rPr>
        <w:t xml:space="preserve">(e.g., leaf nutrients, photosynthesis, biomass partitioning),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6E8D1634" w14:textId="0C6730EF" w:rsidR="00D01AA1" w:rsidRDefault="0049192D" w:rsidP="00D01AA1">
      <w:pPr>
        <w:spacing w:line="360" w:lineRule="auto"/>
        <w:ind w:firstLine="720"/>
      </w:pPr>
      <w:r>
        <w:t xml:space="preserve">Nitrogen addition has </w:t>
      </w:r>
      <w:r w:rsidR="00EB3394">
        <w:t>been asserted to be primary</w:t>
      </w:r>
      <w:r>
        <w:t xml:space="preserve"> determinant of plant trait variation. This </w:t>
      </w:r>
      <w:r w:rsidR="00EB3394">
        <w:t>is</w:t>
      </w:r>
      <w:r w:rsidR="00D01AA1">
        <w:t xml:space="preserve"> because soil nitrogen availability is often positively correlated with leaf nitrogen content </w:t>
      </w:r>
      <w:sdt>
        <w:sdtPr>
          <w:rPr>
            <w:color w:val="000000"/>
          </w:rPr>
          <w:tag w:val="MENDELEY_CITATION_v3_eyJjaXRhdGlvbklEIjoiTUVOREVMRVlfQ0lUQVRJT05fOTVlMDRhYjAtMmNkMi00NDUyLWFiNDItMTQ3ZmMyZGY5YmM5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1072730736"/>
          <w:placeholder>
            <w:docPart w:val="DefaultPlaceholder_-1854013440"/>
          </w:placeholder>
        </w:sdtPr>
        <w:sdtContent>
          <w:r w:rsidR="00D01AA1" w:rsidRPr="00D01AA1">
            <w:rPr>
              <w:rFonts w:eastAsia="Times New Roman"/>
              <w:color w:val="000000"/>
            </w:rPr>
            <w:t>(</w:t>
          </w:r>
          <w:proofErr w:type="spellStart"/>
          <w:r w:rsidR="00D01AA1" w:rsidRPr="00D01AA1">
            <w:rPr>
              <w:rFonts w:eastAsia="Times New Roman"/>
              <w:color w:val="000000"/>
            </w:rPr>
            <w:t>Firn</w:t>
          </w:r>
          <w:proofErr w:type="spellEnd"/>
          <w:r w:rsidR="00D01AA1" w:rsidRPr="00D01AA1">
            <w:rPr>
              <w:rFonts w:eastAsia="Times New Roman"/>
              <w:color w:val="000000"/>
            </w:rPr>
            <w:t xml:space="preserve"> </w:t>
          </w:r>
          <w:r w:rsidR="00D01AA1" w:rsidRPr="00D01AA1">
            <w:rPr>
              <w:rFonts w:eastAsia="Times New Roman"/>
              <w:i/>
              <w:iCs/>
              <w:color w:val="000000"/>
            </w:rPr>
            <w:t>et al.</w:t>
          </w:r>
          <w:r w:rsidR="00D01AA1" w:rsidRPr="00D01AA1">
            <w:rPr>
              <w:rFonts w:eastAsia="Times New Roman"/>
              <w:color w:val="000000"/>
            </w:rPr>
            <w:t>, 2019)</w:t>
          </w:r>
        </w:sdtContent>
      </w:sdt>
      <w:r w:rsidR="00D01AA1">
        <w:t xml:space="preserve">, </w:t>
      </w:r>
      <w:r w:rsidR="00EB3394">
        <w:t>while</w:t>
      </w:r>
      <w:r w:rsidR="00D01AA1">
        <w:t xml:space="preserv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V19"/>
          <w:id w:val="102301564"/>
          <w:placeholder>
            <w:docPart w:val="DefaultPlaceholder_-1854013440"/>
          </w:placeholder>
        </w:sdtPr>
        <w:sdtContent>
          <w:r w:rsidR="00D01AA1" w:rsidRPr="00D01AA1">
            <w:rPr>
              <w:rFonts w:eastAsia="Times New Roman"/>
              <w:color w:val="000000"/>
            </w:rPr>
            <w:t>(Field &amp; Mooney, 1986; Evans, 1989)</w:t>
          </w:r>
        </w:sdtContent>
      </w:sdt>
      <w:r w:rsidR="00D01AA1">
        <w:t xml:space="preserve">. 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DefaultPlaceholder_-1854013440"/>
          </w:placeholder>
        </w:sdtPr>
        <w:sdtContent>
          <w:r w:rsidR="00D01AA1" w:rsidRPr="00D01AA1">
            <w:rPr>
              <w:rFonts w:eastAsia="Times New Roman"/>
              <w:color w:val="000000"/>
            </w:rPr>
            <w:t xml:space="preserve">(Evans &amp; Seemann, 1989; Waring </w:t>
          </w:r>
          <w:r w:rsidR="00D01AA1" w:rsidRPr="00D01AA1">
            <w:rPr>
              <w:rFonts w:eastAsia="Times New Roman"/>
              <w:i/>
              <w:iCs/>
              <w:color w:val="000000"/>
            </w:rPr>
            <w:t>et al.</w:t>
          </w:r>
          <w:r w:rsidR="00D01AA1" w:rsidRPr="00D01AA1">
            <w:rPr>
              <w:rFonts w:eastAsia="Times New Roman"/>
              <w:color w:val="000000"/>
            </w:rPr>
            <w:t>, 2023)</w:t>
          </w:r>
        </w:sdtContent>
      </w:sdt>
      <w:r w:rsidR="00EB3394">
        <w:rPr>
          <w:color w:val="000000"/>
        </w:rPr>
        <w:t xml:space="preserve"> and represent a </w:t>
      </w:r>
      <w:r w:rsidR="00EB3394">
        <w:t>key determinant of carbon and nutrient fluxes in terrestrial biosphere models</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EB3394" w:rsidRPr="00EB3394">
            <w:rPr>
              <w:rFonts w:eastAsia="Times New Roman"/>
              <w:color w:val="000000"/>
            </w:rPr>
            <w:t xml:space="preserve">(Rogers </w:t>
          </w:r>
          <w:r w:rsidR="00EB3394" w:rsidRPr="00EB3394">
            <w:rPr>
              <w:rFonts w:eastAsia="Times New Roman"/>
              <w:i/>
              <w:iCs/>
              <w:color w:val="000000"/>
            </w:rPr>
            <w:t>et al.</w:t>
          </w:r>
          <w:r w:rsidR="00EB3394" w:rsidRPr="00EB3394">
            <w:rPr>
              <w:rFonts w:eastAsia="Times New Roman"/>
              <w:color w:val="000000"/>
            </w:rPr>
            <w:t>, 2017)</w:t>
          </w:r>
        </w:sdtContent>
      </w:sdt>
      <w:r w:rsidR="00D01AA1">
        <w:t xml:space="preserve">. Accordingly, experimental </w:t>
      </w:r>
      <w:r>
        <w:t xml:space="preserve">studies and meta-analyses consistently show that </w:t>
      </w:r>
      <w:r w:rsidR="00D01AA1">
        <w:t>nitrogen</w:t>
      </w:r>
      <w:r>
        <w:t xml:space="preserve"> addition increases leaf nitrogen concentrations (both mass- and area-based), enhances photosynthetic capacity, and stimulates aboveground biomass production</w:t>
      </w:r>
      <w:r w:rsidR="00D01AA1">
        <w:t xml:space="preserve"> more strongly than belowground biomass </w:t>
      </w:r>
      <w:sdt>
        <w:sdtPr>
          <w:rPr>
            <w:color w:val="000000"/>
          </w:rPr>
          <w:tag w:val="MENDELEY_CITATION_v3_eyJjaXRhdGlvbklEIjoiTUVOREVMRVlfQ0lUQVRJT05fM2I1MDhmYTgtYWI3OS00NjA5LWE4OTktMTdmN2I1OWUyODIz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443990308"/>
          <w:placeholder>
            <w:docPart w:val="DefaultPlaceholder_-1854013440"/>
          </w:placeholder>
        </w:sdtPr>
        <w:sdtContent>
          <w:r w:rsidR="00D01AA1" w:rsidRPr="00D01AA1">
            <w:rPr>
              <w:rFonts w:eastAsia="Times New Roman"/>
              <w:color w:val="000000"/>
            </w:rPr>
            <w:t xml:space="preserve">(Liang </w:t>
          </w:r>
          <w:r w:rsidR="00D01AA1" w:rsidRPr="00D01AA1">
            <w:rPr>
              <w:rFonts w:eastAsia="Times New Roman"/>
              <w:i/>
              <w:iCs/>
              <w:color w:val="000000"/>
            </w:rPr>
            <w:t>et al.</w:t>
          </w:r>
          <w:r w:rsidR="00D01AA1" w:rsidRPr="00D01AA1">
            <w:rPr>
              <w:rFonts w:eastAsia="Times New Roman"/>
              <w:color w:val="000000"/>
            </w:rPr>
            <w:t xml:space="preserve">, 2020; Stocker </w:t>
          </w:r>
          <w:r w:rsidR="00D01AA1" w:rsidRPr="00D01AA1">
            <w:rPr>
              <w:rFonts w:eastAsia="Times New Roman"/>
              <w:i/>
              <w:iCs/>
              <w:color w:val="000000"/>
            </w:rPr>
            <w:t>et al.</w:t>
          </w:r>
          <w:r w:rsidR="00D01AA1" w:rsidRPr="00D01AA1">
            <w:rPr>
              <w:rFonts w:eastAsia="Times New Roman"/>
              <w:color w:val="000000"/>
            </w:rPr>
            <w:t>, 2025)</w:t>
          </w:r>
        </w:sdtContent>
      </w:sdt>
      <w:r w:rsidR="00D01AA1">
        <w:t xml:space="preserve">. However, these responses often vary due to climate, species acquisition strategy, and background soil nutrient availability. For example, some studies indicate weaker leaf nitrogen and photosynthetic capacity responses to nitrogen addition when demand for soil resources is less, or when background soil nitrogen is more available </w:t>
      </w:r>
      <w:sdt>
        <w:sdtPr>
          <w:rPr>
            <w:color w:val="000000"/>
          </w:rPr>
          <w:tag w:val="MENDELEY_CITATION_v3_eyJjaXRhdGlvbklEIjoiTUVOREVMRVlfQ0lUQVRJT05fYzgzM2YzMTMtMmM1Mi00ODI4LWIxNWMtN2QwMTk0YWE4MGViIiwicHJvcGVydGllcyI6eyJub3RlSW5kZXgiOjB9LCJpc0VkaXRlZCI6ZmFsc2UsIm1hbnVhbE92ZXJyaWRlIjp7ImlzTWFudWFsbHlPdmVycmlkZGVuIjpmYWxzZSwiY2l0ZXByb2NUZXh0IjoiKFdhcmluZyA8aT5ldCBhbC48L2k+LCAyMDIzOyBDaGVhaWIgPGk+ZXQgYWwuPC9pPiwgMjAyNWI7IFBlcmtvd3NraSA8aT5ldCBhbC48L2k+LCAyMDI1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293482192"/>
          <w:placeholder>
            <w:docPart w:val="DefaultPlaceholder_-1854013440"/>
          </w:placeholder>
        </w:sdtPr>
        <w:sdtContent>
          <w:r w:rsidR="00D01AA1" w:rsidRPr="00D01AA1">
            <w:rPr>
              <w:rFonts w:eastAsia="Times New Roman"/>
              <w:color w:val="000000"/>
            </w:rPr>
            <w:t xml:space="preserve">(Waring </w:t>
          </w:r>
          <w:r w:rsidR="00D01AA1" w:rsidRPr="00D01AA1">
            <w:rPr>
              <w:rFonts w:eastAsia="Times New Roman"/>
              <w:i/>
              <w:iCs/>
              <w:color w:val="000000"/>
            </w:rPr>
            <w:t>et al.</w:t>
          </w:r>
          <w:r w:rsidR="00D01AA1" w:rsidRPr="00D01AA1">
            <w:rPr>
              <w:rFonts w:eastAsia="Times New Roman"/>
              <w:color w:val="000000"/>
            </w:rPr>
            <w:t xml:space="preserve">, 2023; </w:t>
          </w:r>
          <w:proofErr w:type="spellStart"/>
          <w:r w:rsidR="00D01AA1" w:rsidRPr="00D01AA1">
            <w:rPr>
              <w:rFonts w:eastAsia="Times New Roman"/>
              <w:color w:val="000000"/>
            </w:rPr>
            <w:t>Cheaib</w:t>
          </w:r>
          <w:proofErr w:type="spellEnd"/>
          <w:r w:rsidR="00D01AA1" w:rsidRPr="00D01AA1">
            <w:rPr>
              <w:rFonts w:eastAsia="Times New Roman"/>
              <w:color w:val="000000"/>
            </w:rPr>
            <w:t xml:space="preserve"> </w:t>
          </w:r>
          <w:r w:rsidR="00D01AA1" w:rsidRPr="00D01AA1">
            <w:rPr>
              <w:rFonts w:eastAsia="Times New Roman"/>
              <w:i/>
              <w:iCs/>
              <w:color w:val="000000"/>
            </w:rPr>
            <w:t>et al.</w:t>
          </w:r>
          <w:r w:rsidR="00D01AA1" w:rsidRPr="00D01AA1">
            <w:rPr>
              <w:rFonts w:eastAsia="Times New Roman"/>
              <w:color w:val="000000"/>
            </w:rPr>
            <w:t xml:space="preserve">, 2025b; Perkowski </w:t>
          </w:r>
          <w:r w:rsidR="00D01AA1" w:rsidRPr="00D01AA1">
            <w:rPr>
              <w:rFonts w:eastAsia="Times New Roman"/>
              <w:i/>
              <w:iCs/>
              <w:color w:val="000000"/>
            </w:rPr>
            <w:t>et al.</w:t>
          </w:r>
          <w:r w:rsidR="00D01AA1" w:rsidRPr="00D01AA1">
            <w:rPr>
              <w:rFonts w:eastAsia="Times New Roman"/>
              <w:color w:val="000000"/>
            </w:rPr>
            <w:t>, 2025)</w:t>
          </w:r>
        </w:sdtContent>
      </w:sdt>
      <w:r w:rsidR="00D01AA1">
        <w:t xml:space="preserve">. </w:t>
      </w:r>
    </w:p>
    <w:p w14:paraId="4CAF9EFA" w14:textId="1D43F3BD" w:rsidR="00EB3394" w:rsidRDefault="00EB3394" w:rsidP="000A6D42">
      <w:pPr>
        <w:spacing w:line="360" w:lineRule="auto"/>
        <w:ind w:firstLine="720"/>
      </w:pPr>
      <w:r>
        <w:t>Phosphorus availability is also a</w:t>
      </w:r>
      <w:r w:rsidR="0084265B">
        <w:t xml:space="preserve">n important </w:t>
      </w:r>
      <w:r>
        <w:t xml:space="preserve">determinant of plant trait variation, yet its effects </w:t>
      </w:r>
      <w:r w:rsidR="0084265B">
        <w:t>have garnered</w:t>
      </w:r>
      <w:r>
        <w:t xml:space="preserve"> far less </w:t>
      </w:r>
      <w:r w:rsidR="0084265B">
        <w:t>attention</w:t>
      </w:r>
      <w:r>
        <w:t xml:space="preserve"> than </w:t>
      </w:r>
      <w:r w:rsidR="0084265B">
        <w:t>the effects</w:t>
      </w:r>
      <w:r>
        <w:t xml:space="preserve"> of nitrogen. Soil phosphorus availability is strongly correlated with leaf phosphorus content (Reich &amp; Oleksyn, 2004; </w:t>
      </w:r>
      <w:proofErr w:type="spellStart"/>
      <w:r>
        <w:t>Vitousek</w:t>
      </w:r>
      <w:proofErr w:type="spellEnd"/>
      <w:r>
        <w:t xml:space="preserve"> et al., 2010), which in turn is often linked to photosynthetic phosphorus-use efficiency and RuBP regeneration capacity (</w:t>
      </w:r>
      <w:proofErr w:type="spellStart"/>
      <w:r>
        <w:t>Güsewell</w:t>
      </w:r>
      <w:proofErr w:type="spellEnd"/>
      <w:r>
        <w:t>, 2004; Walker et al., 2014). These relationships arise because phosphorus is required for the synthesis of nucleic acids, phospholipids, and energy transfer compounds (e.g., ATP, NADPH) that fuel the Calvin</w:t>
      </w:r>
      <w:r w:rsidR="0084265B">
        <w:t>-Benson</w:t>
      </w:r>
      <w:r>
        <w:t xml:space="preserve"> cycle and other metabolic processes (Ågren, 2008; Watanabe et al., 2023). </w:t>
      </w:r>
      <w:r w:rsidR="0084265B">
        <w:t>Indeed, e</w:t>
      </w:r>
      <w:r>
        <w:t xml:space="preserve">xperimental studies demonstrate that phosphorus </w:t>
      </w:r>
      <w:r>
        <w:lastRenderedPageBreak/>
        <w:t xml:space="preserve">addition increases leaf phosphorus concentrations, enhances photosynthetic efficiency, and often stimulates biomass accumulation, particularly in </w:t>
      </w:r>
      <w:r w:rsidR="0084265B">
        <w:t>phosphorus</w:t>
      </w:r>
      <w:r>
        <w:t>-limited tropical ecosystems (Yuan &amp; Chen, 2015; Hou et al., 2020). However, the</w:t>
      </w:r>
      <w:r w:rsidR="0084265B">
        <w:t xml:space="preserve"> extent by which the</w:t>
      </w:r>
      <w:r>
        <w:t xml:space="preserve"> magnitude of these responses vary with climate, soil fertility, and plant nutrient acquisition strategy</w:t>
      </w:r>
      <w:r w:rsidR="0084265B">
        <w:t xml:space="preserve"> remains less understood</w:t>
      </w:r>
      <w:r>
        <w:t xml:space="preserve">. </w:t>
      </w:r>
      <w:r w:rsidR="0084265B">
        <w:t>Furthermore, the absence of b</w:t>
      </w:r>
      <w:r>
        <w:t xml:space="preserve">road-scale syntheses </w:t>
      </w:r>
      <w:r w:rsidR="0084265B">
        <w:t>that assess</w:t>
      </w:r>
      <w:r>
        <w:t xml:space="preserve"> phosphorus addition effects </w:t>
      </w:r>
      <w:r w:rsidR="0084265B">
        <w:t xml:space="preserve">on leaf and whole-plant traits </w:t>
      </w:r>
      <w:r>
        <w:t xml:space="preserve">precludes </w:t>
      </w:r>
      <w:r w:rsidR="0084265B">
        <w:t>our ability to accurately and reliably</w:t>
      </w:r>
      <w:r>
        <w:t xml:space="preserve"> predicting these responses in terrestrial biosphere models.</w:t>
      </w:r>
    </w:p>
    <w:p w14:paraId="2C819AAE" w14:textId="2E2B5747" w:rsidR="00EB3394" w:rsidRDefault="00EB3394" w:rsidP="000A6D42">
      <w:pPr>
        <w:spacing w:line="360" w:lineRule="auto"/>
        <w:ind w:firstLine="720"/>
      </w:pPr>
      <w:r>
        <w:t xml:space="preserve">Because nitrogen and phosphorus often co-limit plant growth, their interactive effects on traits are critical for understanding ecosystem responses to nutrient enrichment. Theory and experiments suggest that combined </w:t>
      </w:r>
      <w:r w:rsidR="0084265B">
        <w:t>nitrogen</w:t>
      </w:r>
      <w:r>
        <w:t xml:space="preserve"> and </w:t>
      </w:r>
      <w:r w:rsidR="0084265B">
        <w:t xml:space="preserve">phosphorus </w:t>
      </w:r>
      <w:r>
        <w:t>addition can generate additive, synergistic, or antagonistic effects depending on ecosystem context (cite). At the physiological level, nitrogen supports the synthesis of photosynthetic enzymes such as Rubisco, while phosphorus supplies the ATP and RuBP regeneration capacity needed to sustain carbon fixation, suggesting that simultaneous enrichment should jointly enhance photosynthetic capacity and efficiency (cite Empirical evidence supports this expectation for aboveground biomass, where N+P addition often produces stronger stimulation than either nutrient alone (cite). However, interactive effects on leaf nutrient concentrations, photosynthetic parameters, and biomass partitioning remain inconsistently reported across studies and climates. The absence of broad-scale syntheses of N+P interactions precludes the development of robust frameworks for predicting when plant trait responses will be additive, synergistic, or antagonistic in terrestrial biosphere models.</w:t>
      </w:r>
    </w:p>
    <w:p w14:paraId="21F6B4B2" w14:textId="0C79821F" w:rsidR="0071242B" w:rsidRDefault="00597594" w:rsidP="000A6D42">
      <w:pPr>
        <w:spacing w:line="360" w:lineRule="auto"/>
        <w:ind w:firstLine="720"/>
      </w:pPr>
      <w:r>
        <w:t>Here, we conducted a global meta-analysis</w:t>
      </w:r>
      <w:r w:rsidR="000A6D42">
        <w:t xml:space="preserve"> from experiments that manipulated N and P in full-factorial designs to address three primary objectives. </w:t>
      </w:r>
      <w:r>
        <w:t xml:space="preserve">First, we sought to quantify the effects of N, P, and N+P addition on net photosynthesis, photosynthetic capacity, leaf nutrient content and partitioning, resource use efficiencies, plant growth, and biomass partitioning. Second, we </w:t>
      </w:r>
      <w:r w:rsidR="00E01953">
        <w:t>quantified the interaction effect size of each trait to understand whether the effects of N+P addition were the product of additive, synergistic, or antagonistic individual effects of N and P addition.</w:t>
      </w:r>
      <w:r w:rsidR="002B616F">
        <w:t xml:space="preserve"> Finally, we quantified the effects of climate and species identity traits (e.g., photosynthetic pathway, </w:t>
      </w:r>
      <w:r w:rsidR="00610946">
        <w:t xml:space="preserve">ability to associate with nitrogen-fixing bacteria, mycorrhizal nutrient acquisition strategy) to understand how climatic demand and species identity moderate leaf and </w:t>
      </w:r>
      <w:r w:rsidR="00610946">
        <w:lastRenderedPageBreak/>
        <w:t>whole-plant responses to nutrient addition.</w:t>
      </w:r>
      <w:r w:rsidR="00E01953">
        <w:t xml:space="preserve"> </w:t>
      </w:r>
      <w:r w:rsidR="0071242B">
        <w:t xml:space="preserve">We used this </w:t>
      </w:r>
      <w:r w:rsidR="00610946">
        <w:t>meta-analysis</w:t>
      </w:r>
      <w:r w:rsidR="0071242B">
        <w:t xml:space="preserve"> to test the following hypotheses:</w:t>
      </w:r>
    </w:p>
    <w:p w14:paraId="562F5E44" w14:textId="5D9D6296"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31404D">
        <w:t>are</w:t>
      </w:r>
      <w:r w:rsidR="00B52D32">
        <w:t xml:space="preserve"> expected to be amplified </w:t>
      </w:r>
      <w:r w:rsidR="0031404D">
        <w:t>in regions where</w:t>
      </w:r>
      <w:r w:rsidR="00B52D32">
        <w:t xml:space="preserve"> demand for building and maintaining photosynthetic enzymes</w:t>
      </w:r>
      <w:r w:rsidR="0031404D">
        <w:t xml:space="preserve"> is high (e.g., high aridity, low temperature, high light availability; </w:t>
      </w:r>
      <w:sdt>
        <w:sdtPr>
          <w:rPr>
            <w:color w:val="000000"/>
          </w:rPr>
          <w:tag w:val="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677953970"/>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w:t>
          </w:r>
        </w:sdtContent>
      </w:sdt>
      <w:r w:rsidR="0031404D">
        <w:rPr>
          <w:color w:val="000000"/>
        </w:rPr>
        <w:t>, or in species with high demand for building and maintaining photosynthetic enzymes (e.g., N</w:t>
      </w:r>
      <w:r w:rsidR="0031404D">
        <w:rPr>
          <w:color w:val="000000"/>
          <w:vertAlign w:val="subscript"/>
        </w:rPr>
        <w:t>2</w:t>
      </w:r>
      <w:r w:rsidR="0031404D">
        <w:rPr>
          <w:color w:val="000000"/>
        </w:rPr>
        <w:t>-fixers, AM-association species)</w:t>
      </w:r>
      <w:r w:rsidR="0031404D">
        <w:t>.</w:t>
      </w:r>
    </w:p>
    <w:p w14:paraId="19B758D3" w14:textId="7C8A9467" w:rsidR="00B52D32" w:rsidRDefault="00B52D32" w:rsidP="002D4F88">
      <w:pPr>
        <w:pStyle w:val="ListParagraph"/>
        <w:numPr>
          <w:ilvl w:val="0"/>
          <w:numId w:val="3"/>
        </w:numPr>
        <w:spacing w:line="360" w:lineRule="auto"/>
      </w:pPr>
      <w:r>
        <w:t xml:space="preserve">Nitrogen and phosphorus addition will not influence photosynthetic parameters unless the availability of these resources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3FA588A0"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r w:rsidR="000A6D42">
        <w:t xml:space="preserve"> </w:t>
      </w:r>
    </w:p>
    <w:p w14:paraId="163727E5" w14:textId="5559218C" w:rsidR="0071242B" w:rsidRDefault="0071242B" w:rsidP="002D4F88">
      <w:pPr>
        <w:pStyle w:val="ListParagraph"/>
        <w:numPr>
          <w:ilvl w:val="0"/>
          <w:numId w:val="3"/>
        </w:numPr>
        <w:spacing w:line="360" w:lineRule="auto"/>
      </w:pPr>
      <w:r>
        <w:t xml:space="preserve">The combined effects of nitrogen and phosphorus addition on leaf and whole-plant traits will be the sum of the corresponding individual effects of nitrogen and phosphorus addition. </w:t>
      </w:r>
      <w:r w:rsidR="004602B4">
        <w:t>That is, plant responses to nitrogen and phosphorus addition will be the product of additive responses.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34D7683F"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9D2FE3" w:rsidRPr="009D2FE3">
            <w:rPr>
              <w:rFonts w:eastAsia="Times New Roman"/>
              <w:color w:val="000000"/>
            </w:rPr>
            <w:t xml:space="preserve">(Van </w:t>
          </w:r>
          <w:proofErr w:type="spellStart"/>
          <w:r w:rsidR="009D2FE3" w:rsidRPr="009D2FE3">
            <w:rPr>
              <w:rFonts w:eastAsia="Times New Roman"/>
              <w:color w:val="000000"/>
            </w:rPr>
            <w:t>Sundert</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2023)</w:t>
          </w:r>
        </w:sdtContent>
      </w:sdt>
      <w:r w:rsidR="00983FD8">
        <w:rPr>
          <w:color w:val="000000"/>
        </w:rPr>
        <w:t xml:space="preserve">. </w:t>
      </w:r>
      <w:r w:rsidR="00A761ED">
        <w:rPr>
          <w:color w:val="000000"/>
        </w:rPr>
        <w:t>M</w:t>
      </w:r>
      <w:r w:rsidR="00983FD8">
        <w:rPr>
          <w:color w:val="000000"/>
        </w:rPr>
        <w:t>anipulation experiments that added N and P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983FD8">
        <w:rPr>
          <w:color w:val="000000"/>
        </w:rPr>
        <w:t xml:space="preserve">N, P, and N+P addition responses were from the same subset of experiments. </w:t>
      </w:r>
      <w:r w:rsidR="006D174B">
        <w:rPr>
          <w:color w:val="000000"/>
        </w:rPr>
        <w:t xml:space="preserve">All data for manuscripts included in the MESI database that fit these criteria were downloaded or extracted using a plot digitizer to ensure that all relevant traits were </w:t>
      </w:r>
      <w:r w:rsidR="006D174B">
        <w:rPr>
          <w:color w:val="000000"/>
        </w:rPr>
        <w:lastRenderedPageBreak/>
        <w:t>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
          <w:id w:val="-2108726310"/>
          <w:placeholder>
            <w:docPart w:val="DefaultPlaceholder_-1854013440"/>
          </w:placeholder>
        </w:sdtPr>
        <w:sdtContent>
          <w:r w:rsidR="009D2FE3" w:rsidRPr="009D2FE3">
            <w:rPr>
              <w:rFonts w:eastAsia="Times New Roman"/>
              <w:color w:val="000000"/>
            </w:rPr>
            <w:t xml:space="preserve">(Augustine </w:t>
          </w:r>
          <w:r w:rsidR="009D2FE3" w:rsidRPr="009D2FE3">
            <w:rPr>
              <w:rFonts w:eastAsia="Times New Roman"/>
              <w:i/>
              <w:iCs/>
              <w:color w:val="000000"/>
            </w:rPr>
            <w:t>et al.</w:t>
          </w:r>
          <w:r w:rsidR="009D2FE3" w:rsidRPr="009D2FE3">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only measurements collected from control, N, P, and N+P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9D2FE3" w:rsidRPr="009D2FE3">
            <w:rPr>
              <w:rFonts w:eastAsia="Times New Roman"/>
              <w:color w:val="000000"/>
            </w:rPr>
            <w:t xml:space="preserve">(Borer </w:t>
          </w:r>
          <w:r w:rsidR="009D2FE3" w:rsidRPr="009D2FE3">
            <w:rPr>
              <w:rFonts w:eastAsia="Times New Roman"/>
              <w:i/>
              <w:iCs/>
              <w:color w:val="000000"/>
            </w:rPr>
            <w:t>et al.</w:t>
          </w:r>
          <w:r w:rsidR="009D2FE3" w:rsidRPr="009D2FE3">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9D2FE3" w:rsidRPr="009D2FE3">
            <w:rPr>
              <w:color w:val="000000"/>
            </w:rPr>
            <w:t>Firn</w:t>
          </w:r>
          <w:proofErr w:type="spellEnd"/>
          <w:r w:rsidR="009D2FE3" w:rsidRPr="009D2FE3">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9D2FE3" w:rsidRPr="009D2FE3">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9D2FE3" w:rsidRPr="009D2FE3">
            <w:rPr>
              <w:color w:val="000000"/>
            </w:rPr>
            <w:t>Hersch-Green et al. (2024)</w:t>
          </w:r>
        </w:sdtContent>
      </w:sdt>
      <w:r w:rsidR="006413AF">
        <w:rPr>
          <w:color w:val="000000"/>
        </w:rPr>
        <w:t>.</w:t>
      </w:r>
      <w:r w:rsidR="005770EC">
        <w:rPr>
          <w:color w:val="000000"/>
        </w:rPr>
        <w:t xml:space="preserve"> </w:t>
      </w:r>
    </w:p>
    <w:p w14:paraId="322EE576" w14:textId="159F3FB2"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N and P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biomass partitioning (e.g., </w:t>
      </w:r>
      <w:proofErr w:type="spellStart"/>
      <w:r w:rsidR="00974E0A">
        <w:rPr>
          <w:color w:val="000000"/>
        </w:rPr>
        <w:t>root:shoot</w:t>
      </w:r>
      <w:proofErr w:type="spellEnd"/>
      <w:r w:rsidR="00974E0A">
        <w:rPr>
          <w:color w:val="000000"/>
        </w:rPr>
        <w:t xml:space="preserve"> ratio), or nutrient partitioning of the biomass (e.g., aboveground </w:t>
      </w:r>
      <w:r w:rsidR="00237FD0">
        <w:rPr>
          <w:color w:val="000000"/>
        </w:rPr>
        <w:t>N</w:t>
      </w:r>
      <w:r w:rsidR="00974E0A">
        <w:rPr>
          <w:color w:val="000000"/>
        </w:rPr>
        <w:t xml:space="preserve"> </w:t>
      </w:r>
      <w:r w:rsidR="00714549">
        <w:rPr>
          <w:color w:val="000000"/>
        </w:rPr>
        <w:t>standing stock</w:t>
      </w:r>
      <w:r w:rsidR="00974E0A">
        <w:rPr>
          <w:color w:val="000000"/>
        </w:rPr>
        <w:t xml:space="preserve">, aboveground </w:t>
      </w:r>
      <w:r w:rsidR="00237FD0">
        <w:rPr>
          <w:color w:val="000000"/>
        </w:rPr>
        <w:t>P</w:t>
      </w:r>
      <w:r w:rsidR="00974E0A">
        <w:rPr>
          <w:color w:val="000000"/>
        </w:rPr>
        <w:t xml:space="preserve"> </w:t>
      </w:r>
      <w:r w:rsidR="00714549">
        <w:rPr>
          <w:color w:val="000000"/>
        </w:rPr>
        <w:t>standing stock</w:t>
      </w:r>
      <w:r w:rsidR="00974E0A">
        <w:rPr>
          <w:color w:val="000000"/>
        </w:rPr>
        <w:t xml:space="preserve">).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9D2FE3" w:rsidRPr="009D2FE3">
            <w:rPr>
              <w:rFonts w:eastAsia="Times New Roman"/>
              <w:color w:val="000000"/>
            </w:rPr>
            <w:t xml:space="preserve">(Liang </w:t>
          </w:r>
          <w:r w:rsidR="009D2FE3" w:rsidRPr="009D2FE3">
            <w:rPr>
              <w:rFonts w:eastAsia="Times New Roman"/>
              <w:i/>
              <w:iCs/>
              <w:color w:val="000000"/>
            </w:rPr>
            <w:t>et al.</w:t>
          </w:r>
          <w:r w:rsidR="009D2FE3" w:rsidRPr="009D2FE3">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lastRenderedPageBreak/>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458DF073"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9D2FE3" w:rsidRPr="009D2FE3">
            <w:rPr>
              <w:rFonts w:eastAsia="Times New Roman"/>
              <w:color w:val="000000"/>
            </w:rPr>
            <w:t xml:space="preserve">(Pick </w:t>
          </w:r>
          <w:r w:rsidR="009D2FE3" w:rsidRPr="009D2FE3">
            <w:rPr>
              <w:rFonts w:eastAsia="Times New Roman"/>
              <w:i/>
              <w:iCs/>
              <w:color w:val="000000"/>
            </w:rPr>
            <w:t>et al.</w:t>
          </w:r>
          <w:r w:rsidR="009D2FE3" w:rsidRPr="009D2FE3">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N, P, and N+P treatments)</w:t>
      </w:r>
      <w:r w:rsidR="00E75BBF">
        <w:rPr>
          <w:color w:val="000000"/>
        </w:rPr>
        <w:t xml:space="preserve"> from 85 studies. Of these studies, </w:t>
      </w:r>
      <w:r w:rsidR="0032762A">
        <w:rPr>
          <w:color w:val="000000"/>
        </w:rPr>
        <w:t>78 were field experiments, 6 were greenhouse experiments, and 1 was a growth chamber experiment. Of the field experiments, 166 independent sites were represented, spanning a broad 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3BA31783" w:rsidR="003B7A01" w:rsidRDefault="00714549" w:rsidP="006413AF">
      <w:pPr>
        <w:spacing w:line="360" w:lineRule="auto"/>
        <w:rPr>
          <w:color w:val="000000"/>
        </w:rPr>
      </w:pPr>
      <w:r>
        <w:rPr>
          <w:color w:val="000000"/>
        </w:rPr>
        <w:t xml:space="preserve">Using </w:t>
      </w:r>
      <w:r w:rsidR="00A761ED">
        <w:rPr>
          <w:color w:val="000000"/>
        </w:rPr>
        <w:t xml:space="preserve">site latitude and longitude data, </w:t>
      </w:r>
      <w:r w:rsidR="0085249F">
        <w:rPr>
          <w:color w:val="000000"/>
        </w:rPr>
        <w:t>mean monthly temperature, precipitation, and solar radiation spanning 1970</w:t>
      </w:r>
      <w:r>
        <w:rPr>
          <w:color w:val="000000"/>
        </w:rPr>
        <w:t>-2000</w:t>
      </w:r>
      <w:r w:rsidR="00A761ED">
        <w:rPr>
          <w:color w:val="000000"/>
        </w:rPr>
        <w:t xml:space="preserve"> </w:t>
      </w:r>
      <w:r w:rsidR="00ED2189">
        <w:rPr>
          <w:color w:val="000000"/>
        </w:rPr>
        <w:t xml:space="preserve">were extracted </w:t>
      </w:r>
      <w:r w:rsidR="00A761ED">
        <w:rPr>
          <w:color w:val="000000"/>
        </w:rPr>
        <w:t>for all field experiments</w:t>
      </w:r>
      <w:r>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9D2FE3" w:rsidRPr="009D2FE3">
            <w:rPr>
              <w:rFonts w:eastAsia="Times New Roman"/>
              <w:color w:val="000000"/>
            </w:rPr>
            <w:t xml:space="preserve">(Harris </w:t>
          </w:r>
          <w:r w:rsidR="009D2FE3" w:rsidRPr="009D2FE3">
            <w:rPr>
              <w:rFonts w:eastAsia="Times New Roman"/>
              <w:i/>
              <w:iCs/>
              <w:color w:val="000000"/>
            </w:rPr>
            <w:t>et al.</w:t>
          </w:r>
          <w:r w:rsidR="009D2FE3" w:rsidRPr="009D2FE3">
            <w:rPr>
              <w:rFonts w:eastAsia="Times New Roman"/>
              <w:color w:val="000000"/>
            </w:rPr>
            <w:t>, 2020)</w:t>
          </w:r>
        </w:sdtContent>
      </w:sdt>
      <w:r>
        <w:rPr>
          <w:color w:val="000000"/>
        </w:rPr>
        <w:t xml:space="preserve"> downscaled to a </w:t>
      </w:r>
      <w:r w:rsidR="00BE32BC">
        <w:rPr>
          <w:color w:val="000000"/>
        </w:rPr>
        <w:t>30 arc-second</w:t>
      </w:r>
      <w:r>
        <w:rPr>
          <w:color w:val="000000"/>
        </w:rPr>
        <w:t xml:space="preserve"> spatial resolution with </w:t>
      </w:r>
      <w:proofErr w:type="spellStart"/>
      <w:r>
        <w:rPr>
          <w:color w:val="000000"/>
        </w:rPr>
        <w:t>WorldClim</w:t>
      </w:r>
      <w:proofErr w:type="spellEnd"/>
      <w:r>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9D2FE3" w:rsidRPr="009D2FE3">
            <w:rPr>
              <w:rFonts w:eastAsia="Times New Roman"/>
              <w:color w:val="000000"/>
            </w:rPr>
            <w:t xml:space="preserve">(Fick &amp; </w:t>
          </w:r>
          <w:proofErr w:type="spellStart"/>
          <w:r w:rsidR="009D2FE3" w:rsidRPr="009D2FE3">
            <w:rPr>
              <w:rFonts w:eastAsia="Times New Roman"/>
              <w:color w:val="000000"/>
            </w:rPr>
            <w:t>Hijmans</w:t>
          </w:r>
          <w:proofErr w:type="spellEnd"/>
          <w:r w:rsidR="009D2FE3" w:rsidRPr="009D2FE3">
            <w:rPr>
              <w:rFonts w:eastAsia="Times New Roman"/>
              <w:color w:val="000000"/>
            </w:rPr>
            <w:t>, 2017)</w:t>
          </w:r>
        </w:sdtContent>
      </w:sdt>
      <w:r>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9D2FE3" w:rsidRPr="009D2FE3">
            <w:rPr>
              <w:rFonts w:eastAsia="Times New Roman"/>
              <w:color w:val="000000"/>
            </w:rPr>
            <w:t xml:space="preserve">(Zomer </w:t>
          </w:r>
          <w:r w:rsidR="009D2FE3" w:rsidRPr="009D2FE3">
            <w:rPr>
              <w:rFonts w:eastAsia="Times New Roman"/>
              <w:i/>
              <w:iCs/>
              <w:color w:val="000000"/>
            </w:rPr>
            <w:t>et al.</w:t>
          </w:r>
          <w:r w:rsidR="009D2FE3" w:rsidRPr="009D2FE3">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w:t>
      </w:r>
      <w:r w:rsidR="003B7A01">
        <w:rPr>
          <w:color w:val="000000"/>
        </w:rPr>
        <w:lastRenderedPageBreak/>
        <w:t>monthly precipitation per unit mean monthly potential evapotranspiration, estimating potential evapotranspiration using the Penman-Monteith approach.</w:t>
      </w:r>
    </w:p>
    <w:p w14:paraId="45144744" w14:textId="2F5C9270"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9D2FE3" w:rsidRPr="009D2FE3">
            <w:rPr>
              <w:color w:val="000000"/>
            </w:rPr>
            <w:t>(</w:t>
          </w:r>
          <w:proofErr w:type="spellStart"/>
          <w:r w:rsidR="009D2FE3" w:rsidRPr="009D2FE3">
            <w:rPr>
              <w:color w:val="000000"/>
            </w:rPr>
            <w:t>Hijmans</w:t>
          </w:r>
          <w:proofErr w:type="spellEnd"/>
          <w:r w:rsidR="009D2FE3" w:rsidRPr="009D2FE3">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6F11BFE4"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Soudzilovskaia</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2020)</w:t>
          </w:r>
        </w:sdtContent>
      </w:sdt>
      <w:r w:rsidR="00024AF4">
        <w:rPr>
          <w:color w:val="000000"/>
        </w:rPr>
        <w:t xml:space="preserve"> and used to determine the mycorrhizal nutrient acquisition strategy following </w:t>
      </w:r>
      <w:sdt>
        <w:sdtPr>
          <w:rPr>
            <w:color w:val="000000"/>
          </w:rPr>
          <w:tag w:val="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373680553"/>
          <w:placeholder>
            <w:docPart w:val="DefaultPlaceholder_-1854013440"/>
          </w:placeholder>
        </w:sdtPr>
        <w:sdtContent>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25099E96" w:rsidR="00C97246" w:rsidRDefault="00F35A69" w:rsidP="001D48F8">
      <w:pPr>
        <w:spacing w:line="360" w:lineRule="auto"/>
        <w:rPr>
          <w:color w:val="000000"/>
        </w:rPr>
      </w:pPr>
      <w:r>
        <w:rPr>
          <w:color w:val="000000"/>
        </w:rPr>
        <w:t>We f</w:t>
      </w:r>
      <w:r w:rsidR="00CE713E">
        <w:rPr>
          <w:color w:val="000000"/>
        </w:rPr>
        <w:t>ollow</w:t>
      </w:r>
      <w:r>
        <w:rPr>
          <w:color w:val="000000"/>
        </w:rPr>
        <w:t>ed</w:t>
      </w:r>
      <w:r w:rsidR="00CE713E">
        <w:rPr>
          <w:color w:val="000000"/>
        </w:rPr>
        <w:t xml:space="preserve"> an established framework for assessing</w:t>
      </w:r>
      <w:r w:rsidR="007C6A4B">
        <w:rPr>
          <w:color w:val="000000"/>
        </w:rPr>
        <w:t xml:space="preserve"> individual and</w:t>
      </w:r>
      <w:r w:rsidR="00CE713E">
        <w:rPr>
          <w:color w:val="000000"/>
        </w:rPr>
        <w:t xml:space="preserve"> interactive effects of multiple treatments in meta-analysis</w:t>
      </w:r>
      <w:r w:rsidR="007C6A4B">
        <w:rPr>
          <w:color w:val="000000"/>
        </w:rPr>
        <w:t xml:space="preserve"> </w:t>
      </w:r>
      <w:sdt>
        <w:sdtPr>
          <w:rPr>
            <w:color w:val="000000"/>
          </w:rPr>
          <w:tag w:val="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
          <w:id w:val="-1842305081"/>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2017)</w:t>
          </w:r>
        </w:sdtContent>
      </w:sdt>
      <w:r>
        <w:rPr>
          <w:color w:val="000000"/>
        </w:rPr>
        <w:t>. First,</w:t>
      </w:r>
      <w:r w:rsidR="00CE713E">
        <w:rPr>
          <w:color w:val="000000"/>
        </w:rPr>
        <w:t xml:space="preserve"> </w:t>
      </w:r>
      <w:r w:rsidR="007C6A4B">
        <w:rPr>
          <w:color w:val="000000"/>
        </w:rPr>
        <w:t xml:space="preserve">we </w:t>
      </w:r>
      <w:r>
        <w:rPr>
          <w:color w:val="000000"/>
        </w:rPr>
        <w:t>used the natural logarithm of the response ratio</w:t>
      </w:r>
      <w:r w:rsidR="001D48F8">
        <w:rPr>
          <w:color w:val="000000"/>
        </w:rPr>
        <w:t xml:space="preserve"> (ln RR)</w:t>
      </w:r>
      <w:r>
        <w:rPr>
          <w:color w:val="000000"/>
        </w:rPr>
        <w:t xml:space="preserve"> to determine the individual effects of N, P, and N+P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904BB8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N, P, or N+P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7A173130"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N and P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N</w:t>
      </w:r>
      <w:r w:rsidR="00D91698">
        <w:rPr>
          <w:color w:val="000000"/>
        </w:rPr>
        <w:t xml:space="preserve"> and P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48F5D590"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N, P, N+P,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2EFAFE41"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N, P, and N+P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N, P, and N+P treatments, </w:t>
      </w:r>
      <w:r w:rsidR="00003499">
        <w:rPr>
          <w:rFonts w:eastAsiaTheme="minorEastAsia"/>
          <w:color w:val="000000"/>
        </w:rPr>
        <w:lastRenderedPageBreak/>
        <w:t>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60C3B7E8"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e constructed a series of mixed-effects meta-regression models to understand the individual and interactive effects of N and P addition on leaf and whole-plant traits. Three separate models were created for each trait to assess the individual effects of N, P, and N+P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N and P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N, P, or N+P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photosynthetic pathway</w:t>
      </w:r>
      <w:r w:rsidR="00E25890">
        <w:rPr>
          <w:color w:val="000000"/>
        </w:rPr>
        <w:t xml:space="preserve"> (C</w:t>
      </w:r>
      <w:r w:rsidR="00E25890">
        <w:rPr>
          <w:color w:val="000000"/>
          <w:vertAlign w:val="subscript"/>
        </w:rPr>
        <w:t>3</w:t>
      </w:r>
      <w:r w:rsidR="00E25890">
        <w:rPr>
          <w:color w:val="000000"/>
        </w:rPr>
        <w:t>, C</w:t>
      </w:r>
      <w:r w:rsidR="00E25890">
        <w:rPr>
          <w:color w:val="000000"/>
          <w:vertAlign w:val="subscript"/>
        </w:rPr>
        <w:t>4</w:t>
      </w:r>
      <w:r w:rsidR="00E25890">
        <w:rPr>
          <w:color w:val="000000"/>
        </w:rPr>
        <w:t>)</w:t>
      </w:r>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
          <w:id w:val="670535489"/>
          <w:placeholder>
            <w:docPart w:val="73A80E822D99E742B92E05E31C8BA08A"/>
          </w:placeholder>
        </w:sdtPr>
        <w:sdtContent>
          <w:r w:rsidR="009D2FE3" w:rsidRPr="009D2FE3">
            <w:rPr>
              <w:rFonts w:eastAsiaTheme="minorEastAsia"/>
              <w:color w:val="000000"/>
            </w:rPr>
            <w:t>(</w:t>
          </w:r>
          <w:proofErr w:type="spellStart"/>
          <w:r w:rsidR="009D2FE3" w:rsidRPr="009D2FE3">
            <w:rPr>
              <w:rFonts w:eastAsiaTheme="minorEastAsia"/>
              <w:color w:val="000000"/>
            </w:rPr>
            <w:t>Viechtbauer</w:t>
          </w:r>
          <w:proofErr w:type="spellEnd"/>
          <w:r w:rsidR="009D2FE3" w:rsidRPr="009D2FE3">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r w:rsidR="00797EBA">
        <w:rPr>
          <w:rFonts w:eastAsiaTheme="minorEastAsia"/>
          <w:color w:val="000000"/>
        </w:rPr>
        <w:lastRenderedPageBreak/>
        <w:t>‘</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9D2FE3" w:rsidRPr="009D2FE3">
            <w:rPr>
              <w:rFonts w:eastAsia="Times New Roman"/>
              <w:color w:val="000000"/>
            </w:rPr>
            <w:t xml:space="preserve">(Nakagawa </w:t>
          </w:r>
          <w:r w:rsidR="009D2FE3" w:rsidRPr="009D2FE3">
            <w:rPr>
              <w:rFonts w:eastAsia="Times New Roman"/>
              <w:i/>
              <w:iCs/>
              <w:color w:val="000000"/>
            </w:rPr>
            <w:t>et al.</w:t>
          </w:r>
          <w:r w:rsidR="009D2FE3" w:rsidRPr="009D2FE3">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6C8AB97E" w14:textId="78381040" w:rsidR="00775AC8" w:rsidRDefault="00F35A69" w:rsidP="00775AC8">
      <w:pPr>
        <w:spacing w:line="360" w:lineRule="auto"/>
        <w:ind w:firstLine="720"/>
        <w:rPr>
          <w:rFonts w:eastAsiaTheme="minorEastAsia"/>
          <w:color w:val="000000"/>
        </w:rPr>
      </w:pPr>
      <w:r>
        <w:rPr>
          <w:rFonts w:eastAsiaTheme="minorEastAsia"/>
          <w:color w:val="000000"/>
        </w:rPr>
        <w:t xml:space="preserve">Interactions between N and P addition on leaf and whole-plant traits were classified into three categories: additive, synergistic, and antagonistic.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9D2FE3" w:rsidRPr="009D2FE3">
            <w:rPr>
              <w:rFonts w:eastAsiaTheme="minorEastAsia"/>
              <w:color w:val="000000"/>
            </w:rPr>
            <w:t>Yue et al. (2017)</w:t>
          </w:r>
        </w:sdtContent>
      </w:sdt>
      <w:r w:rsidR="00FC5637">
        <w:rPr>
          <w:rFonts w:eastAsiaTheme="minorEastAsia"/>
          <w:color w:val="000000"/>
        </w:rPr>
        <w:t>, null interaction effects (i.e. the 95% confidence intervals overlapped with zero) were classified as additive effects, where the combined effect of N and P addition</w:t>
      </w:r>
      <w:r w:rsidR="00313C71">
        <w:rPr>
          <w:rFonts w:eastAsiaTheme="minorEastAsia"/>
          <w:color w:val="000000"/>
        </w:rPr>
        <w:t xml:space="preserve"> had similar effects as the sum of the individual effects of N and P addition.</w:t>
      </w:r>
      <w:r w:rsidR="0070294C">
        <w:rPr>
          <w:rFonts w:eastAsiaTheme="minorEastAsia"/>
          <w:color w:val="000000"/>
        </w:rPr>
        <w:t xml:space="preserve"> An interaction was classified as synergistic (i.e. the combined effect of N and P addition was stronger than </w:t>
      </w:r>
      <w:r w:rsidR="00D062B6">
        <w:rPr>
          <w:rFonts w:eastAsiaTheme="minorEastAsia"/>
          <w:color w:val="000000"/>
        </w:rPr>
        <w:t>predicted through individual effects</w:t>
      </w:r>
      <w:r w:rsidR="0070294C">
        <w:rPr>
          <w:rFonts w:eastAsiaTheme="minorEastAsia"/>
          <w:color w:val="000000"/>
        </w:rPr>
        <w:t>) if positive individual effects of N and P addition correspond with a significant positive interaction</w:t>
      </w:r>
      <w:r w:rsidR="00D062B6">
        <w:rPr>
          <w:rFonts w:eastAsiaTheme="minorEastAsia"/>
          <w:color w:val="000000"/>
        </w:rPr>
        <w:t xml:space="preserve"> effect</w:t>
      </w:r>
      <w:r w:rsidR="0070294C">
        <w:rPr>
          <w:rFonts w:eastAsiaTheme="minorEastAsia"/>
          <w:color w:val="000000"/>
        </w:rPr>
        <w:t>, if negative individual effects of N and P addition correspond with a significant negative interaction</w:t>
      </w:r>
      <w:r w:rsidR="00D062B6">
        <w:rPr>
          <w:rFonts w:eastAsiaTheme="minorEastAsia"/>
          <w:color w:val="000000"/>
        </w:rPr>
        <w:t xml:space="preserve"> effect, or if mixed sign individual effects (e.g., one positive and one negative effect) correspond with a significant negative interaction effect. An interaction was classified as antagonistic (that is, the combined effect of N and P addition was weaker than predicted through individual effects) if positive individual effects of N and P addition correspond with a significant negative interaction effect, if negative individual effects of N and P addition correspond with a significant positive interaction effect, or if mixed sign individual effects correspond with a significant positive interaction effect.</w:t>
      </w:r>
      <w:r w:rsidR="00775AC8">
        <w:rPr>
          <w:rFonts w:eastAsiaTheme="minorEastAsia"/>
          <w:color w:val="000000"/>
        </w:rPr>
        <w:t xml:space="preserve"> 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9D2FE3" w:rsidRPr="009D2FE3">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p>
    <w:p w14:paraId="41D9F37E" w14:textId="6F907468" w:rsidR="00C36B7D" w:rsidRPr="00C36B7D" w:rsidRDefault="00000000" w:rsidP="00C36B7D">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2D3D4CDB" w:rsidR="00C70738" w:rsidRDefault="00CD1FBF" w:rsidP="00E01953">
      <w:pPr>
        <w:spacing w:line="360" w:lineRule="auto"/>
        <w:rPr>
          <w:rFonts w:eastAsiaTheme="minorEastAsia"/>
          <w:iCs/>
          <w:color w:val="000000"/>
        </w:rPr>
      </w:pPr>
      <w:proofErr w:type="spellStart"/>
      <w:r>
        <w:rPr>
          <w:rFonts w:eastAsiaTheme="minorEastAsia"/>
          <w:color w:val="000000"/>
        </w:rPr>
        <w:t>N</w:t>
      </w:r>
      <w:proofErr w:type="spellEnd"/>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C70738">
        <w:rPr>
          <w:rFonts w:eastAsiaTheme="minorEastAsia"/>
          <w:iCs/>
          <w:color w:val="000000"/>
        </w:rPr>
        <w:t xml:space="preserve">N addition on any photosynthetic trait (Table S3; Fig 2b). However, </w:t>
      </w:r>
      <w:proofErr w:type="spellStart"/>
      <w:r w:rsidR="00C70738">
        <w:rPr>
          <w:rFonts w:eastAsiaTheme="minorEastAsia"/>
          <w:iCs/>
          <w:color w:val="000000"/>
        </w:rPr>
        <w:t>N</w:t>
      </w:r>
      <w:proofErr w:type="spellEnd"/>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3D9A6B14" w:rsidR="00C70738" w:rsidRDefault="00C70738" w:rsidP="00C70738">
      <w:pPr>
        <w:spacing w:line="360" w:lineRule="auto"/>
        <w:ind w:firstLine="720"/>
        <w:rPr>
          <w:rFonts w:eastAsiaTheme="minorEastAsia"/>
          <w:iCs/>
          <w:color w:val="000000"/>
        </w:rPr>
      </w:pPr>
      <w:r w:rsidRPr="005F0EA0">
        <w:rPr>
          <w:rFonts w:eastAsiaTheme="minorEastAsia"/>
          <w:iCs/>
          <w:color w:val="000000"/>
        </w:rPr>
        <w:lastRenderedPageBreak/>
        <w:t xml:space="preserve">P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P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68F28F1A" w:rsidR="00C57316" w:rsidRDefault="00C57316" w:rsidP="00C70738">
      <w:pPr>
        <w:spacing w:line="360" w:lineRule="auto"/>
        <w:ind w:firstLine="720"/>
        <w:rPr>
          <w:rFonts w:eastAsiaTheme="minorEastAsia"/>
          <w:color w:val="000000"/>
        </w:rPr>
      </w:pPr>
      <w:r>
        <w:rPr>
          <w:rFonts w:eastAsiaTheme="minorEastAsia"/>
          <w:iCs/>
          <w:color w:val="000000"/>
        </w:rPr>
        <w:t xml:space="preserve">Finally, N+P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N+P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N+P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PNUE, or PPUE (Table S3; Fig. 2h). N+P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09B99F17" w:rsidR="00AC42EC" w:rsidRDefault="00C57316" w:rsidP="00733106">
      <w:pPr>
        <w:spacing w:line="360" w:lineRule="auto"/>
        <w:rPr>
          <w:rFonts w:eastAsiaTheme="minorEastAsia"/>
          <w:iCs/>
          <w:color w:val="000000"/>
        </w:rPr>
      </w:pPr>
      <w:r>
        <w:rPr>
          <w:rFonts w:eastAsiaTheme="minorEastAsia"/>
          <w:color w:val="000000"/>
        </w:rPr>
        <w:t>Interaction effect sizes indicated that all trait responses to N+P 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N and P addition</w:t>
      </w:r>
      <w:r>
        <w:rPr>
          <w:rFonts w:eastAsiaTheme="minorEastAsia"/>
          <w:color w:val="000000"/>
        </w:rPr>
        <w:t>, where there was a stronger effect of N+P 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increase; Table S4) than predicted through the sum of individual effects of N addition (</w:t>
      </w:r>
      <w:r w:rsidR="009D36A5">
        <w:rPr>
          <w:rFonts w:eastAsiaTheme="minorEastAsia"/>
          <w:color w:val="000000"/>
        </w:rPr>
        <w:t>38.5</w:t>
      </w:r>
      <w:r>
        <w:rPr>
          <w:rFonts w:eastAsiaTheme="minorEastAsia"/>
          <w:color w:val="000000"/>
        </w:rPr>
        <w:t>% increase; Table S4) and P addition (</w:t>
      </w:r>
      <w:r w:rsidR="009D36A5">
        <w:rPr>
          <w:rFonts w:eastAsiaTheme="minorEastAsia"/>
          <w:color w:val="000000"/>
        </w:rPr>
        <w:t>21.1</w:t>
      </w:r>
      <w:r>
        <w:rPr>
          <w:rFonts w:eastAsiaTheme="minorEastAsia"/>
          <w:color w:val="000000"/>
        </w:rPr>
        <w:t>% increase; Table S4) on aboveground biomass.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7D53B8">
          <w:pgSz w:w="12240" w:h="15840"/>
          <w:pgMar w:top="1440" w:right="1440" w:bottom="1440" w:left="1440" w:header="720" w:footer="720" w:gutter="0"/>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7D53B8">
          <w:pgSz w:w="15840" w:h="12240" w:orient="landscape"/>
          <w:pgMar w:top="1440" w:right="1440" w:bottom="1440" w:left="1440" w:header="720" w:footer="720" w:gutter="0"/>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7"/>
                    <a:stretch>
                      <a:fillRect/>
                    </a:stretch>
                  </pic:blipFill>
                  <pic:spPr>
                    <a:xfrm>
                      <a:off x="0" y="0"/>
                      <a:ext cx="7543011" cy="5657258"/>
                    </a:xfrm>
                    <a:prstGeom prst="rect">
                      <a:avLst/>
                    </a:prstGeom>
                  </pic:spPr>
                </pic:pic>
              </a:graphicData>
            </a:graphic>
          </wp:inline>
        </w:drawing>
      </w:r>
    </w:p>
    <w:p w14:paraId="78300502" w14:textId="1357C902"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Individual effects of N addition (top row of panels), P addition (middle row of panels), and N+P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8"/>
                    <a:stretch>
                      <a:fillRect/>
                    </a:stretch>
                  </pic:blipFill>
                  <pic:spPr>
                    <a:xfrm>
                      <a:off x="0" y="0"/>
                      <a:ext cx="3056508" cy="6113014"/>
                    </a:xfrm>
                    <a:prstGeom prst="rect">
                      <a:avLst/>
                    </a:prstGeom>
                  </pic:spPr>
                </pic:pic>
              </a:graphicData>
            </a:graphic>
          </wp:inline>
        </w:drawing>
      </w:r>
    </w:p>
    <w:p w14:paraId="72DBCE59" w14:textId="78DD94BD"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N and P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77777777"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N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N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N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effect of N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proofErr w:type="spellStart"/>
      <w:r w:rsidR="00185722">
        <w:rPr>
          <w:rFonts w:eastAsiaTheme="minorEastAsia"/>
          <w:color w:val="000000"/>
        </w:rPr>
        <w:t>N</w:t>
      </w:r>
      <w:proofErr w:type="spellEnd"/>
      <w:r w:rsidR="00185722">
        <w:rPr>
          <w:rFonts w:eastAsiaTheme="minorEastAsia"/>
          <w:color w:val="000000"/>
        </w:rPr>
        <w:t xml:space="preserve"> addition (Table S7).</w:t>
      </w:r>
    </w:p>
    <w:p w14:paraId="083890B2"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N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proofErr w:type="spellStart"/>
      <w:r>
        <w:rPr>
          <w:rFonts w:eastAsiaTheme="minorEastAsia"/>
          <w:color w:val="000000"/>
        </w:rPr>
        <w:t>N</w:t>
      </w:r>
      <w:proofErr w:type="spellEnd"/>
      <w:r>
        <w:rPr>
          <w:rFonts w:eastAsiaTheme="minorEastAsia"/>
          <w:color w:val="000000"/>
        </w:rPr>
        <w:t xml:space="preserve"> addition (Table S6).</w:t>
      </w:r>
    </w:p>
    <w:p w14:paraId="42DFCB86" w14:textId="050D80C7" w:rsidR="00077366" w:rsidRDefault="00077366" w:rsidP="00077366">
      <w:pPr>
        <w:spacing w:line="360" w:lineRule="auto"/>
        <w:ind w:firstLine="720"/>
        <w:rPr>
          <w:rFonts w:eastAsiaTheme="minorEastAsia"/>
          <w:color w:val="000000"/>
        </w:rPr>
      </w:pPr>
      <w:r>
        <w:rPr>
          <w:rFonts w:eastAsiaTheme="minorEastAsia"/>
          <w:color w:val="000000"/>
        </w:rPr>
        <w:t>Growing season light availability played no role in shaping leaf nutrient or whole-plant responses to N addition, except for marginally increasing the response ratio that explained the effect of N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114F96AC" w:rsidR="00CD028E" w:rsidRDefault="00185722" w:rsidP="00077366">
      <w:pPr>
        <w:spacing w:line="360" w:lineRule="auto"/>
        <w:rPr>
          <w:rFonts w:eastAsiaTheme="minorEastAsia"/>
          <w:iCs/>
          <w:color w:val="000000"/>
        </w:rPr>
      </w:pPr>
      <w:r>
        <w:rPr>
          <w:rFonts w:eastAsiaTheme="minorEastAsia"/>
          <w:color w:val="000000"/>
        </w:rPr>
        <w:t>Temperature did not modify the effects of P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P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P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P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response to P addition (Table S7).</w:t>
      </w:r>
    </w:p>
    <w:p w14:paraId="62933A04"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P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P addition (Table S6). Increasing growing season aridity increased the response ratio that explained the effect of P addition on aboveground biomass and decreased the response ratio that explained the effect of P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P addition (Table S7).</w:t>
      </w:r>
    </w:p>
    <w:p w14:paraId="2F00A502" w14:textId="1E470BAA" w:rsidR="00077366" w:rsidRDefault="00077366" w:rsidP="00077366">
      <w:pPr>
        <w:spacing w:line="360" w:lineRule="auto"/>
        <w:ind w:firstLine="720"/>
        <w:rPr>
          <w:rFonts w:eastAsiaTheme="minorEastAsia"/>
          <w:color w:val="000000"/>
        </w:rPr>
      </w:pPr>
      <w:r>
        <w:rPr>
          <w:rFonts w:eastAsiaTheme="minorEastAsia"/>
          <w:color w:val="000000"/>
        </w:rPr>
        <w:t>Growing season light availability played no role in shaping leaf nutrient or whole-plant response to P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0DEE0AEE"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N+P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N+P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N+P 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N+P addition on total biomass; however, temperature did not modify any other whole-plant trait response to N+P addition (Table S7).</w:t>
      </w:r>
    </w:p>
    <w:p w14:paraId="352DA421" w14:textId="49E3D92C"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N+P 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N+P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N+P addition (Table S6). Growing season aridity did not modify any whole-plant trait response to N+P addition (Table S7).</w:t>
      </w:r>
    </w:p>
    <w:p w14:paraId="6EDA0DED" w14:textId="26973D18"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N+P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did not modify any other leaf nutrient response to N+P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N+P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7BBEE667" w:rsidR="007F07CA" w:rsidRPr="007F07CA" w:rsidRDefault="007F07CA" w:rsidP="007F07CA">
      <w:pPr>
        <w:spacing w:line="360" w:lineRule="auto"/>
        <w:rPr>
          <w:rFonts w:eastAsiaTheme="minorEastAsia"/>
          <w:iCs/>
          <w:color w:val="000000"/>
        </w:rPr>
      </w:pPr>
      <w:r>
        <w:rPr>
          <w:rFonts w:eastAsiaTheme="minorEastAsia"/>
          <w:iCs/>
          <w:color w:val="000000"/>
        </w:rPr>
        <w:t>Species significantly modified plant responses to nutrient additions (Table S8-S14) For example, non-fixing species generally exhibited significantly stronger leaf nitrogen content responses to N addition than N</w:t>
      </w:r>
      <w:r>
        <w:rPr>
          <w:rFonts w:eastAsiaTheme="minorEastAsia"/>
          <w:iCs/>
          <w:color w:val="000000"/>
          <w:vertAlign w:val="subscript"/>
        </w:rPr>
        <w:t>2</w:t>
      </w:r>
      <w:r>
        <w:rPr>
          <w:rFonts w:eastAsiaTheme="minorEastAsia"/>
          <w:iCs/>
          <w:color w:val="000000"/>
        </w:rPr>
        <w:t>-fixing species (Table S11) and mining mycorrhizal species generally exhibited significantly stronger leaf phosphorus content responses to P addition (Table S13). All other species moderator effects are summarized in Tables S8-S14.</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0AEBBC12" w:rsidR="00AB1DB5" w:rsidRDefault="00A1361C" w:rsidP="00E40275">
      <w:pPr>
        <w:spacing w:line="360" w:lineRule="auto"/>
        <w:rPr>
          <w:rFonts w:eastAsiaTheme="minorEastAsia"/>
          <w:color w:val="000000"/>
        </w:rPr>
      </w:pPr>
      <w:r>
        <w:rPr>
          <w:rFonts w:eastAsiaTheme="minorEastAsia"/>
          <w:color w:val="000000"/>
        </w:rPr>
        <w:t xml:space="preserve">Here, </w:t>
      </w:r>
      <w:r w:rsidR="0010529D">
        <w:rPr>
          <w:rFonts w:eastAsiaTheme="minorEastAsia"/>
          <w:color w:val="000000"/>
        </w:rPr>
        <w:t>we compiled a global dataset of full-factorial N and P addition experiments to evaluate how nutrient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N, P, and N+P addition influence leaf nutrient concentrations, photosynthetic traits, and biomass allocation; (ii) whether responses to N+P addition are due to additive, synergistic, or antagonistic interactions; and (iii) whether these responses are mediated by climate or species identity. </w:t>
      </w:r>
      <w:r w:rsidR="009A037C">
        <w:t>Our results show that N and P addition primarily influence leaf nutrient content and whole-plant traits, with limited effects on leaf-level photosynthetic capacity, and that plant responses to N+P addition are largely governed by additive interactions</w:t>
      </w:r>
      <w:r w:rsidR="00AB1DB5">
        <w:rPr>
          <w:rFonts w:eastAsiaTheme="minorEastAsia"/>
          <w:color w:val="000000"/>
        </w:rPr>
        <w:t xml:space="preserve">. </w:t>
      </w:r>
      <w:r w:rsidR="009A037C">
        <w:t>We also find evidence that climate and nutrient acquisition strategies moderate some trait responses to nutrient enrichment.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n0sImlzVGVtcG9yYXJ5IjpmYWxzZX1dfQ=="/>
          <w:id w:val="973562326"/>
          <w:placeholder>
            <w:docPart w:val="DefaultPlaceholder_-1854013440"/>
          </w:placeholder>
        </w:sdtPr>
        <w:sdtContent>
          <w:r w:rsidR="009D2FE3" w:rsidRPr="009D2FE3">
            <w:rPr>
              <w:rFonts w:eastAsia="Times New Roman"/>
              <w:color w:val="000000"/>
            </w:rPr>
            <w:t xml:space="preserve">(Liang </w:t>
          </w:r>
          <w:r w:rsidR="009D2FE3" w:rsidRPr="009D2FE3">
            <w:rPr>
              <w:rFonts w:eastAsia="Times New Roman"/>
              <w:i/>
              <w:iCs/>
              <w:color w:val="000000"/>
            </w:rPr>
            <w:t>et al.</w:t>
          </w:r>
          <w:r w:rsidR="009D2FE3" w:rsidRPr="009D2FE3">
            <w:rPr>
              <w:rFonts w:eastAsia="Times New Roman"/>
              <w:color w:val="000000"/>
            </w:rPr>
            <w:t xml:space="preserve">, 2020; Waring </w:t>
          </w:r>
          <w:r w:rsidR="009D2FE3" w:rsidRPr="009D2FE3">
            <w:rPr>
              <w:rFonts w:eastAsia="Times New Roman"/>
              <w:i/>
              <w:iCs/>
              <w:color w:val="000000"/>
            </w:rPr>
            <w:t>et al.</w:t>
          </w:r>
          <w:r w:rsidR="009D2FE3" w:rsidRPr="009D2FE3">
            <w:rPr>
              <w:rFonts w:eastAsia="Times New Roman"/>
              <w:color w:val="000000"/>
            </w:rPr>
            <w:t xml:space="preserve">, 2023; Stocker </w:t>
          </w:r>
          <w:r w:rsidR="009D2FE3" w:rsidRPr="009D2FE3">
            <w:rPr>
              <w:rFonts w:eastAsia="Times New Roman"/>
              <w:i/>
              <w:iCs/>
              <w:color w:val="000000"/>
            </w:rPr>
            <w:t>et al.</w:t>
          </w:r>
          <w:r w:rsidR="009D2FE3" w:rsidRPr="009D2FE3">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XX0="/>
          <w:id w:val="1641141526"/>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with acquisition strategies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383441460"/>
          <w:placeholder>
            <w:docPart w:val="DefaultPlaceholder_-1854013440"/>
          </w:placeholder>
        </w:sdtPr>
        <w:sdtContent>
          <w:r w:rsidR="009D2FE3" w:rsidRPr="009D2FE3">
            <w:rPr>
              <w:rFonts w:eastAsia="Times New Roman"/>
              <w:color w:val="000000"/>
            </w:rPr>
            <w:t xml:space="preserve">(Perkowski </w:t>
          </w:r>
          <w:r w:rsidR="009D2FE3" w:rsidRPr="009D2FE3">
            <w:rPr>
              <w:rFonts w:eastAsia="Times New Roman"/>
              <w:i/>
              <w:iCs/>
              <w:color w:val="000000"/>
            </w:rPr>
            <w:t>et al.</w:t>
          </w:r>
          <w:r w:rsidR="009D2FE3" w:rsidRPr="009D2FE3">
            <w:rPr>
              <w:rFonts w:eastAsia="Times New Roman"/>
              <w:color w:val="000000"/>
            </w:rPr>
            <w:t xml:space="preserve">, 2021, 2025; </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w:t>
          </w:r>
          <w:r w:rsidR="009D2FE3" w:rsidRPr="009D2FE3">
            <w:rPr>
              <w:rFonts w:eastAsia="Times New Roman"/>
              <w:i/>
              <w:iCs/>
              <w:color w:val="000000"/>
            </w:rPr>
            <w:t>et al.</w:t>
          </w:r>
          <w:r w:rsidR="009D2FE3" w:rsidRPr="009D2FE3">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our results support previous work using a smaller subset of traits suggesting that plant responses to </w:t>
      </w:r>
      <w:r w:rsidR="00434991">
        <w:rPr>
          <w:rFonts w:eastAsiaTheme="minorEastAsia"/>
          <w:color w:val="000000"/>
        </w:rPr>
        <w:t xml:space="preserve">multiple global change factors are often driven </w:t>
      </w:r>
      <w:r w:rsidR="008D32BF">
        <w:rPr>
          <w:rFonts w:eastAsiaTheme="minorEastAsia"/>
          <w:color w:val="000000"/>
        </w:rPr>
        <w:t xml:space="preserve">by additive interactions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439F3B7C" w:rsidR="00154485" w:rsidRDefault="00154485" w:rsidP="00E40275">
      <w:pPr>
        <w:spacing w:line="360" w:lineRule="auto"/>
        <w:rPr>
          <w:rFonts w:eastAsiaTheme="minorEastAsia"/>
          <w:color w:val="000000"/>
        </w:rPr>
      </w:pPr>
      <w:r w:rsidRPr="00154485">
        <w:rPr>
          <w:rFonts w:eastAsiaTheme="minorEastAsia"/>
          <w:i/>
          <w:iCs/>
          <w:color w:val="000000"/>
        </w:rPr>
        <w:t>N and P addition play a stronger role in modifying leaf nutrient content and whole-plant traits than photosynthetic traits</w:t>
      </w:r>
    </w:p>
    <w:p w14:paraId="1EA42A54" w14:textId="607D07D6" w:rsidR="00873013" w:rsidRDefault="00873013" w:rsidP="00873013">
      <w:pPr>
        <w:spacing w:line="360" w:lineRule="auto"/>
        <w:rPr>
          <w:rFonts w:eastAsiaTheme="minorEastAsia"/>
          <w:color w:val="000000"/>
        </w:rPr>
      </w:pPr>
      <w:r>
        <w:rPr>
          <w:rFonts w:eastAsiaTheme="minorEastAsia"/>
          <w:color w:val="000000"/>
        </w:rPr>
        <w:t xml:space="preserve">In general, leaf nutrient and biomass responses to nitrogen and phosphorus additions were stronger in magnitude than photosynthetic responses. Nitrogen addition played no role in modifying photosynthetic traits, while phosphorus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699441110"/>
          <w:placeholder>
            <w:docPart w:val="2E93112E462A244DA9E5E677FCA0628E"/>
          </w:placeholder>
        </w:sdtPr>
        <w:sdtContent>
          <w:r w:rsidR="009D2FE3" w:rsidRPr="009D2FE3">
            <w:rPr>
              <w:rFonts w:eastAsia="Times New Roman"/>
              <w:color w:val="000000"/>
            </w:rPr>
            <w:t xml:space="preserve">(Smith </w:t>
          </w:r>
          <w:r w:rsidR="009D2FE3" w:rsidRPr="009D2FE3">
            <w:rPr>
              <w:rFonts w:eastAsia="Times New Roman"/>
              <w:i/>
              <w:iCs/>
              <w:color w:val="000000"/>
            </w:rPr>
            <w:t>et al.</w:t>
          </w:r>
          <w:r w:rsidR="009D2FE3" w:rsidRPr="009D2FE3">
            <w:rPr>
              <w:rFonts w:eastAsia="Times New Roman"/>
              <w:color w:val="000000"/>
            </w:rPr>
            <w:t xml:space="preserve">, 2019, 2024; Harrison </w:t>
          </w:r>
          <w:r w:rsidR="009D2FE3" w:rsidRPr="009D2FE3">
            <w:rPr>
              <w:rFonts w:eastAsia="Times New Roman"/>
              <w:i/>
              <w:iCs/>
              <w:color w:val="000000"/>
            </w:rPr>
            <w:t>et al.</w:t>
          </w:r>
          <w:r w:rsidR="009D2FE3" w:rsidRPr="009D2FE3">
            <w:rPr>
              <w:rFonts w:eastAsia="Times New Roman"/>
              <w:color w:val="000000"/>
            </w:rPr>
            <w:t xml:space="preserve">, 2021; 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Pr>
          <w:rFonts w:eastAsiaTheme="minorEastAsia"/>
          <w:color w:val="000000"/>
        </w:rPr>
        <w:t>.</w:t>
      </w:r>
      <w:r w:rsidR="001C0600">
        <w:rPr>
          <w:rFonts w:eastAsiaTheme="minorEastAsia"/>
          <w:color w:val="000000"/>
        </w:rPr>
        <w:t xml:space="preserve"> Null nutrient addition effects on photosynthetic traits indicate that </w:t>
      </w:r>
    </w:p>
    <w:p w14:paraId="12983C5F" w14:textId="77777777" w:rsidR="00873013" w:rsidRDefault="00873013" w:rsidP="00E40275">
      <w:pPr>
        <w:spacing w:line="360" w:lineRule="auto"/>
        <w:rPr>
          <w:rFonts w:eastAsiaTheme="minorEastAsia"/>
          <w:color w:val="000000"/>
        </w:rPr>
      </w:pPr>
    </w:p>
    <w:p w14:paraId="3415186C" w14:textId="77777777" w:rsidR="00873013" w:rsidRDefault="00873013" w:rsidP="00E40275">
      <w:pPr>
        <w:spacing w:line="360" w:lineRule="auto"/>
        <w:rPr>
          <w:rFonts w:eastAsiaTheme="minorEastAsia"/>
          <w:color w:val="000000"/>
        </w:rPr>
      </w:pPr>
    </w:p>
    <w:p w14:paraId="2042E9B8" w14:textId="77777777" w:rsidR="00873013" w:rsidRDefault="00873013" w:rsidP="00E40275">
      <w:pPr>
        <w:spacing w:line="360" w:lineRule="auto"/>
        <w:rPr>
          <w:rFonts w:eastAsiaTheme="minorEastAsia"/>
          <w:color w:val="000000"/>
        </w:rPr>
      </w:pPr>
    </w:p>
    <w:p w14:paraId="06AC2372" w14:textId="77777777" w:rsidR="00873013" w:rsidRDefault="00873013" w:rsidP="00E40275">
      <w:pPr>
        <w:spacing w:line="360" w:lineRule="auto"/>
        <w:rPr>
          <w:rFonts w:eastAsiaTheme="minorEastAsia"/>
          <w:color w:val="000000"/>
        </w:rPr>
      </w:pPr>
    </w:p>
    <w:p w14:paraId="4242E9B6" w14:textId="124312BE" w:rsidR="00B319DE" w:rsidRDefault="008D32BF" w:rsidP="00E40275">
      <w:pPr>
        <w:spacing w:line="360" w:lineRule="auto"/>
        <w:rPr>
          <w:rFonts w:eastAsiaTheme="minorEastAsia"/>
          <w:color w:val="000000"/>
        </w:rPr>
      </w:pPr>
      <w:r>
        <w:rPr>
          <w:rFonts w:eastAsiaTheme="minorEastAsia"/>
          <w:color w:val="000000"/>
        </w:rPr>
        <w:t>N</w:t>
      </w:r>
      <w:r w:rsidR="00844BB7">
        <w:rPr>
          <w:rFonts w:eastAsiaTheme="minorEastAsia"/>
          <w:color w:val="000000"/>
        </w:rPr>
        <w:t>itrogen</w:t>
      </w:r>
      <w:r>
        <w:rPr>
          <w:rFonts w:eastAsiaTheme="minorEastAsia"/>
          <w:color w:val="000000"/>
        </w:rPr>
        <w:t xml:space="preserve"> addition increased leaf nitrogen content and aboveground biomass but did not alter any photosynthetic trait. </w:t>
      </w:r>
      <w:r w:rsidR="00E6410D">
        <w:rPr>
          <w:rFonts w:eastAsiaTheme="minorEastAsia"/>
          <w:color w:val="000000"/>
        </w:rPr>
        <w:t xml:space="preserve">Supporting previous work, these responses indicate that </w:t>
      </w:r>
      <w:r w:rsidR="00844BB7">
        <w:rPr>
          <w:rFonts w:eastAsiaTheme="minorEastAsia"/>
          <w:color w:val="000000"/>
        </w:rPr>
        <w:t>nitrogen</w:t>
      </w:r>
      <w:r w:rsidR="00E6410D">
        <w:rPr>
          <w:rFonts w:eastAsiaTheme="minorEastAsia"/>
          <w:color w:val="000000"/>
        </w:rPr>
        <w:t xml:space="preserve"> addition decreases the relative fraction of leaf nitrogen allocated to photosynthesis </w:t>
      </w:r>
      <w:sdt>
        <w:sdtPr>
          <w:rPr>
            <w:rFonts w:eastAsiaTheme="minorEastAsia"/>
            <w:color w:val="000000"/>
          </w:rPr>
          <w:tag w:val="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809636775"/>
          <w:placeholder>
            <w:docPart w:val="DefaultPlaceholder_-1854013440"/>
          </w:placeholder>
        </w:sdtPr>
        <w:sdtContent>
          <w:r w:rsidR="009D2FE3" w:rsidRPr="009D2FE3">
            <w:rPr>
              <w:rFonts w:eastAsia="Times New Roman"/>
              <w:color w:val="000000"/>
            </w:rPr>
            <w:t xml:space="preserve">(Waring </w:t>
          </w:r>
          <w:r w:rsidR="009D2FE3" w:rsidRPr="009D2FE3">
            <w:rPr>
              <w:rFonts w:eastAsia="Times New Roman"/>
              <w:i/>
              <w:iCs/>
              <w:color w:val="000000"/>
            </w:rPr>
            <w:t>et al.</w:t>
          </w:r>
          <w:r w:rsidR="009D2FE3" w:rsidRPr="009D2FE3">
            <w:rPr>
              <w:rFonts w:eastAsia="Times New Roman"/>
              <w:color w:val="000000"/>
            </w:rPr>
            <w:t>, 2023)</w:t>
          </w:r>
        </w:sdtContent>
      </w:sdt>
      <w:r w:rsidR="00E6410D">
        <w:rPr>
          <w:rFonts w:eastAsiaTheme="minorEastAsia"/>
          <w:color w:val="000000"/>
        </w:rPr>
        <w:t xml:space="preserve">, </w:t>
      </w:r>
      <w:r w:rsidR="00844BB7">
        <w:rPr>
          <w:rFonts w:eastAsiaTheme="minorEastAsia"/>
          <w:color w:val="000000"/>
        </w:rPr>
        <w:t>potentially as a</w:t>
      </w:r>
      <w:r w:rsidR="00E6410D">
        <w:rPr>
          <w:rFonts w:eastAsiaTheme="minorEastAsia"/>
          <w:color w:val="000000"/>
        </w:rPr>
        <w:t xml:space="preserve"> strategy for maximizing resource allocation to whole-plant growth </w:t>
      </w:r>
      <w:sdt>
        <w:sdtPr>
          <w:rPr>
            <w:rFonts w:eastAsiaTheme="minorEastAsia"/>
            <w:color w:val="000000"/>
          </w:rPr>
          <w:tag w:val="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XX0="/>
          <w:id w:val="-1184280777"/>
          <w:placeholder>
            <w:docPart w:val="DefaultPlaceholder_-1854013440"/>
          </w:placeholder>
        </w:sdtPr>
        <w:sdtContent>
          <w:r w:rsidR="009D2FE3" w:rsidRPr="009D2FE3">
            <w:rPr>
              <w:rFonts w:eastAsia="Times New Roman"/>
              <w:color w:val="000000"/>
            </w:rPr>
            <w:t xml:space="preserve">(Stocker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sidR="00E6410D">
        <w:rPr>
          <w:rFonts w:eastAsiaTheme="minorEastAsia"/>
          <w:color w:val="000000"/>
        </w:rPr>
        <w:t xml:space="preserve">. </w:t>
      </w:r>
    </w:p>
    <w:p w14:paraId="4F57EF4C" w14:textId="294A19F2" w:rsidR="0070011D" w:rsidRDefault="00844BB7" w:rsidP="00B319DE">
      <w:pPr>
        <w:spacing w:line="360" w:lineRule="auto"/>
        <w:ind w:firstLine="720"/>
        <w:rPr>
          <w:color w:val="000000"/>
        </w:rPr>
      </w:pPr>
      <w:r>
        <w:t xml:space="preserve">We found similar patterns for phosphorus addition, where plants increased leaf phosphorus content and aboveground biomass despite limited changes in leaf photosynthetic traits. These patterns suggest that phosphorus addition may also reduce the fraction of leaf phosphorus content allocated to photosynthesis, though this remains speculative given the wide range of non-photosynthetic pools to which phosphorus can be allocated (e.g., orthophosphate, nucleic acid, lipid pools). </w:t>
      </w:r>
      <w:r w:rsidR="00B319DE">
        <w:t xml:space="preserve">Indeed, leaf phosphorus content </w:t>
      </w:r>
      <w:r w:rsidR="00AF1C68">
        <w:t>can be</w:t>
      </w:r>
      <w:r w:rsidR="00B319DE">
        <w:t xml:space="preserve"> negatively correlated with the relative fraction of leaf phosphorus allocated to metabolism and positively correlated with the relative fraction of leaf phosphorus allocated to orthophosphate and lipid pools </w:t>
      </w:r>
      <w:sdt>
        <w:sdtPr>
          <w:rPr>
            <w:color w:val="000000"/>
          </w:rPr>
          <w:tag w:val="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
          <w:id w:val="1315914924"/>
          <w:placeholder>
            <w:docPart w:val="DefaultPlaceholder_-1854013440"/>
          </w:placeholder>
        </w:sdtPr>
        <w:sdtContent>
          <w:r w:rsidR="009D2FE3" w:rsidRPr="009D2FE3">
            <w:rPr>
              <w:rFonts w:eastAsia="Times New Roman"/>
              <w:color w:val="000000"/>
            </w:rPr>
            <w:t xml:space="preserve">(Dong </w:t>
          </w:r>
          <w:r w:rsidR="009D2FE3" w:rsidRPr="009D2FE3">
            <w:rPr>
              <w:rFonts w:eastAsia="Times New Roman"/>
              <w:i/>
              <w:iCs/>
              <w:color w:val="000000"/>
            </w:rPr>
            <w:t>et al.</w:t>
          </w:r>
          <w:r w:rsidR="009D2FE3" w:rsidRPr="009D2FE3">
            <w:rPr>
              <w:rFonts w:eastAsia="Times New Roman"/>
              <w:color w:val="000000"/>
            </w:rPr>
            <w:t>, 2025)</w:t>
          </w:r>
        </w:sdtContent>
      </w:sdt>
      <w:r w:rsidR="0070011D">
        <w:rPr>
          <w:color w:val="000000"/>
        </w:rPr>
        <w:t xml:space="preserve">; however, phosphorus availability is often positively correlated with the pool of leaf phosphorus allocated to metabolism. </w:t>
      </w:r>
    </w:p>
    <w:p w14:paraId="442FAE25" w14:textId="77C6BAF7" w:rsidR="00A111D9" w:rsidRDefault="008A0952" w:rsidP="00E40275">
      <w:pPr>
        <w:spacing w:line="360" w:lineRule="auto"/>
        <w:rPr>
          <w:rFonts w:eastAsiaTheme="minorEastAsia"/>
          <w:color w:val="000000"/>
        </w:rPr>
      </w:pPr>
      <w:r>
        <w:rPr>
          <w:rFonts w:eastAsiaTheme="minorEastAsia"/>
          <w:color w:val="000000"/>
        </w:rPr>
        <w:tab/>
      </w:r>
      <w:r w:rsidR="00A111D9">
        <w:t xml:space="preserve">Across all nutrient treatments, aboveground biomass increased while belowground biomass remained unchanged, resulting in a reduction in root mass fraction and </w:t>
      </w:r>
      <w:proofErr w:type="spellStart"/>
      <w:r w:rsidR="00A111D9">
        <w:t>root:shoot</w:t>
      </w:r>
      <w:proofErr w:type="spellEnd"/>
      <w:r w:rsidR="00A111D9">
        <w:t xml:space="preserve"> ratio. These allocation shifts are consistent with previous evidence showing stronger aboveground than belowground responses to nutrient addition, often attributed to increases in per-root nutrient uptake efficiency under heightened nutrient availability.</w:t>
      </w:r>
      <w:r w:rsidR="0070011D">
        <w:t xml:space="preserve"> Indeed, enhanced nutrient uptake efficiency with greater nutrient availability allows plants to maximize allocation of resources toward aboveground structures.</w:t>
      </w:r>
    </w:p>
    <w:p w14:paraId="3A05C8AA" w14:textId="77777777" w:rsidR="008A0952" w:rsidRDefault="008A0952" w:rsidP="00E40275">
      <w:pPr>
        <w:spacing w:line="360" w:lineRule="auto"/>
        <w:rPr>
          <w:rFonts w:eastAsiaTheme="minorEastAsia"/>
          <w:color w:val="000000"/>
        </w:rPr>
      </w:pPr>
    </w:p>
    <w:p w14:paraId="1E0736FB" w14:textId="79B8CA5B" w:rsidR="00154485" w:rsidRPr="00154485" w:rsidRDefault="00154485" w:rsidP="00E40275">
      <w:pPr>
        <w:spacing w:line="360" w:lineRule="auto"/>
        <w:rPr>
          <w:rFonts w:eastAsiaTheme="minorEastAsia"/>
          <w:i/>
          <w:iCs/>
          <w:color w:val="000000"/>
        </w:rPr>
      </w:pPr>
      <w:r>
        <w:rPr>
          <w:rFonts w:eastAsiaTheme="minorEastAsia"/>
          <w:i/>
          <w:iCs/>
          <w:color w:val="000000"/>
        </w:rPr>
        <w:t>Plant responses to N+P addition are largely governed by additive interactions</w:t>
      </w:r>
    </w:p>
    <w:p w14:paraId="033DD869" w14:textId="0C44EE40" w:rsidR="00A111D9" w:rsidRDefault="00A111D9" w:rsidP="00E40275">
      <w:pPr>
        <w:spacing w:line="360" w:lineRule="auto"/>
        <w:rPr>
          <w:rFonts w:eastAsiaTheme="minorEastAsia"/>
          <w:color w:val="000000"/>
        </w:rPr>
      </w:pPr>
      <w:r>
        <w:t xml:space="preserve">A central focus of this meta-analysis was to assess whether plant responses to N+P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9D2FE3" w:rsidRPr="009D2FE3">
            <w:rPr>
              <w:rFonts w:eastAsia="Times New Roman"/>
              <w:color w:val="000000"/>
            </w:rPr>
            <w:t xml:space="preserve">(Yue </w:t>
          </w:r>
          <w:r w:rsidR="009D2FE3" w:rsidRPr="009D2FE3">
            <w:rPr>
              <w:rFonts w:eastAsia="Times New Roman"/>
              <w:i/>
              <w:iCs/>
              <w:color w:val="000000"/>
            </w:rPr>
            <w:t>et al.</w:t>
          </w:r>
          <w:r w:rsidR="009D2FE3" w:rsidRPr="009D2FE3">
            <w:rPr>
              <w:rFonts w:eastAsia="Times New Roman"/>
              <w:color w:val="000000"/>
            </w:rPr>
            <w:t xml:space="preserve">, 2017; Ding </w:t>
          </w:r>
          <w:r w:rsidR="009D2FE3" w:rsidRPr="009D2FE3">
            <w:rPr>
              <w:rFonts w:eastAsia="Times New Roman"/>
              <w:i/>
              <w:iCs/>
              <w:color w:val="000000"/>
            </w:rPr>
            <w:t>et al.</w:t>
          </w:r>
          <w:r w:rsidR="009D2FE3" w:rsidRPr="009D2FE3">
            <w:rPr>
              <w:rFonts w:eastAsia="Times New Roman"/>
              <w:color w:val="000000"/>
            </w:rPr>
            <w:t>, 2025)</w:t>
          </w:r>
        </w:sdtContent>
      </w:sdt>
      <w:r w:rsidR="00844BB7">
        <w:rPr>
          <w:rFonts w:eastAsiaTheme="minorEastAsia"/>
          <w:color w:val="000000"/>
        </w:rPr>
        <w:t xml:space="preserve">. </w:t>
      </w:r>
      <w:proofErr w:type="gramStart"/>
      <w:r w:rsidR="0070011D">
        <w:t>With the exception of</w:t>
      </w:r>
      <w:proofErr w:type="gramEnd"/>
      <w:r w:rsidR="0070011D">
        <w:t xml:space="preserve"> a recent meta-analysis showing that aboveground biomass responds synergistically to N+P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9D2FE3" w:rsidRPr="009D2FE3">
            <w:rPr>
              <w:rFonts w:eastAsia="Times New Roman"/>
              <w:color w:val="000000"/>
            </w:rPr>
            <w:t xml:space="preserve">(Fang </w:t>
          </w:r>
          <w:r w:rsidR="009D2FE3" w:rsidRPr="009D2FE3">
            <w:rPr>
              <w:rFonts w:eastAsia="Times New Roman"/>
              <w:i/>
              <w:iCs/>
              <w:color w:val="000000"/>
            </w:rPr>
            <w:t>et al.</w:t>
          </w:r>
          <w:r w:rsidR="009D2FE3" w:rsidRPr="009D2FE3">
            <w:rPr>
              <w:rFonts w:eastAsia="Times New Roman"/>
              <w:color w:val="000000"/>
            </w:rPr>
            <w:t>, 2024)</w:t>
          </w:r>
        </w:sdtContent>
      </w:sdt>
      <w:r>
        <w:rPr>
          <w:rFonts w:eastAsiaTheme="minorEastAsia"/>
          <w:color w:val="000000"/>
        </w:rPr>
        <w:t xml:space="preserve">, </w:t>
      </w:r>
      <w:r w:rsidR="0070011D">
        <w:lastRenderedPageBreak/>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N+P addition were indeed largely driven by additive interactions. This was the case for all traits except for aboveground biomass, which demonstrated a synergistic interaction. These findings indicate that most plant trait responses to N+P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N+P addition on aboveground biomass than the sum of its individual effects.</w:t>
      </w:r>
      <w:r w:rsidR="00873013">
        <w:rPr>
          <w:rFonts w:eastAsiaTheme="minorEastAsia"/>
          <w:color w:val="000000"/>
        </w:rPr>
        <w:t xml:space="preserve"> </w:t>
      </w:r>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1C917F62" w:rsidR="0070011D" w:rsidRPr="00CD0164" w:rsidRDefault="0070011D" w:rsidP="0070011D">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in colder and drier climates. Overall, stronger</w:t>
      </w:r>
    </w:p>
    <w:p w14:paraId="56680E65" w14:textId="77777777" w:rsidR="00154485" w:rsidRDefault="00154485" w:rsidP="00E40275">
      <w:pPr>
        <w:spacing w:line="360" w:lineRule="auto"/>
        <w:rPr>
          <w:rFonts w:eastAsiaTheme="minorEastAsia"/>
          <w:color w:val="000000"/>
        </w:rPr>
      </w:pPr>
    </w:p>
    <w:p w14:paraId="1165F5E2" w14:textId="77777777" w:rsidR="005C2622" w:rsidRDefault="005C2622" w:rsidP="00E40275">
      <w:pPr>
        <w:spacing w:line="360" w:lineRule="auto"/>
        <w:rPr>
          <w:rFonts w:eastAsiaTheme="minorEastAsia"/>
          <w:color w:val="000000"/>
        </w:rPr>
      </w:pPr>
    </w:p>
    <w:p w14:paraId="1E7F2992" w14:textId="77777777" w:rsidR="005C2622" w:rsidRDefault="005C2622" w:rsidP="00E40275">
      <w:pPr>
        <w:spacing w:line="360" w:lineRule="auto"/>
        <w:rPr>
          <w:rFonts w:eastAsiaTheme="minorEastAsia"/>
          <w:color w:val="000000"/>
        </w:rPr>
      </w:pPr>
    </w:p>
    <w:p w14:paraId="0351684B" w14:textId="77777777" w:rsidR="005C2622" w:rsidRDefault="005C2622" w:rsidP="00E40275">
      <w:pPr>
        <w:spacing w:line="360" w:lineRule="auto"/>
        <w:rPr>
          <w:rFonts w:eastAsiaTheme="minorEastAsia"/>
          <w:color w:val="000000"/>
        </w:rPr>
      </w:pPr>
    </w:p>
    <w:p w14:paraId="2EB32013" w14:textId="77777777" w:rsidR="00A1361C" w:rsidRDefault="00A1361C" w:rsidP="00E40275">
      <w:pPr>
        <w:spacing w:line="360" w:lineRule="auto"/>
        <w:rPr>
          <w:rFonts w:eastAsiaTheme="minorEastAsia"/>
          <w:color w:val="000000"/>
        </w:rPr>
      </w:pPr>
    </w:p>
    <w:p w14:paraId="0F7DC58F" w14:textId="02D27931" w:rsidR="00E40275" w:rsidRDefault="00E40275" w:rsidP="00E40275">
      <w:pPr>
        <w:spacing w:line="360" w:lineRule="auto"/>
        <w:rPr>
          <w:rFonts w:eastAsiaTheme="minorEastAsia"/>
          <w:i/>
          <w:iCs/>
          <w:color w:val="000000"/>
        </w:rPr>
      </w:pPr>
      <w:r>
        <w:rPr>
          <w:rFonts w:eastAsiaTheme="minorEastAsia"/>
          <w:i/>
          <w:iCs/>
          <w:color w:val="000000"/>
        </w:rPr>
        <w:t>Leaf nutrient and biomass responses to N and P additions are stronger than photosynthetic responses</w:t>
      </w:r>
    </w:p>
    <w:p w14:paraId="4A7277F3" w14:textId="777D2C7E" w:rsidR="00E40275" w:rsidRDefault="00FF2CF8" w:rsidP="00E40275">
      <w:pPr>
        <w:spacing w:line="360" w:lineRule="auto"/>
        <w:rPr>
          <w:rFonts w:eastAsiaTheme="minorEastAsia"/>
          <w:color w:val="000000"/>
        </w:rPr>
      </w:pPr>
      <w:r>
        <w:rPr>
          <w:rFonts w:eastAsiaTheme="minorEastAsia"/>
          <w:color w:val="000000"/>
        </w:rPr>
        <w:t xml:space="preserve">In general, leaf nutrient and biomass responses to N and P additions were stronger in magnitude than photosynthetic responses. </w:t>
      </w:r>
      <w:proofErr w:type="spellStart"/>
      <w:r>
        <w:rPr>
          <w:rFonts w:eastAsiaTheme="minorEastAsia"/>
          <w:color w:val="000000"/>
        </w:rPr>
        <w:t>N</w:t>
      </w:r>
      <w:proofErr w:type="spellEnd"/>
      <w:r>
        <w:rPr>
          <w:rFonts w:eastAsiaTheme="minorEastAsia"/>
          <w:color w:val="000000"/>
        </w:rPr>
        <w:t xml:space="preserve"> addition had no role in shaping photosynthetic traits, while P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w:t>
      </w:r>
      <w:r w:rsidR="00B239A2">
        <w:rPr>
          <w:rFonts w:eastAsiaTheme="minorEastAsia"/>
          <w:color w:val="000000"/>
        </w:rPr>
        <w:t xml:space="preserve">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1292718973"/>
          <w:placeholder>
            <w:docPart w:val="DefaultPlaceholder_-1854013440"/>
          </w:placeholder>
        </w:sdtPr>
        <w:sdtContent>
          <w:r w:rsidR="009D2FE3" w:rsidRPr="009D2FE3">
            <w:rPr>
              <w:rFonts w:eastAsia="Times New Roman"/>
              <w:color w:val="000000"/>
            </w:rPr>
            <w:t xml:space="preserve">(Smith </w:t>
          </w:r>
          <w:r w:rsidR="009D2FE3" w:rsidRPr="009D2FE3">
            <w:rPr>
              <w:rFonts w:eastAsia="Times New Roman"/>
              <w:i/>
              <w:iCs/>
              <w:color w:val="000000"/>
            </w:rPr>
            <w:t>et al.</w:t>
          </w:r>
          <w:r w:rsidR="009D2FE3" w:rsidRPr="009D2FE3">
            <w:rPr>
              <w:rFonts w:eastAsia="Times New Roman"/>
              <w:color w:val="000000"/>
            </w:rPr>
            <w:t xml:space="preserve">, 2019, 2024; Harrison </w:t>
          </w:r>
          <w:r w:rsidR="009D2FE3" w:rsidRPr="009D2FE3">
            <w:rPr>
              <w:rFonts w:eastAsia="Times New Roman"/>
              <w:i/>
              <w:iCs/>
              <w:color w:val="000000"/>
            </w:rPr>
            <w:t>et al.</w:t>
          </w:r>
          <w:r w:rsidR="009D2FE3" w:rsidRPr="009D2FE3">
            <w:rPr>
              <w:rFonts w:eastAsia="Times New Roman"/>
              <w:color w:val="000000"/>
            </w:rPr>
            <w:t xml:space="preserve">, 2021; Stocker </w:t>
          </w:r>
          <w:r w:rsidR="009D2FE3" w:rsidRPr="009D2FE3">
            <w:rPr>
              <w:rFonts w:eastAsia="Times New Roman"/>
              <w:i/>
              <w:iCs/>
              <w:color w:val="000000"/>
            </w:rPr>
            <w:t>et al.</w:t>
          </w:r>
          <w:r w:rsidR="009D2FE3" w:rsidRPr="009D2FE3">
            <w:rPr>
              <w:rFonts w:eastAsia="Times New Roman"/>
              <w:color w:val="000000"/>
            </w:rPr>
            <w:t xml:space="preserve">, 2025; Perkowski </w:t>
          </w:r>
          <w:r w:rsidR="009D2FE3" w:rsidRPr="009D2FE3">
            <w:rPr>
              <w:rFonts w:eastAsia="Times New Roman"/>
              <w:i/>
              <w:iCs/>
              <w:color w:val="000000"/>
            </w:rPr>
            <w:t>et al.</w:t>
          </w:r>
          <w:r w:rsidR="009D2FE3" w:rsidRPr="009D2FE3">
            <w:rPr>
              <w:rFonts w:eastAsia="Times New Roman"/>
              <w:color w:val="000000"/>
            </w:rPr>
            <w:t>, 2025)</w:t>
          </w:r>
        </w:sdtContent>
      </w:sdt>
      <w:r w:rsidR="00B239A2">
        <w:rPr>
          <w:rFonts w:eastAsiaTheme="minorEastAsia"/>
          <w:color w:val="000000"/>
        </w:rPr>
        <w:t>.</w:t>
      </w:r>
    </w:p>
    <w:p w14:paraId="3F78765C" w14:textId="77777777" w:rsidR="00CD0164" w:rsidRDefault="00CD0164" w:rsidP="00E40275">
      <w:pPr>
        <w:spacing w:line="360" w:lineRule="auto"/>
        <w:rPr>
          <w:rFonts w:eastAsiaTheme="minorEastAsia"/>
          <w:color w:val="000000"/>
        </w:rPr>
      </w:pP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77777777"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098A2A05" w14:textId="77777777" w:rsidR="00CD0164" w:rsidRPr="00CD0164" w:rsidRDefault="00CD0164" w:rsidP="00E40275">
      <w:pPr>
        <w:spacing w:line="360" w:lineRule="auto"/>
        <w:rPr>
          <w:rFonts w:eastAsiaTheme="minorEastAsia"/>
          <w:i/>
          <w:iCs/>
          <w:color w:val="000000"/>
        </w:rPr>
      </w:pPr>
    </w:p>
    <w:p w14:paraId="2A15046F" w14:textId="77777777" w:rsidR="00E25890" w:rsidRDefault="00E25890" w:rsidP="00E25890">
      <w:pPr>
        <w:spacing w:line="360" w:lineRule="auto"/>
        <w:rPr>
          <w:rFonts w:eastAsiaTheme="minorEastAsia"/>
          <w:iCs/>
          <w:color w:val="000000"/>
        </w:rPr>
      </w:pPr>
    </w:p>
    <w:p w14:paraId="65A0672C" w14:textId="77777777" w:rsidR="00FF2CF8" w:rsidRDefault="00FF2CF8" w:rsidP="00E40275">
      <w:pPr>
        <w:spacing w:line="360" w:lineRule="auto"/>
        <w:rPr>
          <w:rFonts w:eastAsiaTheme="minorEastAsia"/>
          <w:i/>
          <w:iCs/>
          <w:color w:val="000000"/>
        </w:rPr>
      </w:pPr>
    </w:p>
    <w:p w14:paraId="67DB2FD5" w14:textId="77777777" w:rsidR="00FF2CF8" w:rsidRDefault="00FF2CF8" w:rsidP="00E40275">
      <w:pPr>
        <w:spacing w:line="360" w:lineRule="auto"/>
        <w:rPr>
          <w:rFonts w:eastAsiaTheme="minorEastAsia"/>
          <w:i/>
          <w:iCs/>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0AC1BF3E"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9D2FE3" w:rsidRPr="009D2FE3">
            <w:rPr>
              <w:rFonts w:eastAsia="Times New Roman"/>
              <w:color w:val="000000"/>
            </w:rPr>
            <w:t>(</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at least partly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
          <w:id w:val="-2070491740"/>
          <w:placeholder>
            <w:docPart w:val="DefaultPlaceholder_-1854013440"/>
          </w:placeholder>
        </w:sdtPr>
        <w:sdtContent>
          <w:r w:rsidR="009D2FE3" w:rsidRPr="009D2FE3">
            <w:rPr>
              <w:rFonts w:eastAsia="Times New Roman"/>
              <w:color w:val="000000"/>
            </w:rPr>
            <w:t xml:space="preserve">(Waring et al., 2023; </w:t>
          </w:r>
          <w:proofErr w:type="spellStart"/>
          <w:r w:rsidR="009D2FE3" w:rsidRPr="009D2FE3">
            <w:rPr>
              <w:rFonts w:eastAsia="Times New Roman"/>
              <w:color w:val="000000"/>
            </w:rPr>
            <w:t>Cheaib</w:t>
          </w:r>
          <w:proofErr w:type="spellEnd"/>
          <w:r w:rsidR="009D2FE3" w:rsidRPr="009D2FE3">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proofErr w:type="gramStart"/>
      <w:r w:rsidR="00FF2CF8">
        <w:rPr>
          <w:rFonts w:eastAsiaTheme="minorEastAsia"/>
          <w:color w:val="000000"/>
        </w:rPr>
        <w:t>are not able to</w:t>
      </w:r>
      <w:proofErr w:type="gramEnd"/>
      <w:r w:rsidR="00FF2CF8">
        <w:rPr>
          <w:rFonts w:eastAsiaTheme="minorEastAsia"/>
          <w:color w:val="000000"/>
        </w:rPr>
        <w:t xml:space="preserve">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lastRenderedPageBreak/>
        <w:t>References</w:t>
      </w:r>
    </w:p>
    <w:sdt>
      <w:sdtPr>
        <w:rPr>
          <w:rFonts w:eastAsiaTheme="minorEastAsia"/>
          <w:color w:val="000000"/>
        </w:rPr>
        <w:tag w:val="MENDELEY_BIBLIOGRAPHY"/>
        <w:id w:val="30160033"/>
        <w:placeholder>
          <w:docPart w:val="DefaultPlaceholder_-1854013440"/>
        </w:placeholder>
      </w:sdtPr>
      <w:sdtContent>
        <w:p w14:paraId="4971F035" w14:textId="77777777" w:rsidR="00EB3394" w:rsidRDefault="00EB3394">
          <w:pPr>
            <w:divId w:val="1905681057"/>
            <w:rPr>
              <w:rFonts w:eastAsia="Times New Roman"/>
              <w:kern w:val="0"/>
              <w14:ligatures w14:val="none"/>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3190369" w14:textId="77777777" w:rsidR="00EB3394" w:rsidRDefault="00EB3394">
          <w:pPr>
            <w:divId w:val="1402606902"/>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61A4AB09" w14:textId="77777777" w:rsidR="00EB3394" w:rsidRDefault="00EB3394">
          <w:pPr>
            <w:divId w:val="1738700533"/>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05425496" w14:textId="77777777" w:rsidR="00EB3394" w:rsidRDefault="00EB3394">
          <w:pPr>
            <w:divId w:val="1328485923"/>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5CB3A993" w14:textId="77777777" w:rsidR="00EB3394" w:rsidRDefault="00EB3394">
          <w:pPr>
            <w:divId w:val="187029316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737D573F" w14:textId="77777777" w:rsidR="00EB3394" w:rsidRDefault="00EB3394">
          <w:pPr>
            <w:divId w:val="909774192"/>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2A890CD7" w14:textId="77777777" w:rsidR="00EB3394" w:rsidRDefault="00EB3394">
          <w:pPr>
            <w:divId w:val="776561242"/>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66BE5ECF" w14:textId="77777777" w:rsidR="00EB3394" w:rsidRDefault="00EB3394">
          <w:pPr>
            <w:divId w:val="1727099461"/>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304808B6" w14:textId="77777777" w:rsidR="00EB3394" w:rsidRDefault="00EB3394">
          <w:pPr>
            <w:divId w:val="1240948123"/>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 xml:space="preserve"> </w:t>
          </w:r>
          <w:r>
            <w:rPr>
              <w:rFonts w:eastAsia="Times New Roman"/>
              <w:b/>
              <w:bCs/>
            </w:rPr>
            <w:t>247</w:t>
          </w:r>
          <w:r>
            <w:rPr>
              <w:rFonts w:eastAsia="Times New Roman"/>
            </w:rPr>
            <w:t>: 1129–1144.</w:t>
          </w:r>
        </w:p>
        <w:p w14:paraId="5682FBF7" w14:textId="77777777" w:rsidR="00EB3394" w:rsidRDefault="00EB3394">
          <w:pPr>
            <w:divId w:val="581642428"/>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7A09285D" w14:textId="77777777" w:rsidR="00EB3394" w:rsidRDefault="00EB3394">
          <w:pPr>
            <w:divId w:val="999774307"/>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4C5E7EBB" w14:textId="77777777" w:rsidR="00EB3394" w:rsidRDefault="00EB3394">
          <w:pPr>
            <w:divId w:val="769668604"/>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6030AB04" w14:textId="77777777" w:rsidR="00EB3394" w:rsidRDefault="00EB3394">
          <w:pPr>
            <w:divId w:val="82386174"/>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461DA58C" w14:textId="77777777" w:rsidR="00EB3394" w:rsidRDefault="00EB3394">
          <w:pPr>
            <w:divId w:val="1170484505"/>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7A64D7AE" w14:textId="77777777" w:rsidR="00EB3394" w:rsidRDefault="00EB3394">
          <w:pPr>
            <w:divId w:val="1298268297"/>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09B316AA" w14:textId="77777777" w:rsidR="00EB3394" w:rsidRDefault="00EB3394">
          <w:pPr>
            <w:divId w:val="577247075"/>
            <w:rPr>
              <w:rFonts w:eastAsia="Times New Roman"/>
            </w:rPr>
          </w:pPr>
          <w:proofErr w:type="spellStart"/>
          <w:r>
            <w:rPr>
              <w:rFonts w:eastAsia="Times New Roman"/>
              <w:b/>
              <w:bCs/>
            </w:rPr>
            <w:lastRenderedPageBreak/>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3679332D" w14:textId="77777777" w:rsidR="00EB3394" w:rsidRDefault="00EB3394">
          <w:pPr>
            <w:divId w:val="2008046743"/>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2AD20C2" w14:textId="77777777" w:rsidR="00EB3394" w:rsidRDefault="00EB3394">
          <w:pPr>
            <w:divId w:val="571963240"/>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26CEA365" w14:textId="77777777" w:rsidR="00EB3394" w:rsidRDefault="00EB3394">
          <w:pPr>
            <w:divId w:val="1844317048"/>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605F2943" w14:textId="77777777" w:rsidR="00EB3394" w:rsidRDefault="00EB3394">
          <w:pPr>
            <w:divId w:val="1151214677"/>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3DBEEBCC" w14:textId="77777777" w:rsidR="00EB3394" w:rsidRDefault="00EB3394">
          <w:pPr>
            <w:divId w:val="961955942"/>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6068BFA2" w14:textId="77777777" w:rsidR="00EB3394" w:rsidRDefault="00EB3394">
          <w:pPr>
            <w:divId w:val="846015103"/>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2D8C917B" w14:textId="77777777" w:rsidR="00EB3394" w:rsidRDefault="00EB3394">
          <w:pPr>
            <w:divId w:val="536166534"/>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4B5D72E" w14:textId="77777777" w:rsidR="00EB3394" w:rsidRDefault="00EB3394">
          <w:pPr>
            <w:divId w:val="782844567"/>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4F0CBBBA" w14:textId="77777777" w:rsidR="00EB3394" w:rsidRDefault="00EB3394">
          <w:pPr>
            <w:divId w:val="1026097566"/>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368ABB5E" w14:textId="77777777" w:rsidR="00EB3394" w:rsidRDefault="00EB3394">
          <w:pPr>
            <w:divId w:val="1706828055"/>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0342D51A" w14:textId="77777777" w:rsidR="00EB3394" w:rsidRDefault="00EB3394">
          <w:pPr>
            <w:divId w:val="972061248"/>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35F5F2A7" w14:textId="77777777" w:rsidR="00EB3394" w:rsidRDefault="00EB3394">
          <w:pPr>
            <w:divId w:val="270208452"/>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376AD0F4" w14:textId="77777777" w:rsidR="00EB3394" w:rsidRDefault="00EB3394">
          <w:pPr>
            <w:divId w:val="1158379667"/>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17DEFAC8" w14:textId="77777777" w:rsidR="00EB3394" w:rsidRDefault="00EB3394">
          <w:pPr>
            <w:divId w:val="946809607"/>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604791D6" w14:textId="77777777" w:rsidR="00EB3394" w:rsidRDefault="00EB3394">
          <w:pPr>
            <w:divId w:val="1930386761"/>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34B2AE03" w14:textId="77777777" w:rsidR="00EB3394" w:rsidRDefault="00EB3394">
          <w:pPr>
            <w:divId w:val="1852910686"/>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5CA78D0" w14:textId="77777777" w:rsidR="00EB3394" w:rsidRDefault="00EB3394">
          <w:pPr>
            <w:divId w:val="2040933969"/>
            <w:rPr>
              <w:rFonts w:eastAsia="Times New Roman"/>
            </w:rPr>
          </w:pPr>
          <w:proofErr w:type="spellStart"/>
          <w:r>
            <w:rPr>
              <w:rFonts w:eastAsia="Times New Roman"/>
              <w:b/>
              <w:bCs/>
            </w:rPr>
            <w:lastRenderedPageBreak/>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0389A799" w14:textId="77777777" w:rsidR="00EB3394" w:rsidRDefault="00EB3394">
          <w:pPr>
            <w:divId w:val="1980918770"/>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52EF3880" w14:textId="77777777" w:rsidR="00EB3394" w:rsidRDefault="00EB3394">
          <w:pPr>
            <w:divId w:val="845435423"/>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3E576EE0" w14:textId="77777777" w:rsidR="00EB3394" w:rsidRDefault="00EB3394">
          <w:pPr>
            <w:divId w:val="1587304492"/>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3B456230" w14:textId="77777777" w:rsidR="00EB3394" w:rsidRDefault="00EB3394">
          <w:pPr>
            <w:divId w:val="90868801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6FD4AAF8" w14:textId="77777777" w:rsidR="00EB3394" w:rsidRDefault="00EB3394">
          <w:pPr>
            <w:divId w:val="1330017791"/>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CAFDCA3" w14:textId="77777777" w:rsidR="00EB3394" w:rsidRDefault="00EB3394">
          <w:pPr>
            <w:divId w:val="165710984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1B02C50" w14:textId="77777777" w:rsidR="00EB3394" w:rsidRDefault="00EB3394">
          <w:pPr>
            <w:divId w:val="603077707"/>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2EA0BD66" w:rsidR="00FF2CF8" w:rsidRPr="00FF2CF8" w:rsidRDefault="00EB3394" w:rsidP="00FF2CF8">
          <w:pPr>
            <w:spacing w:line="360" w:lineRule="auto"/>
            <w:rPr>
              <w:rFonts w:eastAsiaTheme="minorEastAsia"/>
              <w:color w:val="000000"/>
            </w:rPr>
          </w:pPr>
          <w:r>
            <w:rPr>
              <w:rFonts w:eastAsia="Times New Roman"/>
            </w:rPr>
            <w:t> </w:t>
          </w:r>
        </w:p>
      </w:sdtContent>
    </w:sdt>
    <w:sectPr w:rsidR="00FF2CF8" w:rsidRPr="00FF2CF8" w:rsidSect="007D53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D8F"/>
    <w:rsid w:val="001254A0"/>
    <w:rsid w:val="0013014D"/>
    <w:rsid w:val="00137E65"/>
    <w:rsid w:val="001403D8"/>
    <w:rsid w:val="001454A6"/>
    <w:rsid w:val="00154485"/>
    <w:rsid w:val="0018568F"/>
    <w:rsid w:val="00185722"/>
    <w:rsid w:val="001974EC"/>
    <w:rsid w:val="001A120B"/>
    <w:rsid w:val="001A2BB7"/>
    <w:rsid w:val="001A7439"/>
    <w:rsid w:val="001B7969"/>
    <w:rsid w:val="001C0600"/>
    <w:rsid w:val="001D48F8"/>
    <w:rsid w:val="001E28FA"/>
    <w:rsid w:val="001E5640"/>
    <w:rsid w:val="00231A89"/>
    <w:rsid w:val="002376EB"/>
    <w:rsid w:val="00237FD0"/>
    <w:rsid w:val="00252C93"/>
    <w:rsid w:val="00261826"/>
    <w:rsid w:val="00283C9B"/>
    <w:rsid w:val="002B616F"/>
    <w:rsid w:val="002B79B4"/>
    <w:rsid w:val="002C1017"/>
    <w:rsid w:val="002C284A"/>
    <w:rsid w:val="002C4EDA"/>
    <w:rsid w:val="002D4F88"/>
    <w:rsid w:val="002E090D"/>
    <w:rsid w:val="002E13DB"/>
    <w:rsid w:val="002F678A"/>
    <w:rsid w:val="002F7660"/>
    <w:rsid w:val="00313C71"/>
    <w:rsid w:val="0031404D"/>
    <w:rsid w:val="003141A6"/>
    <w:rsid w:val="003246BC"/>
    <w:rsid w:val="0032762A"/>
    <w:rsid w:val="00346E07"/>
    <w:rsid w:val="00397935"/>
    <w:rsid w:val="003B5B55"/>
    <w:rsid w:val="003B7A01"/>
    <w:rsid w:val="003D2AA0"/>
    <w:rsid w:val="003E1233"/>
    <w:rsid w:val="004030EB"/>
    <w:rsid w:val="004054AF"/>
    <w:rsid w:val="00434991"/>
    <w:rsid w:val="004434C7"/>
    <w:rsid w:val="004438F0"/>
    <w:rsid w:val="004602B4"/>
    <w:rsid w:val="00462D1B"/>
    <w:rsid w:val="00473E68"/>
    <w:rsid w:val="00480D1C"/>
    <w:rsid w:val="00484736"/>
    <w:rsid w:val="00491267"/>
    <w:rsid w:val="0049192D"/>
    <w:rsid w:val="004D7609"/>
    <w:rsid w:val="004F1E53"/>
    <w:rsid w:val="00502C42"/>
    <w:rsid w:val="005058E5"/>
    <w:rsid w:val="00527B1F"/>
    <w:rsid w:val="00535888"/>
    <w:rsid w:val="00537D87"/>
    <w:rsid w:val="005458CF"/>
    <w:rsid w:val="00563F87"/>
    <w:rsid w:val="005770EC"/>
    <w:rsid w:val="00597594"/>
    <w:rsid w:val="005A55D1"/>
    <w:rsid w:val="005C2622"/>
    <w:rsid w:val="005D58BB"/>
    <w:rsid w:val="005F0EA0"/>
    <w:rsid w:val="00610946"/>
    <w:rsid w:val="006413AF"/>
    <w:rsid w:val="006457B9"/>
    <w:rsid w:val="00665975"/>
    <w:rsid w:val="00681550"/>
    <w:rsid w:val="00682152"/>
    <w:rsid w:val="00686F79"/>
    <w:rsid w:val="00694024"/>
    <w:rsid w:val="006A716D"/>
    <w:rsid w:val="006C0AE3"/>
    <w:rsid w:val="006C5A1D"/>
    <w:rsid w:val="006D0DA9"/>
    <w:rsid w:val="006D174B"/>
    <w:rsid w:val="006F7D5D"/>
    <w:rsid w:val="0070011D"/>
    <w:rsid w:val="0070294C"/>
    <w:rsid w:val="0071242B"/>
    <w:rsid w:val="00714549"/>
    <w:rsid w:val="00715170"/>
    <w:rsid w:val="00724589"/>
    <w:rsid w:val="00733106"/>
    <w:rsid w:val="007337EB"/>
    <w:rsid w:val="00775AC8"/>
    <w:rsid w:val="00790F16"/>
    <w:rsid w:val="00797EBA"/>
    <w:rsid w:val="007C6A4B"/>
    <w:rsid w:val="007D53B8"/>
    <w:rsid w:val="007E48CB"/>
    <w:rsid w:val="007F07CA"/>
    <w:rsid w:val="007F48F8"/>
    <w:rsid w:val="007F5D73"/>
    <w:rsid w:val="008078CE"/>
    <w:rsid w:val="0084265B"/>
    <w:rsid w:val="00844BB7"/>
    <w:rsid w:val="0085249F"/>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A037C"/>
    <w:rsid w:val="009C1C6B"/>
    <w:rsid w:val="009C6D93"/>
    <w:rsid w:val="009D2FE3"/>
    <w:rsid w:val="009D36A5"/>
    <w:rsid w:val="009E05F7"/>
    <w:rsid w:val="00A111D9"/>
    <w:rsid w:val="00A1361C"/>
    <w:rsid w:val="00A210F6"/>
    <w:rsid w:val="00A301EF"/>
    <w:rsid w:val="00A33778"/>
    <w:rsid w:val="00A61D1B"/>
    <w:rsid w:val="00A7289A"/>
    <w:rsid w:val="00A761ED"/>
    <w:rsid w:val="00AB1DB5"/>
    <w:rsid w:val="00AC3AA1"/>
    <w:rsid w:val="00AC42EC"/>
    <w:rsid w:val="00AC59C3"/>
    <w:rsid w:val="00AF1C68"/>
    <w:rsid w:val="00B0109C"/>
    <w:rsid w:val="00B0359C"/>
    <w:rsid w:val="00B20DFC"/>
    <w:rsid w:val="00B239A2"/>
    <w:rsid w:val="00B30EF8"/>
    <w:rsid w:val="00B319DE"/>
    <w:rsid w:val="00B42C99"/>
    <w:rsid w:val="00B4652D"/>
    <w:rsid w:val="00B52D32"/>
    <w:rsid w:val="00B54F42"/>
    <w:rsid w:val="00B65649"/>
    <w:rsid w:val="00BA774C"/>
    <w:rsid w:val="00BE0AFB"/>
    <w:rsid w:val="00BE32BC"/>
    <w:rsid w:val="00BE737C"/>
    <w:rsid w:val="00BF0C85"/>
    <w:rsid w:val="00BF77D1"/>
    <w:rsid w:val="00C32B02"/>
    <w:rsid w:val="00C36B7D"/>
    <w:rsid w:val="00C57316"/>
    <w:rsid w:val="00C70738"/>
    <w:rsid w:val="00C7613A"/>
    <w:rsid w:val="00C82F26"/>
    <w:rsid w:val="00C97246"/>
    <w:rsid w:val="00CA251F"/>
    <w:rsid w:val="00CA745D"/>
    <w:rsid w:val="00CC1DF6"/>
    <w:rsid w:val="00CD0164"/>
    <w:rsid w:val="00CD028E"/>
    <w:rsid w:val="00CD0409"/>
    <w:rsid w:val="00CD1FBF"/>
    <w:rsid w:val="00CE713E"/>
    <w:rsid w:val="00CF0D8B"/>
    <w:rsid w:val="00CF6CB3"/>
    <w:rsid w:val="00D01AA1"/>
    <w:rsid w:val="00D062B6"/>
    <w:rsid w:val="00D2149F"/>
    <w:rsid w:val="00D60FCA"/>
    <w:rsid w:val="00D65527"/>
    <w:rsid w:val="00D71B45"/>
    <w:rsid w:val="00D74589"/>
    <w:rsid w:val="00D84F7F"/>
    <w:rsid w:val="00D91698"/>
    <w:rsid w:val="00D91C53"/>
    <w:rsid w:val="00D94EF2"/>
    <w:rsid w:val="00DA2867"/>
    <w:rsid w:val="00DB0B64"/>
    <w:rsid w:val="00DE57E8"/>
    <w:rsid w:val="00E01953"/>
    <w:rsid w:val="00E229FD"/>
    <w:rsid w:val="00E25890"/>
    <w:rsid w:val="00E270DD"/>
    <w:rsid w:val="00E40275"/>
    <w:rsid w:val="00E57628"/>
    <w:rsid w:val="00E600FB"/>
    <w:rsid w:val="00E60709"/>
    <w:rsid w:val="00E6410D"/>
    <w:rsid w:val="00E65796"/>
    <w:rsid w:val="00E7417C"/>
    <w:rsid w:val="00E75BBF"/>
    <w:rsid w:val="00E90195"/>
    <w:rsid w:val="00E93B46"/>
    <w:rsid w:val="00E95918"/>
    <w:rsid w:val="00E97E5B"/>
    <w:rsid w:val="00EB3394"/>
    <w:rsid w:val="00EB3573"/>
    <w:rsid w:val="00EB6456"/>
    <w:rsid w:val="00EC3E7C"/>
    <w:rsid w:val="00EC7BF7"/>
    <w:rsid w:val="00ED2189"/>
    <w:rsid w:val="00EE3E92"/>
    <w:rsid w:val="00F14A32"/>
    <w:rsid w:val="00F16D0F"/>
    <w:rsid w:val="00F22968"/>
    <w:rsid w:val="00F22E4F"/>
    <w:rsid w:val="00F33D1C"/>
    <w:rsid w:val="00F35A69"/>
    <w:rsid w:val="00F54DAC"/>
    <w:rsid w:val="00F579B6"/>
    <w:rsid w:val="00F622C4"/>
    <w:rsid w:val="00F7416C"/>
    <w:rsid w:val="00F76B76"/>
    <w:rsid w:val="00F960FF"/>
    <w:rsid w:val="00FA176E"/>
    <w:rsid w:val="00FA6302"/>
    <w:rsid w:val="00FC4729"/>
    <w:rsid w:val="00FC5637"/>
    <w:rsid w:val="00FD117B"/>
    <w:rsid w:val="00FE0006"/>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514276">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635937">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3313536">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927019">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764950">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perkowski@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B1D"/>
    <w:rsid w:val="00091F5B"/>
    <w:rsid w:val="000C0DBC"/>
    <w:rsid w:val="000E262B"/>
    <w:rsid w:val="001023D0"/>
    <w:rsid w:val="00106EDA"/>
    <w:rsid w:val="00136C62"/>
    <w:rsid w:val="00161D5F"/>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A6E"/>
    <w:rsid w:val="00543E20"/>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D179D"/>
    <w:rsid w:val="007E1954"/>
    <w:rsid w:val="007E48CB"/>
    <w:rsid w:val="007E6A34"/>
    <w:rsid w:val="0080463F"/>
    <w:rsid w:val="008078CE"/>
    <w:rsid w:val="008276D9"/>
    <w:rsid w:val="00855235"/>
    <w:rsid w:val="008B1650"/>
    <w:rsid w:val="009B798D"/>
    <w:rsid w:val="00A210F6"/>
    <w:rsid w:val="00A2663E"/>
    <w:rsid w:val="00A75270"/>
    <w:rsid w:val="00B03657"/>
    <w:rsid w:val="00B233FE"/>
    <w:rsid w:val="00BB743E"/>
    <w:rsid w:val="00BE16E4"/>
    <w:rsid w:val="00BF77D1"/>
    <w:rsid w:val="00C07FA9"/>
    <w:rsid w:val="00C7496E"/>
    <w:rsid w:val="00CA251F"/>
    <w:rsid w:val="00CC66EE"/>
    <w:rsid w:val="00D23DB9"/>
    <w:rsid w:val="00D81D61"/>
    <w:rsid w:val="00D91DD8"/>
    <w:rsid w:val="00E5678A"/>
    <w:rsid w:val="00E57628"/>
    <w:rsid w:val="00E61BB6"/>
    <w:rsid w:val="00EA1865"/>
    <w:rsid w:val="00ED1C51"/>
    <w:rsid w:val="00F3035A"/>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9F0"/>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container-title-short&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Wieder &lt;i&gt;et al.&lt;/i&gt;, 2015; Braghiere &lt;i&gt;et al.&lt;/i&gt;, 2022)&quot;,&quot;manualOverrideText&quot;:&quot;&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quot;},{&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isTemporary&quot;:false}],&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n0sImlzVGVtcG9yYXJ5IjpmYWxzZX1dfQ==&quot;},{&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95e04ab0-2cd2-4452-ab42-147fc2df9bc9&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OTVlMDRhYjAtMmNkMi00NDUyLWFiNDItMTQ3ZmMyZGY5YmM5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79392ded-83ef-48af-9556-958ef3593807&quot;,&quot;properties&quot;:{&quot;noteIndex&quot;:0},&quot;isEdited&quot;:false,&quot;manualOverride&quot;:{&quot;isManuallyOverridden&quot;:false,&quot;citeprocText&quot;:&quot;(Field &amp;#38; Mooney, 1986; Evans, 1989)&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V19&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3b508fa8-ab79-4609-a899-17f7b59e2823&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M2I1MDhmYTgtYWI3OS00NjA5LWE4OTktMTdmN2I1OWUyODIz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c833f313-2c52-4828-b15c-7d0194aa80eb&quot;,&quot;properties&quot;:{&quot;noteIndex&quot;:0},&quot;isEdited&quot;:false,&quot;manualOverride&quot;:{&quot;isManuallyOverridden&quot;:false,&quot;citeprocText&quot;:&quot;(Waring &lt;i&gt;et al.&lt;/i&gt;, 2023; Cheaib &lt;i&gt;et al.&lt;/i&gt;, 2025b; Perkowski &lt;i&gt;et al.&lt;/i&gt;, 2025)&quot;,&quot;manualOverrideText&quot;:&quot;&quot;},&quot;citationTag&quot;:&quot;MENDELEY_CITATION_v3_eyJjaXRhdGlvbklEIjoiTUVOREVMRVlfQ0lUQVRJT05fYzgzM2YzMTMtMmM1Mi00ODI4LWIxNWMtN2QwMTk0YWE4MGViIiwicHJvcGVydGllcyI6eyJub3RlSW5kZXgiOjB9LCJpc0VkaXRlZCI6ZmFsc2UsIm1hbnVhbE92ZXJyaWRlIjp7ImlzTWFudWFsbHlPdmVycmlkZGVuIjpmYWxzZSwiY2l0ZXByb2NUZXh0IjoiKFdhcmluZyA8aT5ldCBhbC48L2k+LCAyMDIzOyBDaGVhaWIgPGk+ZXQgYWwuPC9pPiwgMjAyNWI7IFBlcmtvd3NraSA8aT5ldCBhbC48L2k+LCAyMDI1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6689e6a-824e-40c6-94b3-325a8a2d8401&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container-title-short&quot;:&quot;Glob Chang Biol&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9b96be59-929c-492b-9ed4-e1208296e406&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e06dcde8-7a98-436e-ae74-ea44e1a44efd&quot;,&quot;properties&quot;:{&quot;noteIndex&quot;:0},&quot;isEdited&quot;:false,&quot;manualOverride&quot;:{&quot;isManuallyOverridden&quot;:false,&quot;citeprocText&quot;:&quot;(Yue &lt;i&gt;et al.&lt;/i&gt;, 2017)&quot;,&quot;manualOverrideText&quot;:&quot;&quot;},&quot;citationTag&quot;:&quot;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container-title-short&quot;:&quot;J Stat Softw&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bec9af26-59a7-479c-8aa2-7b6044c8d528&quot;,&quot;properties&quot;:{&quot;noteIndex&quot;:0},&quot;isEdited&quot;:false,&quot;manualOverride&quot;:{&quot;isManuallyOverridden&quot;:false,&quot;citeprocText&quot;:&quot;(Waring &lt;i&gt;et al.&lt;/i&gt;, 2023)&quot;,&quot;manualOverrideText&quot;:&quot;&quot;},&quot;citationTag&quot;:&quot;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310ff9e-56dd-4722-acc1-f8a0a993f3b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citationID&quot;:&quot;MENDELEY_CITATION_15f8c15c-914c-405f-a3c0-0f1525f61c9e&quot;,&quot;properties&quot;:{&quot;noteIndex&quot;:0},&quot;isEdited&quot;:false,&quot;manualOverride&quot;:{&quot;isManuallyOverridden&quot;:false,&quot;citeprocText&quot;:&quot;(Dong &lt;i&gt;et al.&lt;/i&gt;, 2025)&quot;,&quot;manualOverrideText&quot;:&quot;&quot;},&quot;citationTag&quot;:&quot;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quot;,&quot;citationItems&quot;:[{&quot;id&quot;:&quot;b1dd5a96-d0fa-3b7d-b346-c53b035d71e2&quot;,&quot;itemData&quot;:{&quot;type&quot;:&quot;article-journal&quot;,&quot;id&quot;:&quot;b1dd5a96-d0fa-3b7d-b346-c53b035d71e2&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0028-646X&quot;,&quot;issued&quot;:{&quot;date-parts&quot;:[[2025,8,19]]},&quot;page&quot;:&quot;1129-1144&quot;,&quot;abstract&quot;:&quot;&lt;p&gt; &lt;list list-type=\&quot;bullet\&quot;&gt; &lt;list-item&gt; &lt;p&g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lt;/p&gt; &lt;/list-item&gt; &lt;list-item&gt; &lt;p&gt; We explored relationships between five leaf P fractions (orthophosphate P, P &lt;sub&gt;i&lt;/sub&gt; ; lipid P, P &lt;sub&gt;L&lt;/sub&gt; ; nucleic acid P, P &lt;sub&gt;N&lt;/sub&gt; ; metabolite P, P &lt;sub&gt;M&lt;/sub&gt; ; and residual P, P &lt;sub&gt;R&lt;/sub&gt; ) and 11 leaf economic traits of 58 woody species from three biomes in China, including temperate, subtropical and tropical forests. Then, we developed trait‐based models and spectral models for leaf P fractions and compared their predictive abilities. &lt;/p&gt; &lt;/list-item&gt; &lt;list-item&gt; &lt;p&gt; We found that plants exhibiting conservative strategies increased the proportions of P &lt;sub&gt;N&lt;/sub&gt; and P &lt;sub&gt;M&lt;/sub&gt; , but decreased the proportions of P &lt;sub&gt;i&lt;/sub&gt; and P &lt;sub&gt;L&lt;/sub&gt; , thus enhancing photosynthetic P‐use efficiency, especially under P limitation. Spectral models outperformed trait‐based models in predicting cross‐site leaf P fractions, regardless of concentrations ( &lt;italic&gt;R&lt;/italic&gt; &lt;sup&gt;2&lt;/sup&gt;  = 0.50–0.88 vs 0.34–0.74) or proportions ( &lt;italic&gt;R&lt;/italic&gt; &lt;sup&gt;2&lt;/sup&gt;  = 0.43–0.70 vs 0.06–0.45). &lt;/p&gt; &lt;/list-item&gt; &lt;list-item&gt; &lt;p&gt;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lt;/p&gt; &lt;/list-item&gt; &lt;/list&gt; &lt;/p&gt;&quot;,&quot;issue&quot;:&quot;3&quot;,&quot;volume&quot;:&quot;247&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1c7b7d19-498b-455d-a17a-83f810f8fa18&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25</Pages>
  <Words>7583</Words>
  <Characters>43224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68</cp:revision>
  <cp:lastPrinted>2025-07-31T18:42:00Z</cp:lastPrinted>
  <dcterms:created xsi:type="dcterms:W3CDTF">2025-01-24T16:59:00Z</dcterms:created>
  <dcterms:modified xsi:type="dcterms:W3CDTF">2025-09-04T22:20:00Z</dcterms:modified>
</cp:coreProperties>
</file>