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68F7C0B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1BA424E8" w14:textId="74CCCF08" w:rsidR="009E05F7" w:rsidRDefault="0088602C" w:rsidP="001403D8">
      <w:pPr>
        <w:spacing w:line="360" w:lineRule="auto"/>
      </w:pPr>
      <w:r>
        <w:t>The availability of nutrients such as nitrogen</w:t>
      </w:r>
      <w:r w:rsidR="006D0DA9">
        <w:t xml:space="preserve"> (N)</w:t>
      </w:r>
      <w:r>
        <w:t xml:space="preserve"> and phosphorus </w:t>
      </w:r>
      <w:r w:rsidR="006D0DA9">
        <w:t xml:space="preserve">(P) </w:t>
      </w:r>
      <w:r>
        <w:t>play</w:t>
      </w:r>
      <w:r w:rsidR="009E05F7">
        <w:t>s</w:t>
      </w:r>
      <w:r>
        <w:t xml:space="preserve"> an important role in shaping plant ecophysiological responses to global change. </w:t>
      </w:r>
      <w:r w:rsidR="00E97E5B">
        <w:t xml:space="preserve">While </w:t>
      </w:r>
      <w:r w:rsidR="00237FD0">
        <w:t>N</w:t>
      </w:r>
      <w:r w:rsidR="00E97E5B">
        <w:t xml:space="preserve"> availability has been </w:t>
      </w:r>
      <w:r w:rsidR="00E65796">
        <w:t>asserted</w:t>
      </w:r>
      <w:r w:rsidR="00E97E5B">
        <w:t xml:space="preserve"> as a key driver of plant responses to global change, the role of phosphorus – both individually and in combination with nitrogen – remains less understood</w:t>
      </w:r>
      <w:r w:rsidR="009E05F7">
        <w:t xml:space="preserve"> due to a lack of </w:t>
      </w:r>
      <w:r w:rsidR="00E01953">
        <w:t>data syntheses that precludes the development of a mechanistic framework. To address this knowledge gap, we compiled leaf and whole-plant trait data</w:t>
      </w:r>
      <w:r w:rsidR="00E01953" w:rsidDel="00600496">
        <w:t xml:space="preserve"> </w:t>
      </w:r>
      <w:r w:rsidR="00E01953">
        <w:t xml:space="preserve">from full-factorial </w:t>
      </w:r>
      <w:r w:rsidR="00237FD0">
        <w:t>N</w:t>
      </w:r>
      <w:r w:rsidR="00E01953">
        <w:t xml:space="preserve"> and </w:t>
      </w:r>
      <w:r w:rsidR="00237FD0">
        <w:t>P</w:t>
      </w:r>
      <w:r w:rsidR="00E01953">
        <w:t xml:space="preserve">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w:t>
      </w:r>
      <w:r w:rsidR="00237FD0">
        <w:t>N</w:t>
      </w:r>
      <w:r w:rsidR="00E65796">
        <w:t xml:space="preserve"> and</w:t>
      </w:r>
      <w:r w:rsidR="00E01953">
        <w:t xml:space="preserve"> </w:t>
      </w:r>
      <w:r w:rsidR="00237FD0">
        <w:t>P</w:t>
      </w:r>
      <w:r w:rsidR="00F22968">
        <w:t xml:space="preserve"> addition</w:t>
      </w:r>
      <w:r w:rsidR="00E01953">
        <w:t xml:space="preserve"> on leaf nutrient content,</w:t>
      </w:r>
      <w:r w:rsidR="00F22968">
        <w:t xml:space="preserve"> leaf photosynthetic traits,</w:t>
      </w:r>
      <w:r w:rsidR="00E01953">
        <w:t xml:space="preserve"> plant biomass accumulation, and biomass partitioning. </w:t>
      </w:r>
      <w:r w:rsidR="008D13D3">
        <w:t>N</w:t>
      </w:r>
      <w:r w:rsidR="00F7416C">
        <w:t>utrient addition played no role in shaping leaf-level photosynthetic parameters</w:t>
      </w:r>
      <w:r w:rsidR="008D13D3">
        <w:t xml:space="preserve">. </w:t>
      </w:r>
      <w:r w:rsidR="00F7416C">
        <w:t xml:space="preserve">These patterns were observed despite </w:t>
      </w:r>
      <w:r w:rsidR="00237FD0">
        <w:t>N</w:t>
      </w:r>
      <w:r w:rsidR="00F7416C">
        <w:t xml:space="preserve"> addition increasing leaf </w:t>
      </w:r>
      <w:r w:rsidR="00237FD0">
        <w:t>N</w:t>
      </w:r>
      <w:r w:rsidR="00F7416C">
        <w:t xml:space="preserve"> content, </w:t>
      </w:r>
      <w:r w:rsidR="00237FD0">
        <w:t>P</w:t>
      </w:r>
      <w:r w:rsidR="00F7416C">
        <w:t xml:space="preserve"> addition increasing leaf </w:t>
      </w:r>
      <w:r w:rsidR="00237FD0">
        <w:t>P</w:t>
      </w:r>
      <w:r w:rsidR="00F7416C">
        <w:t xml:space="preserve"> content, and both nutrient additions increasing aboveground biomass </w:t>
      </w:r>
      <w:r w:rsidR="008D13D3">
        <w:t>and</w:t>
      </w:r>
      <w:r w:rsidR="00F7416C">
        <w:t xml:space="preserve"> decreasing the root mass fraction. The combined effects of </w:t>
      </w:r>
      <w:r w:rsidR="00237FD0">
        <w:t>N</w:t>
      </w:r>
      <w:r w:rsidR="00F7416C">
        <w:t xml:space="preserve"> and </w:t>
      </w:r>
      <w:r w:rsidR="00237FD0">
        <w:t>P</w:t>
      </w:r>
      <w:r w:rsidR="00F7416C">
        <w:t xml:space="preserve"> addition on leaf and whole-plant traits were </w:t>
      </w:r>
      <w:r w:rsidR="00237FD0">
        <w:t>largely</w:t>
      </w:r>
      <w:r w:rsidR="00F7416C">
        <w:t xml:space="preserve"> driven by additive interactions, indicating that</w:t>
      </w:r>
      <w:r w:rsidR="001403D8">
        <w:t xml:space="preserve"> these effects</w:t>
      </w:r>
      <w:r w:rsidR="00F7416C">
        <w:t xml:space="preserve"> were the result of independent effects of each nutrient addition. </w:t>
      </w:r>
      <w:r w:rsidR="009E05F7">
        <w:t>Regions with greater demand for soil resources (e.g., colder and drier regions) exhibited stronger leaf N content responses to N addition as well as stronger leaf P content responses to P addition, providing some support for climate-related demand for soil resources controlling leaf nutrient responses to nutrient addition. These findings provide important information needed to understand carbon-nitrogen-phosphorus cycle dynamics and provides a foundation for better representing  carbon-nitrogen-phosphorus interactions in land surface models.</w:t>
      </w:r>
    </w:p>
    <w:p w14:paraId="37B500F2" w14:textId="77777777" w:rsidR="008D13D3" w:rsidRDefault="008D13D3" w:rsidP="006D0DA9">
      <w:pPr>
        <w:spacing w:line="360" w:lineRule="auto"/>
        <w:rPr>
          <w:b/>
          <w:bCs/>
        </w:rPr>
      </w:pPr>
    </w:p>
    <w:p w14:paraId="20953304" w14:textId="77777777" w:rsidR="008D13D3" w:rsidRDefault="008D13D3" w:rsidP="006D0DA9">
      <w:pPr>
        <w:spacing w:line="360" w:lineRule="auto"/>
        <w:rPr>
          <w:b/>
          <w:bCs/>
        </w:rPr>
      </w:pPr>
    </w:p>
    <w:p w14:paraId="0D4EA1B6" w14:textId="35F20421" w:rsidR="001254A0" w:rsidRDefault="001254A0" w:rsidP="006D0DA9">
      <w:pPr>
        <w:spacing w:line="360" w:lineRule="auto"/>
        <w:rPr>
          <w:b/>
          <w:bCs/>
        </w:rPr>
      </w:pPr>
      <w:r>
        <w:rPr>
          <w:b/>
          <w:bCs/>
        </w:rPr>
        <w:t>Introduction</w:t>
      </w:r>
    </w:p>
    <w:p w14:paraId="031FB8C0" w14:textId="04ADC5C3" w:rsidR="00237FD0" w:rsidRDefault="00237FD0" w:rsidP="006D0DA9">
      <w:pPr>
        <w:spacing w:line="360" w:lineRule="auto"/>
      </w:pPr>
      <w:r>
        <w:t>Biogeochemical cycles regulate terrestrial ecosystems.</w:t>
      </w:r>
    </w:p>
    <w:p w14:paraId="4962DE28" w14:textId="77777777" w:rsidR="00237FD0" w:rsidRDefault="00237FD0" w:rsidP="006D0DA9">
      <w:pPr>
        <w:spacing w:line="360" w:lineRule="auto"/>
      </w:pPr>
    </w:p>
    <w:p w14:paraId="34854402" w14:textId="72FF5B6A"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lastRenderedPageBreak/>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1E5758B"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59BDB66" w14:textId="77777777" w:rsidR="00237FD0" w:rsidRDefault="006C5A1D" w:rsidP="00F960FF">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F76B76" w:rsidRPr="00F76B76">
            <w:rPr>
              <w:rFonts w:eastAsia="Times New Roman"/>
              <w:color w:val="000000"/>
            </w:rPr>
            <w:t xml:space="preserve">(Van </w:t>
          </w:r>
          <w:proofErr w:type="spellStart"/>
          <w:r w:rsidR="00F76B76" w:rsidRPr="00F76B76">
            <w:rPr>
              <w:rFonts w:eastAsia="Times New Roman"/>
              <w:color w:val="000000"/>
            </w:rPr>
            <w:t>Sundert</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F76B76" w:rsidRPr="00F76B76">
            <w:rPr>
              <w:rFonts w:eastAsia="Times New Roman"/>
              <w:color w:val="000000"/>
            </w:rPr>
            <w:t xml:space="preserve">(Augustine </w:t>
          </w:r>
          <w:r w:rsidR="00F76B76" w:rsidRPr="00F76B76">
            <w:rPr>
              <w:rFonts w:eastAsia="Times New Roman"/>
              <w:i/>
              <w:iCs/>
              <w:color w:val="000000"/>
            </w:rPr>
            <w:t>et al.</w:t>
          </w:r>
          <w:r w:rsidR="00F76B76" w:rsidRPr="00F76B7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F76B76" w:rsidRPr="00F76B76">
            <w:rPr>
              <w:rFonts w:eastAsia="Times New Roman"/>
              <w:color w:val="000000"/>
            </w:rPr>
            <w:t xml:space="preserve">(Borer </w:t>
          </w:r>
          <w:r w:rsidR="00F76B76" w:rsidRPr="00F76B76">
            <w:rPr>
              <w:rFonts w:eastAsia="Times New Roman"/>
              <w:i/>
              <w:iCs/>
              <w:color w:val="000000"/>
            </w:rPr>
            <w:t>et al.</w:t>
          </w:r>
          <w:r w:rsidR="00F76B76" w:rsidRPr="00F76B7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F76B76" w:rsidRPr="00F76B76">
            <w:rPr>
              <w:color w:val="000000"/>
            </w:rPr>
            <w:t>Firn</w:t>
          </w:r>
          <w:proofErr w:type="spellEnd"/>
          <w:r w:rsidR="00F76B76" w:rsidRPr="00F76B76">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F76B76" w:rsidRPr="00F76B7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F76B76" w:rsidRPr="00F76B76">
            <w:rPr>
              <w:color w:val="000000"/>
            </w:rPr>
            <w:t>Hersch-Green et al. (2024)</w:t>
          </w:r>
        </w:sdtContent>
      </w:sdt>
      <w:r w:rsidR="006413AF">
        <w:rPr>
          <w:color w:val="000000"/>
        </w:rPr>
        <w:t>.</w:t>
      </w:r>
      <w:r w:rsidR="005770EC">
        <w:rPr>
          <w:color w:val="000000"/>
        </w:rPr>
        <w:t xml:space="preserve"> </w:t>
      </w:r>
    </w:p>
    <w:p w14:paraId="322EE576" w14:textId="72358505" w:rsidR="00F960FF" w:rsidRDefault="004438F0" w:rsidP="00237FD0">
      <w:pPr>
        <w:spacing w:line="360" w:lineRule="auto"/>
        <w:ind w:firstLine="720"/>
        <w:rPr>
          <w:color w:val="000000"/>
        </w:rPr>
      </w:pPr>
      <w:r>
        <w:rPr>
          <w:color w:val="000000"/>
        </w:rPr>
        <w:t xml:space="preserve">To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w:t>
      </w:r>
      <w:r w:rsidR="00237FD0">
        <w:rPr>
          <w:color w:val="000000"/>
        </w:rPr>
        <w:t>N</w:t>
      </w:r>
      <w:r w:rsidR="00974E0A">
        <w:rPr>
          <w:color w:val="000000"/>
        </w:rPr>
        <w:t xml:space="preserve"> </w:t>
      </w:r>
      <w:r w:rsidR="00714549">
        <w:rPr>
          <w:color w:val="000000"/>
        </w:rPr>
        <w:lastRenderedPageBreak/>
        <w:t>standing stock</w:t>
      </w:r>
      <w:r w:rsidR="00974E0A">
        <w:rPr>
          <w:color w:val="000000"/>
        </w:rPr>
        <w:t xml:space="preserve">, aboveground </w:t>
      </w:r>
      <w:r w:rsidR="00237FD0">
        <w:rPr>
          <w:color w:val="000000"/>
        </w:rPr>
        <w:t>P</w:t>
      </w:r>
      <w:r w:rsidR="00974E0A">
        <w:rPr>
          <w:color w:val="000000"/>
        </w:rPr>
        <w:t xml:space="preserve">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F76B76" w:rsidRPr="00F76B76">
            <w:rPr>
              <w:rFonts w:eastAsia="Times New Roman"/>
              <w:color w:val="000000"/>
            </w:rPr>
            <w:t xml:space="preserve">(Liang </w:t>
          </w:r>
          <w:r w:rsidR="00F76B76" w:rsidRPr="00F76B76">
            <w:rPr>
              <w:rFonts w:eastAsia="Times New Roman"/>
              <w:i/>
              <w:iCs/>
              <w:color w:val="000000"/>
            </w:rPr>
            <w:t>et al.</w:t>
          </w:r>
          <w:r w:rsidR="00F76B76" w:rsidRPr="00F76B7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7CC4FCCD" w:rsidR="003246BC" w:rsidRDefault="00237FD0" w:rsidP="003246BC">
      <w:pPr>
        <w:spacing w:line="360" w:lineRule="auto"/>
        <w:rPr>
          <w:color w:val="000000"/>
        </w:rPr>
      </w:pPr>
      <w:r>
        <w:rPr>
          <w:color w:val="000000"/>
        </w:rPr>
        <w:t xml:space="preserve">One mean value </w:t>
      </w:r>
      <w:r>
        <w:rPr>
          <w:color w:val="000000"/>
        </w:rPr>
        <w:sym w:font="Symbol" w:char="F0B1"/>
      </w:r>
      <w:r>
        <w:rPr>
          <w:color w:val="000000"/>
        </w:rPr>
        <w:t xml:space="preserve"> standard deviation per trait per species per nutrient fertilization treatment per experimental site was considered one observation for experiments that reported results at the species level. Observations for different species from the same study </w:t>
      </w:r>
      <w:r w:rsidR="00D2149F">
        <w:rPr>
          <w:color w:val="000000"/>
        </w:rPr>
        <w:t>were</w:t>
      </w:r>
      <w:r>
        <w:rPr>
          <w:color w:val="000000"/>
        </w:rPr>
        <w:t xml:space="preserve"> </w:t>
      </w:r>
      <w:r w:rsidR="00D2149F">
        <w:rPr>
          <w:color w:val="000000"/>
        </w:rPr>
        <w:t xml:space="preserve">considered </w:t>
      </w:r>
      <w:r>
        <w:rPr>
          <w:color w:val="000000"/>
        </w:rPr>
        <w:t xml:space="preserve">independent, allowing us to determine </w:t>
      </w:r>
      <w:r w:rsidR="003246BC">
        <w:rPr>
          <w:color w:val="000000"/>
        </w:rPr>
        <w:t xml:space="preserve">the effects of species identity traits (e.g., mycorrhizal type, photosynthetic pathway, growth form) </w:t>
      </w:r>
      <w:r>
        <w:rPr>
          <w:color w:val="000000"/>
        </w:rPr>
        <w:t>in modifying</w:t>
      </w:r>
      <w:r w:rsidR="003246BC">
        <w:rPr>
          <w:color w:val="000000"/>
        </w:rPr>
        <w:t xml:space="preserve"> plant responses to nutrient treatments. For experiments that reported results at the treatment level, one mean value </w:t>
      </w:r>
      <w:r w:rsidR="003246BC">
        <w:rPr>
          <w:color w:val="000000"/>
        </w:rPr>
        <w:sym w:font="Symbol" w:char="F0B1"/>
      </w:r>
      <w:r w:rsidR="003246BC">
        <w:rPr>
          <w:color w:val="000000"/>
        </w:rPr>
        <w:t xml:space="preserve"> standard deviation per trait per nutrient fertilization treatment per experimental site was considered one observation.</w:t>
      </w:r>
    </w:p>
    <w:p w14:paraId="4CA143FE" w14:textId="564F9368" w:rsidR="0032762A" w:rsidRDefault="00E90195" w:rsidP="00D2149F">
      <w:pPr>
        <w:spacing w:line="360" w:lineRule="auto"/>
        <w:ind w:firstLine="720"/>
        <w:rPr>
          <w:color w:val="000000"/>
        </w:rPr>
      </w:pPr>
      <w:r>
        <w:rPr>
          <w:color w:val="000000"/>
        </w:rPr>
        <w:t xml:space="preserve">Observations were integrated into a compiled dataset through multiple pathways. First, summary statistics (mean, standard deviation, replication scheme) were calculated directly from published datasets from studies that adopted open data practices. </w:t>
      </w:r>
      <w:r w:rsidR="00D2149F">
        <w:rPr>
          <w:color w:val="000000"/>
        </w:rPr>
        <w:t xml:space="preserve">Where possible, summary statistics were </w:t>
      </w:r>
      <w:r>
        <w:rPr>
          <w:color w:val="000000"/>
        </w:rPr>
        <w:t xml:space="preserve">extracted from tables included in the main text or supplemental information if studies did not explicitly </w:t>
      </w:r>
      <w:r w:rsidR="00237FD0">
        <w:rPr>
          <w:color w:val="000000"/>
        </w:rPr>
        <w:t>publish their</w:t>
      </w:r>
      <w:r>
        <w:rPr>
          <w:color w:val="000000"/>
        </w:rPr>
        <w:t xml:space="preserve"> data.</w:t>
      </w:r>
      <w:r w:rsidRPr="00E90195">
        <w:rPr>
          <w:color w:val="000000"/>
        </w:rPr>
        <w:t xml:space="preserve"> </w:t>
      </w:r>
      <w:r>
        <w:rPr>
          <w:color w:val="000000"/>
        </w:rPr>
        <w:t>If studies did not include their data or provide summary statistics in tables, we digitized plots using information about treatment and sample replication information. Plots were digitized in R (version 4.4.2) using the ‘</w:t>
      </w:r>
      <w:proofErr w:type="spellStart"/>
      <w:r>
        <w:rPr>
          <w:color w:val="000000"/>
        </w:rPr>
        <w:t>metadigitise</w:t>
      </w:r>
      <w:proofErr w:type="spellEnd"/>
      <w:r>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F76B76" w:rsidRPr="00F76B76">
            <w:rPr>
              <w:rFonts w:eastAsia="Times New Roman"/>
              <w:color w:val="000000"/>
            </w:rPr>
            <w:t xml:space="preserve">(Pick </w:t>
          </w:r>
          <w:r w:rsidR="00F76B76" w:rsidRPr="00F76B76">
            <w:rPr>
              <w:rFonts w:eastAsia="Times New Roman"/>
              <w:i/>
              <w:iCs/>
              <w:color w:val="000000"/>
            </w:rPr>
            <w:t>et al.</w:t>
          </w:r>
          <w:r w:rsidR="00F76B76" w:rsidRPr="00F76B76">
            <w:rPr>
              <w:rFonts w:eastAsia="Times New Roman"/>
              <w:color w:val="000000"/>
            </w:rPr>
            <w:t>, 2019)</w:t>
          </w:r>
        </w:sdtContent>
      </w:sdt>
      <w:r>
        <w:rPr>
          <w:color w:val="000000"/>
        </w:rPr>
        <w:t xml:space="preserve">. Studies that did not include clear descriptions about the replication scheme were not included in the dataset. Overall, this data extraction </w:t>
      </w:r>
      <w:r w:rsidR="00237FD0">
        <w:rPr>
          <w:color w:val="000000"/>
        </w:rPr>
        <w:t>approach</w:t>
      </w:r>
      <w:r>
        <w:rPr>
          <w:color w:val="000000"/>
        </w:rPr>
        <w:t xml:space="preserve"> rendered 4680 observations (1560 observations each for N, P, and N+P treatments)</w:t>
      </w:r>
      <w:r w:rsidR="00E75BBF">
        <w:rPr>
          <w:color w:val="000000"/>
        </w:rPr>
        <w:t xml:space="preserve"> from 85 studies. Of these studies, </w:t>
      </w:r>
      <w:r w:rsidR="0032762A">
        <w:rPr>
          <w:color w:val="000000"/>
        </w:rPr>
        <w:t xml:space="preserve">78 were field manipulation experiments, 6 were greenhouse manipulation experiments, and 1 was a growth chamber experiment. Of the field manipulation experiments, 166 </w:t>
      </w:r>
      <w:r w:rsidR="0032762A">
        <w:rPr>
          <w:color w:val="000000"/>
        </w:rPr>
        <w:lastRenderedPageBreak/>
        <w:t>independent sites were represented, spanning a broad global gradient and diverse array of biome types (Table S1; Fig. 1</w:t>
      </w:r>
      <w:r w:rsidR="00FC5637">
        <w:rPr>
          <w:color w:val="000000"/>
        </w:rPr>
        <w:t>; 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54B60192" w14:textId="1D6CC0EF" w:rsidR="003B7A01" w:rsidRDefault="00714549" w:rsidP="006413AF">
      <w:pPr>
        <w:spacing w:line="360" w:lineRule="auto"/>
        <w:rPr>
          <w:color w:val="000000"/>
        </w:rPr>
      </w:pPr>
      <w:r w:rsidRPr="00714549">
        <w:rPr>
          <w:color w:val="000000"/>
        </w:rPr>
        <w:t>All</w:t>
      </w:r>
      <w:r>
        <w:rPr>
          <w:color w:val="000000"/>
        </w:rPr>
        <w:t xml:space="preserve"> field experiments reported site latitude and longitude coordinates. Using these coordinates, we extracted </w:t>
      </w:r>
      <w:r w:rsidR="0085249F">
        <w:rPr>
          <w:color w:val="000000"/>
        </w:rPr>
        <w:t>site mean monthly temperature, precipitation, and solar radiation spanning 1970</w:t>
      </w:r>
      <w:r>
        <w:rPr>
          <w:color w:val="000000"/>
        </w:rPr>
        <w:t xml:space="preserve">-2000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F76B76" w:rsidRPr="00F76B76">
            <w:rPr>
              <w:rFonts w:eastAsia="Times New Roman"/>
              <w:color w:val="000000"/>
            </w:rPr>
            <w:t xml:space="preserve">(Harris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t>
      </w:r>
      <w:proofErr w:type="spellStart"/>
      <w:r>
        <w:rPr>
          <w:color w:val="000000"/>
        </w:rPr>
        <w:t>WorldClim</w:t>
      </w:r>
      <w:proofErr w:type="spellEnd"/>
      <w:r>
        <w:rPr>
          <w:color w:val="000000"/>
        </w:rPr>
        <w:t xml:space="preserve">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F76B76" w:rsidRPr="00F76B76">
            <w:rPr>
              <w:rFonts w:eastAsia="Times New Roman"/>
              <w:color w:val="000000"/>
            </w:rPr>
            <w:t xml:space="preserve">(Fick &amp; </w:t>
          </w:r>
          <w:proofErr w:type="spellStart"/>
          <w:r w:rsidR="00F76B76" w:rsidRPr="00F76B76">
            <w:rPr>
              <w:rFonts w:eastAsia="Times New Roman"/>
              <w:color w:val="000000"/>
            </w:rPr>
            <w:t>Hijmans</w:t>
          </w:r>
          <w:proofErr w:type="spellEnd"/>
          <w:r w:rsidR="00F76B76" w:rsidRPr="00F76B76">
            <w:rPr>
              <w:rFonts w:eastAsia="Times New Roman"/>
              <w:color w:val="000000"/>
            </w:rPr>
            <w:t>, 2017)</w:t>
          </w:r>
        </w:sdtContent>
      </w:sdt>
      <w:r>
        <w:rPr>
          <w:color w:val="000000"/>
        </w:rPr>
        <w:t>.</w:t>
      </w:r>
      <w:r w:rsidR="00F76B76">
        <w:rPr>
          <w:color w:val="000000"/>
        </w:rPr>
        <w:t xml:space="preserve"> </w:t>
      </w:r>
      <w:r w:rsidR="003B7A01">
        <w:rPr>
          <w:color w:val="000000"/>
        </w:rPr>
        <w:t xml:space="preserve">We also extracted site aridity using a complementary gridded data product (Global-AI_PET_v3) using the same time period (1970-2000) and spatial resolution (30 arc-seconds)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823314872"/>
          <w:placeholder>
            <w:docPart w:val="4F326B816535EA47B53CE56EBEDDE2A1"/>
          </w:placeholder>
        </w:sdtPr>
        <w:sdtContent>
          <w:r w:rsidR="003B7A01" w:rsidRPr="00F76B76">
            <w:rPr>
              <w:rFonts w:eastAsia="Times New Roman"/>
              <w:color w:val="000000"/>
            </w:rPr>
            <w:t xml:space="preserve">(Zomer </w:t>
          </w:r>
          <w:r w:rsidR="003B7A01" w:rsidRPr="00F76B76">
            <w:rPr>
              <w:rFonts w:eastAsia="Times New Roman"/>
              <w:i/>
              <w:iCs/>
              <w:color w:val="000000"/>
            </w:rPr>
            <w:t>et al.</w:t>
          </w:r>
          <w:r w:rsidR="003B7A01" w:rsidRPr="00F76B76">
            <w:rPr>
              <w:rFonts w:eastAsia="Times New Roman"/>
              <w:color w:val="000000"/>
            </w:rPr>
            <w:t>, 2022)</w:t>
          </w:r>
        </w:sdtContent>
      </w:sdt>
      <w:r w:rsidR="003B7A01">
        <w:rPr>
          <w:color w:val="000000"/>
        </w:rPr>
        <w:t xml:space="preserve">. This product uses </w:t>
      </w:r>
      <w:proofErr w:type="spellStart"/>
      <w:r w:rsidR="003B7A01">
        <w:rPr>
          <w:color w:val="000000"/>
        </w:rPr>
        <w:t>WorldClim</w:t>
      </w:r>
      <w:proofErr w:type="spellEnd"/>
      <w:r w:rsidR="003B7A01">
        <w:rPr>
          <w:color w:val="000000"/>
        </w:rPr>
        <w:t xml:space="preserve"> 2.1 to calculate monthly aridity as a function of mean monthly precipitation per unit mean monthly potential evapotranspiration, estimating potential evapotranspiration using the Penman-Monteith approach.</w:t>
      </w:r>
    </w:p>
    <w:p w14:paraId="45144744" w14:textId="01956761" w:rsidR="003B7A01" w:rsidRDefault="00714549" w:rsidP="003B7A01">
      <w:pPr>
        <w:spacing w:line="360" w:lineRule="auto"/>
        <w:ind w:firstLine="720"/>
        <w:rPr>
          <w:color w:val="000000"/>
        </w:rPr>
      </w:pPr>
      <w:r>
        <w:rPr>
          <w:color w:val="000000"/>
        </w:rPr>
        <w:t>Mean monthly tempera</w:t>
      </w:r>
      <w:r w:rsidRPr="00714549">
        <w:rPr>
          <w:color w:val="000000"/>
        </w:rPr>
        <w:t>ture (</w:t>
      </w:r>
      <w:r w:rsidRPr="00714549">
        <w:rPr>
          <w:color w:val="000000"/>
        </w:rPr>
        <w:sym w:font="Symbol" w:char="F0B0"/>
      </w:r>
      <w:r w:rsidRPr="00714549">
        <w:rPr>
          <w:color w:val="000000"/>
        </w:rPr>
        <w:t>C), mean monthly precipitation (mm),</w:t>
      </w:r>
      <w:r>
        <w:rPr>
          <w:color w:val="000000"/>
        </w:rPr>
        <w:t xml:space="preserve"> </w:t>
      </w:r>
      <w:r w:rsidR="00BE32BC">
        <w:rPr>
          <w:color w:val="000000"/>
        </w:rPr>
        <w:t>mean daily solar radiation</w:t>
      </w:r>
      <w:r w:rsidR="003B7A01">
        <w:rPr>
          <w:color w:val="000000"/>
        </w:rPr>
        <w:t xml:space="preserve"> (kJ m</w:t>
      </w:r>
      <w:r w:rsidR="003B7A01">
        <w:rPr>
          <w:color w:val="000000"/>
          <w:vertAlign w:val="superscript"/>
        </w:rPr>
        <w:t>-2</w:t>
      </w:r>
      <w:r w:rsidR="003B7A01">
        <w:rPr>
          <w:color w:val="000000"/>
        </w:rPr>
        <w:t xml:space="preserve"> day</w:t>
      </w:r>
      <w:r w:rsidR="003B7A01">
        <w:rPr>
          <w:color w:val="000000"/>
          <w:vertAlign w:val="superscript"/>
        </w:rPr>
        <w:t>-1</w:t>
      </w:r>
      <w:r w:rsidR="003B7A01">
        <w:rPr>
          <w:color w:val="000000"/>
        </w:rPr>
        <w:t xml:space="preserve">), and mean monthly aridity (unitless) </w:t>
      </w:r>
      <w:r w:rsidR="00BE32BC">
        <w:rPr>
          <w:color w:val="000000"/>
        </w:rPr>
        <w:t xml:space="preserve">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F76B76" w:rsidRPr="00F76B76">
            <w:rPr>
              <w:color w:val="000000"/>
            </w:rPr>
            <w:t>(</w:t>
          </w:r>
          <w:proofErr w:type="spellStart"/>
          <w:r w:rsidR="00F76B76" w:rsidRPr="00F76B76">
            <w:rPr>
              <w:color w:val="000000"/>
            </w:rPr>
            <w:t>Hijmans</w:t>
          </w:r>
          <w:proofErr w:type="spellEnd"/>
          <w:r w:rsidR="00F76B76" w:rsidRPr="00F76B76">
            <w:rPr>
              <w:color w:val="000000"/>
            </w:rPr>
            <w:t>,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r w:rsidR="003B7A01">
        <w:rPr>
          <w:color w:val="000000"/>
        </w:rPr>
        <w:t xml:space="preserve"> Site mean growing season temperature (</w:t>
      </w:r>
      <w:proofErr w:type="spellStart"/>
      <w:r w:rsidR="003B7A01">
        <w:rPr>
          <w:i/>
          <w:iCs/>
          <w:color w:val="000000"/>
        </w:rPr>
        <w:t>T</w:t>
      </w:r>
      <w:r w:rsidR="003B7A01">
        <w:rPr>
          <w:color w:val="000000"/>
          <w:vertAlign w:val="subscript"/>
        </w:rPr>
        <w:t>g</w:t>
      </w:r>
      <w:proofErr w:type="spellEnd"/>
      <w:r w:rsidR="003B7A01">
        <w:rPr>
          <w:color w:val="000000"/>
        </w:rPr>
        <w:t xml:space="preserve">; </w:t>
      </w:r>
      <w:r w:rsidR="003B7A01">
        <w:rPr>
          <w:color w:val="000000"/>
        </w:rPr>
        <w:sym w:font="Symbol" w:char="F0B0"/>
      </w:r>
      <w:r w:rsidR="003B7A01">
        <w:rPr>
          <w:color w:val="000000"/>
        </w:rPr>
        <w:t>C), growing season precipitation (</w:t>
      </w:r>
      <w:r w:rsidR="003B7A01">
        <w:rPr>
          <w:i/>
          <w:iCs/>
          <w:color w:val="000000"/>
        </w:rPr>
        <w:t>P</w:t>
      </w:r>
      <w:r w:rsidR="003B7A01">
        <w:rPr>
          <w:iCs/>
          <w:color w:val="000000"/>
          <w:vertAlign w:val="subscript"/>
        </w:rPr>
        <w:t>g</w:t>
      </w:r>
      <w:r w:rsidR="003B7A01">
        <w:rPr>
          <w:color w:val="000000"/>
        </w:rPr>
        <w:t>), growing season PAR (</w:t>
      </w:r>
      <w:proofErr w:type="spellStart"/>
      <w:r w:rsidR="003B7A01">
        <w:rPr>
          <w:color w:val="000000"/>
        </w:rPr>
        <w:t>PAR</w:t>
      </w:r>
      <w:r w:rsidR="003B7A01">
        <w:rPr>
          <w:color w:val="000000"/>
          <w:vertAlign w:val="subscript"/>
        </w:rPr>
        <w:t>g</w:t>
      </w:r>
      <w:proofErr w:type="spellEnd"/>
      <w:r w:rsidR="003B7A01">
        <w:rPr>
          <w:iCs/>
          <w:color w:val="000000"/>
        </w:rPr>
        <w:t xml:space="preserve">; </w:t>
      </w:r>
      <w:r w:rsidR="003B7A01" w:rsidRPr="00BE32BC">
        <w:rPr>
          <w:color w:val="000000"/>
          <w:lang w:val="el-GR"/>
        </w:rPr>
        <w:t>μ</w:t>
      </w:r>
      <w:r w:rsidR="003B7A01" w:rsidRPr="00BE32BC">
        <w:rPr>
          <w:color w:val="000000"/>
        </w:rPr>
        <w:t>mol m</w:t>
      </w:r>
      <w:r w:rsidR="003B7A01" w:rsidRPr="00BE32BC">
        <w:rPr>
          <w:color w:val="000000"/>
          <w:vertAlign w:val="superscript"/>
        </w:rPr>
        <w:t>-2</w:t>
      </w:r>
      <w:r w:rsidR="003B7A01" w:rsidRPr="00BE32BC">
        <w:rPr>
          <w:color w:val="000000"/>
        </w:rPr>
        <w:t xml:space="preserve"> s</w:t>
      </w:r>
      <w:r w:rsidR="003B7A01" w:rsidRPr="00BE32BC">
        <w:rPr>
          <w:color w:val="000000"/>
          <w:vertAlign w:val="superscript"/>
        </w:rPr>
        <w:t>-1</w:t>
      </w:r>
      <w:r w:rsidR="003B7A01">
        <w:rPr>
          <w:color w:val="000000"/>
        </w:rPr>
        <w:t>), and growing season aridity (</w:t>
      </w:r>
      <w:proofErr w:type="spellStart"/>
      <w:r w:rsidR="003B7A01">
        <w:rPr>
          <w:i/>
          <w:iCs/>
          <w:color w:val="000000"/>
        </w:rPr>
        <w:t>AI</w:t>
      </w:r>
      <w:r w:rsidR="003B7A01">
        <w:rPr>
          <w:color w:val="000000"/>
          <w:vertAlign w:val="subscript"/>
        </w:rPr>
        <w:t>g</w:t>
      </w:r>
      <w:proofErr w:type="spellEnd"/>
      <w:r w:rsidR="003B7A01">
        <w:rPr>
          <w:color w:val="000000"/>
        </w:rPr>
        <w:t>; unitless) were estimated using the months where mean temperature was above 0</w:t>
      </w:r>
      <w:r w:rsidR="003B7A01">
        <w:rPr>
          <w:color w:val="000000"/>
        </w:rPr>
        <w:sym w:font="Symbol" w:char="F0B0"/>
      </w:r>
      <w:r w:rsidR="003B7A01">
        <w:rPr>
          <w:color w:val="000000"/>
        </w:rPr>
        <w:t xml:space="preserve">C. All growing season climate data are reported in Table </w:t>
      </w:r>
      <w:r w:rsidR="003B7A01" w:rsidRPr="003B7A01">
        <w:rPr>
          <w:color w:val="000000"/>
          <w:highlight w:val="yellow"/>
        </w:rPr>
        <w:t>X</w:t>
      </w:r>
      <w:r w:rsidR="003B7A01">
        <w:rPr>
          <w:color w:val="000000"/>
        </w:rPr>
        <w:t>.</w:t>
      </w:r>
    </w:p>
    <w:p w14:paraId="4C3A21DC" w14:textId="7A11267E" w:rsidR="00252C93" w:rsidRPr="00252C93" w:rsidRDefault="00252C93" w:rsidP="00F76B76">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 xml:space="preserve">-fixer or non-fixer), and mycorrhizal type (AM, </w:t>
      </w:r>
      <w:proofErr w:type="spellStart"/>
      <w:r>
        <w:rPr>
          <w:color w:val="000000"/>
        </w:rPr>
        <w:t>EcM</w:t>
      </w:r>
      <w:proofErr w:type="spellEnd"/>
      <w:r>
        <w:rPr>
          <w:color w:val="000000"/>
        </w:rPr>
        <w:t>, dual AM-</w:t>
      </w:r>
      <w:proofErr w:type="spellStart"/>
      <w:r>
        <w:rPr>
          <w:color w:val="000000"/>
        </w:rPr>
        <w:t>EcM</w:t>
      </w:r>
      <w:proofErr w:type="spellEnd"/>
      <w:r>
        <w:rPr>
          <w:color w:val="000000"/>
        </w:rPr>
        <w:t xml:space="preserve">, facultative AM, </w:t>
      </w:r>
      <w:proofErr w:type="spellStart"/>
      <w:r>
        <w:rPr>
          <w:color w:val="000000"/>
        </w:rPr>
        <w:t>ErM</w:t>
      </w:r>
      <w:proofErr w:type="spellEnd"/>
      <w:r>
        <w:rPr>
          <w:color w:val="000000"/>
        </w:rPr>
        <w:t>, and non-mycorrhizal).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 Mycorrhizal type was assigned from the </w:t>
      </w:r>
      <w:proofErr w:type="spellStart"/>
      <w:r>
        <w:rPr>
          <w:color w:val="000000"/>
        </w:rPr>
        <w:t>FungalRoot</w:t>
      </w:r>
      <w:proofErr w:type="spellEnd"/>
      <w:r>
        <w:rPr>
          <w:color w:val="000000"/>
        </w:rPr>
        <w:t xml:space="preserve">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Soudzilovskaia</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524B681E"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w:t>
      </w:r>
      <w:r>
        <w:rPr>
          <w:color w:val="000000"/>
        </w:rPr>
        <w:lastRenderedPageBreak/>
        <w:t>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771A7ABD"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proofErr w:type="spellEnd"/>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proofErr w:type="spellEnd"/>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proofErr w:type="spellEnd"/>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proofErr w:type="spellEnd"/>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proofErr w:type="spellStart"/>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3DDBCDE9"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F76B76" w:rsidRPr="00F76B76">
            <w:rPr>
              <w:rFonts w:eastAsiaTheme="minorEastAsia"/>
              <w:color w:val="000000"/>
            </w:rPr>
            <w:t>(</w:t>
          </w:r>
          <w:proofErr w:type="spellStart"/>
          <w:r w:rsidR="00F76B76" w:rsidRPr="00F76B76">
            <w:rPr>
              <w:rFonts w:eastAsiaTheme="minorEastAsia"/>
              <w:color w:val="000000"/>
            </w:rPr>
            <w:t>Viechtbauer</w:t>
          </w:r>
          <w:proofErr w:type="spellEnd"/>
          <w:r w:rsidR="00F76B76" w:rsidRPr="00F76B76">
            <w:rPr>
              <w:rFonts w:eastAsiaTheme="minorEastAsia"/>
              <w:color w:val="000000"/>
            </w:rPr>
            <w:t>, 2010)</w:t>
          </w:r>
        </w:sdtContent>
      </w:sdt>
      <w:r w:rsidR="00F35A69">
        <w:rPr>
          <w:rFonts w:eastAsiaTheme="minorEastAsia"/>
          <w:color w:val="000000"/>
        </w:rPr>
        <w:t xml:space="preserve">, manually specifying the weights of each </w:t>
      </w:r>
      <w:r w:rsidR="00F35A69">
        <w:rPr>
          <w:rFonts w:eastAsiaTheme="minorEastAsia"/>
          <w:color w:val="000000"/>
        </w:rPr>
        <w:lastRenderedPageBreak/>
        <w:t>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0AEEF532" w14:textId="0CC10BB9"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F76B76" w:rsidRPr="00F76B76">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AC3AA1" w:rsidRPr="005F0EA0">
        <w:rPr>
          <w:rFonts w:eastAsiaTheme="minorEastAsia"/>
          <w:i/>
          <w:iCs/>
          <w:color w:val="000000"/>
        </w:rPr>
        <w:t>nutrient content</w:t>
      </w:r>
    </w:p>
    <w:p w14:paraId="69721A96" w14:textId="77777777" w:rsidR="005458CF" w:rsidRDefault="005458CF" w:rsidP="00E01953">
      <w:pPr>
        <w:spacing w:line="360" w:lineRule="auto"/>
        <w:rPr>
          <w:rFonts w:eastAsiaTheme="minorEastAsia"/>
          <w:color w:val="000000"/>
        </w:rPr>
      </w:pPr>
    </w:p>
    <w:p w14:paraId="24DBC948" w14:textId="77777777" w:rsidR="005458CF" w:rsidRDefault="005458CF" w:rsidP="00E01953">
      <w:pPr>
        <w:spacing w:line="360" w:lineRule="auto"/>
        <w:rPr>
          <w:rFonts w:eastAsiaTheme="minorEastAsia"/>
          <w:color w:val="000000"/>
        </w:rPr>
      </w:pPr>
    </w:p>
    <w:p w14:paraId="1FD7317A" w14:textId="77777777" w:rsidR="005458CF" w:rsidRDefault="005458CF" w:rsidP="00E01953">
      <w:pPr>
        <w:spacing w:line="360" w:lineRule="auto"/>
        <w:rPr>
          <w:rFonts w:eastAsiaTheme="minorEastAsia"/>
          <w:color w:val="000000"/>
        </w:rPr>
      </w:pPr>
    </w:p>
    <w:p w14:paraId="38CEEB2D" w14:textId="1EC5A853" w:rsidR="00D062B6" w:rsidRDefault="00D062B6" w:rsidP="00E01953">
      <w:pPr>
        <w:spacing w:line="360" w:lineRule="auto"/>
        <w:rPr>
          <w:rFonts w:eastAsiaTheme="minorEastAsia"/>
          <w:iCs/>
          <w:color w:val="000000"/>
        </w:rPr>
      </w:pPr>
      <w:r w:rsidRPr="005F0EA0">
        <w:rPr>
          <w:rFonts w:eastAsiaTheme="minorEastAsia"/>
          <w:color w:val="000000"/>
        </w:rPr>
        <w:t xml:space="preserve">Nitrogen addition significantly decreased </w:t>
      </w:r>
      <w:r w:rsidRPr="005F0EA0">
        <w:rPr>
          <w:rFonts w:eastAsiaTheme="minorEastAsia"/>
          <w:i/>
          <w:iCs/>
          <w:color w:val="000000"/>
        </w:rPr>
        <w:t>M</w:t>
      </w:r>
      <w:r w:rsidRPr="005F0EA0">
        <w:rPr>
          <w:rFonts w:eastAsiaTheme="minorEastAsia"/>
          <w:color w:val="000000"/>
          <w:vertAlign w:val="subscript"/>
        </w:rPr>
        <w:t>area</w:t>
      </w:r>
      <w:r w:rsidRPr="005F0EA0">
        <w:rPr>
          <w:rFonts w:eastAsiaTheme="minorEastAsia"/>
          <w:color w:val="000000"/>
        </w:rPr>
        <w:t xml:space="preserve"> </w:t>
      </w:r>
      <w:r w:rsidR="00491267" w:rsidRPr="005F0EA0">
        <w:rPr>
          <w:rFonts w:eastAsiaTheme="minorEastAsia"/>
          <w:color w:val="000000"/>
        </w:rPr>
        <w:t xml:space="preserve">and </w:t>
      </w:r>
      <w:proofErr w:type="spellStart"/>
      <w:r w:rsidR="00491267" w:rsidRPr="005F0EA0">
        <w:rPr>
          <w:rFonts w:eastAsiaTheme="minorEastAsia"/>
          <w:i/>
          <w:iCs/>
          <w:color w:val="000000"/>
        </w:rPr>
        <w:t>P</w:t>
      </w:r>
      <w:r w:rsidR="00491267" w:rsidRPr="005F0EA0">
        <w:rPr>
          <w:rFonts w:eastAsiaTheme="minorEastAsia"/>
          <w:color w:val="000000"/>
          <w:vertAlign w:val="subscript"/>
        </w:rPr>
        <w:t>mass</w:t>
      </w:r>
      <w:proofErr w:type="spellEnd"/>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r w:rsidR="00491267" w:rsidRPr="005F0EA0">
        <w:rPr>
          <w:rFonts w:eastAsiaTheme="minorEastAsia"/>
          <w:i/>
          <w:iCs/>
          <w:color w:val="000000"/>
        </w:rPr>
        <w:t>N</w:t>
      </w:r>
      <w:r w:rsidR="00491267" w:rsidRPr="005F0EA0">
        <w:rPr>
          <w:rFonts w:eastAsiaTheme="minorEastAsia"/>
          <w:iCs/>
          <w:color w:val="000000"/>
          <w:vertAlign w:val="subscript"/>
        </w:rPr>
        <w:t>mass</w:t>
      </w:r>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 (</w:t>
      </w:r>
      <w:r w:rsidR="00491267" w:rsidRPr="005F0EA0">
        <w:rPr>
          <w:rFonts w:eastAsiaTheme="minorEastAsia"/>
          <w:color w:val="000000"/>
          <w:highlight w:val="yellow"/>
        </w:rPr>
        <w:t>Table X; Fig. X</w:t>
      </w:r>
      <w:r w:rsidR="00491267" w:rsidRPr="005F0EA0">
        <w:rPr>
          <w:rFonts w:eastAsiaTheme="minorEastAsia"/>
          <w:color w:val="000000"/>
        </w:rPr>
        <w:t>)</w:t>
      </w:r>
      <w:r w:rsidR="00A7289A" w:rsidRPr="005F0EA0">
        <w:rPr>
          <w:rFonts w:eastAsiaTheme="minorEastAsia"/>
          <w:color w:val="000000"/>
        </w:rPr>
        <w:t xml:space="preserve"> and did not influence </w:t>
      </w:r>
      <w:proofErr w:type="spellStart"/>
      <w:r w:rsidR="00B4652D" w:rsidRPr="005F0EA0">
        <w:rPr>
          <w:rFonts w:eastAsiaTheme="minorEastAsia"/>
          <w:i/>
          <w:iCs/>
          <w:color w:val="000000"/>
        </w:rPr>
        <w:t>P</w:t>
      </w:r>
      <w:r w:rsidR="00B4652D" w:rsidRPr="005F0EA0">
        <w:rPr>
          <w:rFonts w:eastAsiaTheme="minorEastAsia"/>
          <w:color w:val="000000"/>
          <w:vertAlign w:val="subscript"/>
        </w:rPr>
        <w:t>area</w:t>
      </w:r>
      <w:proofErr w:type="spellEnd"/>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Table X; Fig. X</w:t>
      </w:r>
      <w:r w:rsidR="00A7289A" w:rsidRPr="005F0EA0">
        <w:rPr>
          <w:rFonts w:eastAsiaTheme="minorEastAsia"/>
          <w:iCs/>
          <w:color w:val="000000"/>
        </w:rPr>
        <w:t xml:space="preserve">). </w:t>
      </w:r>
      <w:r w:rsidR="00B4652D" w:rsidRPr="005F0EA0">
        <w:rPr>
          <w:rFonts w:eastAsiaTheme="minorEastAsia"/>
          <w:iCs/>
          <w:color w:val="000000"/>
        </w:rPr>
        <w:t>Phosphorus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proofErr w:type="spellStart"/>
      <w:r w:rsidR="00A7289A" w:rsidRPr="005F0EA0">
        <w:rPr>
          <w:rFonts w:eastAsiaTheme="minorEastAsia"/>
          <w:i/>
          <w:color w:val="000000"/>
        </w:rPr>
        <w:t>P</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and </w:t>
      </w:r>
      <w:proofErr w:type="spellStart"/>
      <w:r w:rsidR="00A7289A" w:rsidRPr="005F0EA0">
        <w:rPr>
          <w:rFonts w:eastAsiaTheme="minorEastAsia"/>
          <w:i/>
          <w:color w:val="000000"/>
        </w:rPr>
        <w:t>P</w:t>
      </w:r>
      <w:r w:rsidR="00A7289A" w:rsidRPr="005F0EA0">
        <w:rPr>
          <w:rFonts w:eastAsiaTheme="minorEastAsia"/>
          <w:iCs/>
          <w:color w:val="000000"/>
          <w:vertAlign w:val="subscript"/>
        </w:rPr>
        <w:t>area</w:t>
      </w:r>
      <w:proofErr w:type="spellEnd"/>
      <w:r w:rsidR="00A7289A" w:rsidRPr="005F0EA0">
        <w:rPr>
          <w:rFonts w:eastAsiaTheme="minorEastAsia"/>
          <w:iCs/>
          <w:color w:val="000000"/>
        </w:rPr>
        <w:t xml:space="preserve"> and decreased leaf N:P (</w:t>
      </w:r>
      <w:r w:rsidR="00A7289A" w:rsidRPr="005F0EA0">
        <w:rPr>
          <w:rFonts w:eastAsiaTheme="minorEastAsia"/>
          <w:color w:val="000000"/>
          <w:highlight w:val="yellow"/>
        </w:rPr>
        <w:t>Table X; Fig. X</w:t>
      </w:r>
      <w:r w:rsidR="00A7289A" w:rsidRPr="005F0EA0">
        <w:rPr>
          <w:rFonts w:eastAsiaTheme="minorEastAsia"/>
          <w:color w:val="000000"/>
        </w:rPr>
        <w:t xml:space="preserve">). </w:t>
      </w:r>
      <w:r w:rsidR="005F0EA0" w:rsidRPr="005F0EA0">
        <w:rPr>
          <w:rFonts w:eastAsiaTheme="minorEastAsia"/>
          <w:color w:val="000000"/>
        </w:rPr>
        <w:t>The positive effect of phosphorus addition on leaf P content was associated with an increase</w:t>
      </w:r>
      <w:r w:rsidR="005F0EA0">
        <w:rPr>
          <w:rFonts w:eastAsiaTheme="minorEastAsia"/>
          <w:color w:val="000000"/>
        </w:rPr>
        <w:t xml:space="preserve"> the foliar inorganic and metabolic phosphorus pools, with no change in the nucleic acid or structural phosphorus pools</w:t>
      </w:r>
      <w:r w:rsidR="005F0EA0" w:rsidRPr="005F0EA0">
        <w:rPr>
          <w:rFonts w:eastAsiaTheme="minorEastAsia"/>
          <w:color w:val="000000"/>
        </w:rPr>
        <w:t xml:space="preserve"> (</w:t>
      </w:r>
      <w:r w:rsidR="005F0EA0" w:rsidRPr="005F0EA0">
        <w:rPr>
          <w:rFonts w:eastAsiaTheme="minorEastAsia"/>
          <w:color w:val="000000"/>
          <w:highlight w:val="yellow"/>
        </w:rPr>
        <w:t>Table X; Fig. X</w:t>
      </w:r>
      <w:r w:rsidR="005F0EA0" w:rsidRPr="005F0EA0">
        <w:rPr>
          <w:rFonts w:eastAsiaTheme="minorEastAsia"/>
          <w:color w:val="000000"/>
        </w:rPr>
        <w:t>).</w:t>
      </w:r>
      <w:r w:rsidR="005F0EA0">
        <w:rPr>
          <w:rFonts w:eastAsiaTheme="minorEastAsia"/>
          <w:color w:val="000000"/>
        </w:rPr>
        <w:t xml:space="preserve"> </w:t>
      </w:r>
      <w:r w:rsidR="00A7289A" w:rsidRPr="005F0EA0">
        <w:rPr>
          <w:rFonts w:eastAsiaTheme="minorEastAsia"/>
          <w:color w:val="000000"/>
        </w:rPr>
        <w:t xml:space="preserve">The addition of nitrogen and phosphorus together yielded a </w:t>
      </w:r>
      <w:r w:rsidR="00A7289A" w:rsidRPr="005F0EA0">
        <w:rPr>
          <w:rFonts w:eastAsiaTheme="minorEastAsia"/>
          <w:color w:val="000000"/>
        </w:rPr>
        <w:lastRenderedPageBreak/>
        <w:t xml:space="preserve">decrease in </w:t>
      </w:r>
      <w:r w:rsidR="00A7289A" w:rsidRPr="005F0EA0">
        <w:rPr>
          <w:rFonts w:eastAsiaTheme="minorEastAsia"/>
          <w:i/>
          <w:iCs/>
          <w:color w:val="000000"/>
        </w:rPr>
        <w:t>M</w:t>
      </w:r>
      <w:r w:rsidR="00A7289A" w:rsidRPr="005F0EA0">
        <w:rPr>
          <w:rFonts w:eastAsiaTheme="minorEastAsia"/>
          <w:color w:val="000000"/>
          <w:vertAlign w:val="subscript"/>
        </w:rPr>
        <w:t>area</w:t>
      </w:r>
      <w:r w:rsidR="00A7289A" w:rsidRPr="005F0EA0">
        <w:rPr>
          <w:rFonts w:eastAsiaTheme="minorEastAsia"/>
          <w:color w:val="000000"/>
        </w:rPr>
        <w:t xml:space="preserve"> and leaf N:P and an increase in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w:t>
      </w:r>
      <w:r w:rsidR="00A7289A" w:rsidRPr="005F0EA0">
        <w:rPr>
          <w:rFonts w:eastAsiaTheme="minorEastAsia"/>
          <w:color w:val="000000"/>
        </w:rPr>
        <w:t xml:space="preserve">. Interaction effect sizes indicated that the combined effect of N and P addition resulted in additive interactions when both were added together for </w:t>
      </w:r>
      <w:r w:rsidR="00A7289A" w:rsidRPr="005F0EA0">
        <w:rPr>
          <w:rFonts w:eastAsiaTheme="minorEastAsia"/>
          <w:i/>
          <w:iCs/>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and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 (</w:t>
      </w:r>
      <w:r w:rsidR="005F0EA0" w:rsidRPr="005F0EA0">
        <w:rPr>
          <w:rFonts w:eastAsiaTheme="minorEastAsia"/>
          <w:color w:val="000000"/>
          <w:highlight w:val="yellow"/>
        </w:rPr>
        <w:t>Table X; Fig. X</w:t>
      </w:r>
      <w:r w:rsidR="005F0EA0">
        <w:rPr>
          <w:rFonts w:eastAsiaTheme="minorEastAsia"/>
          <w:color w:val="000000"/>
        </w:rPr>
        <w:t>)</w:t>
      </w:r>
      <w:r w:rsidR="00A7289A" w:rsidRPr="005F0EA0">
        <w:rPr>
          <w:rFonts w:eastAsiaTheme="minorEastAsia"/>
          <w:iCs/>
          <w:color w:val="000000"/>
        </w:rPr>
        <w:t>. However, leaf N:P exhibited a synergistic interaction</w:t>
      </w:r>
      <w:r w:rsidR="005F0EA0" w:rsidRPr="005F0EA0">
        <w:rPr>
          <w:rFonts w:eastAsiaTheme="minorEastAsia"/>
          <w:iCs/>
          <w:color w:val="000000"/>
        </w:rPr>
        <w:t>, indicating a stronger negative effect of N and P addition in combination than would be predicted through the sum of the individual effects of N and P addition</w:t>
      </w:r>
      <w:r w:rsidR="005F0EA0">
        <w:rPr>
          <w:rFonts w:eastAsiaTheme="minorEastAsia"/>
          <w:iCs/>
          <w:color w:val="000000"/>
        </w:rPr>
        <w:t xml:space="preserve"> (</w:t>
      </w:r>
      <w:r w:rsidR="005F0EA0" w:rsidRPr="005F0EA0">
        <w:rPr>
          <w:rFonts w:eastAsiaTheme="minorEastAsia"/>
          <w:color w:val="000000"/>
          <w:highlight w:val="yellow"/>
        </w:rPr>
        <w:t>Table X; Fig. X</w:t>
      </w:r>
      <w:r w:rsidR="005F0EA0">
        <w:rPr>
          <w:rFonts w:eastAsiaTheme="minorEastAsia"/>
          <w:iCs/>
          <w:color w:val="000000"/>
        </w:rPr>
        <w:t>)</w:t>
      </w:r>
      <w:r w:rsidR="005F0EA0" w:rsidRPr="005F0EA0">
        <w:rPr>
          <w:rFonts w:eastAsiaTheme="minorEastAsia"/>
          <w:iCs/>
          <w:color w:val="000000"/>
        </w:rPr>
        <w:t>.</w:t>
      </w:r>
    </w:p>
    <w:p w14:paraId="25E29466" w14:textId="3646E67D" w:rsidR="00A1361C" w:rsidRPr="005F0EA0" w:rsidRDefault="00A1361C" w:rsidP="006F7D5D">
      <w:pPr>
        <w:spacing w:line="360" w:lineRule="auto"/>
        <w:rPr>
          <w:rFonts w:eastAsiaTheme="minorEastAsia"/>
          <w:color w:val="000000"/>
        </w:rPr>
      </w:pPr>
      <w:r>
        <w:rPr>
          <w:rFonts w:eastAsiaTheme="minorEastAsia"/>
          <w:iCs/>
          <w:color w:val="000000"/>
        </w:rPr>
        <w:tab/>
      </w:r>
      <w:r w:rsidR="006F7D5D">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3E94147D" w14:textId="73F0279E" w:rsidR="006F7D5D" w:rsidRDefault="00A7289A" w:rsidP="00E01953">
      <w:pPr>
        <w:spacing w:line="360" w:lineRule="auto"/>
        <w:rPr>
          <w:rFonts w:eastAsiaTheme="minorEastAsia"/>
          <w:color w:val="000000"/>
        </w:rPr>
      </w:pPr>
      <w:r w:rsidRPr="005F0EA0">
        <w:rPr>
          <w:rFonts w:eastAsiaTheme="minorEastAsia"/>
          <w:iCs/>
          <w:color w:val="000000"/>
        </w:rPr>
        <w:t xml:space="preserve">Nitrogen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or photosynthetic nitrogen- and phosphorus-use efficiencies (</w:t>
      </w:r>
      <w:r w:rsidRPr="005F0EA0">
        <w:rPr>
          <w:rFonts w:eastAsiaTheme="minorEastAsia"/>
          <w:color w:val="000000"/>
          <w:highlight w:val="yellow"/>
        </w:rPr>
        <w:t>Table X; Fig. X</w:t>
      </w:r>
      <w:r w:rsidRPr="005F0EA0">
        <w:rPr>
          <w:rFonts w:eastAsiaTheme="minorEastAsia"/>
          <w:iCs/>
          <w:color w:val="000000"/>
        </w:rPr>
        <w:t xml:space="preserve">). Similarly, phosphorus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or photosynthetic nitrogen- and phosphorus-use efficiencies, but did slightly increase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xml:space="preserve"> (</w:t>
      </w:r>
      <w:r w:rsidRPr="005F0EA0">
        <w:rPr>
          <w:rFonts w:eastAsiaTheme="minorEastAsia"/>
          <w:iCs/>
          <w:color w:val="000000"/>
          <w:highlight w:val="yellow"/>
        </w:rPr>
        <w:t>Table X; Fig. X</w:t>
      </w:r>
      <w:r w:rsidRPr="005F0EA0">
        <w:rPr>
          <w:rFonts w:eastAsiaTheme="minorEastAsia"/>
          <w:iCs/>
          <w:color w:val="000000"/>
        </w:rPr>
        <w:t>).</w:t>
      </w:r>
      <w:r w:rsidR="005F0EA0">
        <w:rPr>
          <w:rFonts w:eastAsiaTheme="minorEastAsia"/>
          <w:iCs/>
          <w:color w:val="000000"/>
        </w:rPr>
        <w:t xml:space="preserve"> </w:t>
      </w:r>
      <w:r w:rsidR="005F0EA0" w:rsidRPr="005F0EA0">
        <w:rPr>
          <w:rFonts w:eastAsiaTheme="minorEastAsia"/>
          <w:color w:val="000000"/>
        </w:rPr>
        <w:t>The addition of nitrogen and phosphorus together yielded a</w:t>
      </w:r>
      <w:r w:rsidR="005F0EA0">
        <w:rPr>
          <w:rFonts w:eastAsiaTheme="minorEastAsia"/>
          <w:color w:val="000000"/>
        </w:rPr>
        <w:t xml:space="preserve">n increase in </w:t>
      </w:r>
      <w:r w:rsidR="005F0EA0">
        <w:rPr>
          <w:rFonts w:eastAsiaTheme="minorEastAsia"/>
          <w:i/>
          <w:iCs/>
          <w:color w:val="000000"/>
        </w:rPr>
        <w:t>A</w:t>
      </w:r>
      <w:r w:rsidR="005F0EA0">
        <w:rPr>
          <w:rFonts w:eastAsiaTheme="minorEastAsia"/>
          <w:color w:val="000000"/>
          <w:vertAlign w:val="subscript"/>
        </w:rPr>
        <w:t>sat</w:t>
      </w:r>
      <w:r w:rsidR="005F0EA0">
        <w:rPr>
          <w:rFonts w:eastAsiaTheme="minorEastAsia"/>
          <w:color w:val="000000"/>
        </w:rPr>
        <w:t xml:space="preserve"> and </w:t>
      </w:r>
      <w:r w:rsidR="005F0EA0">
        <w:rPr>
          <w:rFonts w:eastAsiaTheme="minorEastAsia"/>
          <w:i/>
          <w:iCs/>
          <w:color w:val="000000"/>
        </w:rPr>
        <w:t>J</w:t>
      </w:r>
      <w:r w:rsidR="005F0EA0">
        <w:rPr>
          <w:rFonts w:eastAsiaTheme="minorEastAsia"/>
          <w:color w:val="000000"/>
          <w:vertAlign w:val="subscript"/>
        </w:rPr>
        <w:t>max</w:t>
      </w:r>
      <w:r w:rsidR="005F0EA0">
        <w:rPr>
          <w:rFonts w:eastAsiaTheme="minorEastAsia"/>
          <w:color w:val="000000"/>
        </w:rPr>
        <w:t xml:space="preserve">, but no change in </w:t>
      </w:r>
      <w:r w:rsidR="005F0EA0">
        <w:rPr>
          <w:rFonts w:eastAsiaTheme="minorEastAsia"/>
          <w:i/>
          <w:iCs/>
          <w:color w:val="000000"/>
        </w:rPr>
        <w:t>V</w:t>
      </w:r>
      <w:r w:rsidR="005F0EA0">
        <w:rPr>
          <w:rFonts w:eastAsiaTheme="minorEastAsia"/>
          <w:color w:val="000000"/>
          <w:vertAlign w:val="subscript"/>
        </w:rPr>
        <w:t>cmax</w:t>
      </w:r>
      <w:r w:rsidR="005F0EA0">
        <w:rPr>
          <w:rFonts w:eastAsiaTheme="minorEastAsia"/>
          <w:color w:val="000000"/>
        </w:rPr>
        <w:t xml:space="preserve"> or photosynthetic nitrogen- and phosphorus-use efficiencies (</w:t>
      </w:r>
      <w:r w:rsidR="005F0EA0" w:rsidRPr="005F0EA0">
        <w:rPr>
          <w:rFonts w:eastAsiaTheme="minorEastAsia"/>
          <w:color w:val="000000"/>
          <w:highlight w:val="yellow"/>
        </w:rPr>
        <w:t>Table X; Fig. X</w:t>
      </w:r>
      <w:r w:rsidR="005F0EA0">
        <w:rPr>
          <w:rFonts w:eastAsiaTheme="minorEastAsia"/>
          <w:color w:val="000000"/>
        </w:rPr>
        <w:t>). Interaction effect sizes suggested that all photosynthetic responses to nitrogen and phosphorus addition were the product of additive interactions (</w:t>
      </w:r>
      <w:r w:rsidR="005F0EA0" w:rsidRPr="005F0EA0">
        <w:rPr>
          <w:rFonts w:eastAsiaTheme="minorEastAsia"/>
          <w:color w:val="000000"/>
          <w:highlight w:val="yellow"/>
        </w:rPr>
        <w:t>Table X; Fig. X</w:t>
      </w:r>
      <w:r w:rsidR="005F0EA0">
        <w:rPr>
          <w:rFonts w:eastAsiaTheme="minorEastAsia"/>
          <w:color w:val="000000"/>
        </w:rPr>
        <w:t>).</w:t>
      </w:r>
    </w:p>
    <w:p w14:paraId="084D6B90" w14:textId="77777777" w:rsidR="006F7D5D" w:rsidRDefault="006F7D5D" w:rsidP="00E01953">
      <w:pPr>
        <w:spacing w:line="360" w:lineRule="auto"/>
        <w:rPr>
          <w:rFonts w:eastAsiaTheme="minorEastAsia"/>
          <w:color w:val="000000"/>
        </w:rPr>
      </w:pP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197F4F17" w14:textId="7F10857A" w:rsidR="00A7289A" w:rsidRPr="00AC3AA1" w:rsidRDefault="00B0359C" w:rsidP="00E01953">
      <w:pPr>
        <w:spacing w:line="360" w:lineRule="auto"/>
        <w:rPr>
          <w:rFonts w:eastAsiaTheme="minorEastAsia"/>
          <w:color w:val="000000"/>
        </w:rPr>
      </w:pPr>
      <w:r>
        <w:rPr>
          <w:rFonts w:eastAsiaTheme="minorEastAsia"/>
          <w:color w:val="000000"/>
        </w:rPr>
        <w:t xml:space="preserve">Aboveground biomass, aboveground nitrogen standing stock, and aboveground phosphorus standing stock each increased with N addition, while root mass fraction and the </w:t>
      </w:r>
      <w:proofErr w:type="spellStart"/>
      <w:r>
        <w:rPr>
          <w:rFonts w:eastAsiaTheme="minorEastAsia"/>
          <w:color w:val="000000"/>
        </w:rPr>
        <w:t>root:shoot</w:t>
      </w:r>
      <w:proofErr w:type="spellEnd"/>
      <w:r>
        <w:rPr>
          <w:rFonts w:eastAsiaTheme="minorEastAsia"/>
          <w:color w:val="000000"/>
        </w:rPr>
        <w:t xml:space="preserve"> ratio each decreased (</w:t>
      </w:r>
      <w:r w:rsidRPr="005F0EA0">
        <w:rPr>
          <w:rFonts w:eastAsiaTheme="minorEastAsia"/>
          <w:color w:val="000000"/>
          <w:highlight w:val="yellow"/>
        </w:rPr>
        <w:t>Table X; Fig. X</w:t>
      </w:r>
      <w:r>
        <w:rPr>
          <w:rFonts w:eastAsiaTheme="minorEastAsia"/>
          <w:color w:val="000000"/>
        </w:rPr>
        <w:t xml:space="preserve">). Total biomass and belowground biomass were both unaffected by nitrogen addition. Phosphorus addition increased total biomass, aboveground biomass, and aboveground phosphorus standing stock while decreasing the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Phosphorus addition had no effect on aboveground nitrogen standing stock, belowground biomass, or the root mass fraction (</w:t>
      </w:r>
      <w:r w:rsidRPr="005F0EA0">
        <w:rPr>
          <w:rFonts w:eastAsiaTheme="minorEastAsia"/>
          <w:color w:val="000000"/>
          <w:highlight w:val="yellow"/>
        </w:rPr>
        <w:t>Table X; Fig. X</w:t>
      </w:r>
      <w:r>
        <w:rPr>
          <w:rFonts w:eastAsiaTheme="minorEastAsia"/>
          <w:color w:val="000000"/>
        </w:rPr>
        <w:t>).</w:t>
      </w:r>
      <w:r w:rsidRPr="00B0359C">
        <w:rPr>
          <w:rFonts w:eastAsiaTheme="minorEastAsia"/>
          <w:color w:val="000000"/>
        </w:rPr>
        <w:t xml:space="preserve"> </w:t>
      </w:r>
      <w:r w:rsidRPr="005F0EA0">
        <w:rPr>
          <w:rFonts w:eastAsiaTheme="minorEastAsia"/>
          <w:color w:val="000000"/>
        </w:rPr>
        <w:t>The addition of nitrogen and phosphorus together yielded a</w:t>
      </w:r>
      <w:r>
        <w:rPr>
          <w:rFonts w:eastAsiaTheme="minorEastAsia"/>
          <w:color w:val="000000"/>
        </w:rPr>
        <w:t xml:space="preserve">n increase in total biomass, aboveground biomass, aboveground nitrogen and </w:t>
      </w:r>
      <w:r>
        <w:rPr>
          <w:rFonts w:eastAsiaTheme="minorEastAsia"/>
          <w:color w:val="000000"/>
        </w:rPr>
        <w:lastRenderedPageBreak/>
        <w:t xml:space="preserve">phosphorus standing stocks paired with a decrease in the root mass fraction and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xml:space="preserve">). There was no effect of nitrogen and phosphorus addition together on belowground biomass. Interaction effect sizes suggested that biomass responses to nitrogen and phosphorus addition together were largely the product of additive interaction. </w:t>
      </w:r>
      <w:r w:rsidRPr="005F0EA0">
        <w:rPr>
          <w:rFonts w:eastAsiaTheme="minorEastAsia"/>
          <w:iCs/>
          <w:color w:val="000000"/>
        </w:rPr>
        <w:t xml:space="preserve">However, </w:t>
      </w:r>
      <w:r>
        <w:rPr>
          <w:rFonts w:eastAsiaTheme="minorEastAsia"/>
          <w:iCs/>
          <w:color w:val="000000"/>
        </w:rPr>
        <w:t>aboveground</w:t>
      </w:r>
      <w:r w:rsidRPr="005F0EA0">
        <w:rPr>
          <w:rFonts w:eastAsiaTheme="minorEastAsia"/>
          <w:iCs/>
          <w:color w:val="000000"/>
        </w:rPr>
        <w:t xml:space="preserve"> </w:t>
      </w:r>
      <w:r>
        <w:rPr>
          <w:rFonts w:eastAsiaTheme="minorEastAsia"/>
          <w:iCs/>
          <w:color w:val="000000"/>
        </w:rPr>
        <w:t xml:space="preserve">biomass </w:t>
      </w:r>
      <w:r w:rsidRPr="005F0EA0">
        <w:rPr>
          <w:rFonts w:eastAsiaTheme="minorEastAsia"/>
          <w:iCs/>
          <w:color w:val="000000"/>
        </w:rPr>
        <w:t xml:space="preserve">exhibited a synergistic interaction, indicating a stronger </w:t>
      </w:r>
      <w:r>
        <w:rPr>
          <w:rFonts w:eastAsiaTheme="minorEastAsia"/>
          <w:iCs/>
          <w:color w:val="000000"/>
        </w:rPr>
        <w:t>positive</w:t>
      </w:r>
      <w:r w:rsidRPr="005F0EA0">
        <w:rPr>
          <w:rFonts w:eastAsiaTheme="minorEastAsia"/>
          <w:iCs/>
          <w:color w:val="000000"/>
        </w:rPr>
        <w:t xml:space="preserve"> effect of N and P addition in combination</w:t>
      </w:r>
      <w:r>
        <w:rPr>
          <w:rFonts w:eastAsiaTheme="minorEastAsia"/>
          <w:iCs/>
          <w:color w:val="000000"/>
        </w:rPr>
        <w:t xml:space="preserve"> on aboveground biomass</w:t>
      </w:r>
      <w:r w:rsidRPr="005F0EA0">
        <w:rPr>
          <w:rFonts w:eastAsiaTheme="minorEastAsia"/>
          <w:iCs/>
          <w:color w:val="000000"/>
        </w:rPr>
        <w:t xml:space="preserve"> than would be predicted through the sum of the individual effects of N and P addition</w:t>
      </w:r>
      <w:r>
        <w:rPr>
          <w:rFonts w:eastAsiaTheme="minorEastAsia"/>
          <w:iCs/>
          <w:color w:val="000000"/>
        </w:rPr>
        <w:t xml:space="preserve"> (</w:t>
      </w:r>
      <w:r w:rsidRPr="005F0EA0">
        <w:rPr>
          <w:rFonts w:eastAsiaTheme="minorEastAsia"/>
          <w:color w:val="000000"/>
          <w:highlight w:val="yellow"/>
        </w:rPr>
        <w:t>Table X; Fig. X</w:t>
      </w:r>
      <w:r>
        <w:rPr>
          <w:rFonts w:eastAsiaTheme="minorEastAsia"/>
          <w:iCs/>
          <w:color w:val="000000"/>
        </w:rPr>
        <w:t>)</w:t>
      </w:r>
      <w:r w:rsidRPr="005F0EA0">
        <w:rPr>
          <w:rFonts w:eastAsiaTheme="minorEastAsia"/>
          <w:iCs/>
          <w:color w:val="000000"/>
        </w:rPr>
        <w:t>.</w:t>
      </w: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582A0937"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F76B76" w:rsidRPr="00F76B76">
            <w:rPr>
              <w:rFonts w:eastAsia="Times New Roman"/>
              <w:color w:val="000000"/>
            </w:rPr>
            <w:t xml:space="preserve">(Stocker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49C1556C" w:rsidR="00E40275" w:rsidRPr="00FF2CF8" w:rsidRDefault="00FF2CF8" w:rsidP="00E40275">
      <w:pPr>
        <w:spacing w:line="360" w:lineRule="auto"/>
        <w:rPr>
          <w:rFonts w:eastAsiaTheme="minorEastAsia"/>
          <w:color w:val="000000"/>
        </w:rPr>
      </w:pPr>
      <w:r>
        <w:rPr>
          <w:rFonts w:eastAsiaTheme="minorEastAsia"/>
          <w:color w:val="000000"/>
        </w:rPr>
        <w:t xml:space="preserve">In general, leaf nutrient and biomass responses to N and P additions were stronger in magnitude than photosynthetic responses. </w:t>
      </w:r>
      <w:proofErr w:type="spellStart"/>
      <w:r>
        <w:rPr>
          <w:rFonts w:eastAsiaTheme="minorEastAsia"/>
          <w:color w:val="000000"/>
        </w:rPr>
        <w:t>N</w:t>
      </w:r>
      <w:proofErr w:type="spellEnd"/>
      <w:r>
        <w:rPr>
          <w:rFonts w:eastAsiaTheme="minorEastAsia"/>
          <w:color w:val="000000"/>
        </w:rPr>
        <w:t xml:space="preserve">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F76B76" w:rsidRPr="00F76B76">
            <w:rPr>
              <w:rFonts w:eastAsia="Times New Roman"/>
              <w:color w:val="000000"/>
            </w:rPr>
            <w:t xml:space="preserve">(Smith </w:t>
          </w:r>
          <w:r w:rsidR="00F76B76" w:rsidRPr="00F76B76">
            <w:rPr>
              <w:rFonts w:eastAsia="Times New Roman"/>
              <w:i/>
              <w:iCs/>
              <w:color w:val="000000"/>
            </w:rPr>
            <w:t>et al.</w:t>
          </w:r>
          <w:r w:rsidR="00F76B76" w:rsidRPr="00F76B76">
            <w:rPr>
              <w:rFonts w:eastAsia="Times New Roman"/>
              <w:color w:val="000000"/>
            </w:rPr>
            <w:t xml:space="preserve">, 2019, 2024; Harrison </w:t>
          </w:r>
          <w:r w:rsidR="00F76B76" w:rsidRPr="00F76B76">
            <w:rPr>
              <w:rFonts w:eastAsia="Times New Roman"/>
              <w:i/>
              <w:iCs/>
              <w:color w:val="000000"/>
            </w:rPr>
            <w:t>et al.</w:t>
          </w:r>
          <w:r w:rsidR="00F76B76" w:rsidRPr="00F76B76">
            <w:rPr>
              <w:rFonts w:eastAsia="Times New Roman"/>
              <w:color w:val="000000"/>
            </w:rPr>
            <w:t xml:space="preserve">, 2021; Stocker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B239A2">
        <w:rPr>
          <w:rFonts w:eastAsiaTheme="minorEastAsia"/>
          <w:color w:val="000000"/>
        </w:rPr>
        <w:t>.</w:t>
      </w: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6D2CC243"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F76B76" w:rsidRPr="00F76B76">
            <w:rPr>
              <w:rFonts w:eastAsia="Times New Roman"/>
              <w:color w:val="000000"/>
            </w:rPr>
            <w:t xml:space="preserve">(Waring </w:t>
          </w:r>
          <w:r w:rsidR="00F76B76" w:rsidRPr="00F76B76">
            <w:rPr>
              <w:rFonts w:eastAsia="Times New Roman"/>
              <w:i/>
              <w:iCs/>
              <w:color w:val="000000"/>
            </w:rPr>
            <w:t>et al.</w:t>
          </w:r>
          <w:r w:rsidR="00F76B76" w:rsidRPr="00F76B76">
            <w:rPr>
              <w:rFonts w:eastAsia="Times New Roman"/>
              <w:color w:val="000000"/>
            </w:rPr>
            <w:t xml:space="preserve">, 2023; </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lastRenderedPageBreak/>
        <w:t>References</w:t>
      </w:r>
    </w:p>
    <w:sdt>
      <w:sdtPr>
        <w:rPr>
          <w:rFonts w:eastAsiaTheme="minorEastAsia"/>
          <w:color w:val="000000"/>
        </w:rPr>
        <w:tag w:val="MENDELEY_BIBLIOGRAPHY"/>
        <w:id w:val="30160033"/>
        <w:placeholder>
          <w:docPart w:val="DefaultPlaceholder_-1854013440"/>
        </w:placeholder>
      </w:sdtPr>
      <w:sdtContent>
        <w:p w14:paraId="03129404" w14:textId="77777777" w:rsidR="00F76B76" w:rsidRDefault="00F76B76">
          <w:pPr>
            <w:divId w:val="310445015"/>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7AC4FFC4" w14:textId="77777777" w:rsidR="00F76B76" w:rsidRDefault="00F76B76">
          <w:pPr>
            <w:divId w:val="55012119"/>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729509BF" w14:textId="77777777" w:rsidR="00F76B76" w:rsidRDefault="00F76B76">
          <w:pPr>
            <w:divId w:val="732893750"/>
            <w:rPr>
              <w:rFonts w:eastAsia="Times New Roman"/>
            </w:rPr>
          </w:pPr>
          <w:proofErr w:type="spellStart"/>
          <w:r>
            <w:rPr>
              <w:rFonts w:eastAsia="Times New Roman"/>
              <w:b/>
              <w:bCs/>
            </w:rPr>
            <w:t>Cheaib</w:t>
          </w:r>
          <w:proofErr w:type="spellEnd"/>
          <w:r>
            <w:rPr>
              <w:rFonts w:eastAsia="Times New Roman"/>
              <w:b/>
              <w:bCs/>
            </w:rPr>
            <w:t xml:space="preserve">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5AA3EBC8" w14:textId="77777777" w:rsidR="00F76B76" w:rsidRDefault="00F76B76">
          <w:pPr>
            <w:divId w:val="1101991176"/>
            <w:rPr>
              <w:rFonts w:eastAsia="Times New Roman"/>
            </w:rPr>
          </w:pPr>
          <w:r>
            <w:rPr>
              <w:rFonts w:eastAsia="Times New Roman"/>
              <w:b/>
              <w:bCs/>
            </w:rPr>
            <w:t xml:space="preserve">Cleland EE, Lind EM, </w:t>
          </w:r>
          <w:proofErr w:type="spellStart"/>
          <w:r>
            <w:rPr>
              <w:rFonts w:eastAsia="Times New Roman"/>
              <w:b/>
              <w:bCs/>
            </w:rPr>
            <w:t>DeCrappeo</w:t>
          </w:r>
          <w:proofErr w:type="spellEnd"/>
          <w:r>
            <w:rPr>
              <w:rFonts w:eastAsia="Times New Roman"/>
              <w:b/>
              <w:bCs/>
            </w:rPr>
            <w:t xml:space="preserve"> NM, </w:t>
          </w:r>
          <w:proofErr w:type="spellStart"/>
          <w:r>
            <w:rPr>
              <w:rFonts w:eastAsia="Times New Roman"/>
              <w:b/>
              <w:bCs/>
            </w:rPr>
            <w:t>DeLorenze</w:t>
          </w:r>
          <w:proofErr w:type="spellEnd"/>
          <w:r>
            <w:rPr>
              <w:rFonts w:eastAsia="Times New Roman"/>
              <w:b/>
              <w:bCs/>
            </w:rPr>
            <w:t xml:space="preserv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5D993A2F" w14:textId="77777777" w:rsidR="00F76B76" w:rsidRDefault="00F76B76">
          <w:pPr>
            <w:divId w:val="1302466946"/>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5A5A17CE" w14:textId="77777777" w:rsidR="00F76B76" w:rsidRDefault="00F76B76">
          <w:pPr>
            <w:divId w:val="783311815"/>
            <w:rPr>
              <w:rFonts w:eastAsia="Times New Roman"/>
            </w:rPr>
          </w:pPr>
          <w:r>
            <w:rPr>
              <w:rFonts w:eastAsia="Times New Roman"/>
              <w:b/>
              <w:bCs/>
            </w:rPr>
            <w:t xml:space="preserve">Fick SE, </w:t>
          </w: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2017</w:t>
          </w:r>
          <w:r>
            <w:rPr>
              <w:rFonts w:eastAsia="Times New Roman"/>
            </w:rPr>
            <w:t xml:space="preserve">. </w:t>
          </w:r>
          <w:proofErr w:type="spellStart"/>
          <w:r>
            <w:rPr>
              <w:rFonts w:eastAsia="Times New Roman"/>
            </w:rPr>
            <w:t>WorldClim</w:t>
          </w:r>
          <w:proofErr w:type="spellEnd"/>
          <w:r>
            <w:rPr>
              <w:rFonts w:eastAsia="Times New Roman"/>
            </w:rPr>
            <w:t xml:space="preserve">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4D5027E8" w14:textId="77777777" w:rsidR="00F76B76" w:rsidRDefault="00F76B76">
          <w:pPr>
            <w:divId w:val="861938930"/>
            <w:rPr>
              <w:rFonts w:eastAsia="Times New Roman"/>
            </w:rPr>
          </w:pPr>
          <w:proofErr w:type="spellStart"/>
          <w:r>
            <w:rPr>
              <w:rFonts w:eastAsia="Times New Roman"/>
              <w:b/>
              <w:bCs/>
            </w:rPr>
            <w:t>Firn</w:t>
          </w:r>
          <w:proofErr w:type="spellEnd"/>
          <w:r>
            <w:rPr>
              <w:rFonts w:eastAsia="Times New Roman"/>
              <w:b/>
              <w:bCs/>
            </w:rPr>
            <w:t xml:space="preserve">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1717C29B" w14:textId="77777777" w:rsidR="00F76B76" w:rsidRDefault="00F76B76">
          <w:pPr>
            <w:divId w:val="261500020"/>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05916730" w14:textId="77777777" w:rsidR="00F76B76" w:rsidRDefault="00F76B76">
          <w:pPr>
            <w:divId w:val="1980185130"/>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36305CBA" w14:textId="77777777" w:rsidR="00F76B76" w:rsidRDefault="00F76B76">
          <w:pPr>
            <w:divId w:val="604970021"/>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78621F90" w14:textId="77777777" w:rsidR="00F76B76" w:rsidRDefault="00F76B76">
          <w:pPr>
            <w:divId w:val="891425311"/>
            <w:rPr>
              <w:rFonts w:eastAsia="Times New Roman"/>
            </w:rPr>
          </w:pP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6761C8E7" w14:textId="77777777" w:rsidR="00F76B76" w:rsidRDefault="00F76B76">
          <w:pPr>
            <w:divId w:val="1721247865"/>
            <w:rPr>
              <w:rFonts w:eastAsia="Times New Roman"/>
            </w:rPr>
          </w:pPr>
          <w:r>
            <w:rPr>
              <w:rFonts w:eastAsia="Times New Roman"/>
              <w:b/>
              <w:bCs/>
            </w:rPr>
            <w:t xml:space="preserve">Liang X, Zhang T, Lu X, Ellsworth DS, </w:t>
          </w:r>
          <w:proofErr w:type="spellStart"/>
          <w:r>
            <w:rPr>
              <w:rFonts w:eastAsia="Times New Roman"/>
              <w:b/>
              <w:bCs/>
            </w:rPr>
            <w:t>BassiriRad</w:t>
          </w:r>
          <w:proofErr w:type="spellEnd"/>
          <w:r>
            <w:rPr>
              <w:rFonts w:eastAsia="Times New Roman"/>
              <w:b/>
              <w:bCs/>
            </w:rPr>
            <w:t xml:space="preserve">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2D652DD8" w14:textId="77777777" w:rsidR="00F76B76" w:rsidRDefault="00F76B76">
          <w:pPr>
            <w:divId w:val="452940149"/>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1D9C8ED6" w14:textId="77777777" w:rsidR="00F76B76" w:rsidRDefault="00F76B76">
          <w:pPr>
            <w:divId w:val="646126826"/>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w:t>
          </w:r>
          <w:proofErr w:type="spellStart"/>
          <w:r>
            <w:rPr>
              <w:rFonts w:eastAsia="Times New Roman"/>
            </w:rPr>
            <w:t>metaDigitise</w:t>
          </w:r>
          <w:proofErr w:type="spellEnd"/>
          <w:r>
            <w:rPr>
              <w:rFonts w:eastAsia="Times New Roman"/>
            </w:rPr>
            <w:t xml:space="preserv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1A2079A4" w14:textId="77777777" w:rsidR="00F76B76" w:rsidRDefault="00F76B76">
          <w:pPr>
            <w:divId w:val="1440760197"/>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6AE75082" w14:textId="77777777" w:rsidR="00F76B76" w:rsidRDefault="00F76B76">
          <w:pPr>
            <w:divId w:val="1203447398"/>
            <w:rPr>
              <w:rFonts w:eastAsia="Times New Roman"/>
            </w:rPr>
          </w:pPr>
          <w:r>
            <w:rPr>
              <w:rFonts w:eastAsia="Times New Roman"/>
              <w:b/>
              <w:bCs/>
            </w:rPr>
            <w:lastRenderedPageBreak/>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47087374" w14:textId="77777777" w:rsidR="00F76B76" w:rsidRDefault="00F76B76">
          <w:pPr>
            <w:divId w:val="1862473292"/>
            <w:rPr>
              <w:rFonts w:eastAsia="Times New Roman"/>
            </w:rPr>
          </w:pPr>
          <w:proofErr w:type="spellStart"/>
          <w:r>
            <w:rPr>
              <w:rFonts w:eastAsia="Times New Roman"/>
              <w:b/>
              <w:bCs/>
            </w:rPr>
            <w:t>Soudzilovskaia</w:t>
          </w:r>
          <w:proofErr w:type="spellEnd"/>
          <w:r>
            <w:rPr>
              <w:rFonts w:eastAsia="Times New Roman"/>
              <w:b/>
              <w:bCs/>
            </w:rPr>
            <w:t xml:space="preserve"> NA, Vaessen S, Barceló M, He J, </w:t>
          </w:r>
          <w:proofErr w:type="spellStart"/>
          <w:r>
            <w:rPr>
              <w:rFonts w:eastAsia="Times New Roman"/>
              <w:b/>
              <w:bCs/>
            </w:rPr>
            <w:t>Rahimlou</w:t>
          </w:r>
          <w:proofErr w:type="spellEnd"/>
          <w:r>
            <w:rPr>
              <w:rFonts w:eastAsia="Times New Roman"/>
              <w:b/>
              <w:bCs/>
            </w:rPr>
            <w:t xml:space="preserve"> S, </w:t>
          </w:r>
          <w:proofErr w:type="spellStart"/>
          <w:r>
            <w:rPr>
              <w:rFonts w:eastAsia="Times New Roman"/>
              <w:b/>
              <w:bCs/>
            </w:rPr>
            <w:t>Abarenkov</w:t>
          </w:r>
          <w:proofErr w:type="spellEnd"/>
          <w:r>
            <w:rPr>
              <w:rFonts w:eastAsia="Times New Roman"/>
              <w:b/>
              <w:bCs/>
            </w:rPr>
            <w:t xml:space="preserve"> K, Brundrett MC, Gomes SIF, Merckx VSFT, </w:t>
          </w:r>
          <w:proofErr w:type="spellStart"/>
          <w:r>
            <w:rPr>
              <w:rFonts w:eastAsia="Times New Roman"/>
              <w:b/>
              <w:bCs/>
            </w:rPr>
            <w:t>Tedersoo</w:t>
          </w:r>
          <w:proofErr w:type="spellEnd"/>
          <w:r>
            <w:rPr>
              <w:rFonts w:eastAsia="Times New Roman"/>
              <w:b/>
              <w:bCs/>
            </w:rPr>
            <w:t xml:space="preserve"> L</w:t>
          </w:r>
          <w:r>
            <w:rPr>
              <w:rFonts w:eastAsia="Times New Roman"/>
            </w:rPr>
            <w:t xml:space="preserve">. </w:t>
          </w:r>
          <w:r>
            <w:rPr>
              <w:rFonts w:eastAsia="Times New Roman"/>
              <w:b/>
              <w:bCs/>
            </w:rPr>
            <w:t>2020</w:t>
          </w:r>
          <w:r>
            <w:rPr>
              <w:rFonts w:eastAsia="Times New Roman"/>
            </w:rPr>
            <w:t xml:space="preserve">. </w:t>
          </w:r>
          <w:proofErr w:type="spellStart"/>
          <w:r>
            <w:rPr>
              <w:rFonts w:eastAsia="Times New Roman"/>
            </w:rPr>
            <w:t>FungalRoot</w:t>
          </w:r>
          <w:proofErr w:type="spellEnd"/>
          <w:r>
            <w:rPr>
              <w:rFonts w:eastAsia="Times New Roman"/>
            </w:rPr>
            <w:t xml:space="preserve">: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A41F618" w14:textId="77777777" w:rsidR="00F76B76" w:rsidRDefault="00F76B76">
          <w:pPr>
            <w:divId w:val="1612931018"/>
            <w:rPr>
              <w:rFonts w:eastAsia="Times New Roman"/>
            </w:rPr>
          </w:pPr>
          <w:r>
            <w:rPr>
              <w:rFonts w:eastAsia="Times New Roman"/>
              <w:b/>
              <w:bCs/>
            </w:rPr>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3F8ABF1A" w14:textId="77777777" w:rsidR="00F76B76" w:rsidRDefault="00F76B76">
          <w:pPr>
            <w:divId w:val="664552483"/>
            <w:rPr>
              <w:rFonts w:eastAsia="Times New Roman"/>
            </w:rPr>
          </w:pPr>
          <w:r>
            <w:rPr>
              <w:rFonts w:eastAsia="Times New Roman"/>
              <w:b/>
              <w:bCs/>
            </w:rPr>
            <w:t xml:space="preserve">Van </w:t>
          </w:r>
          <w:proofErr w:type="spellStart"/>
          <w:r>
            <w:rPr>
              <w:rFonts w:eastAsia="Times New Roman"/>
              <w:b/>
              <w:bCs/>
            </w:rPr>
            <w:t>Sundert</w:t>
          </w:r>
          <w:proofErr w:type="spellEnd"/>
          <w:r>
            <w:rPr>
              <w:rFonts w:eastAsia="Times New Roman"/>
              <w:b/>
              <w:bCs/>
            </w:rPr>
            <w:t xml:space="preserve">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48D20DC1" w14:textId="77777777" w:rsidR="00F76B76" w:rsidRDefault="00F76B76">
          <w:pPr>
            <w:divId w:val="792135517"/>
            <w:rPr>
              <w:rFonts w:eastAsia="Times New Roman"/>
            </w:rPr>
          </w:pPr>
          <w:proofErr w:type="spellStart"/>
          <w:r>
            <w:rPr>
              <w:rFonts w:eastAsia="Times New Roman"/>
              <w:b/>
              <w:bCs/>
            </w:rPr>
            <w:t>Viechtbauer</w:t>
          </w:r>
          <w:proofErr w:type="spellEnd"/>
          <w:r>
            <w:rPr>
              <w:rFonts w:eastAsia="Times New Roman"/>
              <w:b/>
              <w:bCs/>
            </w:rPr>
            <w:t xml:space="preserve"> W</w:t>
          </w:r>
          <w:r>
            <w:rPr>
              <w:rFonts w:eastAsia="Times New Roman"/>
            </w:rPr>
            <w:t xml:space="preserve">. </w:t>
          </w:r>
          <w:r>
            <w:rPr>
              <w:rFonts w:eastAsia="Times New Roman"/>
              <w:b/>
              <w:bCs/>
            </w:rPr>
            <w:t>2010</w:t>
          </w:r>
          <w:r>
            <w:rPr>
              <w:rFonts w:eastAsia="Times New Roman"/>
            </w:rPr>
            <w:t xml:space="preserve">. Conducting Meta-Analyses in R with the </w:t>
          </w:r>
          <w:proofErr w:type="spellStart"/>
          <w:r>
            <w:rPr>
              <w:rFonts w:eastAsia="Times New Roman"/>
            </w:rPr>
            <w:t>metafor</w:t>
          </w:r>
          <w:proofErr w:type="spellEnd"/>
          <w:r>
            <w:rPr>
              <w:rFonts w:eastAsia="Times New Roman"/>
            </w:rPr>
            <w:t xml:space="preserve">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3D667FA1" w14:textId="77777777" w:rsidR="00F76B76" w:rsidRDefault="00F76B76">
          <w:pPr>
            <w:divId w:val="1398549201"/>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203B0727" w14:textId="77777777" w:rsidR="00F76B76" w:rsidRDefault="00F76B76">
          <w:pPr>
            <w:divId w:val="1370031766"/>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138E1779" w14:textId="77777777" w:rsidR="00F76B76" w:rsidRDefault="00F76B76">
          <w:pPr>
            <w:divId w:val="523786250"/>
            <w:rPr>
              <w:rFonts w:eastAsia="Times New Roman"/>
            </w:rPr>
          </w:pPr>
          <w:r>
            <w:rPr>
              <w:rFonts w:eastAsia="Times New Roman"/>
              <w:b/>
              <w:bCs/>
            </w:rPr>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4D272831" w:rsidR="00FF2CF8" w:rsidRPr="00FF2CF8" w:rsidRDefault="00F76B76"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106EDA"/>
    <w:rsid w:val="00112D8F"/>
    <w:rsid w:val="001254A0"/>
    <w:rsid w:val="00137E65"/>
    <w:rsid w:val="001403D8"/>
    <w:rsid w:val="001454A6"/>
    <w:rsid w:val="0018568F"/>
    <w:rsid w:val="001974EC"/>
    <w:rsid w:val="001A2BB7"/>
    <w:rsid w:val="001B7969"/>
    <w:rsid w:val="001D48F8"/>
    <w:rsid w:val="001E5640"/>
    <w:rsid w:val="002376EB"/>
    <w:rsid w:val="00237FD0"/>
    <w:rsid w:val="00252C93"/>
    <w:rsid w:val="00283C9B"/>
    <w:rsid w:val="002C1017"/>
    <w:rsid w:val="002C4EDA"/>
    <w:rsid w:val="002D4F88"/>
    <w:rsid w:val="002E13DB"/>
    <w:rsid w:val="002F7660"/>
    <w:rsid w:val="00313C71"/>
    <w:rsid w:val="0031404D"/>
    <w:rsid w:val="003141A6"/>
    <w:rsid w:val="003246BC"/>
    <w:rsid w:val="0032762A"/>
    <w:rsid w:val="00346E07"/>
    <w:rsid w:val="00397935"/>
    <w:rsid w:val="003B5B55"/>
    <w:rsid w:val="003B7A01"/>
    <w:rsid w:val="004054AF"/>
    <w:rsid w:val="004434C7"/>
    <w:rsid w:val="004438F0"/>
    <w:rsid w:val="004602B4"/>
    <w:rsid w:val="00462D1B"/>
    <w:rsid w:val="00484736"/>
    <w:rsid w:val="00491267"/>
    <w:rsid w:val="004D7609"/>
    <w:rsid w:val="00502C42"/>
    <w:rsid w:val="005058E5"/>
    <w:rsid w:val="00527B1F"/>
    <w:rsid w:val="00537D87"/>
    <w:rsid w:val="005458CF"/>
    <w:rsid w:val="005770EC"/>
    <w:rsid w:val="00597594"/>
    <w:rsid w:val="005A55D1"/>
    <w:rsid w:val="005F0EA0"/>
    <w:rsid w:val="006413AF"/>
    <w:rsid w:val="00665975"/>
    <w:rsid w:val="00682152"/>
    <w:rsid w:val="00694024"/>
    <w:rsid w:val="006A716D"/>
    <w:rsid w:val="006C0AE3"/>
    <w:rsid w:val="006C5A1D"/>
    <w:rsid w:val="006D0DA9"/>
    <w:rsid w:val="006D174B"/>
    <w:rsid w:val="006F7D5D"/>
    <w:rsid w:val="0070294C"/>
    <w:rsid w:val="0071242B"/>
    <w:rsid w:val="00714549"/>
    <w:rsid w:val="00715170"/>
    <w:rsid w:val="00724589"/>
    <w:rsid w:val="007337EB"/>
    <w:rsid w:val="007C6A4B"/>
    <w:rsid w:val="007E48CB"/>
    <w:rsid w:val="007F48F8"/>
    <w:rsid w:val="0085249F"/>
    <w:rsid w:val="00864388"/>
    <w:rsid w:val="0088602C"/>
    <w:rsid w:val="008925D0"/>
    <w:rsid w:val="008C5B76"/>
    <w:rsid w:val="008C715F"/>
    <w:rsid w:val="008D13D3"/>
    <w:rsid w:val="009350BC"/>
    <w:rsid w:val="009659CD"/>
    <w:rsid w:val="009741C6"/>
    <w:rsid w:val="00974E0A"/>
    <w:rsid w:val="00983FD8"/>
    <w:rsid w:val="009C1C6B"/>
    <w:rsid w:val="009E05F7"/>
    <w:rsid w:val="00A1361C"/>
    <w:rsid w:val="00A301EF"/>
    <w:rsid w:val="00A61D1B"/>
    <w:rsid w:val="00A7289A"/>
    <w:rsid w:val="00AC3AA1"/>
    <w:rsid w:val="00AC59C3"/>
    <w:rsid w:val="00B0359C"/>
    <w:rsid w:val="00B20DFC"/>
    <w:rsid w:val="00B239A2"/>
    <w:rsid w:val="00B4652D"/>
    <w:rsid w:val="00B52D32"/>
    <w:rsid w:val="00BE32BC"/>
    <w:rsid w:val="00BE737C"/>
    <w:rsid w:val="00BF0C85"/>
    <w:rsid w:val="00C82F26"/>
    <w:rsid w:val="00C97246"/>
    <w:rsid w:val="00CE713E"/>
    <w:rsid w:val="00CF0D8B"/>
    <w:rsid w:val="00CF6CB3"/>
    <w:rsid w:val="00D062B6"/>
    <w:rsid w:val="00D2149F"/>
    <w:rsid w:val="00D71B45"/>
    <w:rsid w:val="00D74589"/>
    <w:rsid w:val="00D91698"/>
    <w:rsid w:val="00D91C53"/>
    <w:rsid w:val="00DA2867"/>
    <w:rsid w:val="00E01953"/>
    <w:rsid w:val="00E229FD"/>
    <w:rsid w:val="00E40275"/>
    <w:rsid w:val="00E57628"/>
    <w:rsid w:val="00E600FB"/>
    <w:rsid w:val="00E60709"/>
    <w:rsid w:val="00E65796"/>
    <w:rsid w:val="00E7417C"/>
    <w:rsid w:val="00E75BBF"/>
    <w:rsid w:val="00E90195"/>
    <w:rsid w:val="00E93B46"/>
    <w:rsid w:val="00E95918"/>
    <w:rsid w:val="00E97E5B"/>
    <w:rsid w:val="00EB3573"/>
    <w:rsid w:val="00EC3E7C"/>
    <w:rsid w:val="00EC7BF7"/>
    <w:rsid w:val="00EE3E92"/>
    <w:rsid w:val="00F14A32"/>
    <w:rsid w:val="00F16D0F"/>
    <w:rsid w:val="00F22968"/>
    <w:rsid w:val="00F35A69"/>
    <w:rsid w:val="00F54DAC"/>
    <w:rsid w:val="00F7416C"/>
    <w:rsid w:val="00F76B76"/>
    <w:rsid w:val="00F960FF"/>
    <w:rsid w:val="00FC4729"/>
    <w:rsid w:val="00FC5637"/>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4F326B816535EA47B53CE56EBEDDE2A1"/>
        <w:category>
          <w:name w:val="General"/>
          <w:gallery w:val="placeholder"/>
        </w:category>
        <w:types>
          <w:type w:val="bbPlcHdr"/>
        </w:types>
        <w:behaviors>
          <w:behavior w:val="content"/>
        </w:behaviors>
        <w:guid w:val="{371F5341-56D1-8541-A5A7-9884EF9A7452}"/>
      </w:docPartPr>
      <w:docPartBody>
        <w:p w:rsidR="001D3758" w:rsidRDefault="00F3035A" w:rsidP="00F3035A">
          <w:pPr>
            <w:pStyle w:val="4F326B816535EA47B53CE56EBEDDE2A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6EDA"/>
    <w:rsid w:val="00136C62"/>
    <w:rsid w:val="00161D5F"/>
    <w:rsid w:val="001D3758"/>
    <w:rsid w:val="001E5640"/>
    <w:rsid w:val="00283C9B"/>
    <w:rsid w:val="003141A6"/>
    <w:rsid w:val="00346E07"/>
    <w:rsid w:val="0040541E"/>
    <w:rsid w:val="004434C7"/>
    <w:rsid w:val="00457200"/>
    <w:rsid w:val="004D7609"/>
    <w:rsid w:val="00527A6E"/>
    <w:rsid w:val="00543E20"/>
    <w:rsid w:val="005D586B"/>
    <w:rsid w:val="00615AF0"/>
    <w:rsid w:val="00654655"/>
    <w:rsid w:val="00665975"/>
    <w:rsid w:val="00682152"/>
    <w:rsid w:val="006A716D"/>
    <w:rsid w:val="00740F2B"/>
    <w:rsid w:val="007E48CB"/>
    <w:rsid w:val="007E6A34"/>
    <w:rsid w:val="0080463F"/>
    <w:rsid w:val="008276D9"/>
    <w:rsid w:val="00855235"/>
    <w:rsid w:val="008B1650"/>
    <w:rsid w:val="00BB743E"/>
    <w:rsid w:val="00C7496E"/>
    <w:rsid w:val="00D23DB9"/>
    <w:rsid w:val="00D81D61"/>
    <w:rsid w:val="00D91DD8"/>
    <w:rsid w:val="00E57628"/>
    <w:rsid w:val="00EA1865"/>
    <w:rsid w:val="00ED1C51"/>
    <w:rsid w:val="00F3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5A"/>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4F326B816535EA47B53CE56EBEDDE2A1">
    <w:name w:val="4F326B816535EA47B53CE56EBEDDE2A1"/>
    <w:rsid w:val="00F3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false,&quot;citeprocText&quot;:&quot;(Waring &lt;i&gt;et al.&lt;/i&gt;, 2023; Cheaib &lt;i&gt;et al.&lt;/i&gt;, 2025; Perkowski &lt;i&gt;et al.&lt;/i&gt;, 2025)&quot;,&quot;manualOverrideText&quot;:&quot;&quot;},&quot;citationTag&quot;:&quot;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16</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37</cp:revision>
  <dcterms:created xsi:type="dcterms:W3CDTF">2025-01-24T16:59:00Z</dcterms:created>
  <dcterms:modified xsi:type="dcterms:W3CDTF">2025-06-24T18:54:00Z</dcterms:modified>
</cp:coreProperties>
</file>