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5167F9" w14:textId="5744F064" w:rsidR="00194474" w:rsidRDefault="00194474" w:rsidP="00292722">
      <w:pPr>
        <w:spacing w:line="480" w:lineRule="auto"/>
        <w:rPr>
          <w:b/>
        </w:rPr>
      </w:pPr>
      <w:r>
        <w:rPr>
          <w:b/>
        </w:rPr>
        <w:t xml:space="preserve">SUPPLEMENTAL MATERIAL </w:t>
      </w:r>
      <w:r w:rsidRPr="00896E14">
        <w:rPr>
          <w:b/>
        </w:rPr>
        <w:t>for “</w:t>
      </w:r>
      <w:r w:rsidRPr="00194474">
        <w:rPr>
          <w:b/>
        </w:rPr>
        <w:t>Global response patterns of plant functional traits to combined nitrogen and phosphorus addition are governed by additive interactions</w:t>
      </w:r>
      <w:r w:rsidRPr="00896E14">
        <w:rPr>
          <w:b/>
        </w:rPr>
        <w:t>”</w:t>
      </w:r>
    </w:p>
    <w:p w14:paraId="4B2E9C6D" w14:textId="77777777" w:rsidR="008D14B0" w:rsidRPr="00E65796" w:rsidRDefault="008D14B0" w:rsidP="008D14B0">
      <w:pPr>
        <w:spacing w:after="240" w:line="480" w:lineRule="auto"/>
      </w:pPr>
      <w:r>
        <w:t>Evan A. Perkowski</w:t>
      </w:r>
      <w:r>
        <w:rPr>
          <w:vertAlign w:val="superscript"/>
        </w:rPr>
        <w:t>1</w:t>
      </w:r>
      <w:r>
        <w:t xml:space="preserve">, </w:t>
      </w:r>
      <w:proofErr w:type="spellStart"/>
      <w:r>
        <w:t>Alissar</w:t>
      </w:r>
      <w:proofErr w:type="spellEnd"/>
      <w:r>
        <w:t xml:space="preserve"> Cheaib</w:t>
      </w:r>
      <w:r>
        <w:rPr>
          <w:vertAlign w:val="superscript"/>
        </w:rPr>
        <w:t>1</w:t>
      </w:r>
      <w:r>
        <w:t>, Monika R. Kelley</w:t>
      </w:r>
      <w:r>
        <w:rPr>
          <w:vertAlign w:val="superscript"/>
        </w:rPr>
        <w:t>1</w:t>
      </w:r>
      <w:r>
        <w:t>, Jan Lankhorst</w:t>
      </w:r>
      <w:r>
        <w:rPr>
          <w:vertAlign w:val="superscript"/>
        </w:rPr>
        <w:t>2</w:t>
      </w:r>
      <w:r>
        <w:t>, Astrid Odé</w:t>
      </w:r>
      <w:r>
        <w:rPr>
          <w:vertAlign w:val="superscript"/>
        </w:rPr>
        <w:t>2</w:t>
      </w:r>
      <w:r>
        <w:t>, Daniil J. Scheifes</w:t>
      </w:r>
      <w:r>
        <w:rPr>
          <w:vertAlign w:val="superscript"/>
        </w:rPr>
        <w:t>2</w:t>
      </w:r>
      <w:r>
        <w:t>, Huiying Xu</w:t>
      </w:r>
      <w:r>
        <w:rPr>
          <w:vertAlign w:val="superscript"/>
        </w:rPr>
        <w:t>3</w:t>
      </w:r>
      <w:r>
        <w:t>, Keith J. Bloomfield</w:t>
      </w:r>
      <w:r>
        <w:rPr>
          <w:vertAlign w:val="superscript"/>
        </w:rPr>
        <w:t>4</w:t>
      </w:r>
      <w:r>
        <w:t>, Hugo J. de Boer</w:t>
      </w:r>
      <w:r>
        <w:rPr>
          <w:vertAlign w:val="superscript"/>
        </w:rPr>
        <w:t>2</w:t>
      </w:r>
      <w:r>
        <w:t>, Ning Dong</w:t>
      </w:r>
      <w:r>
        <w:rPr>
          <w:vertAlign w:val="superscript"/>
        </w:rPr>
        <w:t>4,5</w:t>
      </w:r>
      <w:r>
        <w:t>, Benjamin D. Stocker</w:t>
      </w:r>
      <w:r>
        <w:rPr>
          <w:vertAlign w:val="superscript"/>
        </w:rPr>
        <w:t>6</w:t>
      </w:r>
      <w:r>
        <w:t>, Karin T. Rebel</w:t>
      </w:r>
      <w:r>
        <w:rPr>
          <w:vertAlign w:val="superscript"/>
        </w:rPr>
        <w:t>2</w:t>
      </w:r>
      <w:r>
        <w:t>, I. Colin Prentice</w:t>
      </w:r>
      <w:r>
        <w:rPr>
          <w:vertAlign w:val="superscript"/>
        </w:rPr>
        <w:t>4</w:t>
      </w:r>
      <w:r>
        <w:t>, Sandy P. Harrison</w:t>
      </w:r>
      <w:r>
        <w:rPr>
          <w:vertAlign w:val="superscript"/>
        </w:rPr>
        <w:t>7</w:t>
      </w:r>
      <w:r>
        <w:t>, Nicholas G. Smith</w:t>
      </w:r>
      <w:r>
        <w:rPr>
          <w:vertAlign w:val="superscript"/>
        </w:rPr>
        <w:t>1</w:t>
      </w:r>
    </w:p>
    <w:p w14:paraId="1921857B" w14:textId="22CC4144" w:rsidR="00A52A32" w:rsidRPr="001811D9" w:rsidRDefault="001811D9" w:rsidP="001811D9">
      <w:pPr>
        <w:spacing w:after="240" w:line="480" w:lineRule="auto"/>
        <w:rPr>
          <w:b/>
          <w:bCs/>
        </w:rPr>
      </w:pPr>
      <w:r>
        <w:rPr>
          <w:b/>
          <w:bCs/>
        </w:rPr>
        <w:t>T</w:t>
      </w:r>
      <w:r w:rsidR="00A52A32">
        <w:rPr>
          <w:b/>
          <w:bCs/>
        </w:rPr>
        <w:t xml:space="preserve">able S1 </w:t>
      </w:r>
      <w:r w:rsidR="00A52A32">
        <w:t>Summary of studies and sites included in the meta-analysis</w:t>
      </w:r>
      <w:r w:rsidR="008B6C18">
        <w:rPr>
          <w:vertAlign w:val="superscript"/>
        </w:rPr>
        <w:t>*</w:t>
      </w:r>
    </w:p>
    <w:tbl>
      <w:tblPr>
        <w:tblStyle w:val="TableGrid"/>
        <w:tblW w:w="12775" w:type="dxa"/>
        <w:tblLayout w:type="fixed"/>
        <w:tblLook w:val="04A0" w:firstRow="1" w:lastRow="0" w:firstColumn="1" w:lastColumn="0" w:noHBand="0" w:noVBand="1"/>
      </w:tblPr>
      <w:tblGrid>
        <w:gridCol w:w="2155"/>
        <w:gridCol w:w="1350"/>
        <w:gridCol w:w="900"/>
        <w:gridCol w:w="1080"/>
        <w:gridCol w:w="990"/>
        <w:gridCol w:w="630"/>
        <w:gridCol w:w="630"/>
        <w:gridCol w:w="630"/>
        <w:gridCol w:w="1080"/>
        <w:gridCol w:w="1170"/>
        <w:gridCol w:w="1080"/>
        <w:gridCol w:w="1080"/>
      </w:tblGrid>
      <w:tr w:rsidR="00C954CC" w:rsidRPr="00D81D83" w14:paraId="5ADCCD91" w14:textId="77777777" w:rsidTr="001475DC">
        <w:tc>
          <w:tcPr>
            <w:tcW w:w="2155" w:type="dxa"/>
            <w:vAlign w:val="center"/>
          </w:tcPr>
          <w:p w14:paraId="719C8622" w14:textId="77777777" w:rsidR="00C954CC" w:rsidRPr="001475DC" w:rsidRDefault="00C954CC" w:rsidP="001475DC">
            <w:pPr>
              <w:rPr>
                <w:b/>
                <w:bCs w:val="0"/>
                <w:sz w:val="16"/>
                <w:szCs w:val="16"/>
              </w:rPr>
            </w:pPr>
            <w:r w:rsidRPr="001475DC">
              <w:rPr>
                <w:b/>
                <w:sz w:val="16"/>
                <w:szCs w:val="16"/>
              </w:rPr>
              <w:t>Citation</w:t>
            </w:r>
          </w:p>
        </w:tc>
        <w:tc>
          <w:tcPr>
            <w:tcW w:w="1350" w:type="dxa"/>
            <w:vAlign w:val="center"/>
          </w:tcPr>
          <w:p w14:paraId="1CD2BA31" w14:textId="77777777" w:rsidR="00C954CC" w:rsidRPr="001475DC" w:rsidRDefault="00C954CC" w:rsidP="001475DC">
            <w:pPr>
              <w:rPr>
                <w:b/>
                <w:bCs w:val="0"/>
                <w:sz w:val="16"/>
                <w:szCs w:val="16"/>
              </w:rPr>
            </w:pPr>
            <w:r w:rsidRPr="001475DC">
              <w:rPr>
                <w:b/>
                <w:sz w:val="16"/>
                <w:szCs w:val="16"/>
              </w:rPr>
              <w:t>Site name</w:t>
            </w:r>
          </w:p>
        </w:tc>
        <w:tc>
          <w:tcPr>
            <w:tcW w:w="900" w:type="dxa"/>
            <w:vAlign w:val="center"/>
          </w:tcPr>
          <w:p w14:paraId="5B3DBC98" w14:textId="70ACD5F4" w:rsidR="00C954CC" w:rsidRPr="001475DC" w:rsidRDefault="00C954CC" w:rsidP="001475DC">
            <w:pPr>
              <w:rPr>
                <w:b/>
                <w:bCs w:val="0"/>
                <w:sz w:val="16"/>
                <w:szCs w:val="16"/>
              </w:rPr>
            </w:pPr>
            <w:r w:rsidRPr="001475DC">
              <w:rPr>
                <w:b/>
                <w:sz w:val="16"/>
                <w:szCs w:val="16"/>
              </w:rPr>
              <w:t>Latitude</w:t>
            </w:r>
          </w:p>
        </w:tc>
        <w:tc>
          <w:tcPr>
            <w:tcW w:w="1080" w:type="dxa"/>
            <w:vAlign w:val="center"/>
          </w:tcPr>
          <w:p w14:paraId="6A790868" w14:textId="77777777" w:rsidR="00C954CC" w:rsidRPr="001475DC" w:rsidRDefault="00C954CC" w:rsidP="001475DC">
            <w:pPr>
              <w:rPr>
                <w:b/>
                <w:bCs w:val="0"/>
                <w:sz w:val="16"/>
                <w:szCs w:val="16"/>
              </w:rPr>
            </w:pPr>
            <w:r w:rsidRPr="001475DC">
              <w:rPr>
                <w:b/>
                <w:sz w:val="16"/>
                <w:szCs w:val="16"/>
              </w:rPr>
              <w:t>Longitude</w:t>
            </w:r>
          </w:p>
        </w:tc>
        <w:tc>
          <w:tcPr>
            <w:tcW w:w="990" w:type="dxa"/>
            <w:vAlign w:val="center"/>
          </w:tcPr>
          <w:p w14:paraId="32737D76" w14:textId="0A698343" w:rsidR="00C954CC" w:rsidRPr="001475DC" w:rsidRDefault="00C954CC" w:rsidP="001475DC">
            <w:pPr>
              <w:rPr>
                <w:b/>
                <w:sz w:val="16"/>
                <w:szCs w:val="16"/>
              </w:rPr>
            </w:pPr>
            <w:r w:rsidRPr="001475DC">
              <w:rPr>
                <w:b/>
                <w:sz w:val="16"/>
                <w:szCs w:val="16"/>
              </w:rPr>
              <w:t>Elevation</w:t>
            </w:r>
          </w:p>
        </w:tc>
        <w:tc>
          <w:tcPr>
            <w:tcW w:w="630" w:type="dxa"/>
            <w:vAlign w:val="center"/>
          </w:tcPr>
          <w:p w14:paraId="40445AEB" w14:textId="66587060" w:rsidR="00C954CC" w:rsidRPr="001475DC" w:rsidRDefault="00C954CC" w:rsidP="001475DC">
            <w:pPr>
              <w:rPr>
                <w:b/>
                <w:bCs w:val="0"/>
                <w:sz w:val="16"/>
                <w:szCs w:val="16"/>
              </w:rPr>
            </w:pPr>
            <w:proofErr w:type="spellStart"/>
            <w:r w:rsidRPr="001475DC">
              <w:rPr>
                <w:b/>
                <w:i/>
                <w:iCs/>
                <w:sz w:val="16"/>
                <w:szCs w:val="16"/>
              </w:rPr>
              <w:t>T</w:t>
            </w:r>
            <w:r w:rsidRPr="001475DC">
              <w:rPr>
                <w:b/>
                <w:sz w:val="16"/>
                <w:szCs w:val="16"/>
                <w:vertAlign w:val="subscript"/>
              </w:rPr>
              <w:t>g</w:t>
            </w:r>
            <w:proofErr w:type="spellEnd"/>
          </w:p>
        </w:tc>
        <w:tc>
          <w:tcPr>
            <w:tcW w:w="630" w:type="dxa"/>
            <w:vAlign w:val="center"/>
          </w:tcPr>
          <w:p w14:paraId="1960BABF" w14:textId="239E42C7" w:rsidR="00C954CC" w:rsidRPr="001475DC" w:rsidRDefault="00C954CC" w:rsidP="001475DC">
            <w:pPr>
              <w:rPr>
                <w:b/>
                <w:bCs w:val="0"/>
                <w:sz w:val="16"/>
                <w:szCs w:val="16"/>
              </w:rPr>
            </w:pPr>
            <w:proofErr w:type="spellStart"/>
            <w:r w:rsidRPr="001475DC">
              <w:rPr>
                <w:b/>
                <w:i/>
                <w:iCs/>
                <w:sz w:val="16"/>
                <w:szCs w:val="16"/>
              </w:rPr>
              <w:t>AI</w:t>
            </w:r>
            <w:r w:rsidRPr="001475DC">
              <w:rPr>
                <w:b/>
                <w:sz w:val="16"/>
                <w:szCs w:val="16"/>
                <w:vertAlign w:val="subscript"/>
              </w:rPr>
              <w:t>g</w:t>
            </w:r>
            <w:proofErr w:type="spellEnd"/>
          </w:p>
        </w:tc>
        <w:tc>
          <w:tcPr>
            <w:tcW w:w="630" w:type="dxa"/>
            <w:vAlign w:val="center"/>
          </w:tcPr>
          <w:p w14:paraId="5261279C" w14:textId="3C4516CB" w:rsidR="00C954CC" w:rsidRPr="001475DC" w:rsidRDefault="00C954CC" w:rsidP="001475DC">
            <w:pPr>
              <w:rPr>
                <w:b/>
                <w:bCs w:val="0"/>
                <w:sz w:val="16"/>
                <w:szCs w:val="16"/>
              </w:rPr>
            </w:pPr>
            <w:proofErr w:type="spellStart"/>
            <w:r w:rsidRPr="001475DC">
              <w:rPr>
                <w:b/>
                <w:bCs w:val="0"/>
                <w:i/>
                <w:iCs/>
                <w:sz w:val="16"/>
                <w:szCs w:val="16"/>
              </w:rPr>
              <w:t>PAR</w:t>
            </w:r>
            <w:r w:rsidRPr="001475DC">
              <w:rPr>
                <w:b/>
                <w:bCs w:val="0"/>
                <w:sz w:val="16"/>
                <w:szCs w:val="16"/>
                <w:vertAlign w:val="subscript"/>
              </w:rPr>
              <w:t>g</w:t>
            </w:r>
            <w:proofErr w:type="spellEnd"/>
          </w:p>
        </w:tc>
        <w:tc>
          <w:tcPr>
            <w:tcW w:w="1080" w:type="dxa"/>
            <w:vAlign w:val="center"/>
          </w:tcPr>
          <w:p w14:paraId="2EE8EEE7" w14:textId="70E3131D" w:rsidR="00C954CC" w:rsidRPr="001475DC" w:rsidRDefault="00C954CC" w:rsidP="001475DC">
            <w:pPr>
              <w:rPr>
                <w:b/>
                <w:bCs w:val="0"/>
                <w:sz w:val="16"/>
                <w:szCs w:val="16"/>
              </w:rPr>
            </w:pPr>
            <w:r w:rsidRPr="001475DC">
              <w:rPr>
                <w:b/>
                <w:sz w:val="16"/>
                <w:szCs w:val="16"/>
              </w:rPr>
              <w:t>Ecosystem type</w:t>
            </w:r>
          </w:p>
        </w:tc>
        <w:tc>
          <w:tcPr>
            <w:tcW w:w="1170" w:type="dxa"/>
            <w:vAlign w:val="center"/>
          </w:tcPr>
          <w:p w14:paraId="3921F2A1" w14:textId="77777777" w:rsidR="00C954CC" w:rsidRPr="001475DC" w:rsidRDefault="00C954CC" w:rsidP="001475DC">
            <w:pPr>
              <w:rPr>
                <w:b/>
                <w:bCs w:val="0"/>
                <w:sz w:val="16"/>
                <w:szCs w:val="16"/>
              </w:rPr>
            </w:pPr>
            <w:r w:rsidRPr="001475DC">
              <w:rPr>
                <w:b/>
                <w:sz w:val="16"/>
                <w:szCs w:val="16"/>
              </w:rPr>
              <w:t>Experiment type</w:t>
            </w:r>
          </w:p>
        </w:tc>
        <w:tc>
          <w:tcPr>
            <w:tcW w:w="1080" w:type="dxa"/>
            <w:vAlign w:val="center"/>
          </w:tcPr>
          <w:p w14:paraId="6665D4BD" w14:textId="77777777" w:rsidR="00C954CC" w:rsidRPr="001475DC" w:rsidRDefault="00C954CC" w:rsidP="001475DC">
            <w:pPr>
              <w:rPr>
                <w:b/>
                <w:bCs w:val="0"/>
                <w:sz w:val="16"/>
                <w:szCs w:val="16"/>
              </w:rPr>
            </w:pPr>
            <w:proofErr w:type="spellStart"/>
            <w:r w:rsidRPr="001475DC">
              <w:rPr>
                <w:b/>
                <w:sz w:val="16"/>
                <w:szCs w:val="16"/>
              </w:rPr>
              <w:t>N</w:t>
            </w:r>
            <w:proofErr w:type="spellEnd"/>
            <w:r w:rsidRPr="001475DC">
              <w:rPr>
                <w:b/>
                <w:sz w:val="16"/>
                <w:szCs w:val="16"/>
              </w:rPr>
              <w:t xml:space="preserve"> addition rate (g m</w:t>
            </w:r>
            <w:r w:rsidRPr="001475DC">
              <w:rPr>
                <w:b/>
                <w:sz w:val="16"/>
                <w:szCs w:val="16"/>
                <w:vertAlign w:val="superscript"/>
              </w:rPr>
              <w:t>-2</w:t>
            </w:r>
            <w:r w:rsidRPr="001475DC">
              <w:rPr>
                <w:b/>
                <w:sz w:val="16"/>
                <w:szCs w:val="16"/>
              </w:rPr>
              <w:t>)</w:t>
            </w:r>
          </w:p>
        </w:tc>
        <w:tc>
          <w:tcPr>
            <w:tcW w:w="1080" w:type="dxa"/>
            <w:vAlign w:val="center"/>
          </w:tcPr>
          <w:p w14:paraId="6B9F5716" w14:textId="77777777" w:rsidR="00C954CC" w:rsidRPr="001475DC" w:rsidRDefault="00C954CC" w:rsidP="001475DC">
            <w:pPr>
              <w:rPr>
                <w:b/>
                <w:bCs w:val="0"/>
                <w:sz w:val="16"/>
                <w:szCs w:val="16"/>
              </w:rPr>
            </w:pPr>
            <w:r w:rsidRPr="001475DC">
              <w:rPr>
                <w:b/>
                <w:sz w:val="16"/>
                <w:szCs w:val="16"/>
              </w:rPr>
              <w:t>P addition rate (g m</w:t>
            </w:r>
            <w:r w:rsidRPr="001475DC">
              <w:rPr>
                <w:b/>
                <w:sz w:val="16"/>
                <w:szCs w:val="16"/>
                <w:vertAlign w:val="superscript"/>
              </w:rPr>
              <w:t>-2</w:t>
            </w:r>
            <w:r w:rsidRPr="001475DC">
              <w:rPr>
                <w:b/>
                <w:sz w:val="16"/>
                <w:szCs w:val="16"/>
              </w:rPr>
              <w:t>)</w:t>
            </w:r>
          </w:p>
        </w:tc>
      </w:tr>
      <w:tr w:rsidR="00C954CC" w:rsidRPr="00D81D83" w14:paraId="7C150A13" w14:textId="77777777" w:rsidTr="00C954CC">
        <w:sdt>
          <w:sdtPr>
            <w:rPr>
              <w:color w:val="000000"/>
              <w:sz w:val="18"/>
              <w:szCs w:val="18"/>
            </w:rPr>
            <w:tag w:val="MENDELEY_CITATION_v3_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"/>
            <w:id w:val="42179065"/>
            <w:placeholder>
              <w:docPart w:val="912AD8E92FF680409B2946F50FBA8B14"/>
            </w:placeholder>
          </w:sdtPr>
          <w:sdtContent>
            <w:tc>
              <w:tcPr>
                <w:tcW w:w="2155" w:type="dxa"/>
                <w:vMerge w:val="restart"/>
                <w:vAlign w:val="center"/>
              </w:tcPr>
              <w:p w14:paraId="63C72723" w14:textId="56A3C154" w:rsidR="00C954CC" w:rsidRPr="00EC21FB" w:rsidRDefault="00E807B5" w:rsidP="00E951AB">
                <w:pPr>
                  <w:rPr>
                    <w:sz w:val="18"/>
                    <w:szCs w:val="18"/>
                  </w:rPr>
                </w:pPr>
                <w:r w:rsidRPr="00E807B5">
                  <w:rPr>
                    <w:rFonts w:eastAsia="Times New Roman"/>
                    <w:color w:val="000000"/>
                    <w:sz w:val="18"/>
                  </w:rPr>
                  <w:t>(Aerts et al., 2003)</w:t>
                </w:r>
              </w:p>
            </w:tc>
          </w:sdtContent>
        </w:sdt>
        <w:tc>
          <w:tcPr>
            <w:tcW w:w="1350" w:type="dxa"/>
          </w:tcPr>
          <w:p w14:paraId="6A356665" w14:textId="77777777" w:rsidR="00C954CC" w:rsidRPr="00EC21FB" w:rsidRDefault="00C954CC" w:rsidP="00E951AB">
            <w:pPr>
              <w:rPr>
                <w:color w:val="000000"/>
                <w:sz w:val="18"/>
                <w:szCs w:val="18"/>
              </w:rPr>
            </w:pPr>
            <w:proofErr w:type="spellStart"/>
            <w:r w:rsidRPr="00EC21FB">
              <w:rPr>
                <w:color w:val="000000"/>
                <w:sz w:val="18"/>
                <w:szCs w:val="18"/>
              </w:rPr>
              <w:t>bovenpolder</w:t>
            </w:r>
            <w:proofErr w:type="spellEnd"/>
          </w:p>
        </w:tc>
        <w:tc>
          <w:tcPr>
            <w:tcW w:w="900" w:type="dxa"/>
            <w:vAlign w:val="center"/>
          </w:tcPr>
          <w:p w14:paraId="1DA61420" w14:textId="77777777" w:rsidR="00C954CC" w:rsidRPr="00EC21FB" w:rsidRDefault="00C954CC" w:rsidP="00E951AB">
            <w:pPr>
              <w:jc w:val="right"/>
              <w:rPr>
                <w:color w:val="000000"/>
                <w:sz w:val="18"/>
                <w:szCs w:val="18"/>
              </w:rPr>
            </w:pPr>
            <w:r w:rsidRPr="00EC21FB">
              <w:rPr>
                <w:color w:val="000000"/>
                <w:sz w:val="18"/>
                <w:szCs w:val="18"/>
              </w:rPr>
              <w:t>51.85</w:t>
            </w:r>
          </w:p>
        </w:tc>
        <w:tc>
          <w:tcPr>
            <w:tcW w:w="1080" w:type="dxa"/>
            <w:vAlign w:val="center"/>
          </w:tcPr>
          <w:p w14:paraId="075EC487" w14:textId="77777777" w:rsidR="00C954CC" w:rsidRPr="00EC21FB" w:rsidRDefault="00C954CC" w:rsidP="00E951AB">
            <w:pPr>
              <w:jc w:val="right"/>
              <w:rPr>
                <w:color w:val="000000"/>
                <w:sz w:val="18"/>
                <w:szCs w:val="18"/>
              </w:rPr>
            </w:pPr>
            <w:r w:rsidRPr="00EC21FB">
              <w:rPr>
                <w:color w:val="000000"/>
                <w:sz w:val="18"/>
                <w:szCs w:val="18"/>
              </w:rPr>
              <w:t>5.62</w:t>
            </w:r>
          </w:p>
        </w:tc>
        <w:tc>
          <w:tcPr>
            <w:tcW w:w="990" w:type="dxa"/>
          </w:tcPr>
          <w:p w14:paraId="1FDE6482" w14:textId="6F78D2E3" w:rsidR="00C954CC" w:rsidRPr="00EC21FB" w:rsidRDefault="00C954CC" w:rsidP="00E951AB">
            <w:pPr>
              <w:jc w:val="right"/>
              <w:rPr>
                <w:color w:val="000000"/>
                <w:sz w:val="18"/>
                <w:szCs w:val="18"/>
              </w:rPr>
            </w:pPr>
            <w:r>
              <w:rPr>
                <w:color w:val="000000"/>
                <w:sz w:val="18"/>
                <w:szCs w:val="18"/>
              </w:rPr>
              <w:t>6</w:t>
            </w:r>
          </w:p>
        </w:tc>
        <w:tc>
          <w:tcPr>
            <w:tcW w:w="630" w:type="dxa"/>
            <w:vAlign w:val="center"/>
          </w:tcPr>
          <w:p w14:paraId="59A62BA9" w14:textId="758E5447" w:rsidR="00C954CC" w:rsidRPr="00EC21FB" w:rsidRDefault="00C954CC" w:rsidP="00E951AB">
            <w:pPr>
              <w:jc w:val="right"/>
              <w:rPr>
                <w:color w:val="000000"/>
                <w:sz w:val="18"/>
                <w:szCs w:val="18"/>
              </w:rPr>
            </w:pPr>
            <w:r>
              <w:rPr>
                <w:color w:val="000000"/>
                <w:sz w:val="18"/>
                <w:szCs w:val="18"/>
              </w:rPr>
              <w:t>9.</w:t>
            </w:r>
            <w:r w:rsidR="006B3F81">
              <w:rPr>
                <w:color w:val="000000"/>
                <w:sz w:val="18"/>
                <w:szCs w:val="18"/>
              </w:rPr>
              <w:t>6</w:t>
            </w:r>
          </w:p>
        </w:tc>
        <w:tc>
          <w:tcPr>
            <w:tcW w:w="630" w:type="dxa"/>
            <w:vAlign w:val="center"/>
          </w:tcPr>
          <w:p w14:paraId="56E5CA36" w14:textId="0AB5BFCA" w:rsidR="00C954CC" w:rsidRPr="00EC21FB" w:rsidRDefault="006B3F81" w:rsidP="00E951AB">
            <w:pPr>
              <w:jc w:val="right"/>
              <w:rPr>
                <w:color w:val="000000"/>
                <w:sz w:val="18"/>
                <w:szCs w:val="18"/>
              </w:rPr>
            </w:pPr>
            <w:r>
              <w:rPr>
                <w:color w:val="000000"/>
                <w:sz w:val="18"/>
                <w:szCs w:val="18"/>
              </w:rPr>
              <w:t>1.56</w:t>
            </w:r>
          </w:p>
        </w:tc>
        <w:tc>
          <w:tcPr>
            <w:tcW w:w="630" w:type="dxa"/>
          </w:tcPr>
          <w:p w14:paraId="5AB2D058" w14:textId="749DEBC0" w:rsidR="00C954CC" w:rsidRPr="00EC21FB" w:rsidRDefault="006B3F81" w:rsidP="00E951AB">
            <w:pPr>
              <w:jc w:val="right"/>
              <w:rPr>
                <w:color w:val="000000"/>
                <w:sz w:val="18"/>
                <w:szCs w:val="18"/>
              </w:rPr>
            </w:pPr>
            <w:r>
              <w:rPr>
                <w:color w:val="000000"/>
                <w:sz w:val="18"/>
                <w:szCs w:val="18"/>
              </w:rPr>
              <w:t>478</w:t>
            </w:r>
          </w:p>
        </w:tc>
        <w:tc>
          <w:tcPr>
            <w:tcW w:w="1080" w:type="dxa"/>
            <w:vAlign w:val="center"/>
          </w:tcPr>
          <w:p w14:paraId="488B4EF6" w14:textId="7439710C" w:rsidR="00C954CC" w:rsidRPr="00EC21FB" w:rsidRDefault="00C954CC" w:rsidP="00E951AB">
            <w:pPr>
              <w:jc w:val="right"/>
              <w:rPr>
                <w:color w:val="000000"/>
                <w:sz w:val="18"/>
                <w:szCs w:val="18"/>
              </w:rPr>
            </w:pPr>
            <w:r w:rsidRPr="00EC21FB">
              <w:rPr>
                <w:color w:val="000000"/>
                <w:sz w:val="18"/>
                <w:szCs w:val="18"/>
              </w:rPr>
              <w:t>grassland</w:t>
            </w:r>
          </w:p>
        </w:tc>
        <w:tc>
          <w:tcPr>
            <w:tcW w:w="1170" w:type="dxa"/>
            <w:vAlign w:val="center"/>
          </w:tcPr>
          <w:p w14:paraId="236108F0"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5CA0A34C" w14:textId="77777777" w:rsidR="00C954CC" w:rsidRPr="00EC21FB" w:rsidRDefault="00C954CC" w:rsidP="00E951AB">
            <w:pPr>
              <w:jc w:val="right"/>
              <w:rPr>
                <w:color w:val="000000"/>
                <w:sz w:val="18"/>
                <w:szCs w:val="18"/>
              </w:rPr>
            </w:pPr>
            <w:r w:rsidRPr="00EC21FB">
              <w:rPr>
                <w:color w:val="000000"/>
                <w:sz w:val="18"/>
                <w:szCs w:val="18"/>
              </w:rPr>
              <w:t>10</w:t>
            </w:r>
          </w:p>
        </w:tc>
        <w:tc>
          <w:tcPr>
            <w:tcW w:w="1080" w:type="dxa"/>
            <w:vAlign w:val="center"/>
          </w:tcPr>
          <w:p w14:paraId="19A578B9" w14:textId="77777777" w:rsidR="00C954CC" w:rsidRPr="00EC21FB" w:rsidRDefault="00C954CC" w:rsidP="00E951AB">
            <w:pPr>
              <w:jc w:val="right"/>
              <w:rPr>
                <w:color w:val="000000"/>
                <w:sz w:val="18"/>
                <w:szCs w:val="18"/>
              </w:rPr>
            </w:pPr>
            <w:r w:rsidRPr="00EC21FB">
              <w:rPr>
                <w:color w:val="000000"/>
                <w:sz w:val="18"/>
                <w:szCs w:val="18"/>
              </w:rPr>
              <w:t>5</w:t>
            </w:r>
          </w:p>
        </w:tc>
      </w:tr>
      <w:tr w:rsidR="00C954CC" w:rsidRPr="00D81D83" w14:paraId="35D7D662" w14:textId="77777777" w:rsidTr="00C954CC">
        <w:tc>
          <w:tcPr>
            <w:tcW w:w="2155" w:type="dxa"/>
            <w:vMerge/>
          </w:tcPr>
          <w:p w14:paraId="4E3075EF" w14:textId="77777777" w:rsidR="00C954CC" w:rsidRPr="00EC21FB" w:rsidRDefault="00C954CC" w:rsidP="00E951AB">
            <w:pPr>
              <w:rPr>
                <w:color w:val="000000"/>
                <w:sz w:val="18"/>
                <w:szCs w:val="18"/>
              </w:rPr>
            </w:pPr>
          </w:p>
        </w:tc>
        <w:tc>
          <w:tcPr>
            <w:tcW w:w="1350" w:type="dxa"/>
          </w:tcPr>
          <w:p w14:paraId="34293568" w14:textId="77777777" w:rsidR="00C954CC" w:rsidRPr="00EC21FB" w:rsidRDefault="00C954CC" w:rsidP="00E951AB">
            <w:pPr>
              <w:rPr>
                <w:color w:val="000000"/>
                <w:sz w:val="18"/>
                <w:szCs w:val="18"/>
              </w:rPr>
            </w:pPr>
            <w:proofErr w:type="spellStart"/>
            <w:r w:rsidRPr="00EC21FB">
              <w:rPr>
                <w:color w:val="000000"/>
                <w:sz w:val="18"/>
                <w:szCs w:val="18"/>
              </w:rPr>
              <w:t>bethunepolder</w:t>
            </w:r>
            <w:proofErr w:type="spellEnd"/>
          </w:p>
        </w:tc>
        <w:tc>
          <w:tcPr>
            <w:tcW w:w="900" w:type="dxa"/>
            <w:vAlign w:val="center"/>
          </w:tcPr>
          <w:p w14:paraId="2BF2999E" w14:textId="77777777" w:rsidR="00C954CC" w:rsidRPr="00EC21FB" w:rsidRDefault="00C954CC" w:rsidP="00E951AB">
            <w:pPr>
              <w:jc w:val="right"/>
              <w:rPr>
                <w:color w:val="000000"/>
                <w:sz w:val="18"/>
                <w:szCs w:val="18"/>
              </w:rPr>
            </w:pPr>
            <w:r w:rsidRPr="00EC21FB">
              <w:rPr>
                <w:color w:val="000000"/>
                <w:sz w:val="18"/>
                <w:szCs w:val="18"/>
              </w:rPr>
              <w:t>52.07</w:t>
            </w:r>
          </w:p>
        </w:tc>
        <w:tc>
          <w:tcPr>
            <w:tcW w:w="1080" w:type="dxa"/>
            <w:vAlign w:val="center"/>
          </w:tcPr>
          <w:p w14:paraId="14FC1D24" w14:textId="77777777" w:rsidR="00C954CC" w:rsidRPr="00EC21FB" w:rsidRDefault="00C954CC" w:rsidP="00E951AB">
            <w:pPr>
              <w:jc w:val="right"/>
              <w:rPr>
                <w:color w:val="000000"/>
                <w:sz w:val="18"/>
                <w:szCs w:val="18"/>
              </w:rPr>
            </w:pPr>
            <w:r w:rsidRPr="00EC21FB">
              <w:rPr>
                <w:color w:val="000000"/>
                <w:sz w:val="18"/>
                <w:szCs w:val="18"/>
              </w:rPr>
              <w:t>5.58</w:t>
            </w:r>
          </w:p>
        </w:tc>
        <w:tc>
          <w:tcPr>
            <w:tcW w:w="990" w:type="dxa"/>
          </w:tcPr>
          <w:p w14:paraId="0E53A29C" w14:textId="093F2FCD" w:rsidR="00C954CC" w:rsidRPr="00EC21FB" w:rsidRDefault="00C954CC" w:rsidP="00E951AB">
            <w:pPr>
              <w:jc w:val="right"/>
              <w:rPr>
                <w:color w:val="000000"/>
                <w:sz w:val="18"/>
                <w:szCs w:val="18"/>
              </w:rPr>
            </w:pPr>
            <w:r>
              <w:rPr>
                <w:color w:val="000000"/>
                <w:sz w:val="18"/>
                <w:szCs w:val="18"/>
              </w:rPr>
              <w:t>8</w:t>
            </w:r>
          </w:p>
        </w:tc>
        <w:tc>
          <w:tcPr>
            <w:tcW w:w="630" w:type="dxa"/>
            <w:vAlign w:val="center"/>
          </w:tcPr>
          <w:p w14:paraId="26F6A048" w14:textId="48672CAE" w:rsidR="00C954CC" w:rsidRPr="00EC21FB" w:rsidRDefault="006B3F81" w:rsidP="00E951AB">
            <w:pPr>
              <w:jc w:val="right"/>
              <w:rPr>
                <w:color w:val="000000"/>
                <w:sz w:val="18"/>
                <w:szCs w:val="18"/>
              </w:rPr>
            </w:pPr>
            <w:r>
              <w:rPr>
                <w:color w:val="000000"/>
                <w:sz w:val="18"/>
                <w:szCs w:val="18"/>
              </w:rPr>
              <w:t>9.7</w:t>
            </w:r>
          </w:p>
        </w:tc>
        <w:tc>
          <w:tcPr>
            <w:tcW w:w="630" w:type="dxa"/>
            <w:vAlign w:val="center"/>
          </w:tcPr>
          <w:p w14:paraId="5E6FB874" w14:textId="72137B4F" w:rsidR="00C954CC" w:rsidRPr="00EC21FB" w:rsidRDefault="006B3F81" w:rsidP="00E951AB">
            <w:pPr>
              <w:jc w:val="right"/>
              <w:rPr>
                <w:color w:val="000000"/>
                <w:sz w:val="18"/>
                <w:szCs w:val="18"/>
              </w:rPr>
            </w:pPr>
            <w:r>
              <w:rPr>
                <w:color w:val="000000"/>
                <w:sz w:val="18"/>
                <w:szCs w:val="18"/>
              </w:rPr>
              <w:t>1.81</w:t>
            </w:r>
          </w:p>
        </w:tc>
        <w:tc>
          <w:tcPr>
            <w:tcW w:w="630" w:type="dxa"/>
          </w:tcPr>
          <w:p w14:paraId="3D7BCE63" w14:textId="36ABB919" w:rsidR="00C954CC" w:rsidRPr="00EC21FB" w:rsidRDefault="006B3F81" w:rsidP="00E951AB">
            <w:pPr>
              <w:jc w:val="right"/>
              <w:rPr>
                <w:color w:val="000000"/>
                <w:sz w:val="18"/>
                <w:szCs w:val="18"/>
              </w:rPr>
            </w:pPr>
            <w:r>
              <w:rPr>
                <w:color w:val="000000"/>
                <w:sz w:val="18"/>
                <w:szCs w:val="18"/>
              </w:rPr>
              <w:t>474</w:t>
            </w:r>
          </w:p>
        </w:tc>
        <w:tc>
          <w:tcPr>
            <w:tcW w:w="1080" w:type="dxa"/>
            <w:vAlign w:val="center"/>
          </w:tcPr>
          <w:p w14:paraId="7F043339" w14:textId="18EFAAE5" w:rsidR="00C954CC" w:rsidRPr="00EC21FB" w:rsidRDefault="00C954CC" w:rsidP="00E951AB">
            <w:pPr>
              <w:jc w:val="right"/>
              <w:rPr>
                <w:color w:val="000000"/>
                <w:sz w:val="18"/>
                <w:szCs w:val="18"/>
              </w:rPr>
            </w:pPr>
            <w:r w:rsidRPr="00EC21FB">
              <w:rPr>
                <w:color w:val="000000"/>
                <w:sz w:val="18"/>
                <w:szCs w:val="18"/>
              </w:rPr>
              <w:t>grassland</w:t>
            </w:r>
          </w:p>
        </w:tc>
        <w:tc>
          <w:tcPr>
            <w:tcW w:w="1170" w:type="dxa"/>
            <w:vAlign w:val="center"/>
          </w:tcPr>
          <w:p w14:paraId="5F2DFFED"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02C0086F" w14:textId="77777777" w:rsidR="00C954CC" w:rsidRPr="00EC21FB" w:rsidRDefault="00C954CC" w:rsidP="00E951AB">
            <w:pPr>
              <w:jc w:val="right"/>
              <w:rPr>
                <w:color w:val="000000"/>
                <w:sz w:val="18"/>
                <w:szCs w:val="18"/>
              </w:rPr>
            </w:pPr>
            <w:r w:rsidRPr="00EC21FB">
              <w:rPr>
                <w:color w:val="000000"/>
                <w:sz w:val="18"/>
                <w:szCs w:val="18"/>
              </w:rPr>
              <w:t>10</w:t>
            </w:r>
          </w:p>
        </w:tc>
        <w:tc>
          <w:tcPr>
            <w:tcW w:w="1080" w:type="dxa"/>
            <w:vAlign w:val="center"/>
          </w:tcPr>
          <w:p w14:paraId="1C103BEE" w14:textId="77777777" w:rsidR="00C954CC" w:rsidRPr="00EC21FB" w:rsidRDefault="00C954CC" w:rsidP="00E951AB">
            <w:pPr>
              <w:jc w:val="right"/>
              <w:rPr>
                <w:color w:val="000000"/>
                <w:sz w:val="18"/>
                <w:szCs w:val="18"/>
              </w:rPr>
            </w:pPr>
            <w:r w:rsidRPr="00EC21FB">
              <w:rPr>
                <w:color w:val="000000"/>
                <w:sz w:val="18"/>
                <w:szCs w:val="18"/>
              </w:rPr>
              <w:t>5</w:t>
            </w:r>
          </w:p>
        </w:tc>
      </w:tr>
      <w:tr w:rsidR="00C954CC" w:rsidRPr="006A7EA7" w14:paraId="70D49011" w14:textId="77777777" w:rsidTr="00C954CC">
        <w:sdt>
          <w:sdtPr>
            <w:rPr>
              <w:color w:val="000000"/>
              <w:sz w:val="18"/>
              <w:szCs w:val="18"/>
            </w:rPr>
            <w:tag w:val="MENDELEY_CITATION_v3_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"/>
            <w:id w:val="934872661"/>
            <w:placeholder>
              <w:docPart w:val="F159981083308A4582E487F63FE23D96"/>
            </w:placeholder>
          </w:sdtPr>
          <w:sdtContent>
            <w:tc>
              <w:tcPr>
                <w:tcW w:w="2155" w:type="dxa"/>
              </w:tcPr>
              <w:p w14:paraId="34482B91" w14:textId="2F51D32E" w:rsidR="00C954CC" w:rsidRPr="00EC21FB" w:rsidRDefault="00E807B5" w:rsidP="00E951AB">
                <w:pPr>
                  <w:rPr>
                    <w:sz w:val="18"/>
                    <w:szCs w:val="18"/>
                  </w:rPr>
                </w:pPr>
                <w:r w:rsidRPr="00E807B5">
                  <w:rPr>
                    <w:rFonts w:eastAsia="Times New Roman"/>
                    <w:color w:val="000000"/>
                    <w:sz w:val="18"/>
                  </w:rPr>
                  <w:t>(Arens et al., 2008)</w:t>
                </w:r>
              </w:p>
            </w:tc>
          </w:sdtContent>
        </w:sdt>
        <w:tc>
          <w:tcPr>
            <w:tcW w:w="1350" w:type="dxa"/>
          </w:tcPr>
          <w:p w14:paraId="4FBC3BD5" w14:textId="77777777" w:rsidR="00C954CC" w:rsidRPr="00EC21FB" w:rsidRDefault="00C954CC" w:rsidP="00E951AB">
            <w:pPr>
              <w:rPr>
                <w:color w:val="000000"/>
                <w:sz w:val="18"/>
                <w:szCs w:val="18"/>
              </w:rPr>
            </w:pPr>
            <w:proofErr w:type="spellStart"/>
            <w:r w:rsidRPr="00EC21FB">
              <w:rPr>
                <w:color w:val="000000"/>
                <w:sz w:val="18"/>
                <w:szCs w:val="18"/>
              </w:rPr>
              <w:t>pituffik</w:t>
            </w:r>
            <w:proofErr w:type="spellEnd"/>
          </w:p>
        </w:tc>
        <w:tc>
          <w:tcPr>
            <w:tcW w:w="900" w:type="dxa"/>
            <w:vAlign w:val="center"/>
          </w:tcPr>
          <w:p w14:paraId="03503246" w14:textId="77777777" w:rsidR="00C954CC" w:rsidRPr="00EC21FB" w:rsidRDefault="00C954CC" w:rsidP="00E951AB">
            <w:pPr>
              <w:jc w:val="right"/>
              <w:rPr>
                <w:color w:val="000000"/>
                <w:sz w:val="18"/>
                <w:szCs w:val="18"/>
              </w:rPr>
            </w:pPr>
            <w:r w:rsidRPr="00EC21FB">
              <w:rPr>
                <w:color w:val="000000"/>
                <w:sz w:val="18"/>
                <w:szCs w:val="18"/>
              </w:rPr>
              <w:t>76.55</w:t>
            </w:r>
          </w:p>
        </w:tc>
        <w:tc>
          <w:tcPr>
            <w:tcW w:w="1080" w:type="dxa"/>
            <w:vAlign w:val="center"/>
          </w:tcPr>
          <w:p w14:paraId="36A55D61" w14:textId="77777777" w:rsidR="00C954CC" w:rsidRPr="00EC21FB" w:rsidRDefault="00C954CC" w:rsidP="00E951AB">
            <w:pPr>
              <w:jc w:val="right"/>
              <w:rPr>
                <w:color w:val="000000"/>
                <w:sz w:val="18"/>
                <w:szCs w:val="18"/>
              </w:rPr>
            </w:pPr>
            <w:r w:rsidRPr="00EC21FB">
              <w:rPr>
                <w:color w:val="000000"/>
                <w:sz w:val="18"/>
                <w:szCs w:val="18"/>
              </w:rPr>
              <w:t>-68.57</w:t>
            </w:r>
          </w:p>
        </w:tc>
        <w:tc>
          <w:tcPr>
            <w:tcW w:w="990" w:type="dxa"/>
          </w:tcPr>
          <w:p w14:paraId="2E1C5CF8" w14:textId="49B4CC32" w:rsidR="00C954CC" w:rsidRPr="00EC21FB" w:rsidRDefault="006B3F81" w:rsidP="00E951AB">
            <w:pPr>
              <w:jc w:val="right"/>
              <w:rPr>
                <w:color w:val="000000"/>
                <w:sz w:val="18"/>
                <w:szCs w:val="18"/>
              </w:rPr>
            </w:pPr>
            <w:r>
              <w:rPr>
                <w:color w:val="000000"/>
                <w:sz w:val="18"/>
                <w:szCs w:val="18"/>
              </w:rPr>
              <w:t>229</w:t>
            </w:r>
          </w:p>
        </w:tc>
        <w:tc>
          <w:tcPr>
            <w:tcW w:w="630" w:type="dxa"/>
            <w:vAlign w:val="center"/>
          </w:tcPr>
          <w:p w14:paraId="00FC23B1" w14:textId="23796101" w:rsidR="00C954CC" w:rsidRPr="00EC21FB" w:rsidRDefault="006B3F81" w:rsidP="00E951AB">
            <w:pPr>
              <w:jc w:val="right"/>
              <w:rPr>
                <w:color w:val="000000"/>
                <w:sz w:val="18"/>
                <w:szCs w:val="18"/>
              </w:rPr>
            </w:pPr>
            <w:r>
              <w:rPr>
                <w:color w:val="000000"/>
                <w:sz w:val="18"/>
                <w:szCs w:val="18"/>
              </w:rPr>
              <w:t>4.2</w:t>
            </w:r>
          </w:p>
        </w:tc>
        <w:tc>
          <w:tcPr>
            <w:tcW w:w="630" w:type="dxa"/>
            <w:vAlign w:val="center"/>
          </w:tcPr>
          <w:p w14:paraId="63F1F26C" w14:textId="50EABA63" w:rsidR="00C954CC" w:rsidRPr="00EC21FB" w:rsidRDefault="006B3F81" w:rsidP="00E951AB">
            <w:pPr>
              <w:jc w:val="right"/>
              <w:rPr>
                <w:color w:val="000000"/>
                <w:sz w:val="18"/>
                <w:szCs w:val="18"/>
              </w:rPr>
            </w:pPr>
            <w:r>
              <w:rPr>
                <w:color w:val="000000"/>
                <w:sz w:val="18"/>
                <w:szCs w:val="18"/>
              </w:rPr>
              <w:t>0.25</w:t>
            </w:r>
          </w:p>
        </w:tc>
        <w:tc>
          <w:tcPr>
            <w:tcW w:w="630" w:type="dxa"/>
          </w:tcPr>
          <w:p w14:paraId="6C9962DF" w14:textId="4A9C6BD7" w:rsidR="00C954CC" w:rsidRPr="00EC21FB" w:rsidRDefault="006B3F81" w:rsidP="00E951AB">
            <w:pPr>
              <w:jc w:val="right"/>
              <w:rPr>
                <w:color w:val="000000"/>
                <w:sz w:val="18"/>
                <w:szCs w:val="18"/>
              </w:rPr>
            </w:pPr>
            <w:r>
              <w:rPr>
                <w:color w:val="000000"/>
                <w:sz w:val="18"/>
                <w:szCs w:val="18"/>
              </w:rPr>
              <w:t>855</w:t>
            </w:r>
          </w:p>
        </w:tc>
        <w:tc>
          <w:tcPr>
            <w:tcW w:w="1080" w:type="dxa"/>
            <w:vAlign w:val="center"/>
          </w:tcPr>
          <w:p w14:paraId="53EE111F" w14:textId="51A97279" w:rsidR="00C954CC" w:rsidRPr="00EC21FB" w:rsidRDefault="00C954CC" w:rsidP="00E951AB">
            <w:pPr>
              <w:jc w:val="right"/>
              <w:rPr>
                <w:color w:val="000000"/>
                <w:sz w:val="18"/>
                <w:szCs w:val="18"/>
              </w:rPr>
            </w:pPr>
            <w:r w:rsidRPr="00EC21FB">
              <w:rPr>
                <w:color w:val="000000"/>
                <w:sz w:val="18"/>
                <w:szCs w:val="18"/>
              </w:rPr>
              <w:t>tundra</w:t>
            </w:r>
          </w:p>
        </w:tc>
        <w:tc>
          <w:tcPr>
            <w:tcW w:w="1170" w:type="dxa"/>
            <w:vAlign w:val="center"/>
          </w:tcPr>
          <w:p w14:paraId="6F13A92D"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604E1829" w14:textId="77777777" w:rsidR="00C954CC" w:rsidRPr="00EC21FB" w:rsidRDefault="00C954CC" w:rsidP="00E951AB">
            <w:pPr>
              <w:jc w:val="right"/>
              <w:rPr>
                <w:color w:val="000000"/>
                <w:sz w:val="18"/>
                <w:szCs w:val="18"/>
              </w:rPr>
            </w:pPr>
            <w:r w:rsidRPr="00EC21FB">
              <w:rPr>
                <w:color w:val="000000"/>
                <w:sz w:val="18"/>
                <w:szCs w:val="18"/>
              </w:rPr>
              <w:t>5</w:t>
            </w:r>
          </w:p>
        </w:tc>
        <w:tc>
          <w:tcPr>
            <w:tcW w:w="1080" w:type="dxa"/>
            <w:vAlign w:val="center"/>
          </w:tcPr>
          <w:p w14:paraId="2F01BDA1" w14:textId="77777777" w:rsidR="00C954CC" w:rsidRPr="00EC21FB" w:rsidRDefault="00C954CC" w:rsidP="00E951AB">
            <w:pPr>
              <w:jc w:val="right"/>
              <w:rPr>
                <w:color w:val="000000"/>
                <w:sz w:val="18"/>
                <w:szCs w:val="18"/>
              </w:rPr>
            </w:pPr>
            <w:r w:rsidRPr="00EC21FB">
              <w:rPr>
                <w:color w:val="000000"/>
                <w:sz w:val="18"/>
                <w:szCs w:val="18"/>
              </w:rPr>
              <w:t>2.5</w:t>
            </w:r>
          </w:p>
        </w:tc>
      </w:tr>
      <w:tr w:rsidR="00C954CC" w:rsidRPr="006A7EA7" w14:paraId="3DF5546E" w14:textId="77777777" w:rsidTr="00C954CC">
        <w:sdt>
          <w:sdtPr>
            <w:rPr>
              <w:color w:val="000000"/>
              <w:sz w:val="18"/>
              <w:szCs w:val="18"/>
            </w:rPr>
            <w:tag w:val="MENDELEY_CITATION_v3_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"/>
            <w:id w:val="462241673"/>
            <w:placeholder>
              <w:docPart w:val="2D6B1DFA0BF3424EB4D1C824C50CAB66"/>
            </w:placeholder>
          </w:sdtPr>
          <w:sdtContent>
            <w:tc>
              <w:tcPr>
                <w:tcW w:w="2155" w:type="dxa"/>
              </w:tcPr>
              <w:p w14:paraId="25A7E06D" w14:textId="149FAB4B" w:rsidR="00C954CC" w:rsidRPr="00EC21FB" w:rsidRDefault="00E807B5" w:rsidP="00E951AB">
                <w:pPr>
                  <w:rPr>
                    <w:sz w:val="18"/>
                    <w:szCs w:val="18"/>
                  </w:rPr>
                </w:pPr>
                <w:r w:rsidRPr="00E807B5">
                  <w:rPr>
                    <w:rFonts w:eastAsia="Times New Roman"/>
                    <w:color w:val="000000"/>
                    <w:sz w:val="18"/>
                  </w:rPr>
                  <w:t>(Augustine et al., 2003)</w:t>
                </w:r>
              </w:p>
            </w:tc>
          </w:sdtContent>
        </w:sdt>
        <w:tc>
          <w:tcPr>
            <w:tcW w:w="1350" w:type="dxa"/>
          </w:tcPr>
          <w:p w14:paraId="34598001" w14:textId="77777777" w:rsidR="00C954CC" w:rsidRPr="00EC21FB" w:rsidRDefault="00C954CC" w:rsidP="00E951AB">
            <w:pPr>
              <w:rPr>
                <w:color w:val="000000"/>
                <w:sz w:val="18"/>
                <w:szCs w:val="18"/>
              </w:rPr>
            </w:pPr>
            <w:proofErr w:type="spellStart"/>
            <w:r w:rsidRPr="00EC21FB">
              <w:rPr>
                <w:color w:val="000000"/>
                <w:sz w:val="18"/>
                <w:szCs w:val="18"/>
              </w:rPr>
              <w:t>mpala_ranch</w:t>
            </w:r>
            <w:proofErr w:type="spellEnd"/>
          </w:p>
        </w:tc>
        <w:tc>
          <w:tcPr>
            <w:tcW w:w="900" w:type="dxa"/>
            <w:vAlign w:val="center"/>
          </w:tcPr>
          <w:p w14:paraId="68906800" w14:textId="77777777" w:rsidR="00C954CC" w:rsidRPr="00EC21FB" w:rsidRDefault="00C954CC" w:rsidP="00E951AB">
            <w:pPr>
              <w:jc w:val="right"/>
              <w:rPr>
                <w:color w:val="000000"/>
                <w:sz w:val="18"/>
                <w:szCs w:val="18"/>
              </w:rPr>
            </w:pPr>
            <w:r w:rsidRPr="00EC21FB">
              <w:rPr>
                <w:color w:val="000000"/>
                <w:sz w:val="18"/>
                <w:szCs w:val="18"/>
              </w:rPr>
              <w:t>0.28</w:t>
            </w:r>
          </w:p>
        </w:tc>
        <w:tc>
          <w:tcPr>
            <w:tcW w:w="1080" w:type="dxa"/>
            <w:vAlign w:val="center"/>
          </w:tcPr>
          <w:p w14:paraId="06F2A657" w14:textId="77777777" w:rsidR="00C954CC" w:rsidRPr="00EC21FB" w:rsidRDefault="00C954CC" w:rsidP="00E951AB">
            <w:pPr>
              <w:jc w:val="right"/>
              <w:rPr>
                <w:color w:val="000000"/>
                <w:sz w:val="18"/>
                <w:szCs w:val="18"/>
              </w:rPr>
            </w:pPr>
            <w:r w:rsidRPr="00EC21FB">
              <w:rPr>
                <w:color w:val="000000"/>
                <w:sz w:val="18"/>
                <w:szCs w:val="18"/>
              </w:rPr>
              <w:t>37.88</w:t>
            </w:r>
          </w:p>
        </w:tc>
        <w:tc>
          <w:tcPr>
            <w:tcW w:w="990" w:type="dxa"/>
          </w:tcPr>
          <w:p w14:paraId="305A1CDE" w14:textId="754548B1" w:rsidR="00C954CC" w:rsidRPr="00EC21FB" w:rsidRDefault="006B3F81" w:rsidP="00E951AB">
            <w:pPr>
              <w:jc w:val="right"/>
              <w:rPr>
                <w:color w:val="000000"/>
                <w:sz w:val="18"/>
                <w:szCs w:val="18"/>
              </w:rPr>
            </w:pPr>
            <w:r>
              <w:rPr>
                <w:color w:val="000000"/>
                <w:sz w:val="18"/>
                <w:szCs w:val="18"/>
              </w:rPr>
              <w:t>1775</w:t>
            </w:r>
          </w:p>
        </w:tc>
        <w:tc>
          <w:tcPr>
            <w:tcW w:w="630" w:type="dxa"/>
            <w:vAlign w:val="center"/>
          </w:tcPr>
          <w:p w14:paraId="25E3FF05" w14:textId="2F3F2DC6" w:rsidR="00C954CC" w:rsidRPr="00EC21FB" w:rsidRDefault="006B3F81" w:rsidP="00E951AB">
            <w:pPr>
              <w:jc w:val="right"/>
              <w:rPr>
                <w:color w:val="000000"/>
                <w:sz w:val="18"/>
                <w:szCs w:val="18"/>
              </w:rPr>
            </w:pPr>
            <w:r>
              <w:rPr>
                <w:color w:val="000000"/>
                <w:sz w:val="18"/>
                <w:szCs w:val="18"/>
              </w:rPr>
              <w:t>18.6</w:t>
            </w:r>
          </w:p>
        </w:tc>
        <w:tc>
          <w:tcPr>
            <w:tcW w:w="630" w:type="dxa"/>
            <w:vAlign w:val="center"/>
          </w:tcPr>
          <w:p w14:paraId="36BB2B20" w14:textId="70389E2A" w:rsidR="00C954CC" w:rsidRPr="00EC21FB" w:rsidRDefault="006B3F81" w:rsidP="00E951AB">
            <w:pPr>
              <w:jc w:val="right"/>
              <w:rPr>
                <w:color w:val="000000"/>
                <w:sz w:val="18"/>
                <w:szCs w:val="18"/>
              </w:rPr>
            </w:pPr>
            <w:r>
              <w:rPr>
                <w:color w:val="000000"/>
                <w:sz w:val="18"/>
                <w:szCs w:val="18"/>
              </w:rPr>
              <w:t>1.29</w:t>
            </w:r>
          </w:p>
        </w:tc>
        <w:tc>
          <w:tcPr>
            <w:tcW w:w="630" w:type="dxa"/>
          </w:tcPr>
          <w:p w14:paraId="7CE6F462" w14:textId="694A5ED0" w:rsidR="00C954CC" w:rsidRPr="00EC21FB" w:rsidRDefault="006B3F81" w:rsidP="00E951AB">
            <w:pPr>
              <w:jc w:val="right"/>
              <w:rPr>
                <w:color w:val="000000"/>
                <w:sz w:val="18"/>
                <w:szCs w:val="18"/>
              </w:rPr>
            </w:pPr>
            <w:r>
              <w:rPr>
                <w:color w:val="000000"/>
                <w:sz w:val="18"/>
                <w:szCs w:val="18"/>
              </w:rPr>
              <w:t>868</w:t>
            </w:r>
          </w:p>
        </w:tc>
        <w:tc>
          <w:tcPr>
            <w:tcW w:w="1080" w:type="dxa"/>
            <w:vAlign w:val="center"/>
          </w:tcPr>
          <w:p w14:paraId="457228F7" w14:textId="5372F9D3" w:rsidR="00C954CC" w:rsidRPr="00EC21FB" w:rsidRDefault="00C954CC" w:rsidP="00E951AB">
            <w:pPr>
              <w:jc w:val="right"/>
              <w:rPr>
                <w:color w:val="000000"/>
                <w:sz w:val="18"/>
                <w:szCs w:val="18"/>
              </w:rPr>
            </w:pPr>
            <w:r w:rsidRPr="00EC21FB">
              <w:rPr>
                <w:color w:val="000000"/>
                <w:sz w:val="18"/>
                <w:szCs w:val="18"/>
              </w:rPr>
              <w:t>grassland</w:t>
            </w:r>
          </w:p>
        </w:tc>
        <w:tc>
          <w:tcPr>
            <w:tcW w:w="1170" w:type="dxa"/>
            <w:vAlign w:val="center"/>
          </w:tcPr>
          <w:p w14:paraId="479A6A5D"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09EF5B70" w14:textId="77777777" w:rsidR="00C954CC" w:rsidRPr="00EC21FB" w:rsidRDefault="00C954CC" w:rsidP="00E951AB">
            <w:pPr>
              <w:jc w:val="right"/>
              <w:rPr>
                <w:color w:val="000000"/>
                <w:sz w:val="18"/>
                <w:szCs w:val="18"/>
              </w:rPr>
            </w:pPr>
            <w:r w:rsidRPr="00EC21FB">
              <w:rPr>
                <w:color w:val="000000"/>
                <w:sz w:val="18"/>
                <w:szCs w:val="18"/>
              </w:rPr>
              <w:t>40</w:t>
            </w:r>
          </w:p>
        </w:tc>
        <w:tc>
          <w:tcPr>
            <w:tcW w:w="1080" w:type="dxa"/>
            <w:vAlign w:val="center"/>
          </w:tcPr>
          <w:p w14:paraId="3E938F82" w14:textId="77777777" w:rsidR="00C954CC" w:rsidRPr="00EC21FB" w:rsidRDefault="00C954CC" w:rsidP="00E951AB">
            <w:pPr>
              <w:jc w:val="right"/>
              <w:rPr>
                <w:color w:val="000000"/>
                <w:sz w:val="18"/>
                <w:szCs w:val="18"/>
              </w:rPr>
            </w:pPr>
            <w:r w:rsidRPr="00EC21FB">
              <w:rPr>
                <w:color w:val="000000"/>
                <w:sz w:val="18"/>
                <w:szCs w:val="18"/>
              </w:rPr>
              <w:t>10</w:t>
            </w:r>
          </w:p>
        </w:tc>
      </w:tr>
      <w:tr w:rsidR="00C954CC" w:rsidRPr="006A7EA7" w14:paraId="10671A29" w14:textId="77777777" w:rsidTr="00C954CC">
        <w:sdt>
          <w:sdtPr>
            <w:rPr>
              <w:color w:val="000000"/>
              <w:sz w:val="18"/>
              <w:szCs w:val="18"/>
            </w:rPr>
            <w:tag w:val="MENDELEY_CITATION_v3_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"/>
            <w:id w:val="1986200588"/>
            <w:placeholder>
              <w:docPart w:val="EFA69E5C5EF41D468DA063F78A20A277"/>
            </w:placeholder>
          </w:sdtPr>
          <w:sdtContent>
            <w:tc>
              <w:tcPr>
                <w:tcW w:w="2155" w:type="dxa"/>
              </w:tcPr>
              <w:p w14:paraId="07B4D083" w14:textId="43B9E256" w:rsidR="00C954CC" w:rsidRPr="00EC21FB" w:rsidRDefault="00E807B5" w:rsidP="00E951AB">
                <w:pPr>
                  <w:rPr>
                    <w:sz w:val="18"/>
                    <w:szCs w:val="18"/>
                  </w:rPr>
                </w:pPr>
                <w:r w:rsidRPr="00E807B5">
                  <w:rPr>
                    <w:rFonts w:eastAsia="Times New Roman"/>
                    <w:color w:val="000000"/>
                    <w:sz w:val="18"/>
                  </w:rPr>
                  <w:t>(Aydin &amp; Uzun, 2005)</w:t>
                </w:r>
              </w:p>
            </w:tc>
          </w:sdtContent>
        </w:sdt>
        <w:tc>
          <w:tcPr>
            <w:tcW w:w="1350" w:type="dxa"/>
          </w:tcPr>
          <w:p w14:paraId="3EAFEF2E" w14:textId="77777777" w:rsidR="00C954CC" w:rsidRPr="00EC21FB" w:rsidRDefault="00C954CC" w:rsidP="00E951AB">
            <w:pPr>
              <w:rPr>
                <w:color w:val="000000"/>
                <w:sz w:val="18"/>
                <w:szCs w:val="18"/>
              </w:rPr>
            </w:pPr>
            <w:proofErr w:type="spellStart"/>
            <w:r w:rsidRPr="00EC21FB">
              <w:rPr>
                <w:color w:val="000000"/>
                <w:sz w:val="18"/>
                <w:szCs w:val="18"/>
              </w:rPr>
              <w:t>ondokuz</w:t>
            </w:r>
            <w:proofErr w:type="spellEnd"/>
          </w:p>
        </w:tc>
        <w:tc>
          <w:tcPr>
            <w:tcW w:w="900" w:type="dxa"/>
            <w:vAlign w:val="center"/>
          </w:tcPr>
          <w:p w14:paraId="7E779D63" w14:textId="77777777" w:rsidR="00C954CC" w:rsidRPr="00EC21FB" w:rsidRDefault="00C954CC" w:rsidP="00E951AB">
            <w:pPr>
              <w:jc w:val="right"/>
              <w:rPr>
                <w:color w:val="000000"/>
                <w:sz w:val="18"/>
                <w:szCs w:val="18"/>
              </w:rPr>
            </w:pPr>
            <w:r w:rsidRPr="00EC21FB">
              <w:rPr>
                <w:color w:val="000000"/>
                <w:sz w:val="18"/>
                <w:szCs w:val="18"/>
              </w:rPr>
              <w:t>41.35</w:t>
            </w:r>
          </w:p>
        </w:tc>
        <w:tc>
          <w:tcPr>
            <w:tcW w:w="1080" w:type="dxa"/>
            <w:vAlign w:val="center"/>
          </w:tcPr>
          <w:p w14:paraId="4DDDCB76" w14:textId="77777777" w:rsidR="00C954CC" w:rsidRPr="00EC21FB" w:rsidRDefault="00C954CC" w:rsidP="00E951AB">
            <w:pPr>
              <w:jc w:val="right"/>
              <w:rPr>
                <w:color w:val="000000"/>
                <w:sz w:val="18"/>
                <w:szCs w:val="18"/>
              </w:rPr>
            </w:pPr>
            <w:r w:rsidRPr="00EC21FB">
              <w:rPr>
                <w:color w:val="000000"/>
                <w:sz w:val="18"/>
                <w:szCs w:val="18"/>
              </w:rPr>
              <w:t>36.25</w:t>
            </w:r>
          </w:p>
        </w:tc>
        <w:tc>
          <w:tcPr>
            <w:tcW w:w="990" w:type="dxa"/>
          </w:tcPr>
          <w:p w14:paraId="356447B6" w14:textId="652434B1" w:rsidR="00C954CC" w:rsidRPr="00EC21FB" w:rsidRDefault="006B3F81" w:rsidP="00E951AB">
            <w:pPr>
              <w:jc w:val="right"/>
              <w:rPr>
                <w:color w:val="000000"/>
                <w:sz w:val="18"/>
                <w:szCs w:val="18"/>
              </w:rPr>
            </w:pPr>
            <w:r>
              <w:rPr>
                <w:color w:val="000000"/>
                <w:sz w:val="18"/>
                <w:szCs w:val="18"/>
              </w:rPr>
              <w:t>4</w:t>
            </w:r>
          </w:p>
        </w:tc>
        <w:tc>
          <w:tcPr>
            <w:tcW w:w="630" w:type="dxa"/>
            <w:vAlign w:val="center"/>
          </w:tcPr>
          <w:p w14:paraId="50D3484E" w14:textId="3E9A808B" w:rsidR="00C954CC" w:rsidRPr="00EC21FB" w:rsidRDefault="006B3F81" w:rsidP="00E951AB">
            <w:pPr>
              <w:jc w:val="right"/>
              <w:rPr>
                <w:color w:val="000000"/>
                <w:sz w:val="18"/>
                <w:szCs w:val="18"/>
              </w:rPr>
            </w:pPr>
            <w:r>
              <w:rPr>
                <w:color w:val="000000"/>
                <w:sz w:val="18"/>
                <w:szCs w:val="18"/>
              </w:rPr>
              <w:t>14.1</w:t>
            </w:r>
          </w:p>
        </w:tc>
        <w:tc>
          <w:tcPr>
            <w:tcW w:w="630" w:type="dxa"/>
            <w:vAlign w:val="center"/>
          </w:tcPr>
          <w:p w14:paraId="5489BB64" w14:textId="6B374721" w:rsidR="00C954CC" w:rsidRPr="00EC21FB" w:rsidRDefault="006B3F81" w:rsidP="00E951AB">
            <w:pPr>
              <w:jc w:val="right"/>
              <w:rPr>
                <w:color w:val="000000"/>
                <w:sz w:val="18"/>
                <w:szCs w:val="18"/>
              </w:rPr>
            </w:pPr>
            <w:r>
              <w:rPr>
                <w:color w:val="000000"/>
                <w:sz w:val="18"/>
                <w:szCs w:val="18"/>
              </w:rPr>
              <w:t>0.75</w:t>
            </w:r>
          </w:p>
        </w:tc>
        <w:tc>
          <w:tcPr>
            <w:tcW w:w="630" w:type="dxa"/>
          </w:tcPr>
          <w:p w14:paraId="2CCB18BF" w14:textId="0B8D86AC" w:rsidR="00C954CC" w:rsidRPr="00EC21FB" w:rsidRDefault="006B3F81" w:rsidP="00E951AB">
            <w:pPr>
              <w:jc w:val="right"/>
              <w:rPr>
                <w:color w:val="000000"/>
                <w:sz w:val="18"/>
                <w:szCs w:val="18"/>
              </w:rPr>
            </w:pPr>
            <w:r>
              <w:rPr>
                <w:color w:val="000000"/>
                <w:sz w:val="18"/>
                <w:szCs w:val="18"/>
              </w:rPr>
              <w:t>698</w:t>
            </w:r>
          </w:p>
        </w:tc>
        <w:tc>
          <w:tcPr>
            <w:tcW w:w="1080" w:type="dxa"/>
            <w:vAlign w:val="center"/>
          </w:tcPr>
          <w:p w14:paraId="42E6CA1D" w14:textId="433A408C" w:rsidR="00C954CC" w:rsidRPr="00EC21FB" w:rsidRDefault="00C954CC" w:rsidP="00E951AB">
            <w:pPr>
              <w:jc w:val="right"/>
              <w:rPr>
                <w:color w:val="000000"/>
                <w:sz w:val="18"/>
                <w:szCs w:val="18"/>
              </w:rPr>
            </w:pPr>
            <w:r w:rsidRPr="00EC21FB">
              <w:rPr>
                <w:color w:val="000000"/>
                <w:sz w:val="18"/>
                <w:szCs w:val="18"/>
              </w:rPr>
              <w:t>grassland</w:t>
            </w:r>
          </w:p>
        </w:tc>
        <w:tc>
          <w:tcPr>
            <w:tcW w:w="1170" w:type="dxa"/>
            <w:vAlign w:val="center"/>
          </w:tcPr>
          <w:p w14:paraId="2AE48BC2"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1CD2676C" w14:textId="77777777" w:rsidR="00C954CC" w:rsidRPr="00EC21FB" w:rsidRDefault="00C954CC" w:rsidP="00E951AB">
            <w:pPr>
              <w:jc w:val="right"/>
              <w:rPr>
                <w:color w:val="000000"/>
                <w:sz w:val="18"/>
                <w:szCs w:val="18"/>
              </w:rPr>
            </w:pPr>
            <w:r w:rsidRPr="00EC21FB">
              <w:rPr>
                <w:color w:val="000000"/>
                <w:sz w:val="18"/>
                <w:szCs w:val="18"/>
              </w:rPr>
              <w:t>18</w:t>
            </w:r>
          </w:p>
        </w:tc>
        <w:tc>
          <w:tcPr>
            <w:tcW w:w="1080" w:type="dxa"/>
            <w:vAlign w:val="center"/>
          </w:tcPr>
          <w:p w14:paraId="4ED65AD2" w14:textId="77777777" w:rsidR="00C954CC" w:rsidRPr="00EC21FB" w:rsidRDefault="00C954CC" w:rsidP="00E951AB">
            <w:pPr>
              <w:jc w:val="right"/>
              <w:rPr>
                <w:color w:val="000000"/>
                <w:sz w:val="18"/>
                <w:szCs w:val="18"/>
              </w:rPr>
            </w:pPr>
            <w:r w:rsidRPr="00EC21FB">
              <w:rPr>
                <w:color w:val="000000"/>
                <w:sz w:val="18"/>
                <w:szCs w:val="18"/>
              </w:rPr>
              <w:t>5.2</w:t>
            </w:r>
          </w:p>
        </w:tc>
      </w:tr>
      <w:tr w:rsidR="00C954CC" w:rsidRPr="006A7EA7" w14:paraId="3ED1B266" w14:textId="77777777" w:rsidTr="00C954CC">
        <w:sdt>
          <w:sdtPr>
            <w:rPr>
              <w:color w:val="000000"/>
              <w:sz w:val="18"/>
              <w:szCs w:val="18"/>
            </w:rPr>
            <w:tag w:val="MENDELEY_CITATION_v3_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"/>
            <w:id w:val="1198501478"/>
            <w:placeholder>
              <w:docPart w:val="FFB87AB38B65384C81E02945A131BE68"/>
            </w:placeholder>
          </w:sdtPr>
          <w:sdtContent>
            <w:tc>
              <w:tcPr>
                <w:tcW w:w="2155" w:type="dxa"/>
              </w:tcPr>
              <w:p w14:paraId="5E6351A3" w14:textId="0092AD18" w:rsidR="00C954CC" w:rsidRPr="00EC21FB" w:rsidRDefault="00E807B5" w:rsidP="00E951AB">
                <w:pPr>
                  <w:rPr>
                    <w:sz w:val="18"/>
                    <w:szCs w:val="18"/>
                  </w:rPr>
                </w:pPr>
                <w:r w:rsidRPr="00E807B5">
                  <w:rPr>
                    <w:rFonts w:eastAsia="Times New Roman"/>
                    <w:color w:val="000000"/>
                    <w:sz w:val="18"/>
                  </w:rPr>
                  <w:t>(Bennett &amp; Adams, 2001)</w:t>
                </w:r>
              </w:p>
            </w:tc>
          </w:sdtContent>
        </w:sdt>
        <w:tc>
          <w:tcPr>
            <w:tcW w:w="1350" w:type="dxa"/>
          </w:tcPr>
          <w:p w14:paraId="233FC3A4" w14:textId="77777777" w:rsidR="00C954CC" w:rsidRPr="00EC21FB" w:rsidRDefault="00C954CC" w:rsidP="00E951AB">
            <w:pPr>
              <w:rPr>
                <w:color w:val="000000"/>
                <w:sz w:val="18"/>
                <w:szCs w:val="18"/>
              </w:rPr>
            </w:pPr>
            <w:proofErr w:type="spellStart"/>
            <w:r w:rsidRPr="00EC21FB">
              <w:rPr>
                <w:color w:val="000000"/>
                <w:sz w:val="18"/>
                <w:szCs w:val="18"/>
              </w:rPr>
              <w:t>hamersley</w:t>
            </w:r>
            <w:proofErr w:type="spellEnd"/>
          </w:p>
        </w:tc>
        <w:tc>
          <w:tcPr>
            <w:tcW w:w="900" w:type="dxa"/>
            <w:vAlign w:val="center"/>
          </w:tcPr>
          <w:p w14:paraId="604133DB" w14:textId="77777777" w:rsidR="00C954CC" w:rsidRPr="00EC21FB" w:rsidRDefault="00C954CC" w:rsidP="00E951AB">
            <w:pPr>
              <w:jc w:val="right"/>
              <w:rPr>
                <w:color w:val="000000"/>
                <w:sz w:val="18"/>
                <w:szCs w:val="18"/>
              </w:rPr>
            </w:pPr>
            <w:r w:rsidRPr="00EC21FB">
              <w:rPr>
                <w:color w:val="000000"/>
                <w:sz w:val="18"/>
                <w:szCs w:val="18"/>
              </w:rPr>
              <w:t>-22.28</w:t>
            </w:r>
          </w:p>
        </w:tc>
        <w:tc>
          <w:tcPr>
            <w:tcW w:w="1080" w:type="dxa"/>
            <w:vAlign w:val="center"/>
          </w:tcPr>
          <w:p w14:paraId="406F4B20" w14:textId="77777777" w:rsidR="00C954CC" w:rsidRPr="00EC21FB" w:rsidRDefault="00C954CC" w:rsidP="00E951AB">
            <w:pPr>
              <w:jc w:val="right"/>
              <w:rPr>
                <w:color w:val="000000"/>
                <w:sz w:val="18"/>
                <w:szCs w:val="18"/>
              </w:rPr>
            </w:pPr>
            <w:r w:rsidRPr="00EC21FB">
              <w:rPr>
                <w:color w:val="000000"/>
                <w:sz w:val="18"/>
                <w:szCs w:val="18"/>
              </w:rPr>
              <w:t>117.67</w:t>
            </w:r>
          </w:p>
        </w:tc>
        <w:tc>
          <w:tcPr>
            <w:tcW w:w="990" w:type="dxa"/>
          </w:tcPr>
          <w:p w14:paraId="59BF3399" w14:textId="17D450D0" w:rsidR="00C954CC" w:rsidRPr="00EC21FB" w:rsidRDefault="006B3F81" w:rsidP="00E951AB">
            <w:pPr>
              <w:jc w:val="right"/>
              <w:rPr>
                <w:color w:val="000000"/>
                <w:sz w:val="18"/>
                <w:szCs w:val="18"/>
              </w:rPr>
            </w:pPr>
            <w:r>
              <w:rPr>
                <w:color w:val="000000"/>
                <w:sz w:val="18"/>
                <w:szCs w:val="18"/>
              </w:rPr>
              <w:t>606</w:t>
            </w:r>
          </w:p>
        </w:tc>
        <w:tc>
          <w:tcPr>
            <w:tcW w:w="630" w:type="dxa"/>
            <w:vAlign w:val="center"/>
          </w:tcPr>
          <w:p w14:paraId="08A1DA0D" w14:textId="19FA635A" w:rsidR="00C954CC" w:rsidRPr="00EC21FB" w:rsidRDefault="006B3F81" w:rsidP="00E951AB">
            <w:pPr>
              <w:jc w:val="right"/>
              <w:rPr>
                <w:color w:val="000000"/>
                <w:sz w:val="18"/>
                <w:szCs w:val="18"/>
              </w:rPr>
            </w:pPr>
            <w:r>
              <w:rPr>
                <w:color w:val="000000"/>
                <w:sz w:val="18"/>
                <w:szCs w:val="18"/>
              </w:rPr>
              <w:t>24.5</w:t>
            </w:r>
          </w:p>
        </w:tc>
        <w:tc>
          <w:tcPr>
            <w:tcW w:w="630" w:type="dxa"/>
            <w:vAlign w:val="center"/>
          </w:tcPr>
          <w:p w14:paraId="4436ECE1" w14:textId="31596389" w:rsidR="00C954CC" w:rsidRPr="00EC21FB" w:rsidRDefault="006B3F81" w:rsidP="00E951AB">
            <w:pPr>
              <w:jc w:val="right"/>
              <w:rPr>
                <w:color w:val="000000"/>
                <w:sz w:val="18"/>
                <w:szCs w:val="18"/>
              </w:rPr>
            </w:pPr>
            <w:r>
              <w:rPr>
                <w:color w:val="000000"/>
                <w:sz w:val="18"/>
                <w:szCs w:val="18"/>
              </w:rPr>
              <w:t>0.13</w:t>
            </w:r>
          </w:p>
        </w:tc>
        <w:tc>
          <w:tcPr>
            <w:tcW w:w="630" w:type="dxa"/>
          </w:tcPr>
          <w:p w14:paraId="22F74A84" w14:textId="5603D767" w:rsidR="00C954CC" w:rsidRPr="00EC21FB" w:rsidRDefault="006B3F81" w:rsidP="00E951AB">
            <w:pPr>
              <w:jc w:val="right"/>
              <w:rPr>
                <w:color w:val="000000"/>
                <w:sz w:val="18"/>
                <w:szCs w:val="18"/>
              </w:rPr>
            </w:pPr>
            <w:r>
              <w:rPr>
                <w:color w:val="000000"/>
                <w:sz w:val="18"/>
                <w:szCs w:val="18"/>
              </w:rPr>
              <w:t>1078</w:t>
            </w:r>
          </w:p>
        </w:tc>
        <w:tc>
          <w:tcPr>
            <w:tcW w:w="1080" w:type="dxa"/>
            <w:vAlign w:val="center"/>
          </w:tcPr>
          <w:p w14:paraId="0A2A4A82" w14:textId="068121B8" w:rsidR="00C954CC" w:rsidRPr="00EC21FB" w:rsidRDefault="00C954CC" w:rsidP="00E951AB">
            <w:pPr>
              <w:jc w:val="right"/>
              <w:rPr>
                <w:color w:val="000000"/>
                <w:sz w:val="18"/>
                <w:szCs w:val="18"/>
              </w:rPr>
            </w:pPr>
            <w:r w:rsidRPr="00EC21FB">
              <w:rPr>
                <w:color w:val="000000"/>
                <w:sz w:val="18"/>
                <w:szCs w:val="18"/>
              </w:rPr>
              <w:t>grassland</w:t>
            </w:r>
          </w:p>
        </w:tc>
        <w:tc>
          <w:tcPr>
            <w:tcW w:w="1170" w:type="dxa"/>
            <w:vAlign w:val="center"/>
          </w:tcPr>
          <w:p w14:paraId="13791DBE"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2876C490" w14:textId="77777777" w:rsidR="00C954CC" w:rsidRPr="00EC21FB" w:rsidRDefault="00C954CC" w:rsidP="00E951AB">
            <w:pPr>
              <w:jc w:val="right"/>
              <w:rPr>
                <w:color w:val="000000"/>
                <w:sz w:val="18"/>
                <w:szCs w:val="18"/>
              </w:rPr>
            </w:pPr>
            <w:r w:rsidRPr="00EC21FB">
              <w:rPr>
                <w:color w:val="000000"/>
                <w:sz w:val="18"/>
                <w:szCs w:val="18"/>
              </w:rPr>
              <w:t>5</w:t>
            </w:r>
          </w:p>
        </w:tc>
        <w:tc>
          <w:tcPr>
            <w:tcW w:w="1080" w:type="dxa"/>
            <w:vAlign w:val="center"/>
          </w:tcPr>
          <w:p w14:paraId="6F5F872D" w14:textId="77777777" w:rsidR="00C954CC" w:rsidRPr="00EC21FB" w:rsidRDefault="00C954CC" w:rsidP="00E951AB">
            <w:pPr>
              <w:jc w:val="right"/>
              <w:rPr>
                <w:color w:val="000000"/>
                <w:sz w:val="18"/>
                <w:szCs w:val="18"/>
              </w:rPr>
            </w:pPr>
            <w:r w:rsidRPr="00EC21FB">
              <w:rPr>
                <w:color w:val="000000"/>
                <w:sz w:val="18"/>
                <w:szCs w:val="18"/>
              </w:rPr>
              <w:t>2.5</w:t>
            </w:r>
          </w:p>
        </w:tc>
      </w:tr>
      <w:tr w:rsidR="00C954CC" w:rsidRPr="006A7EA7" w14:paraId="3004A39C" w14:textId="77777777" w:rsidTr="00C954CC">
        <w:sdt>
          <w:sdtPr>
            <w:rPr>
              <w:color w:val="000000"/>
              <w:sz w:val="18"/>
              <w:szCs w:val="18"/>
            </w:rPr>
            <w:tag w:val="MENDELEY_CITATION_v3_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"/>
            <w:id w:val="502627987"/>
            <w:placeholder>
              <w:docPart w:val="70B02F4364798A419C37968E359FAC1A"/>
            </w:placeholder>
          </w:sdtPr>
          <w:sdtContent>
            <w:tc>
              <w:tcPr>
                <w:tcW w:w="2155" w:type="dxa"/>
              </w:tcPr>
              <w:p w14:paraId="0DB5BFDC" w14:textId="291CD028" w:rsidR="00C954CC" w:rsidRPr="00EC21FB" w:rsidRDefault="00E807B5" w:rsidP="00E951AB">
                <w:pPr>
                  <w:rPr>
                    <w:sz w:val="18"/>
                    <w:szCs w:val="18"/>
                  </w:rPr>
                </w:pPr>
                <w:r w:rsidRPr="00E807B5">
                  <w:rPr>
                    <w:rFonts w:eastAsia="Times New Roman"/>
                    <w:color w:val="000000"/>
                    <w:sz w:val="18"/>
                  </w:rPr>
                  <w:t>(Blanke et al., 2012)</w:t>
                </w:r>
              </w:p>
            </w:tc>
          </w:sdtContent>
        </w:sdt>
        <w:tc>
          <w:tcPr>
            <w:tcW w:w="1350" w:type="dxa"/>
          </w:tcPr>
          <w:p w14:paraId="108E155F" w14:textId="77777777" w:rsidR="00C954CC" w:rsidRPr="00EC21FB" w:rsidRDefault="00C954CC" w:rsidP="00E951AB">
            <w:pPr>
              <w:rPr>
                <w:color w:val="000000"/>
                <w:sz w:val="18"/>
                <w:szCs w:val="18"/>
              </w:rPr>
            </w:pPr>
            <w:proofErr w:type="spellStart"/>
            <w:r w:rsidRPr="00EC21FB">
              <w:rPr>
                <w:color w:val="000000"/>
                <w:sz w:val="18"/>
                <w:szCs w:val="18"/>
              </w:rPr>
              <w:t>alpflix</w:t>
            </w:r>
            <w:proofErr w:type="spellEnd"/>
          </w:p>
        </w:tc>
        <w:tc>
          <w:tcPr>
            <w:tcW w:w="900" w:type="dxa"/>
            <w:vAlign w:val="center"/>
          </w:tcPr>
          <w:p w14:paraId="35D684B3" w14:textId="77777777" w:rsidR="00C954CC" w:rsidRPr="00EC21FB" w:rsidRDefault="00C954CC" w:rsidP="00E951AB">
            <w:pPr>
              <w:jc w:val="right"/>
              <w:rPr>
                <w:color w:val="000000"/>
                <w:sz w:val="18"/>
                <w:szCs w:val="18"/>
              </w:rPr>
            </w:pPr>
            <w:r w:rsidRPr="00EC21FB">
              <w:rPr>
                <w:color w:val="000000"/>
                <w:sz w:val="18"/>
                <w:szCs w:val="18"/>
              </w:rPr>
              <w:t>46.53</w:t>
            </w:r>
          </w:p>
        </w:tc>
        <w:tc>
          <w:tcPr>
            <w:tcW w:w="1080" w:type="dxa"/>
            <w:vAlign w:val="center"/>
          </w:tcPr>
          <w:p w14:paraId="01ADA0CC" w14:textId="77777777" w:rsidR="00C954CC" w:rsidRPr="00EC21FB" w:rsidRDefault="00C954CC" w:rsidP="00E951AB">
            <w:pPr>
              <w:jc w:val="right"/>
              <w:rPr>
                <w:color w:val="000000"/>
                <w:sz w:val="18"/>
                <w:szCs w:val="18"/>
              </w:rPr>
            </w:pPr>
            <w:r w:rsidRPr="00EC21FB">
              <w:rPr>
                <w:color w:val="000000"/>
                <w:sz w:val="18"/>
                <w:szCs w:val="18"/>
              </w:rPr>
              <w:t>9.65</w:t>
            </w:r>
          </w:p>
        </w:tc>
        <w:tc>
          <w:tcPr>
            <w:tcW w:w="990" w:type="dxa"/>
          </w:tcPr>
          <w:p w14:paraId="75B99C64" w14:textId="2DCB6172" w:rsidR="00C954CC" w:rsidRPr="00EC21FB" w:rsidRDefault="006B3F81" w:rsidP="00E951AB">
            <w:pPr>
              <w:jc w:val="right"/>
              <w:rPr>
                <w:color w:val="000000"/>
                <w:sz w:val="18"/>
                <w:szCs w:val="18"/>
              </w:rPr>
            </w:pPr>
            <w:r>
              <w:rPr>
                <w:color w:val="000000"/>
                <w:sz w:val="18"/>
                <w:szCs w:val="18"/>
              </w:rPr>
              <w:t>2029</w:t>
            </w:r>
          </w:p>
        </w:tc>
        <w:tc>
          <w:tcPr>
            <w:tcW w:w="630" w:type="dxa"/>
            <w:vAlign w:val="center"/>
          </w:tcPr>
          <w:p w14:paraId="7CFE5672" w14:textId="7D832426" w:rsidR="00C954CC" w:rsidRPr="00EC21FB" w:rsidRDefault="006B3F81" w:rsidP="00E951AB">
            <w:pPr>
              <w:jc w:val="right"/>
              <w:rPr>
                <w:color w:val="000000"/>
                <w:sz w:val="18"/>
                <w:szCs w:val="18"/>
              </w:rPr>
            </w:pPr>
            <w:r>
              <w:rPr>
                <w:color w:val="000000"/>
                <w:sz w:val="18"/>
                <w:szCs w:val="18"/>
              </w:rPr>
              <w:t>6.6</w:t>
            </w:r>
          </w:p>
        </w:tc>
        <w:tc>
          <w:tcPr>
            <w:tcW w:w="630" w:type="dxa"/>
            <w:vAlign w:val="center"/>
          </w:tcPr>
          <w:p w14:paraId="4447574A" w14:textId="68CBF01B" w:rsidR="00C954CC" w:rsidRPr="00EC21FB" w:rsidRDefault="006B3F81" w:rsidP="00E951AB">
            <w:pPr>
              <w:jc w:val="right"/>
              <w:rPr>
                <w:color w:val="000000"/>
                <w:sz w:val="18"/>
                <w:szCs w:val="18"/>
              </w:rPr>
            </w:pPr>
            <w:r>
              <w:rPr>
                <w:color w:val="000000"/>
                <w:sz w:val="18"/>
                <w:szCs w:val="18"/>
              </w:rPr>
              <w:t>1.45</w:t>
            </w:r>
          </w:p>
        </w:tc>
        <w:tc>
          <w:tcPr>
            <w:tcW w:w="630" w:type="dxa"/>
          </w:tcPr>
          <w:p w14:paraId="0541A7C4" w14:textId="3F60B742" w:rsidR="00C954CC" w:rsidRPr="00EC21FB" w:rsidRDefault="006B3F81" w:rsidP="00E951AB">
            <w:pPr>
              <w:jc w:val="right"/>
              <w:rPr>
                <w:color w:val="000000"/>
                <w:sz w:val="18"/>
                <w:szCs w:val="18"/>
              </w:rPr>
            </w:pPr>
            <w:r>
              <w:rPr>
                <w:color w:val="000000"/>
                <w:sz w:val="18"/>
                <w:szCs w:val="18"/>
              </w:rPr>
              <w:t>836</w:t>
            </w:r>
          </w:p>
        </w:tc>
        <w:tc>
          <w:tcPr>
            <w:tcW w:w="1080" w:type="dxa"/>
            <w:vAlign w:val="center"/>
          </w:tcPr>
          <w:p w14:paraId="7FEC96A8" w14:textId="03F2660D" w:rsidR="00C954CC" w:rsidRPr="00EC21FB" w:rsidRDefault="00C954CC" w:rsidP="00E951AB">
            <w:pPr>
              <w:jc w:val="right"/>
              <w:rPr>
                <w:color w:val="000000"/>
                <w:sz w:val="18"/>
                <w:szCs w:val="18"/>
              </w:rPr>
            </w:pPr>
            <w:r w:rsidRPr="00EC21FB">
              <w:rPr>
                <w:color w:val="000000"/>
                <w:sz w:val="18"/>
                <w:szCs w:val="18"/>
              </w:rPr>
              <w:t>grassland</w:t>
            </w:r>
          </w:p>
        </w:tc>
        <w:tc>
          <w:tcPr>
            <w:tcW w:w="1170" w:type="dxa"/>
            <w:vAlign w:val="center"/>
          </w:tcPr>
          <w:p w14:paraId="325CB700"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29E53A2B" w14:textId="77777777" w:rsidR="00C954CC" w:rsidRPr="00EC21FB" w:rsidRDefault="00C954CC" w:rsidP="00E951AB">
            <w:pPr>
              <w:jc w:val="right"/>
              <w:rPr>
                <w:color w:val="000000"/>
                <w:sz w:val="18"/>
                <w:szCs w:val="18"/>
              </w:rPr>
            </w:pPr>
            <w:r w:rsidRPr="00EC21FB">
              <w:rPr>
                <w:color w:val="000000"/>
                <w:sz w:val="18"/>
                <w:szCs w:val="18"/>
              </w:rPr>
              <w:t>5</w:t>
            </w:r>
          </w:p>
        </w:tc>
        <w:tc>
          <w:tcPr>
            <w:tcW w:w="1080" w:type="dxa"/>
            <w:vAlign w:val="center"/>
          </w:tcPr>
          <w:p w14:paraId="59F53BD1" w14:textId="77777777" w:rsidR="00C954CC" w:rsidRPr="00EC21FB" w:rsidRDefault="00C954CC" w:rsidP="00E951AB">
            <w:pPr>
              <w:jc w:val="right"/>
              <w:rPr>
                <w:color w:val="000000"/>
                <w:sz w:val="18"/>
                <w:szCs w:val="18"/>
              </w:rPr>
            </w:pPr>
            <w:r w:rsidRPr="00EC21FB">
              <w:rPr>
                <w:color w:val="000000"/>
                <w:sz w:val="18"/>
                <w:szCs w:val="18"/>
              </w:rPr>
              <w:t>6</w:t>
            </w:r>
          </w:p>
        </w:tc>
      </w:tr>
      <w:tr w:rsidR="00C954CC" w:rsidRPr="006A7EA7" w14:paraId="005E791F" w14:textId="77777777" w:rsidTr="00C954CC">
        <w:sdt>
          <w:sdtPr>
            <w:rPr>
              <w:color w:val="000000"/>
              <w:sz w:val="18"/>
              <w:szCs w:val="18"/>
            </w:rPr>
            <w:tag w:val="MENDELEY_CITATION_v3_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"/>
            <w:id w:val="133303523"/>
            <w:placeholder>
              <w:docPart w:val="2C5CB4144504C14E97B112ABF1F7498A"/>
            </w:placeholder>
          </w:sdtPr>
          <w:sdtContent>
            <w:tc>
              <w:tcPr>
                <w:tcW w:w="2155" w:type="dxa"/>
                <w:vMerge w:val="restart"/>
                <w:vAlign w:val="center"/>
              </w:tcPr>
              <w:p w14:paraId="3D05539D" w14:textId="66793A98" w:rsidR="00C954CC" w:rsidRPr="00EC21FB" w:rsidRDefault="00E807B5" w:rsidP="00E951AB">
                <w:pPr>
                  <w:rPr>
                    <w:sz w:val="18"/>
                    <w:szCs w:val="18"/>
                  </w:rPr>
                </w:pPr>
                <w:r w:rsidRPr="00E807B5">
                  <w:rPr>
                    <w:rFonts w:eastAsia="Times New Roman"/>
                    <w:color w:val="000000"/>
                    <w:sz w:val="18"/>
                  </w:rPr>
                  <w:t>(Boeye et al., 1997)</w:t>
                </w:r>
              </w:p>
            </w:tc>
          </w:sdtContent>
        </w:sdt>
        <w:tc>
          <w:tcPr>
            <w:tcW w:w="1350" w:type="dxa"/>
          </w:tcPr>
          <w:p w14:paraId="106593DE" w14:textId="77777777" w:rsidR="00C954CC" w:rsidRPr="00EC21FB" w:rsidRDefault="00C954CC" w:rsidP="00E951AB">
            <w:pPr>
              <w:rPr>
                <w:color w:val="000000"/>
                <w:sz w:val="18"/>
                <w:szCs w:val="18"/>
              </w:rPr>
            </w:pPr>
            <w:proofErr w:type="spellStart"/>
            <w:r w:rsidRPr="00EC21FB">
              <w:rPr>
                <w:color w:val="000000"/>
                <w:sz w:val="18"/>
                <w:szCs w:val="18"/>
              </w:rPr>
              <w:t>buitengoor</w:t>
            </w:r>
            <w:proofErr w:type="spellEnd"/>
          </w:p>
        </w:tc>
        <w:tc>
          <w:tcPr>
            <w:tcW w:w="900" w:type="dxa"/>
            <w:vAlign w:val="center"/>
          </w:tcPr>
          <w:p w14:paraId="23E6595B" w14:textId="77777777" w:rsidR="00C954CC" w:rsidRPr="00EC21FB" w:rsidRDefault="00C954CC" w:rsidP="00E951AB">
            <w:pPr>
              <w:jc w:val="right"/>
              <w:rPr>
                <w:color w:val="000000"/>
                <w:sz w:val="18"/>
                <w:szCs w:val="18"/>
              </w:rPr>
            </w:pPr>
            <w:r w:rsidRPr="00EC21FB">
              <w:rPr>
                <w:color w:val="000000"/>
                <w:sz w:val="18"/>
                <w:szCs w:val="18"/>
              </w:rPr>
              <w:t>51.20</w:t>
            </w:r>
          </w:p>
        </w:tc>
        <w:tc>
          <w:tcPr>
            <w:tcW w:w="1080" w:type="dxa"/>
            <w:vAlign w:val="center"/>
          </w:tcPr>
          <w:p w14:paraId="56FECA41" w14:textId="77777777" w:rsidR="00C954CC" w:rsidRPr="00EC21FB" w:rsidRDefault="00C954CC" w:rsidP="00E951AB">
            <w:pPr>
              <w:jc w:val="right"/>
              <w:rPr>
                <w:color w:val="000000"/>
                <w:sz w:val="18"/>
                <w:szCs w:val="18"/>
              </w:rPr>
            </w:pPr>
            <w:r w:rsidRPr="00EC21FB">
              <w:rPr>
                <w:color w:val="000000"/>
                <w:sz w:val="18"/>
                <w:szCs w:val="18"/>
              </w:rPr>
              <w:t>5.17</w:t>
            </w:r>
          </w:p>
        </w:tc>
        <w:tc>
          <w:tcPr>
            <w:tcW w:w="990" w:type="dxa"/>
          </w:tcPr>
          <w:p w14:paraId="766A5D46" w14:textId="03513514" w:rsidR="00C954CC" w:rsidRPr="00EC21FB" w:rsidRDefault="006B3F81" w:rsidP="00E951AB">
            <w:pPr>
              <w:jc w:val="right"/>
              <w:rPr>
                <w:color w:val="000000"/>
                <w:sz w:val="18"/>
                <w:szCs w:val="18"/>
              </w:rPr>
            </w:pPr>
            <w:r>
              <w:rPr>
                <w:color w:val="000000"/>
                <w:sz w:val="18"/>
                <w:szCs w:val="18"/>
              </w:rPr>
              <w:t>36</w:t>
            </w:r>
          </w:p>
        </w:tc>
        <w:tc>
          <w:tcPr>
            <w:tcW w:w="630" w:type="dxa"/>
            <w:vAlign w:val="center"/>
          </w:tcPr>
          <w:p w14:paraId="07A2036C" w14:textId="620C566C" w:rsidR="00C954CC" w:rsidRPr="00EC21FB" w:rsidRDefault="006B3F81" w:rsidP="00E951AB">
            <w:pPr>
              <w:jc w:val="right"/>
              <w:rPr>
                <w:color w:val="000000"/>
                <w:sz w:val="18"/>
                <w:szCs w:val="18"/>
              </w:rPr>
            </w:pPr>
            <w:r>
              <w:rPr>
                <w:color w:val="000000"/>
                <w:sz w:val="18"/>
                <w:szCs w:val="18"/>
              </w:rPr>
              <w:t>10.3</w:t>
            </w:r>
          </w:p>
        </w:tc>
        <w:tc>
          <w:tcPr>
            <w:tcW w:w="630" w:type="dxa"/>
            <w:vAlign w:val="center"/>
          </w:tcPr>
          <w:p w14:paraId="6D69F79C" w14:textId="7095BA45" w:rsidR="00C954CC" w:rsidRPr="00EC21FB" w:rsidRDefault="006B3F81" w:rsidP="00E951AB">
            <w:pPr>
              <w:jc w:val="right"/>
              <w:rPr>
                <w:color w:val="000000"/>
                <w:sz w:val="18"/>
                <w:szCs w:val="18"/>
              </w:rPr>
            </w:pPr>
            <w:r>
              <w:rPr>
                <w:color w:val="000000"/>
                <w:sz w:val="18"/>
                <w:szCs w:val="18"/>
              </w:rPr>
              <w:t>1.46</w:t>
            </w:r>
          </w:p>
        </w:tc>
        <w:tc>
          <w:tcPr>
            <w:tcW w:w="630" w:type="dxa"/>
          </w:tcPr>
          <w:p w14:paraId="67D90611" w14:textId="40F6502E" w:rsidR="00C954CC" w:rsidRPr="00EC21FB" w:rsidRDefault="006B3F81" w:rsidP="00E951AB">
            <w:pPr>
              <w:jc w:val="right"/>
              <w:rPr>
                <w:color w:val="000000"/>
                <w:sz w:val="18"/>
                <w:szCs w:val="18"/>
              </w:rPr>
            </w:pPr>
            <w:r>
              <w:rPr>
                <w:color w:val="000000"/>
                <w:sz w:val="18"/>
                <w:szCs w:val="18"/>
              </w:rPr>
              <w:t>481</w:t>
            </w:r>
          </w:p>
        </w:tc>
        <w:tc>
          <w:tcPr>
            <w:tcW w:w="1080" w:type="dxa"/>
            <w:vAlign w:val="center"/>
          </w:tcPr>
          <w:p w14:paraId="154D106A" w14:textId="42CDAFAB" w:rsidR="00C954CC" w:rsidRPr="00EC21FB" w:rsidRDefault="00C954CC" w:rsidP="00E951AB">
            <w:pPr>
              <w:jc w:val="right"/>
              <w:rPr>
                <w:color w:val="000000"/>
                <w:sz w:val="18"/>
                <w:szCs w:val="18"/>
              </w:rPr>
            </w:pPr>
            <w:r w:rsidRPr="00EC21FB">
              <w:rPr>
                <w:color w:val="000000"/>
                <w:sz w:val="18"/>
                <w:szCs w:val="18"/>
              </w:rPr>
              <w:t>wetland</w:t>
            </w:r>
          </w:p>
        </w:tc>
        <w:tc>
          <w:tcPr>
            <w:tcW w:w="1170" w:type="dxa"/>
            <w:vAlign w:val="center"/>
          </w:tcPr>
          <w:p w14:paraId="487B65D5"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40FE867A" w14:textId="77777777" w:rsidR="00C954CC" w:rsidRPr="00EC21FB" w:rsidRDefault="00C954CC" w:rsidP="00E951AB">
            <w:pPr>
              <w:jc w:val="right"/>
              <w:rPr>
                <w:color w:val="000000"/>
                <w:sz w:val="18"/>
                <w:szCs w:val="18"/>
              </w:rPr>
            </w:pPr>
            <w:r w:rsidRPr="00EC21FB">
              <w:rPr>
                <w:color w:val="000000"/>
                <w:sz w:val="18"/>
                <w:szCs w:val="18"/>
              </w:rPr>
              <w:t>20</w:t>
            </w:r>
          </w:p>
        </w:tc>
        <w:tc>
          <w:tcPr>
            <w:tcW w:w="1080" w:type="dxa"/>
            <w:vAlign w:val="center"/>
          </w:tcPr>
          <w:p w14:paraId="7F79D7F3" w14:textId="77777777" w:rsidR="00C954CC" w:rsidRPr="00EC21FB" w:rsidRDefault="00C954CC" w:rsidP="00E951AB">
            <w:pPr>
              <w:jc w:val="right"/>
              <w:rPr>
                <w:color w:val="000000"/>
                <w:sz w:val="18"/>
                <w:szCs w:val="18"/>
              </w:rPr>
            </w:pPr>
            <w:r w:rsidRPr="00EC21FB">
              <w:rPr>
                <w:color w:val="000000"/>
                <w:sz w:val="18"/>
                <w:szCs w:val="18"/>
              </w:rPr>
              <w:t>5</w:t>
            </w:r>
          </w:p>
        </w:tc>
      </w:tr>
      <w:tr w:rsidR="00C954CC" w:rsidRPr="004F689E" w14:paraId="23893B66" w14:textId="77777777" w:rsidTr="00C954CC">
        <w:tc>
          <w:tcPr>
            <w:tcW w:w="2155" w:type="dxa"/>
            <w:vMerge/>
            <w:vAlign w:val="center"/>
          </w:tcPr>
          <w:p w14:paraId="435946B2" w14:textId="77777777" w:rsidR="00C954CC" w:rsidRPr="00EC21FB" w:rsidRDefault="00C954CC" w:rsidP="00E951AB">
            <w:pPr>
              <w:rPr>
                <w:color w:val="000000"/>
                <w:sz w:val="18"/>
                <w:szCs w:val="18"/>
              </w:rPr>
            </w:pPr>
          </w:p>
        </w:tc>
        <w:tc>
          <w:tcPr>
            <w:tcW w:w="1350" w:type="dxa"/>
          </w:tcPr>
          <w:p w14:paraId="52F9E97D" w14:textId="77777777" w:rsidR="00C954CC" w:rsidRPr="00EC21FB" w:rsidRDefault="00C954CC" w:rsidP="00E951AB">
            <w:pPr>
              <w:rPr>
                <w:color w:val="000000"/>
                <w:sz w:val="18"/>
                <w:szCs w:val="18"/>
              </w:rPr>
            </w:pPr>
            <w:proofErr w:type="spellStart"/>
            <w:r w:rsidRPr="00EC21FB">
              <w:rPr>
                <w:color w:val="000000"/>
                <w:sz w:val="18"/>
                <w:szCs w:val="18"/>
              </w:rPr>
              <w:t>goorken</w:t>
            </w:r>
            <w:proofErr w:type="spellEnd"/>
          </w:p>
        </w:tc>
        <w:tc>
          <w:tcPr>
            <w:tcW w:w="900" w:type="dxa"/>
            <w:vAlign w:val="center"/>
          </w:tcPr>
          <w:p w14:paraId="587F4BEE" w14:textId="77777777" w:rsidR="00C954CC" w:rsidRPr="00EC21FB" w:rsidRDefault="00C954CC" w:rsidP="00E951AB">
            <w:pPr>
              <w:jc w:val="right"/>
              <w:rPr>
                <w:color w:val="000000"/>
                <w:sz w:val="18"/>
                <w:szCs w:val="18"/>
              </w:rPr>
            </w:pPr>
            <w:r w:rsidRPr="00EC21FB">
              <w:rPr>
                <w:color w:val="000000"/>
                <w:sz w:val="18"/>
                <w:szCs w:val="18"/>
              </w:rPr>
              <w:t>51.32</w:t>
            </w:r>
          </w:p>
        </w:tc>
        <w:tc>
          <w:tcPr>
            <w:tcW w:w="1080" w:type="dxa"/>
            <w:vAlign w:val="center"/>
          </w:tcPr>
          <w:p w14:paraId="2690DC67" w14:textId="77777777" w:rsidR="00C954CC" w:rsidRPr="00EC21FB" w:rsidRDefault="00C954CC" w:rsidP="00E951AB">
            <w:pPr>
              <w:jc w:val="right"/>
              <w:rPr>
                <w:color w:val="000000"/>
                <w:sz w:val="18"/>
                <w:szCs w:val="18"/>
              </w:rPr>
            </w:pPr>
            <w:r w:rsidRPr="00EC21FB">
              <w:rPr>
                <w:color w:val="000000"/>
                <w:sz w:val="18"/>
                <w:szCs w:val="18"/>
              </w:rPr>
              <w:t>5.12</w:t>
            </w:r>
          </w:p>
        </w:tc>
        <w:tc>
          <w:tcPr>
            <w:tcW w:w="990" w:type="dxa"/>
          </w:tcPr>
          <w:p w14:paraId="515952C1" w14:textId="68759A39" w:rsidR="00C954CC" w:rsidRPr="00EC21FB" w:rsidRDefault="006B3F81" w:rsidP="00E951AB">
            <w:pPr>
              <w:jc w:val="right"/>
              <w:rPr>
                <w:color w:val="000000"/>
                <w:sz w:val="18"/>
                <w:szCs w:val="18"/>
              </w:rPr>
            </w:pPr>
            <w:r>
              <w:rPr>
                <w:color w:val="000000"/>
                <w:sz w:val="18"/>
                <w:szCs w:val="18"/>
              </w:rPr>
              <w:t>27</w:t>
            </w:r>
          </w:p>
        </w:tc>
        <w:tc>
          <w:tcPr>
            <w:tcW w:w="630" w:type="dxa"/>
            <w:vAlign w:val="center"/>
          </w:tcPr>
          <w:p w14:paraId="1E642753" w14:textId="62EFCB14" w:rsidR="00C954CC" w:rsidRPr="00EC21FB" w:rsidRDefault="006B3F81" w:rsidP="00E951AB">
            <w:pPr>
              <w:jc w:val="right"/>
              <w:rPr>
                <w:color w:val="000000"/>
                <w:sz w:val="18"/>
                <w:szCs w:val="18"/>
              </w:rPr>
            </w:pPr>
            <w:r>
              <w:rPr>
                <w:color w:val="000000"/>
                <w:sz w:val="18"/>
                <w:szCs w:val="18"/>
              </w:rPr>
              <w:t>10.1</w:t>
            </w:r>
          </w:p>
        </w:tc>
        <w:tc>
          <w:tcPr>
            <w:tcW w:w="630" w:type="dxa"/>
            <w:vAlign w:val="center"/>
          </w:tcPr>
          <w:p w14:paraId="03454EB5" w14:textId="42CD7661" w:rsidR="00C954CC" w:rsidRPr="00EC21FB" w:rsidRDefault="006B3F81" w:rsidP="00E951AB">
            <w:pPr>
              <w:jc w:val="right"/>
              <w:rPr>
                <w:color w:val="000000"/>
                <w:sz w:val="18"/>
                <w:szCs w:val="18"/>
              </w:rPr>
            </w:pPr>
            <w:r>
              <w:rPr>
                <w:color w:val="000000"/>
                <w:sz w:val="18"/>
                <w:szCs w:val="18"/>
              </w:rPr>
              <w:t>1.51</w:t>
            </w:r>
          </w:p>
        </w:tc>
        <w:tc>
          <w:tcPr>
            <w:tcW w:w="630" w:type="dxa"/>
          </w:tcPr>
          <w:p w14:paraId="760D4A14" w14:textId="0F8BAD1B" w:rsidR="00C954CC" w:rsidRPr="00EC21FB" w:rsidRDefault="006B3F81" w:rsidP="00E951AB">
            <w:pPr>
              <w:jc w:val="right"/>
              <w:rPr>
                <w:color w:val="000000"/>
                <w:sz w:val="18"/>
                <w:szCs w:val="18"/>
              </w:rPr>
            </w:pPr>
            <w:r>
              <w:rPr>
                <w:color w:val="000000"/>
                <w:sz w:val="18"/>
                <w:szCs w:val="18"/>
              </w:rPr>
              <w:t>480</w:t>
            </w:r>
          </w:p>
        </w:tc>
        <w:tc>
          <w:tcPr>
            <w:tcW w:w="1080" w:type="dxa"/>
            <w:vAlign w:val="center"/>
          </w:tcPr>
          <w:p w14:paraId="14E92809" w14:textId="0BCA96F1" w:rsidR="00C954CC" w:rsidRPr="00EC21FB" w:rsidRDefault="00C954CC" w:rsidP="00E951AB">
            <w:pPr>
              <w:jc w:val="right"/>
              <w:rPr>
                <w:color w:val="000000"/>
                <w:sz w:val="18"/>
                <w:szCs w:val="18"/>
              </w:rPr>
            </w:pPr>
            <w:r w:rsidRPr="00EC21FB">
              <w:rPr>
                <w:color w:val="000000"/>
                <w:sz w:val="18"/>
                <w:szCs w:val="18"/>
              </w:rPr>
              <w:t>wetland</w:t>
            </w:r>
          </w:p>
        </w:tc>
        <w:tc>
          <w:tcPr>
            <w:tcW w:w="1170" w:type="dxa"/>
            <w:vAlign w:val="center"/>
          </w:tcPr>
          <w:p w14:paraId="4FB1902D"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69F4F3F3" w14:textId="77777777" w:rsidR="00C954CC" w:rsidRPr="00EC21FB" w:rsidRDefault="00C954CC" w:rsidP="00E951AB">
            <w:pPr>
              <w:jc w:val="right"/>
              <w:rPr>
                <w:color w:val="000000"/>
                <w:sz w:val="18"/>
                <w:szCs w:val="18"/>
              </w:rPr>
            </w:pPr>
            <w:r w:rsidRPr="00EC21FB">
              <w:rPr>
                <w:color w:val="000000"/>
                <w:sz w:val="18"/>
                <w:szCs w:val="18"/>
              </w:rPr>
              <w:t>20</w:t>
            </w:r>
          </w:p>
        </w:tc>
        <w:tc>
          <w:tcPr>
            <w:tcW w:w="1080" w:type="dxa"/>
            <w:vAlign w:val="center"/>
          </w:tcPr>
          <w:p w14:paraId="753F96CD" w14:textId="77777777" w:rsidR="00C954CC" w:rsidRPr="00EC21FB" w:rsidRDefault="00C954CC" w:rsidP="00E951AB">
            <w:pPr>
              <w:jc w:val="right"/>
              <w:rPr>
                <w:color w:val="000000"/>
                <w:sz w:val="18"/>
                <w:szCs w:val="18"/>
              </w:rPr>
            </w:pPr>
            <w:r w:rsidRPr="00EC21FB">
              <w:rPr>
                <w:color w:val="000000"/>
                <w:sz w:val="18"/>
                <w:szCs w:val="18"/>
              </w:rPr>
              <w:t>5</w:t>
            </w:r>
          </w:p>
        </w:tc>
      </w:tr>
      <w:tr w:rsidR="00C954CC" w:rsidRPr="004F689E" w14:paraId="0AC48FD9" w14:textId="77777777" w:rsidTr="00C954CC">
        <w:tc>
          <w:tcPr>
            <w:tcW w:w="2155" w:type="dxa"/>
            <w:vMerge/>
          </w:tcPr>
          <w:p w14:paraId="62B8745F" w14:textId="77777777" w:rsidR="00C954CC" w:rsidRPr="00EC21FB" w:rsidRDefault="00C954CC" w:rsidP="00E951AB">
            <w:pPr>
              <w:rPr>
                <w:color w:val="000000"/>
                <w:sz w:val="18"/>
                <w:szCs w:val="18"/>
              </w:rPr>
            </w:pPr>
          </w:p>
        </w:tc>
        <w:tc>
          <w:tcPr>
            <w:tcW w:w="1350" w:type="dxa"/>
          </w:tcPr>
          <w:p w14:paraId="595542D1" w14:textId="77777777" w:rsidR="00C954CC" w:rsidRPr="00EC21FB" w:rsidRDefault="00C954CC" w:rsidP="00E951AB">
            <w:pPr>
              <w:rPr>
                <w:color w:val="000000"/>
                <w:sz w:val="18"/>
                <w:szCs w:val="18"/>
              </w:rPr>
            </w:pPr>
            <w:proofErr w:type="spellStart"/>
            <w:r w:rsidRPr="00EC21FB">
              <w:rPr>
                <w:color w:val="000000"/>
                <w:sz w:val="18"/>
                <w:szCs w:val="18"/>
              </w:rPr>
              <w:t>zwarte_beek</w:t>
            </w:r>
            <w:proofErr w:type="spellEnd"/>
          </w:p>
        </w:tc>
        <w:tc>
          <w:tcPr>
            <w:tcW w:w="900" w:type="dxa"/>
            <w:vAlign w:val="center"/>
          </w:tcPr>
          <w:p w14:paraId="36F131C1" w14:textId="77777777" w:rsidR="00C954CC" w:rsidRPr="00EC21FB" w:rsidRDefault="00C954CC" w:rsidP="00E951AB">
            <w:pPr>
              <w:jc w:val="right"/>
              <w:rPr>
                <w:color w:val="000000"/>
                <w:sz w:val="18"/>
                <w:szCs w:val="18"/>
              </w:rPr>
            </w:pPr>
            <w:r w:rsidRPr="00EC21FB">
              <w:rPr>
                <w:color w:val="000000"/>
                <w:sz w:val="18"/>
                <w:szCs w:val="18"/>
              </w:rPr>
              <w:t>51.08</w:t>
            </w:r>
          </w:p>
        </w:tc>
        <w:tc>
          <w:tcPr>
            <w:tcW w:w="1080" w:type="dxa"/>
            <w:vAlign w:val="center"/>
          </w:tcPr>
          <w:p w14:paraId="5E0E8D2E" w14:textId="77777777" w:rsidR="00C954CC" w:rsidRPr="00EC21FB" w:rsidRDefault="00C954CC" w:rsidP="00E951AB">
            <w:pPr>
              <w:jc w:val="right"/>
              <w:rPr>
                <w:color w:val="000000"/>
                <w:sz w:val="18"/>
                <w:szCs w:val="18"/>
              </w:rPr>
            </w:pPr>
            <w:r w:rsidRPr="00EC21FB">
              <w:rPr>
                <w:color w:val="000000"/>
                <w:sz w:val="18"/>
                <w:szCs w:val="18"/>
              </w:rPr>
              <w:t>5.30</w:t>
            </w:r>
          </w:p>
        </w:tc>
        <w:tc>
          <w:tcPr>
            <w:tcW w:w="990" w:type="dxa"/>
          </w:tcPr>
          <w:p w14:paraId="2CD12399" w14:textId="54B405A1" w:rsidR="00C954CC" w:rsidRPr="00EC21FB" w:rsidRDefault="006B3F81" w:rsidP="00E951AB">
            <w:pPr>
              <w:jc w:val="right"/>
              <w:rPr>
                <w:color w:val="000000"/>
                <w:sz w:val="18"/>
                <w:szCs w:val="18"/>
              </w:rPr>
            </w:pPr>
            <w:r>
              <w:rPr>
                <w:color w:val="000000"/>
                <w:sz w:val="18"/>
                <w:szCs w:val="18"/>
              </w:rPr>
              <w:t>56</w:t>
            </w:r>
          </w:p>
        </w:tc>
        <w:tc>
          <w:tcPr>
            <w:tcW w:w="630" w:type="dxa"/>
            <w:vAlign w:val="center"/>
          </w:tcPr>
          <w:p w14:paraId="6F4B1645" w14:textId="21F86AEA" w:rsidR="00C954CC" w:rsidRPr="00EC21FB" w:rsidRDefault="006B3F81" w:rsidP="00E951AB">
            <w:pPr>
              <w:jc w:val="right"/>
              <w:rPr>
                <w:color w:val="000000"/>
                <w:sz w:val="18"/>
                <w:szCs w:val="18"/>
              </w:rPr>
            </w:pPr>
            <w:r>
              <w:rPr>
                <w:color w:val="000000"/>
                <w:sz w:val="18"/>
                <w:szCs w:val="18"/>
              </w:rPr>
              <w:t>10.1</w:t>
            </w:r>
          </w:p>
        </w:tc>
        <w:tc>
          <w:tcPr>
            <w:tcW w:w="630" w:type="dxa"/>
            <w:vAlign w:val="center"/>
          </w:tcPr>
          <w:p w14:paraId="2EA238DF" w14:textId="04D6B4D6" w:rsidR="00C954CC" w:rsidRPr="00EC21FB" w:rsidRDefault="006B3F81" w:rsidP="00E951AB">
            <w:pPr>
              <w:jc w:val="right"/>
              <w:rPr>
                <w:color w:val="000000"/>
                <w:sz w:val="18"/>
                <w:szCs w:val="18"/>
              </w:rPr>
            </w:pPr>
            <w:r>
              <w:rPr>
                <w:color w:val="000000"/>
                <w:sz w:val="18"/>
                <w:szCs w:val="18"/>
              </w:rPr>
              <w:t>1.55</w:t>
            </w:r>
          </w:p>
        </w:tc>
        <w:tc>
          <w:tcPr>
            <w:tcW w:w="630" w:type="dxa"/>
          </w:tcPr>
          <w:p w14:paraId="04B17797" w14:textId="405C3063" w:rsidR="00C954CC" w:rsidRPr="00EC21FB" w:rsidRDefault="006B3F81" w:rsidP="00E951AB">
            <w:pPr>
              <w:jc w:val="right"/>
              <w:rPr>
                <w:color w:val="000000"/>
                <w:sz w:val="18"/>
                <w:szCs w:val="18"/>
              </w:rPr>
            </w:pPr>
            <w:r>
              <w:rPr>
                <w:color w:val="000000"/>
                <w:sz w:val="18"/>
                <w:szCs w:val="18"/>
              </w:rPr>
              <w:t>483</w:t>
            </w:r>
          </w:p>
        </w:tc>
        <w:tc>
          <w:tcPr>
            <w:tcW w:w="1080" w:type="dxa"/>
            <w:vAlign w:val="center"/>
          </w:tcPr>
          <w:p w14:paraId="206C9AC1" w14:textId="76DFD9BF" w:rsidR="00C954CC" w:rsidRPr="00EC21FB" w:rsidRDefault="00C954CC" w:rsidP="00E951AB">
            <w:pPr>
              <w:jc w:val="right"/>
              <w:rPr>
                <w:color w:val="000000"/>
                <w:sz w:val="18"/>
                <w:szCs w:val="18"/>
              </w:rPr>
            </w:pPr>
            <w:r w:rsidRPr="00EC21FB">
              <w:rPr>
                <w:color w:val="000000"/>
                <w:sz w:val="18"/>
                <w:szCs w:val="18"/>
              </w:rPr>
              <w:t>wetland</w:t>
            </w:r>
          </w:p>
        </w:tc>
        <w:tc>
          <w:tcPr>
            <w:tcW w:w="1170" w:type="dxa"/>
            <w:vAlign w:val="center"/>
          </w:tcPr>
          <w:p w14:paraId="0179AC7E"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33DB111A" w14:textId="77777777" w:rsidR="00C954CC" w:rsidRPr="00EC21FB" w:rsidRDefault="00C954CC" w:rsidP="00E951AB">
            <w:pPr>
              <w:jc w:val="right"/>
              <w:rPr>
                <w:color w:val="000000"/>
                <w:sz w:val="18"/>
                <w:szCs w:val="18"/>
              </w:rPr>
            </w:pPr>
            <w:r w:rsidRPr="00EC21FB">
              <w:rPr>
                <w:color w:val="000000"/>
                <w:sz w:val="18"/>
                <w:szCs w:val="18"/>
              </w:rPr>
              <w:t>20</w:t>
            </w:r>
          </w:p>
        </w:tc>
        <w:tc>
          <w:tcPr>
            <w:tcW w:w="1080" w:type="dxa"/>
            <w:vAlign w:val="center"/>
          </w:tcPr>
          <w:p w14:paraId="762BD62E" w14:textId="77777777" w:rsidR="00C954CC" w:rsidRPr="00EC21FB" w:rsidRDefault="00C954CC" w:rsidP="00E951AB">
            <w:pPr>
              <w:jc w:val="right"/>
              <w:rPr>
                <w:color w:val="000000"/>
                <w:sz w:val="18"/>
                <w:szCs w:val="18"/>
              </w:rPr>
            </w:pPr>
            <w:r w:rsidRPr="00EC21FB">
              <w:rPr>
                <w:color w:val="000000"/>
                <w:sz w:val="18"/>
                <w:szCs w:val="18"/>
              </w:rPr>
              <w:t>5</w:t>
            </w:r>
          </w:p>
        </w:tc>
      </w:tr>
      <w:tr w:rsidR="00C954CC" w:rsidRPr="004F689E" w14:paraId="03B4265A" w14:textId="77777777" w:rsidTr="00C954CC">
        <w:sdt>
          <w:sdtPr>
            <w:rPr>
              <w:color w:val="000000"/>
              <w:sz w:val="18"/>
              <w:szCs w:val="18"/>
            </w:rPr>
            <w:tag w:val="MENDELEY_CITATION_v3_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"/>
            <w:id w:val="1606843469"/>
            <w:placeholder>
              <w:docPart w:val="B314F28EC35A1F4B9FEAFD20E541877F"/>
            </w:placeholder>
          </w:sdtPr>
          <w:sdtContent>
            <w:tc>
              <w:tcPr>
                <w:tcW w:w="2155" w:type="dxa"/>
              </w:tcPr>
              <w:p w14:paraId="31CF2D8F" w14:textId="0FC19560" w:rsidR="00C954CC" w:rsidRPr="00EC21FB" w:rsidRDefault="00E807B5" w:rsidP="00E951AB">
                <w:pPr>
                  <w:rPr>
                    <w:sz w:val="18"/>
                    <w:szCs w:val="18"/>
                  </w:rPr>
                </w:pPr>
                <w:r w:rsidRPr="00E807B5">
                  <w:rPr>
                    <w:rFonts w:eastAsia="Times New Roman"/>
                    <w:color w:val="000000"/>
                    <w:sz w:val="18"/>
                  </w:rPr>
                  <w:t>(Borer et al., 2014)</w:t>
                </w:r>
              </w:p>
            </w:tc>
          </w:sdtContent>
        </w:sdt>
        <w:tc>
          <w:tcPr>
            <w:tcW w:w="1350" w:type="dxa"/>
          </w:tcPr>
          <w:p w14:paraId="7413837D" w14:textId="77777777" w:rsidR="00C954CC" w:rsidRPr="00EC21FB" w:rsidRDefault="00C954CC" w:rsidP="00E951AB">
            <w:pPr>
              <w:rPr>
                <w:color w:val="000000"/>
                <w:sz w:val="18"/>
                <w:szCs w:val="18"/>
              </w:rPr>
            </w:pPr>
            <w:proofErr w:type="spellStart"/>
            <w:r w:rsidRPr="00EC21FB">
              <w:rPr>
                <w:color w:val="000000"/>
                <w:sz w:val="18"/>
                <w:szCs w:val="18"/>
              </w:rPr>
              <w:t>sedgwick</w:t>
            </w:r>
            <w:proofErr w:type="spellEnd"/>
          </w:p>
        </w:tc>
        <w:tc>
          <w:tcPr>
            <w:tcW w:w="900" w:type="dxa"/>
            <w:vAlign w:val="bottom"/>
          </w:tcPr>
          <w:p w14:paraId="2BA8499F" w14:textId="77777777" w:rsidR="00C954CC" w:rsidRPr="00EC21FB" w:rsidRDefault="00C954CC" w:rsidP="00E951AB">
            <w:pPr>
              <w:jc w:val="right"/>
              <w:rPr>
                <w:color w:val="000000"/>
                <w:sz w:val="18"/>
                <w:szCs w:val="18"/>
              </w:rPr>
            </w:pPr>
            <w:r w:rsidRPr="00EC21FB">
              <w:rPr>
                <w:color w:val="000000"/>
                <w:sz w:val="18"/>
                <w:szCs w:val="18"/>
              </w:rPr>
              <w:t>34.7</w:t>
            </w:r>
          </w:p>
        </w:tc>
        <w:tc>
          <w:tcPr>
            <w:tcW w:w="1080" w:type="dxa"/>
            <w:vAlign w:val="bottom"/>
          </w:tcPr>
          <w:p w14:paraId="721D324C" w14:textId="77777777" w:rsidR="00C954CC" w:rsidRPr="00EC21FB" w:rsidRDefault="00C954CC" w:rsidP="00E951AB">
            <w:pPr>
              <w:jc w:val="right"/>
              <w:rPr>
                <w:color w:val="000000"/>
                <w:sz w:val="18"/>
                <w:szCs w:val="18"/>
              </w:rPr>
            </w:pPr>
            <w:r w:rsidRPr="00EC21FB">
              <w:rPr>
                <w:color w:val="000000"/>
                <w:sz w:val="18"/>
                <w:szCs w:val="18"/>
              </w:rPr>
              <w:t>-119.88</w:t>
            </w:r>
          </w:p>
        </w:tc>
        <w:tc>
          <w:tcPr>
            <w:tcW w:w="990" w:type="dxa"/>
          </w:tcPr>
          <w:p w14:paraId="76847703" w14:textId="63522624" w:rsidR="00C954CC" w:rsidRPr="006B3F81" w:rsidRDefault="006B3F81" w:rsidP="00E951AB">
            <w:pPr>
              <w:jc w:val="right"/>
              <w:rPr>
                <w:color w:val="000000"/>
                <w:sz w:val="18"/>
                <w:szCs w:val="18"/>
              </w:rPr>
            </w:pPr>
            <w:r w:rsidRPr="006B3F81">
              <w:rPr>
                <w:color w:val="000000"/>
                <w:sz w:val="18"/>
                <w:szCs w:val="18"/>
              </w:rPr>
              <w:t>1122</w:t>
            </w:r>
          </w:p>
        </w:tc>
        <w:tc>
          <w:tcPr>
            <w:tcW w:w="630" w:type="dxa"/>
          </w:tcPr>
          <w:p w14:paraId="651F9022" w14:textId="5C6C3E71" w:rsidR="00C954CC" w:rsidRPr="006B3F81" w:rsidRDefault="006B3F81" w:rsidP="00E951AB">
            <w:pPr>
              <w:jc w:val="right"/>
              <w:rPr>
                <w:color w:val="000000"/>
                <w:sz w:val="18"/>
                <w:szCs w:val="18"/>
              </w:rPr>
            </w:pPr>
            <w:r>
              <w:rPr>
                <w:color w:val="000000"/>
                <w:sz w:val="18"/>
                <w:szCs w:val="18"/>
              </w:rPr>
              <w:t>12.8</w:t>
            </w:r>
          </w:p>
        </w:tc>
        <w:tc>
          <w:tcPr>
            <w:tcW w:w="630" w:type="dxa"/>
          </w:tcPr>
          <w:p w14:paraId="06E9523B" w14:textId="7AD9BA5D" w:rsidR="00C954CC" w:rsidRPr="006B3F81" w:rsidRDefault="006B3F81" w:rsidP="00E951AB">
            <w:pPr>
              <w:jc w:val="right"/>
              <w:rPr>
                <w:color w:val="000000"/>
                <w:sz w:val="18"/>
                <w:szCs w:val="18"/>
              </w:rPr>
            </w:pPr>
            <w:r>
              <w:rPr>
                <w:color w:val="000000"/>
                <w:sz w:val="18"/>
                <w:szCs w:val="18"/>
              </w:rPr>
              <w:t>0.49</w:t>
            </w:r>
          </w:p>
        </w:tc>
        <w:tc>
          <w:tcPr>
            <w:tcW w:w="630" w:type="dxa"/>
          </w:tcPr>
          <w:p w14:paraId="32E8FDEE" w14:textId="1A58843C" w:rsidR="00C954CC" w:rsidRPr="006B3F81" w:rsidRDefault="006B3F81" w:rsidP="00E951AB">
            <w:pPr>
              <w:jc w:val="right"/>
              <w:rPr>
                <w:color w:val="000000"/>
                <w:sz w:val="18"/>
                <w:szCs w:val="18"/>
              </w:rPr>
            </w:pPr>
            <w:r>
              <w:rPr>
                <w:color w:val="000000"/>
                <w:sz w:val="18"/>
                <w:szCs w:val="18"/>
              </w:rPr>
              <w:t>883</w:t>
            </w:r>
          </w:p>
        </w:tc>
        <w:tc>
          <w:tcPr>
            <w:tcW w:w="1080" w:type="dxa"/>
          </w:tcPr>
          <w:p w14:paraId="400447CC" w14:textId="2745916E" w:rsidR="00C954CC" w:rsidRPr="00EC21FB" w:rsidRDefault="00C954CC" w:rsidP="00E951AB">
            <w:pPr>
              <w:jc w:val="right"/>
              <w:rPr>
                <w:color w:val="000000"/>
                <w:sz w:val="18"/>
                <w:szCs w:val="18"/>
              </w:rPr>
            </w:pPr>
            <w:r w:rsidRPr="00EC21FB">
              <w:rPr>
                <w:color w:val="000000"/>
                <w:sz w:val="18"/>
                <w:szCs w:val="18"/>
              </w:rPr>
              <w:t>grassland</w:t>
            </w:r>
          </w:p>
        </w:tc>
        <w:tc>
          <w:tcPr>
            <w:tcW w:w="1170" w:type="dxa"/>
          </w:tcPr>
          <w:p w14:paraId="7F4336F2"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tcPr>
          <w:p w14:paraId="509FD9F3" w14:textId="77777777" w:rsidR="00C954CC" w:rsidRPr="00EC21FB" w:rsidRDefault="00C954CC" w:rsidP="00E951AB">
            <w:pPr>
              <w:jc w:val="right"/>
              <w:rPr>
                <w:color w:val="000000"/>
                <w:sz w:val="18"/>
                <w:szCs w:val="18"/>
              </w:rPr>
            </w:pPr>
            <w:r w:rsidRPr="00EC21FB">
              <w:rPr>
                <w:color w:val="000000"/>
                <w:sz w:val="18"/>
                <w:szCs w:val="18"/>
              </w:rPr>
              <w:t>10</w:t>
            </w:r>
          </w:p>
        </w:tc>
        <w:tc>
          <w:tcPr>
            <w:tcW w:w="1080" w:type="dxa"/>
          </w:tcPr>
          <w:p w14:paraId="1F7918AB" w14:textId="77777777" w:rsidR="00C954CC" w:rsidRPr="00EC21FB" w:rsidRDefault="00C954CC" w:rsidP="00E951AB">
            <w:pPr>
              <w:jc w:val="right"/>
              <w:rPr>
                <w:color w:val="000000"/>
                <w:sz w:val="18"/>
                <w:szCs w:val="18"/>
              </w:rPr>
            </w:pPr>
            <w:r w:rsidRPr="00EC21FB">
              <w:rPr>
                <w:color w:val="000000"/>
                <w:sz w:val="18"/>
                <w:szCs w:val="18"/>
              </w:rPr>
              <w:t>10</w:t>
            </w:r>
          </w:p>
        </w:tc>
      </w:tr>
      <w:tr w:rsidR="00C954CC" w:rsidRPr="004F689E" w14:paraId="746734A2" w14:textId="77777777" w:rsidTr="00C954CC">
        <w:sdt>
          <w:sdtPr>
            <w:rPr>
              <w:color w:val="000000"/>
              <w:sz w:val="18"/>
              <w:szCs w:val="18"/>
            </w:rPr>
            <w:tag w:val="MENDELEY_CITATION_v3_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"/>
            <w:id w:val="-1413925773"/>
            <w:placeholder>
              <w:docPart w:val="030A3C0B6E38B24DB0C1D9EACD418221"/>
            </w:placeholder>
          </w:sdtPr>
          <w:sdtContent>
            <w:tc>
              <w:tcPr>
                <w:tcW w:w="2155" w:type="dxa"/>
              </w:tcPr>
              <w:p w14:paraId="312FF016" w14:textId="7C5DC02C" w:rsidR="00C954CC" w:rsidRPr="00EC21FB" w:rsidRDefault="00E807B5" w:rsidP="00E951AB">
                <w:pPr>
                  <w:rPr>
                    <w:color w:val="000000"/>
                    <w:sz w:val="18"/>
                    <w:szCs w:val="18"/>
                  </w:rPr>
                </w:pPr>
                <w:r w:rsidRPr="00E807B5">
                  <w:rPr>
                    <w:rFonts w:eastAsia="Times New Roman"/>
                    <w:color w:val="000000"/>
                    <w:sz w:val="18"/>
                  </w:rPr>
                  <w:t>(Bowman et al., 1993)</w:t>
                </w:r>
              </w:p>
            </w:tc>
          </w:sdtContent>
        </w:sdt>
        <w:tc>
          <w:tcPr>
            <w:tcW w:w="1350" w:type="dxa"/>
          </w:tcPr>
          <w:p w14:paraId="171A47F9" w14:textId="77777777" w:rsidR="00C954CC" w:rsidRPr="00EC21FB" w:rsidRDefault="00C954CC" w:rsidP="00E951AB">
            <w:pPr>
              <w:rPr>
                <w:color w:val="000000"/>
                <w:sz w:val="18"/>
                <w:szCs w:val="18"/>
              </w:rPr>
            </w:pPr>
            <w:proofErr w:type="spellStart"/>
            <w:r w:rsidRPr="00EC21FB">
              <w:rPr>
                <w:color w:val="000000"/>
                <w:sz w:val="18"/>
                <w:szCs w:val="18"/>
              </w:rPr>
              <w:t>niwot_ridge</w:t>
            </w:r>
            <w:proofErr w:type="spellEnd"/>
          </w:p>
        </w:tc>
        <w:tc>
          <w:tcPr>
            <w:tcW w:w="900" w:type="dxa"/>
            <w:vAlign w:val="bottom"/>
          </w:tcPr>
          <w:p w14:paraId="6647D5F9" w14:textId="77777777" w:rsidR="00C954CC" w:rsidRPr="00EC21FB" w:rsidRDefault="00C954CC" w:rsidP="00E951AB">
            <w:pPr>
              <w:jc w:val="right"/>
              <w:rPr>
                <w:color w:val="000000"/>
                <w:sz w:val="18"/>
                <w:szCs w:val="18"/>
              </w:rPr>
            </w:pPr>
            <w:r w:rsidRPr="00EC21FB">
              <w:rPr>
                <w:color w:val="000000"/>
                <w:sz w:val="18"/>
                <w:szCs w:val="18"/>
              </w:rPr>
              <w:t>40.06</w:t>
            </w:r>
          </w:p>
        </w:tc>
        <w:tc>
          <w:tcPr>
            <w:tcW w:w="1080" w:type="dxa"/>
            <w:vAlign w:val="bottom"/>
          </w:tcPr>
          <w:p w14:paraId="6CE8AC56" w14:textId="77777777" w:rsidR="00C954CC" w:rsidRPr="00EC21FB" w:rsidRDefault="00C954CC" w:rsidP="00E951AB">
            <w:pPr>
              <w:jc w:val="right"/>
              <w:rPr>
                <w:color w:val="000000"/>
                <w:sz w:val="18"/>
                <w:szCs w:val="18"/>
              </w:rPr>
            </w:pPr>
            <w:r w:rsidRPr="00EC21FB">
              <w:rPr>
                <w:color w:val="000000"/>
                <w:sz w:val="18"/>
                <w:szCs w:val="18"/>
              </w:rPr>
              <w:t>-105.58</w:t>
            </w:r>
          </w:p>
        </w:tc>
        <w:tc>
          <w:tcPr>
            <w:tcW w:w="990" w:type="dxa"/>
          </w:tcPr>
          <w:p w14:paraId="109E885C" w14:textId="0B7008D9" w:rsidR="00C954CC" w:rsidRPr="006B3F81" w:rsidRDefault="006B3F81" w:rsidP="00E951AB">
            <w:pPr>
              <w:jc w:val="right"/>
              <w:rPr>
                <w:color w:val="000000"/>
                <w:sz w:val="18"/>
                <w:szCs w:val="18"/>
              </w:rPr>
            </w:pPr>
            <w:r>
              <w:rPr>
                <w:color w:val="000000"/>
                <w:sz w:val="18"/>
                <w:szCs w:val="18"/>
              </w:rPr>
              <w:t>3471</w:t>
            </w:r>
          </w:p>
        </w:tc>
        <w:tc>
          <w:tcPr>
            <w:tcW w:w="630" w:type="dxa"/>
            <w:vAlign w:val="bottom"/>
          </w:tcPr>
          <w:p w14:paraId="35285B40" w14:textId="7E4826A5" w:rsidR="00C954CC" w:rsidRPr="006B3F81" w:rsidRDefault="006B3F81" w:rsidP="00E951AB">
            <w:pPr>
              <w:jc w:val="right"/>
              <w:rPr>
                <w:color w:val="000000"/>
                <w:sz w:val="18"/>
                <w:szCs w:val="18"/>
              </w:rPr>
            </w:pPr>
            <w:r>
              <w:rPr>
                <w:color w:val="000000"/>
                <w:sz w:val="18"/>
                <w:szCs w:val="18"/>
              </w:rPr>
              <w:t>6.1</w:t>
            </w:r>
          </w:p>
        </w:tc>
        <w:tc>
          <w:tcPr>
            <w:tcW w:w="630" w:type="dxa"/>
            <w:vAlign w:val="bottom"/>
          </w:tcPr>
          <w:p w14:paraId="68417167" w14:textId="5235539A" w:rsidR="00C954CC" w:rsidRPr="006B3F81" w:rsidRDefault="006B3F81" w:rsidP="00E951AB">
            <w:pPr>
              <w:jc w:val="right"/>
              <w:rPr>
                <w:color w:val="000000"/>
                <w:sz w:val="18"/>
                <w:szCs w:val="18"/>
              </w:rPr>
            </w:pPr>
            <w:r>
              <w:rPr>
                <w:color w:val="000000"/>
                <w:sz w:val="18"/>
                <w:szCs w:val="18"/>
              </w:rPr>
              <w:t>0.40</w:t>
            </w:r>
          </w:p>
        </w:tc>
        <w:tc>
          <w:tcPr>
            <w:tcW w:w="630" w:type="dxa"/>
          </w:tcPr>
          <w:p w14:paraId="6DEB35EF" w14:textId="1E221D38" w:rsidR="00C954CC" w:rsidRPr="006B3F81" w:rsidRDefault="006B3F81" w:rsidP="00E951AB">
            <w:pPr>
              <w:jc w:val="right"/>
              <w:rPr>
                <w:color w:val="000000"/>
                <w:sz w:val="18"/>
                <w:szCs w:val="18"/>
              </w:rPr>
            </w:pPr>
            <w:r>
              <w:rPr>
                <w:color w:val="000000"/>
                <w:sz w:val="18"/>
                <w:szCs w:val="18"/>
              </w:rPr>
              <w:t>967</w:t>
            </w:r>
          </w:p>
        </w:tc>
        <w:tc>
          <w:tcPr>
            <w:tcW w:w="1080" w:type="dxa"/>
            <w:vAlign w:val="bottom"/>
          </w:tcPr>
          <w:p w14:paraId="31A85D60" w14:textId="2F626C8D" w:rsidR="00C954CC" w:rsidRPr="00EC21FB" w:rsidRDefault="00C954CC" w:rsidP="00E951AB">
            <w:pPr>
              <w:jc w:val="right"/>
              <w:rPr>
                <w:color w:val="000000"/>
                <w:sz w:val="18"/>
                <w:szCs w:val="18"/>
              </w:rPr>
            </w:pPr>
            <w:r w:rsidRPr="00EC21FB">
              <w:rPr>
                <w:color w:val="000000"/>
                <w:sz w:val="18"/>
                <w:szCs w:val="18"/>
              </w:rPr>
              <w:t>tundra</w:t>
            </w:r>
          </w:p>
        </w:tc>
        <w:tc>
          <w:tcPr>
            <w:tcW w:w="1170" w:type="dxa"/>
            <w:vAlign w:val="bottom"/>
          </w:tcPr>
          <w:p w14:paraId="2313075D"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bottom"/>
          </w:tcPr>
          <w:p w14:paraId="2C0E4C4F" w14:textId="77777777" w:rsidR="00C954CC" w:rsidRPr="00EC21FB" w:rsidRDefault="00C954CC" w:rsidP="00E951AB">
            <w:pPr>
              <w:jc w:val="right"/>
              <w:rPr>
                <w:color w:val="000000"/>
                <w:sz w:val="18"/>
                <w:szCs w:val="18"/>
              </w:rPr>
            </w:pPr>
            <w:r w:rsidRPr="00EC21FB">
              <w:rPr>
                <w:color w:val="000000"/>
                <w:sz w:val="18"/>
                <w:szCs w:val="18"/>
              </w:rPr>
              <w:t>25</w:t>
            </w:r>
          </w:p>
        </w:tc>
        <w:tc>
          <w:tcPr>
            <w:tcW w:w="1080" w:type="dxa"/>
          </w:tcPr>
          <w:p w14:paraId="3B923E27" w14:textId="77777777" w:rsidR="00C954CC" w:rsidRPr="00EC21FB" w:rsidRDefault="00C954CC" w:rsidP="00E951AB">
            <w:pPr>
              <w:jc w:val="right"/>
              <w:rPr>
                <w:color w:val="000000"/>
                <w:sz w:val="18"/>
                <w:szCs w:val="18"/>
              </w:rPr>
            </w:pPr>
            <w:r w:rsidRPr="00EC21FB">
              <w:rPr>
                <w:color w:val="000000"/>
                <w:sz w:val="18"/>
                <w:szCs w:val="18"/>
              </w:rPr>
              <w:t>25</w:t>
            </w:r>
          </w:p>
        </w:tc>
      </w:tr>
      <w:tr w:rsidR="00C954CC" w:rsidRPr="00877723" w14:paraId="14BC4333" w14:textId="77777777" w:rsidTr="00C954CC">
        <w:sdt>
          <w:sdtPr>
            <w:rPr>
              <w:color w:val="000000"/>
              <w:sz w:val="18"/>
              <w:szCs w:val="18"/>
            </w:rPr>
            <w:tag w:val="MENDELEY_CITATION_v3_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"/>
            <w:id w:val="-1980220771"/>
            <w:placeholder>
              <w:docPart w:val="B561BB62C4688745A5C52A4F234EF997"/>
            </w:placeholder>
          </w:sdtPr>
          <w:sdtContent>
            <w:tc>
              <w:tcPr>
                <w:tcW w:w="2155" w:type="dxa"/>
              </w:tcPr>
              <w:p w14:paraId="365B1C38" w14:textId="3BD946E0" w:rsidR="00C954CC" w:rsidRPr="00EC21FB" w:rsidRDefault="00E807B5" w:rsidP="00E951AB">
                <w:pPr>
                  <w:rPr>
                    <w:sz w:val="18"/>
                    <w:szCs w:val="18"/>
                  </w:rPr>
                </w:pPr>
                <w:r w:rsidRPr="00E807B5">
                  <w:rPr>
                    <w:rFonts w:eastAsia="Times New Roman"/>
                    <w:color w:val="000000"/>
                    <w:sz w:val="18"/>
                  </w:rPr>
                  <w:t>(Bown et al., 2007)</w:t>
                </w:r>
              </w:p>
            </w:tc>
          </w:sdtContent>
        </w:sdt>
        <w:tc>
          <w:tcPr>
            <w:tcW w:w="1350" w:type="dxa"/>
          </w:tcPr>
          <w:p w14:paraId="60566370" w14:textId="77777777" w:rsidR="00C954CC" w:rsidRPr="00EC21FB" w:rsidRDefault="00C954CC" w:rsidP="00E951AB">
            <w:pPr>
              <w:rPr>
                <w:color w:val="000000"/>
                <w:sz w:val="18"/>
                <w:szCs w:val="18"/>
              </w:rPr>
            </w:pPr>
            <w:proofErr w:type="spellStart"/>
            <w:r w:rsidRPr="00EC21FB">
              <w:rPr>
                <w:color w:val="000000"/>
                <w:sz w:val="18"/>
                <w:szCs w:val="18"/>
              </w:rPr>
              <w:t>purokohukohu</w:t>
            </w:r>
            <w:proofErr w:type="spellEnd"/>
          </w:p>
        </w:tc>
        <w:tc>
          <w:tcPr>
            <w:tcW w:w="900" w:type="dxa"/>
          </w:tcPr>
          <w:p w14:paraId="6D31AA62" w14:textId="77777777" w:rsidR="00C954CC" w:rsidRPr="00EC21FB" w:rsidRDefault="00C954CC" w:rsidP="00E951AB">
            <w:pPr>
              <w:jc w:val="right"/>
              <w:rPr>
                <w:color w:val="000000"/>
                <w:sz w:val="18"/>
                <w:szCs w:val="18"/>
              </w:rPr>
            </w:pPr>
            <w:r w:rsidRPr="00EC21FB">
              <w:rPr>
                <w:color w:val="000000"/>
                <w:sz w:val="18"/>
                <w:szCs w:val="18"/>
              </w:rPr>
              <w:t>NA</w:t>
            </w:r>
          </w:p>
        </w:tc>
        <w:tc>
          <w:tcPr>
            <w:tcW w:w="1080" w:type="dxa"/>
          </w:tcPr>
          <w:p w14:paraId="2562649E" w14:textId="77777777" w:rsidR="00C954CC" w:rsidRPr="00EC21FB" w:rsidRDefault="00C954CC" w:rsidP="00E951AB">
            <w:pPr>
              <w:jc w:val="right"/>
              <w:rPr>
                <w:color w:val="000000"/>
                <w:sz w:val="18"/>
                <w:szCs w:val="18"/>
              </w:rPr>
            </w:pPr>
            <w:r w:rsidRPr="00EC21FB">
              <w:rPr>
                <w:color w:val="000000"/>
                <w:sz w:val="18"/>
                <w:szCs w:val="18"/>
              </w:rPr>
              <w:t>NA</w:t>
            </w:r>
          </w:p>
        </w:tc>
        <w:tc>
          <w:tcPr>
            <w:tcW w:w="990" w:type="dxa"/>
          </w:tcPr>
          <w:p w14:paraId="70E07FAE" w14:textId="5965F65E" w:rsidR="00C954CC" w:rsidRPr="006B3F81" w:rsidRDefault="00462F71" w:rsidP="00E951AB">
            <w:pPr>
              <w:jc w:val="right"/>
              <w:rPr>
                <w:color w:val="000000"/>
                <w:sz w:val="18"/>
                <w:szCs w:val="18"/>
              </w:rPr>
            </w:pPr>
            <w:r>
              <w:rPr>
                <w:color w:val="000000"/>
                <w:sz w:val="18"/>
                <w:szCs w:val="18"/>
              </w:rPr>
              <w:t>NA</w:t>
            </w:r>
          </w:p>
        </w:tc>
        <w:tc>
          <w:tcPr>
            <w:tcW w:w="630" w:type="dxa"/>
          </w:tcPr>
          <w:p w14:paraId="4ABAD458" w14:textId="7421E017" w:rsidR="00C954CC" w:rsidRPr="006B3F81" w:rsidRDefault="00462F71" w:rsidP="00E951AB">
            <w:pPr>
              <w:jc w:val="right"/>
              <w:rPr>
                <w:color w:val="000000"/>
                <w:sz w:val="18"/>
                <w:szCs w:val="18"/>
              </w:rPr>
            </w:pPr>
            <w:r>
              <w:rPr>
                <w:color w:val="000000"/>
                <w:sz w:val="18"/>
                <w:szCs w:val="18"/>
              </w:rPr>
              <w:t>NA</w:t>
            </w:r>
          </w:p>
        </w:tc>
        <w:tc>
          <w:tcPr>
            <w:tcW w:w="630" w:type="dxa"/>
          </w:tcPr>
          <w:p w14:paraId="7C7110BA" w14:textId="2F68877F" w:rsidR="00C954CC" w:rsidRPr="006B3F81" w:rsidRDefault="00462F71" w:rsidP="00E951AB">
            <w:pPr>
              <w:jc w:val="right"/>
              <w:rPr>
                <w:color w:val="000000"/>
                <w:sz w:val="18"/>
                <w:szCs w:val="18"/>
              </w:rPr>
            </w:pPr>
            <w:r>
              <w:rPr>
                <w:color w:val="000000"/>
                <w:sz w:val="18"/>
                <w:szCs w:val="18"/>
              </w:rPr>
              <w:t>NA</w:t>
            </w:r>
          </w:p>
        </w:tc>
        <w:tc>
          <w:tcPr>
            <w:tcW w:w="630" w:type="dxa"/>
          </w:tcPr>
          <w:p w14:paraId="39F96427" w14:textId="4DC7B18E" w:rsidR="00C954CC" w:rsidRPr="006B3F81" w:rsidRDefault="00462F71" w:rsidP="00E951AB">
            <w:pPr>
              <w:jc w:val="right"/>
              <w:rPr>
                <w:color w:val="000000"/>
                <w:sz w:val="18"/>
                <w:szCs w:val="18"/>
              </w:rPr>
            </w:pPr>
            <w:r>
              <w:rPr>
                <w:color w:val="000000"/>
                <w:sz w:val="18"/>
                <w:szCs w:val="18"/>
              </w:rPr>
              <w:t>NA</w:t>
            </w:r>
          </w:p>
        </w:tc>
        <w:tc>
          <w:tcPr>
            <w:tcW w:w="1080" w:type="dxa"/>
          </w:tcPr>
          <w:p w14:paraId="189BAAD5" w14:textId="7381146C" w:rsidR="00C954CC" w:rsidRPr="00EC21FB" w:rsidRDefault="00C954CC" w:rsidP="00E951AB">
            <w:pPr>
              <w:jc w:val="right"/>
              <w:rPr>
                <w:color w:val="000000"/>
                <w:sz w:val="18"/>
                <w:szCs w:val="18"/>
              </w:rPr>
            </w:pPr>
            <w:r w:rsidRPr="00EC21FB">
              <w:rPr>
                <w:color w:val="000000"/>
                <w:sz w:val="18"/>
                <w:szCs w:val="18"/>
              </w:rPr>
              <w:t>NA</w:t>
            </w:r>
          </w:p>
        </w:tc>
        <w:tc>
          <w:tcPr>
            <w:tcW w:w="1170" w:type="dxa"/>
          </w:tcPr>
          <w:p w14:paraId="26F55937" w14:textId="77777777" w:rsidR="00C954CC" w:rsidRPr="00EC21FB" w:rsidRDefault="00C954CC" w:rsidP="00E951AB">
            <w:pPr>
              <w:jc w:val="right"/>
              <w:rPr>
                <w:color w:val="000000"/>
                <w:sz w:val="18"/>
                <w:szCs w:val="18"/>
              </w:rPr>
            </w:pPr>
            <w:r w:rsidRPr="00EC21FB">
              <w:rPr>
                <w:color w:val="000000"/>
                <w:sz w:val="18"/>
                <w:szCs w:val="18"/>
              </w:rPr>
              <w:t>pot</w:t>
            </w:r>
          </w:p>
        </w:tc>
        <w:tc>
          <w:tcPr>
            <w:tcW w:w="1080" w:type="dxa"/>
          </w:tcPr>
          <w:p w14:paraId="2D6C506C" w14:textId="77777777" w:rsidR="00C954CC" w:rsidRPr="00EC21FB" w:rsidRDefault="00C954CC" w:rsidP="00E951AB">
            <w:pPr>
              <w:jc w:val="right"/>
              <w:rPr>
                <w:color w:val="000000"/>
                <w:sz w:val="18"/>
                <w:szCs w:val="18"/>
              </w:rPr>
            </w:pPr>
            <w:r w:rsidRPr="00EC21FB">
              <w:rPr>
                <w:color w:val="000000"/>
                <w:sz w:val="18"/>
                <w:szCs w:val="18"/>
              </w:rPr>
              <w:t>7.14 (mM)</w:t>
            </w:r>
          </w:p>
        </w:tc>
        <w:tc>
          <w:tcPr>
            <w:tcW w:w="1080" w:type="dxa"/>
          </w:tcPr>
          <w:p w14:paraId="2F5616FA" w14:textId="77777777" w:rsidR="00C954CC" w:rsidRPr="00EC21FB" w:rsidRDefault="00C954CC" w:rsidP="00E951AB">
            <w:pPr>
              <w:jc w:val="right"/>
              <w:rPr>
                <w:color w:val="000000"/>
                <w:sz w:val="18"/>
                <w:szCs w:val="18"/>
              </w:rPr>
            </w:pPr>
            <w:r w:rsidRPr="00EC21FB">
              <w:rPr>
                <w:color w:val="000000"/>
                <w:sz w:val="18"/>
                <w:szCs w:val="18"/>
              </w:rPr>
              <w:t>0.42 (mM)</w:t>
            </w:r>
          </w:p>
        </w:tc>
      </w:tr>
      <w:tr w:rsidR="00C954CC" w:rsidRPr="00D81D83" w14:paraId="3AB4533C" w14:textId="77777777" w:rsidTr="00C954CC">
        <w:sdt>
          <w:sdtPr>
            <w:rPr>
              <w:color w:val="000000"/>
              <w:sz w:val="18"/>
              <w:szCs w:val="18"/>
            </w:rPr>
            <w:tag w:val="MENDELEY_CITATION_v3_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"/>
            <w:id w:val="462470480"/>
            <w:placeholder>
              <w:docPart w:val="28735AB430185946AA7803CA40143837"/>
            </w:placeholder>
          </w:sdtPr>
          <w:sdtContent>
            <w:tc>
              <w:tcPr>
                <w:tcW w:w="2155" w:type="dxa"/>
                <w:vMerge w:val="restart"/>
                <w:vAlign w:val="center"/>
              </w:tcPr>
              <w:p w14:paraId="156AAEDB" w14:textId="0941DC01" w:rsidR="00C954CC" w:rsidRPr="00EC21FB" w:rsidRDefault="00E807B5" w:rsidP="00E951AB">
                <w:pPr>
                  <w:rPr>
                    <w:sz w:val="18"/>
                    <w:szCs w:val="18"/>
                  </w:rPr>
                </w:pPr>
                <w:r w:rsidRPr="00E807B5">
                  <w:rPr>
                    <w:rFonts w:eastAsia="Times New Roman"/>
                    <w:color w:val="000000"/>
                    <w:sz w:val="18"/>
                  </w:rPr>
                  <w:t>(</w:t>
                </w:r>
                <w:proofErr w:type="spellStart"/>
                <w:r w:rsidRPr="00E807B5">
                  <w:rPr>
                    <w:rFonts w:eastAsia="Times New Roman"/>
                    <w:color w:val="000000"/>
                    <w:sz w:val="18"/>
                  </w:rPr>
                  <w:t>Cárate-Tandalla</w:t>
                </w:r>
                <w:proofErr w:type="spellEnd"/>
                <w:r w:rsidRPr="00E807B5">
                  <w:rPr>
                    <w:rFonts w:eastAsia="Times New Roman"/>
                    <w:color w:val="000000"/>
                    <w:sz w:val="18"/>
                  </w:rPr>
                  <w:t xml:space="preserve"> et al., 2018)</w:t>
                </w:r>
              </w:p>
            </w:tc>
          </w:sdtContent>
        </w:sdt>
        <w:tc>
          <w:tcPr>
            <w:tcW w:w="1350" w:type="dxa"/>
          </w:tcPr>
          <w:p w14:paraId="38C2CB4B" w14:textId="77777777" w:rsidR="00C954CC" w:rsidRPr="00EC21FB" w:rsidRDefault="00C954CC" w:rsidP="00E951AB">
            <w:pPr>
              <w:rPr>
                <w:color w:val="000000"/>
                <w:sz w:val="18"/>
                <w:szCs w:val="18"/>
              </w:rPr>
            </w:pPr>
            <w:proofErr w:type="spellStart"/>
            <w:r w:rsidRPr="00EC21FB">
              <w:rPr>
                <w:color w:val="000000"/>
                <w:sz w:val="18"/>
                <w:szCs w:val="18"/>
              </w:rPr>
              <w:t>bombuscaro</w:t>
            </w:r>
            <w:proofErr w:type="spellEnd"/>
          </w:p>
        </w:tc>
        <w:tc>
          <w:tcPr>
            <w:tcW w:w="900" w:type="dxa"/>
            <w:vAlign w:val="bottom"/>
          </w:tcPr>
          <w:p w14:paraId="23FDDDE1" w14:textId="77777777" w:rsidR="00C954CC" w:rsidRPr="00EC21FB" w:rsidRDefault="00C954CC" w:rsidP="00E951AB">
            <w:pPr>
              <w:jc w:val="right"/>
              <w:rPr>
                <w:color w:val="000000"/>
                <w:sz w:val="18"/>
                <w:szCs w:val="18"/>
              </w:rPr>
            </w:pPr>
            <w:r w:rsidRPr="00EC21FB">
              <w:rPr>
                <w:color w:val="000000"/>
                <w:sz w:val="18"/>
                <w:szCs w:val="18"/>
              </w:rPr>
              <w:t>-4.12</w:t>
            </w:r>
          </w:p>
        </w:tc>
        <w:tc>
          <w:tcPr>
            <w:tcW w:w="1080" w:type="dxa"/>
            <w:vAlign w:val="bottom"/>
          </w:tcPr>
          <w:p w14:paraId="5D35CE36" w14:textId="77777777" w:rsidR="00C954CC" w:rsidRPr="00EC21FB" w:rsidRDefault="00C954CC" w:rsidP="00E951AB">
            <w:pPr>
              <w:jc w:val="right"/>
              <w:rPr>
                <w:color w:val="000000"/>
                <w:sz w:val="18"/>
                <w:szCs w:val="18"/>
              </w:rPr>
            </w:pPr>
            <w:r w:rsidRPr="00EC21FB">
              <w:rPr>
                <w:color w:val="000000"/>
                <w:sz w:val="18"/>
                <w:szCs w:val="18"/>
              </w:rPr>
              <w:t>-78.97</w:t>
            </w:r>
          </w:p>
        </w:tc>
        <w:tc>
          <w:tcPr>
            <w:tcW w:w="990" w:type="dxa"/>
          </w:tcPr>
          <w:p w14:paraId="6452703D" w14:textId="18DD989B" w:rsidR="00C954CC" w:rsidRPr="006B3F81" w:rsidRDefault="00462F71" w:rsidP="00E951AB">
            <w:pPr>
              <w:jc w:val="right"/>
              <w:rPr>
                <w:color w:val="000000"/>
                <w:sz w:val="18"/>
                <w:szCs w:val="18"/>
              </w:rPr>
            </w:pPr>
            <w:r>
              <w:rPr>
                <w:color w:val="000000"/>
                <w:sz w:val="18"/>
                <w:szCs w:val="18"/>
              </w:rPr>
              <w:t>1163</w:t>
            </w:r>
          </w:p>
        </w:tc>
        <w:tc>
          <w:tcPr>
            <w:tcW w:w="630" w:type="dxa"/>
            <w:vAlign w:val="bottom"/>
          </w:tcPr>
          <w:p w14:paraId="7434E6C6" w14:textId="5FEB71ED" w:rsidR="00C954CC" w:rsidRPr="006B3F81" w:rsidRDefault="00462F71" w:rsidP="00E951AB">
            <w:pPr>
              <w:jc w:val="right"/>
              <w:rPr>
                <w:color w:val="000000"/>
                <w:sz w:val="18"/>
                <w:szCs w:val="18"/>
              </w:rPr>
            </w:pPr>
            <w:r>
              <w:rPr>
                <w:color w:val="000000"/>
                <w:sz w:val="18"/>
                <w:szCs w:val="18"/>
              </w:rPr>
              <w:t>22.4</w:t>
            </w:r>
          </w:p>
        </w:tc>
        <w:tc>
          <w:tcPr>
            <w:tcW w:w="630" w:type="dxa"/>
            <w:vAlign w:val="bottom"/>
          </w:tcPr>
          <w:p w14:paraId="2C862F1E" w14:textId="16F7AB6F" w:rsidR="00C954CC" w:rsidRPr="006B3F81" w:rsidRDefault="00462F71" w:rsidP="00E951AB">
            <w:pPr>
              <w:jc w:val="right"/>
              <w:rPr>
                <w:color w:val="000000"/>
                <w:sz w:val="18"/>
                <w:szCs w:val="18"/>
              </w:rPr>
            </w:pPr>
            <w:r>
              <w:rPr>
                <w:color w:val="000000"/>
                <w:sz w:val="18"/>
                <w:szCs w:val="18"/>
              </w:rPr>
              <w:t>1.08</w:t>
            </w:r>
          </w:p>
        </w:tc>
        <w:tc>
          <w:tcPr>
            <w:tcW w:w="630" w:type="dxa"/>
          </w:tcPr>
          <w:p w14:paraId="75605DFC" w14:textId="1835D44C" w:rsidR="00C954CC" w:rsidRPr="006B3F81" w:rsidRDefault="00462F71" w:rsidP="00E951AB">
            <w:pPr>
              <w:jc w:val="right"/>
              <w:rPr>
                <w:color w:val="000000"/>
                <w:sz w:val="18"/>
                <w:szCs w:val="18"/>
              </w:rPr>
            </w:pPr>
            <w:r>
              <w:rPr>
                <w:color w:val="000000"/>
                <w:sz w:val="18"/>
                <w:szCs w:val="18"/>
              </w:rPr>
              <w:t>651</w:t>
            </w:r>
          </w:p>
        </w:tc>
        <w:tc>
          <w:tcPr>
            <w:tcW w:w="1080" w:type="dxa"/>
            <w:vAlign w:val="bottom"/>
          </w:tcPr>
          <w:p w14:paraId="32CA6F09" w14:textId="2F83FBD1" w:rsidR="00C954CC" w:rsidRPr="00EC21FB" w:rsidRDefault="00C954CC" w:rsidP="00E951AB">
            <w:pPr>
              <w:jc w:val="right"/>
              <w:rPr>
                <w:color w:val="000000"/>
                <w:sz w:val="18"/>
                <w:szCs w:val="18"/>
              </w:rPr>
            </w:pPr>
            <w:r w:rsidRPr="00EC21FB">
              <w:rPr>
                <w:color w:val="000000"/>
                <w:sz w:val="18"/>
                <w:szCs w:val="18"/>
              </w:rPr>
              <w:t>forest</w:t>
            </w:r>
          </w:p>
        </w:tc>
        <w:tc>
          <w:tcPr>
            <w:tcW w:w="1170" w:type="dxa"/>
            <w:vAlign w:val="bottom"/>
          </w:tcPr>
          <w:p w14:paraId="1B127DA5"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tcPr>
          <w:p w14:paraId="2F6AE075" w14:textId="77777777" w:rsidR="00C954CC" w:rsidRPr="00EC21FB" w:rsidRDefault="00C954CC" w:rsidP="00E951AB">
            <w:pPr>
              <w:jc w:val="right"/>
              <w:rPr>
                <w:color w:val="000000"/>
                <w:sz w:val="18"/>
                <w:szCs w:val="18"/>
              </w:rPr>
            </w:pPr>
            <w:r w:rsidRPr="00EC21FB">
              <w:rPr>
                <w:color w:val="000000"/>
                <w:sz w:val="18"/>
                <w:szCs w:val="18"/>
              </w:rPr>
              <w:t>5</w:t>
            </w:r>
          </w:p>
        </w:tc>
        <w:tc>
          <w:tcPr>
            <w:tcW w:w="1080" w:type="dxa"/>
          </w:tcPr>
          <w:p w14:paraId="3231C737" w14:textId="77777777" w:rsidR="00C954CC" w:rsidRPr="00EC21FB" w:rsidRDefault="00C954CC" w:rsidP="00E951AB">
            <w:pPr>
              <w:jc w:val="right"/>
              <w:rPr>
                <w:color w:val="000000"/>
                <w:sz w:val="18"/>
                <w:szCs w:val="18"/>
              </w:rPr>
            </w:pPr>
            <w:r w:rsidRPr="00EC21FB">
              <w:rPr>
                <w:color w:val="000000"/>
                <w:sz w:val="18"/>
                <w:szCs w:val="18"/>
              </w:rPr>
              <w:t>1</w:t>
            </w:r>
          </w:p>
        </w:tc>
      </w:tr>
      <w:tr w:rsidR="00C954CC" w:rsidRPr="00D81D83" w14:paraId="06B37FCA" w14:textId="77777777" w:rsidTr="00C954CC">
        <w:tc>
          <w:tcPr>
            <w:tcW w:w="2155" w:type="dxa"/>
            <w:vMerge/>
          </w:tcPr>
          <w:p w14:paraId="32E9FEDD" w14:textId="77777777" w:rsidR="00C954CC" w:rsidRPr="00EC21FB" w:rsidRDefault="00C954CC" w:rsidP="00E951AB">
            <w:pPr>
              <w:rPr>
                <w:color w:val="000000"/>
                <w:sz w:val="18"/>
                <w:szCs w:val="18"/>
              </w:rPr>
            </w:pPr>
          </w:p>
        </w:tc>
        <w:tc>
          <w:tcPr>
            <w:tcW w:w="1350" w:type="dxa"/>
          </w:tcPr>
          <w:p w14:paraId="55E3247F" w14:textId="77777777" w:rsidR="00C954CC" w:rsidRPr="00EC21FB" w:rsidRDefault="00C954CC" w:rsidP="00E951AB">
            <w:pPr>
              <w:rPr>
                <w:color w:val="000000"/>
                <w:sz w:val="18"/>
                <w:szCs w:val="18"/>
              </w:rPr>
            </w:pPr>
            <w:proofErr w:type="spellStart"/>
            <w:r w:rsidRPr="00EC21FB">
              <w:rPr>
                <w:color w:val="000000"/>
                <w:sz w:val="18"/>
                <w:szCs w:val="18"/>
              </w:rPr>
              <w:t>cajanuma</w:t>
            </w:r>
            <w:proofErr w:type="spellEnd"/>
          </w:p>
        </w:tc>
        <w:tc>
          <w:tcPr>
            <w:tcW w:w="900" w:type="dxa"/>
            <w:vAlign w:val="bottom"/>
          </w:tcPr>
          <w:p w14:paraId="05FC0F88" w14:textId="77777777" w:rsidR="00C954CC" w:rsidRPr="00EC21FB" w:rsidRDefault="00C954CC" w:rsidP="00E951AB">
            <w:pPr>
              <w:jc w:val="right"/>
              <w:rPr>
                <w:color w:val="000000"/>
                <w:sz w:val="18"/>
                <w:szCs w:val="18"/>
              </w:rPr>
            </w:pPr>
            <w:r w:rsidRPr="00EC21FB">
              <w:rPr>
                <w:color w:val="000000"/>
                <w:sz w:val="18"/>
                <w:szCs w:val="18"/>
              </w:rPr>
              <w:t>-4.12</w:t>
            </w:r>
          </w:p>
        </w:tc>
        <w:tc>
          <w:tcPr>
            <w:tcW w:w="1080" w:type="dxa"/>
            <w:vAlign w:val="bottom"/>
          </w:tcPr>
          <w:p w14:paraId="31EC7D65" w14:textId="77777777" w:rsidR="00C954CC" w:rsidRPr="00EC21FB" w:rsidRDefault="00C954CC" w:rsidP="00E951AB">
            <w:pPr>
              <w:jc w:val="right"/>
              <w:rPr>
                <w:color w:val="000000"/>
                <w:sz w:val="18"/>
                <w:szCs w:val="18"/>
              </w:rPr>
            </w:pPr>
            <w:r w:rsidRPr="00EC21FB">
              <w:rPr>
                <w:color w:val="000000"/>
                <w:sz w:val="18"/>
                <w:szCs w:val="18"/>
              </w:rPr>
              <w:t>-79.18</w:t>
            </w:r>
          </w:p>
        </w:tc>
        <w:tc>
          <w:tcPr>
            <w:tcW w:w="990" w:type="dxa"/>
          </w:tcPr>
          <w:p w14:paraId="6955AE95" w14:textId="6F111778" w:rsidR="00C954CC" w:rsidRPr="006B3F81" w:rsidRDefault="00462F71" w:rsidP="00E951AB">
            <w:pPr>
              <w:jc w:val="right"/>
              <w:rPr>
                <w:color w:val="000000"/>
                <w:sz w:val="18"/>
                <w:szCs w:val="18"/>
              </w:rPr>
            </w:pPr>
            <w:r>
              <w:rPr>
                <w:color w:val="000000"/>
                <w:sz w:val="18"/>
                <w:szCs w:val="18"/>
              </w:rPr>
              <w:t>2511</w:t>
            </w:r>
          </w:p>
        </w:tc>
        <w:tc>
          <w:tcPr>
            <w:tcW w:w="630" w:type="dxa"/>
            <w:vAlign w:val="bottom"/>
          </w:tcPr>
          <w:p w14:paraId="58934CE1" w14:textId="35498F77" w:rsidR="00C954CC" w:rsidRPr="006B3F81" w:rsidRDefault="00462F71" w:rsidP="00E951AB">
            <w:pPr>
              <w:jc w:val="right"/>
              <w:rPr>
                <w:color w:val="000000"/>
                <w:sz w:val="18"/>
                <w:szCs w:val="18"/>
              </w:rPr>
            </w:pPr>
            <w:r>
              <w:rPr>
                <w:color w:val="000000"/>
                <w:sz w:val="18"/>
                <w:szCs w:val="18"/>
              </w:rPr>
              <w:t>14.4</w:t>
            </w:r>
          </w:p>
        </w:tc>
        <w:tc>
          <w:tcPr>
            <w:tcW w:w="630" w:type="dxa"/>
            <w:vAlign w:val="bottom"/>
          </w:tcPr>
          <w:p w14:paraId="25F92EA1" w14:textId="0682E75B" w:rsidR="00C954CC" w:rsidRPr="006B3F81" w:rsidRDefault="00462F71" w:rsidP="00E951AB">
            <w:pPr>
              <w:jc w:val="right"/>
              <w:rPr>
                <w:color w:val="000000"/>
                <w:sz w:val="18"/>
                <w:szCs w:val="18"/>
              </w:rPr>
            </w:pPr>
            <w:r>
              <w:rPr>
                <w:color w:val="000000"/>
                <w:sz w:val="18"/>
                <w:szCs w:val="18"/>
              </w:rPr>
              <w:t>1.01</w:t>
            </w:r>
          </w:p>
        </w:tc>
        <w:tc>
          <w:tcPr>
            <w:tcW w:w="630" w:type="dxa"/>
          </w:tcPr>
          <w:p w14:paraId="338E4E24" w14:textId="00BE70E3" w:rsidR="00C954CC" w:rsidRPr="006B3F81" w:rsidRDefault="00462F71" w:rsidP="00E951AB">
            <w:pPr>
              <w:jc w:val="right"/>
              <w:rPr>
                <w:color w:val="000000"/>
                <w:sz w:val="18"/>
                <w:szCs w:val="18"/>
              </w:rPr>
            </w:pPr>
            <w:r>
              <w:rPr>
                <w:color w:val="000000"/>
                <w:sz w:val="18"/>
                <w:szCs w:val="18"/>
              </w:rPr>
              <w:t>684</w:t>
            </w:r>
          </w:p>
        </w:tc>
        <w:tc>
          <w:tcPr>
            <w:tcW w:w="1080" w:type="dxa"/>
            <w:vAlign w:val="bottom"/>
          </w:tcPr>
          <w:p w14:paraId="637E96A0" w14:textId="0D027D51" w:rsidR="00C954CC" w:rsidRPr="00EC21FB" w:rsidRDefault="00C954CC" w:rsidP="00E951AB">
            <w:pPr>
              <w:jc w:val="right"/>
              <w:rPr>
                <w:color w:val="000000"/>
                <w:sz w:val="18"/>
                <w:szCs w:val="18"/>
              </w:rPr>
            </w:pPr>
            <w:r w:rsidRPr="00EC21FB">
              <w:rPr>
                <w:color w:val="000000"/>
                <w:sz w:val="18"/>
                <w:szCs w:val="18"/>
              </w:rPr>
              <w:t>forest</w:t>
            </w:r>
          </w:p>
        </w:tc>
        <w:tc>
          <w:tcPr>
            <w:tcW w:w="1170" w:type="dxa"/>
            <w:vAlign w:val="bottom"/>
          </w:tcPr>
          <w:p w14:paraId="0A65648D"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tcPr>
          <w:p w14:paraId="6ECF2254" w14:textId="77777777" w:rsidR="00C954CC" w:rsidRPr="00EC21FB" w:rsidRDefault="00C954CC" w:rsidP="00E951AB">
            <w:pPr>
              <w:jc w:val="right"/>
              <w:rPr>
                <w:color w:val="000000"/>
                <w:sz w:val="18"/>
                <w:szCs w:val="18"/>
              </w:rPr>
            </w:pPr>
            <w:r w:rsidRPr="00EC21FB">
              <w:rPr>
                <w:color w:val="000000"/>
                <w:sz w:val="18"/>
                <w:szCs w:val="18"/>
              </w:rPr>
              <w:t>5</w:t>
            </w:r>
          </w:p>
        </w:tc>
        <w:tc>
          <w:tcPr>
            <w:tcW w:w="1080" w:type="dxa"/>
          </w:tcPr>
          <w:p w14:paraId="1B64D7B2" w14:textId="77777777" w:rsidR="00C954CC" w:rsidRPr="00EC21FB" w:rsidRDefault="00C954CC" w:rsidP="00E951AB">
            <w:pPr>
              <w:jc w:val="right"/>
              <w:rPr>
                <w:color w:val="000000"/>
                <w:sz w:val="18"/>
                <w:szCs w:val="18"/>
              </w:rPr>
            </w:pPr>
            <w:r w:rsidRPr="00EC21FB">
              <w:rPr>
                <w:color w:val="000000"/>
                <w:sz w:val="18"/>
                <w:szCs w:val="18"/>
              </w:rPr>
              <w:t>1</w:t>
            </w:r>
          </w:p>
        </w:tc>
      </w:tr>
      <w:tr w:rsidR="00C954CC" w:rsidRPr="00D81D83" w14:paraId="068E3D3A" w14:textId="77777777" w:rsidTr="00C954CC">
        <w:tc>
          <w:tcPr>
            <w:tcW w:w="2155" w:type="dxa"/>
            <w:vMerge/>
          </w:tcPr>
          <w:p w14:paraId="2F3A1DBC" w14:textId="77777777" w:rsidR="00C954CC" w:rsidRPr="00EC21FB" w:rsidRDefault="00C954CC" w:rsidP="00E951AB">
            <w:pPr>
              <w:rPr>
                <w:color w:val="000000"/>
                <w:sz w:val="18"/>
                <w:szCs w:val="18"/>
              </w:rPr>
            </w:pPr>
          </w:p>
        </w:tc>
        <w:tc>
          <w:tcPr>
            <w:tcW w:w="1350" w:type="dxa"/>
          </w:tcPr>
          <w:p w14:paraId="6393755C" w14:textId="77777777" w:rsidR="00C954CC" w:rsidRPr="00ED72A2" w:rsidRDefault="00C954CC" w:rsidP="00E951AB">
            <w:pPr>
              <w:rPr>
                <w:color w:val="000000"/>
                <w:sz w:val="18"/>
                <w:szCs w:val="18"/>
              </w:rPr>
            </w:pPr>
            <w:proofErr w:type="spellStart"/>
            <w:r w:rsidRPr="00ED72A2">
              <w:rPr>
                <w:color w:val="000000"/>
                <w:sz w:val="18"/>
                <w:szCs w:val="18"/>
              </w:rPr>
              <w:t>sanfrancisco</w:t>
            </w:r>
            <w:proofErr w:type="spellEnd"/>
          </w:p>
        </w:tc>
        <w:tc>
          <w:tcPr>
            <w:tcW w:w="900" w:type="dxa"/>
            <w:vAlign w:val="bottom"/>
          </w:tcPr>
          <w:p w14:paraId="2B0A2FE0" w14:textId="77777777" w:rsidR="00C954CC" w:rsidRPr="00ED72A2" w:rsidRDefault="00C954CC" w:rsidP="00E951AB">
            <w:pPr>
              <w:jc w:val="right"/>
              <w:rPr>
                <w:color w:val="000000"/>
                <w:sz w:val="18"/>
                <w:szCs w:val="18"/>
              </w:rPr>
            </w:pPr>
            <w:r w:rsidRPr="00ED72A2">
              <w:rPr>
                <w:color w:val="000000"/>
                <w:sz w:val="18"/>
                <w:szCs w:val="18"/>
              </w:rPr>
              <w:t>-3.97</w:t>
            </w:r>
          </w:p>
        </w:tc>
        <w:tc>
          <w:tcPr>
            <w:tcW w:w="1080" w:type="dxa"/>
            <w:vAlign w:val="bottom"/>
          </w:tcPr>
          <w:p w14:paraId="40DB7BF7" w14:textId="77777777" w:rsidR="00C954CC" w:rsidRPr="00ED72A2" w:rsidRDefault="00C954CC" w:rsidP="00E951AB">
            <w:pPr>
              <w:jc w:val="right"/>
              <w:rPr>
                <w:color w:val="000000"/>
                <w:sz w:val="18"/>
                <w:szCs w:val="18"/>
              </w:rPr>
            </w:pPr>
            <w:r w:rsidRPr="00ED72A2">
              <w:rPr>
                <w:color w:val="000000"/>
                <w:sz w:val="18"/>
                <w:szCs w:val="18"/>
              </w:rPr>
              <w:t>-79.18</w:t>
            </w:r>
          </w:p>
        </w:tc>
        <w:tc>
          <w:tcPr>
            <w:tcW w:w="990" w:type="dxa"/>
          </w:tcPr>
          <w:p w14:paraId="783D68EF" w14:textId="69FA5E20" w:rsidR="00C954CC" w:rsidRPr="00ED72A2" w:rsidRDefault="00462F71" w:rsidP="00E951AB">
            <w:pPr>
              <w:jc w:val="right"/>
              <w:rPr>
                <w:color w:val="000000"/>
                <w:sz w:val="18"/>
                <w:szCs w:val="18"/>
              </w:rPr>
            </w:pPr>
            <w:r>
              <w:rPr>
                <w:color w:val="000000"/>
                <w:sz w:val="18"/>
                <w:szCs w:val="18"/>
              </w:rPr>
              <w:t>2163</w:t>
            </w:r>
          </w:p>
        </w:tc>
        <w:tc>
          <w:tcPr>
            <w:tcW w:w="630" w:type="dxa"/>
            <w:vAlign w:val="bottom"/>
          </w:tcPr>
          <w:p w14:paraId="3F2F9988" w14:textId="557346F4" w:rsidR="00C954CC" w:rsidRPr="00ED72A2" w:rsidRDefault="00462F71" w:rsidP="00E951AB">
            <w:pPr>
              <w:jc w:val="right"/>
              <w:rPr>
                <w:color w:val="000000"/>
                <w:sz w:val="18"/>
                <w:szCs w:val="18"/>
              </w:rPr>
            </w:pPr>
            <w:r>
              <w:rPr>
                <w:color w:val="000000"/>
                <w:sz w:val="18"/>
                <w:szCs w:val="18"/>
              </w:rPr>
              <w:t>16.2</w:t>
            </w:r>
          </w:p>
        </w:tc>
        <w:tc>
          <w:tcPr>
            <w:tcW w:w="630" w:type="dxa"/>
            <w:vAlign w:val="bottom"/>
          </w:tcPr>
          <w:p w14:paraId="2021D857" w14:textId="11E78107" w:rsidR="00C954CC" w:rsidRPr="00ED72A2" w:rsidRDefault="00462F71" w:rsidP="00E951AB">
            <w:pPr>
              <w:jc w:val="right"/>
              <w:rPr>
                <w:color w:val="000000"/>
                <w:sz w:val="18"/>
                <w:szCs w:val="18"/>
              </w:rPr>
            </w:pPr>
            <w:r>
              <w:rPr>
                <w:color w:val="000000"/>
                <w:sz w:val="18"/>
                <w:szCs w:val="18"/>
              </w:rPr>
              <w:t>0.80</w:t>
            </w:r>
          </w:p>
        </w:tc>
        <w:tc>
          <w:tcPr>
            <w:tcW w:w="630" w:type="dxa"/>
          </w:tcPr>
          <w:p w14:paraId="5E4DDB78" w14:textId="1FF01260" w:rsidR="00C954CC" w:rsidRPr="00ED72A2" w:rsidRDefault="00462F71" w:rsidP="00E951AB">
            <w:pPr>
              <w:jc w:val="right"/>
              <w:rPr>
                <w:color w:val="000000"/>
                <w:sz w:val="18"/>
                <w:szCs w:val="18"/>
              </w:rPr>
            </w:pPr>
            <w:r>
              <w:rPr>
                <w:color w:val="000000"/>
                <w:sz w:val="18"/>
                <w:szCs w:val="18"/>
              </w:rPr>
              <w:t>660</w:t>
            </w:r>
          </w:p>
        </w:tc>
        <w:tc>
          <w:tcPr>
            <w:tcW w:w="1080" w:type="dxa"/>
            <w:vAlign w:val="bottom"/>
          </w:tcPr>
          <w:p w14:paraId="4D754497" w14:textId="75587A04" w:rsidR="00C954CC" w:rsidRPr="00ED72A2" w:rsidRDefault="00C954CC" w:rsidP="00E951AB">
            <w:pPr>
              <w:jc w:val="right"/>
              <w:rPr>
                <w:color w:val="000000"/>
                <w:sz w:val="18"/>
                <w:szCs w:val="18"/>
              </w:rPr>
            </w:pPr>
            <w:r w:rsidRPr="00ED72A2">
              <w:rPr>
                <w:color w:val="000000"/>
                <w:sz w:val="18"/>
                <w:szCs w:val="18"/>
              </w:rPr>
              <w:t>forest</w:t>
            </w:r>
          </w:p>
        </w:tc>
        <w:tc>
          <w:tcPr>
            <w:tcW w:w="1170" w:type="dxa"/>
            <w:vAlign w:val="bottom"/>
          </w:tcPr>
          <w:p w14:paraId="26D53D88" w14:textId="77777777" w:rsidR="00C954CC" w:rsidRPr="00ED72A2" w:rsidRDefault="00C954CC" w:rsidP="00E951AB">
            <w:pPr>
              <w:jc w:val="right"/>
              <w:rPr>
                <w:color w:val="000000"/>
                <w:sz w:val="18"/>
                <w:szCs w:val="18"/>
              </w:rPr>
            </w:pPr>
            <w:r w:rsidRPr="00ED72A2">
              <w:rPr>
                <w:color w:val="000000"/>
                <w:sz w:val="18"/>
                <w:szCs w:val="18"/>
              </w:rPr>
              <w:t>field</w:t>
            </w:r>
          </w:p>
        </w:tc>
        <w:tc>
          <w:tcPr>
            <w:tcW w:w="1080" w:type="dxa"/>
          </w:tcPr>
          <w:p w14:paraId="5DA65ABA" w14:textId="77777777" w:rsidR="00C954CC" w:rsidRPr="00ED72A2" w:rsidRDefault="00C954CC" w:rsidP="00E951AB">
            <w:pPr>
              <w:jc w:val="right"/>
              <w:rPr>
                <w:color w:val="000000"/>
                <w:sz w:val="18"/>
                <w:szCs w:val="18"/>
              </w:rPr>
            </w:pPr>
            <w:r w:rsidRPr="00ED72A2">
              <w:rPr>
                <w:color w:val="000000"/>
                <w:sz w:val="18"/>
                <w:szCs w:val="18"/>
              </w:rPr>
              <w:t>5</w:t>
            </w:r>
          </w:p>
        </w:tc>
        <w:tc>
          <w:tcPr>
            <w:tcW w:w="1080" w:type="dxa"/>
          </w:tcPr>
          <w:p w14:paraId="51F386FB" w14:textId="77777777" w:rsidR="00C954CC" w:rsidRPr="00EC21FB" w:rsidRDefault="00C954CC" w:rsidP="00E951AB">
            <w:pPr>
              <w:jc w:val="right"/>
              <w:rPr>
                <w:color w:val="000000"/>
                <w:sz w:val="18"/>
                <w:szCs w:val="18"/>
              </w:rPr>
            </w:pPr>
            <w:r w:rsidRPr="00EC21FB">
              <w:rPr>
                <w:color w:val="000000"/>
                <w:sz w:val="18"/>
                <w:szCs w:val="18"/>
              </w:rPr>
              <w:t>1</w:t>
            </w:r>
          </w:p>
        </w:tc>
      </w:tr>
      <w:tr w:rsidR="00C954CC" w:rsidRPr="00380AE9" w14:paraId="6A2F98B1" w14:textId="77777777" w:rsidTr="00C954CC">
        <w:sdt>
          <w:sdtPr>
            <w:rPr>
              <w:color w:val="000000"/>
              <w:sz w:val="18"/>
              <w:szCs w:val="18"/>
            </w:rPr>
            <w:tag w:val="MENDELEY_CITATION_v3_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"/>
            <w:id w:val="-1422480712"/>
            <w:placeholder>
              <w:docPart w:val="F5D1CFA4E818884EB35D3331FFAE09BD"/>
            </w:placeholder>
          </w:sdtPr>
          <w:sdtContent>
            <w:tc>
              <w:tcPr>
                <w:tcW w:w="2155" w:type="dxa"/>
              </w:tcPr>
              <w:p w14:paraId="19CF9F15" w14:textId="0BE004ED" w:rsidR="00C954CC" w:rsidRPr="00EC21FB" w:rsidRDefault="00E807B5" w:rsidP="00E951AB">
                <w:pPr>
                  <w:rPr>
                    <w:sz w:val="18"/>
                    <w:szCs w:val="18"/>
                  </w:rPr>
                </w:pPr>
                <w:r w:rsidRPr="00E807B5">
                  <w:rPr>
                    <w:rFonts w:eastAsia="Times New Roman"/>
                    <w:color w:val="000000"/>
                    <w:sz w:val="18"/>
                  </w:rPr>
                  <w:t>(Carswell et al., 2005)</w:t>
                </w:r>
              </w:p>
            </w:tc>
          </w:sdtContent>
        </w:sdt>
        <w:tc>
          <w:tcPr>
            <w:tcW w:w="1350" w:type="dxa"/>
          </w:tcPr>
          <w:p w14:paraId="4D16A745" w14:textId="77777777" w:rsidR="00C954CC" w:rsidRPr="00ED72A2" w:rsidRDefault="00C954CC" w:rsidP="00E951AB">
            <w:pPr>
              <w:rPr>
                <w:color w:val="000000"/>
                <w:sz w:val="18"/>
                <w:szCs w:val="18"/>
              </w:rPr>
            </w:pPr>
            <w:proofErr w:type="spellStart"/>
            <w:r w:rsidRPr="00ED72A2">
              <w:rPr>
                <w:color w:val="000000"/>
                <w:sz w:val="18"/>
                <w:szCs w:val="18"/>
              </w:rPr>
              <w:t>okarito</w:t>
            </w:r>
            <w:proofErr w:type="spellEnd"/>
          </w:p>
        </w:tc>
        <w:tc>
          <w:tcPr>
            <w:tcW w:w="900" w:type="dxa"/>
            <w:vAlign w:val="center"/>
          </w:tcPr>
          <w:p w14:paraId="791BD635" w14:textId="77777777" w:rsidR="00C954CC" w:rsidRPr="00ED72A2" w:rsidRDefault="00C954CC" w:rsidP="00E951AB">
            <w:pPr>
              <w:jc w:val="right"/>
              <w:rPr>
                <w:color w:val="000000"/>
                <w:sz w:val="18"/>
                <w:szCs w:val="18"/>
              </w:rPr>
            </w:pPr>
            <w:r w:rsidRPr="00ED72A2">
              <w:rPr>
                <w:color w:val="000000"/>
                <w:sz w:val="18"/>
                <w:szCs w:val="18"/>
              </w:rPr>
              <w:t>-43.20</w:t>
            </w:r>
          </w:p>
        </w:tc>
        <w:tc>
          <w:tcPr>
            <w:tcW w:w="1080" w:type="dxa"/>
            <w:vAlign w:val="center"/>
          </w:tcPr>
          <w:p w14:paraId="3BF5AEC8" w14:textId="77777777" w:rsidR="00C954CC" w:rsidRPr="00ED72A2" w:rsidRDefault="00C954CC" w:rsidP="00E951AB">
            <w:pPr>
              <w:jc w:val="right"/>
              <w:rPr>
                <w:color w:val="000000"/>
                <w:sz w:val="18"/>
                <w:szCs w:val="18"/>
              </w:rPr>
            </w:pPr>
            <w:r w:rsidRPr="00ED72A2">
              <w:rPr>
                <w:color w:val="000000"/>
                <w:sz w:val="18"/>
                <w:szCs w:val="18"/>
              </w:rPr>
              <w:t>170.30</w:t>
            </w:r>
          </w:p>
        </w:tc>
        <w:tc>
          <w:tcPr>
            <w:tcW w:w="990" w:type="dxa"/>
          </w:tcPr>
          <w:p w14:paraId="0FCBBEEF" w14:textId="14F18802" w:rsidR="00C954CC" w:rsidRPr="00ED72A2" w:rsidRDefault="00462F71" w:rsidP="00E951AB">
            <w:pPr>
              <w:jc w:val="right"/>
              <w:rPr>
                <w:color w:val="000000"/>
                <w:sz w:val="18"/>
                <w:szCs w:val="18"/>
              </w:rPr>
            </w:pPr>
            <w:r>
              <w:rPr>
                <w:color w:val="000000"/>
                <w:sz w:val="18"/>
                <w:szCs w:val="18"/>
              </w:rPr>
              <w:t>NA</w:t>
            </w:r>
          </w:p>
        </w:tc>
        <w:tc>
          <w:tcPr>
            <w:tcW w:w="630" w:type="dxa"/>
            <w:vAlign w:val="center"/>
          </w:tcPr>
          <w:p w14:paraId="5B3F0E57" w14:textId="174C9667" w:rsidR="00C954CC" w:rsidRPr="00ED72A2" w:rsidRDefault="00462F71" w:rsidP="00E951AB">
            <w:pPr>
              <w:jc w:val="right"/>
              <w:rPr>
                <w:color w:val="000000"/>
                <w:sz w:val="18"/>
                <w:szCs w:val="18"/>
              </w:rPr>
            </w:pPr>
            <w:r>
              <w:rPr>
                <w:color w:val="000000"/>
                <w:sz w:val="18"/>
                <w:szCs w:val="18"/>
              </w:rPr>
              <w:t>NA</w:t>
            </w:r>
          </w:p>
        </w:tc>
        <w:tc>
          <w:tcPr>
            <w:tcW w:w="630" w:type="dxa"/>
            <w:vAlign w:val="center"/>
          </w:tcPr>
          <w:p w14:paraId="1D15F7B9" w14:textId="64F808E5" w:rsidR="00C954CC" w:rsidRPr="00ED72A2" w:rsidRDefault="00462F71" w:rsidP="00E951AB">
            <w:pPr>
              <w:jc w:val="right"/>
              <w:rPr>
                <w:color w:val="000000"/>
                <w:sz w:val="18"/>
                <w:szCs w:val="18"/>
              </w:rPr>
            </w:pPr>
            <w:r>
              <w:rPr>
                <w:color w:val="000000"/>
                <w:sz w:val="18"/>
                <w:szCs w:val="18"/>
              </w:rPr>
              <w:t>NA</w:t>
            </w:r>
          </w:p>
        </w:tc>
        <w:tc>
          <w:tcPr>
            <w:tcW w:w="630" w:type="dxa"/>
          </w:tcPr>
          <w:p w14:paraId="76EF2344" w14:textId="5BD681EF" w:rsidR="00C954CC" w:rsidRPr="00ED72A2" w:rsidRDefault="00462F71" w:rsidP="00E951AB">
            <w:pPr>
              <w:jc w:val="right"/>
              <w:rPr>
                <w:color w:val="000000"/>
                <w:sz w:val="18"/>
                <w:szCs w:val="18"/>
              </w:rPr>
            </w:pPr>
            <w:r>
              <w:rPr>
                <w:color w:val="000000"/>
                <w:sz w:val="18"/>
                <w:szCs w:val="18"/>
              </w:rPr>
              <w:t>NA</w:t>
            </w:r>
          </w:p>
        </w:tc>
        <w:tc>
          <w:tcPr>
            <w:tcW w:w="1080" w:type="dxa"/>
            <w:vAlign w:val="center"/>
          </w:tcPr>
          <w:p w14:paraId="6ECD3F0F" w14:textId="6BE979B6" w:rsidR="00C954CC" w:rsidRPr="00ED72A2" w:rsidRDefault="00C954CC" w:rsidP="00E951AB">
            <w:pPr>
              <w:jc w:val="right"/>
              <w:rPr>
                <w:color w:val="000000"/>
                <w:sz w:val="18"/>
                <w:szCs w:val="18"/>
              </w:rPr>
            </w:pPr>
            <w:r w:rsidRPr="00ED72A2">
              <w:rPr>
                <w:color w:val="000000"/>
                <w:sz w:val="18"/>
                <w:szCs w:val="18"/>
              </w:rPr>
              <w:t>NA</w:t>
            </w:r>
          </w:p>
        </w:tc>
        <w:tc>
          <w:tcPr>
            <w:tcW w:w="1170" w:type="dxa"/>
            <w:vAlign w:val="center"/>
          </w:tcPr>
          <w:p w14:paraId="52F90DE5" w14:textId="77777777" w:rsidR="00C954CC" w:rsidRPr="00ED72A2" w:rsidRDefault="00C954CC" w:rsidP="00E951AB">
            <w:pPr>
              <w:jc w:val="right"/>
              <w:rPr>
                <w:color w:val="000000"/>
                <w:sz w:val="18"/>
                <w:szCs w:val="18"/>
              </w:rPr>
            </w:pPr>
            <w:r w:rsidRPr="00ED72A2">
              <w:rPr>
                <w:color w:val="000000"/>
                <w:sz w:val="18"/>
                <w:szCs w:val="18"/>
              </w:rPr>
              <w:t>pot</w:t>
            </w:r>
          </w:p>
        </w:tc>
        <w:tc>
          <w:tcPr>
            <w:tcW w:w="1080" w:type="dxa"/>
            <w:vAlign w:val="center"/>
          </w:tcPr>
          <w:p w14:paraId="3796F62A" w14:textId="77777777" w:rsidR="00C954CC" w:rsidRPr="00ED72A2" w:rsidRDefault="00C954CC" w:rsidP="00E951AB">
            <w:pPr>
              <w:jc w:val="right"/>
              <w:rPr>
                <w:color w:val="000000"/>
                <w:sz w:val="18"/>
                <w:szCs w:val="18"/>
              </w:rPr>
            </w:pPr>
            <w:r w:rsidRPr="00ED72A2">
              <w:rPr>
                <w:color w:val="000000"/>
                <w:sz w:val="18"/>
                <w:szCs w:val="18"/>
              </w:rPr>
              <w:t>5 (mM)</w:t>
            </w:r>
          </w:p>
        </w:tc>
        <w:tc>
          <w:tcPr>
            <w:tcW w:w="1080" w:type="dxa"/>
            <w:vAlign w:val="center"/>
          </w:tcPr>
          <w:p w14:paraId="356E7948" w14:textId="2D71AB2C" w:rsidR="00292722" w:rsidRPr="00EC21FB" w:rsidRDefault="00C954CC" w:rsidP="00292722">
            <w:pPr>
              <w:jc w:val="right"/>
              <w:rPr>
                <w:color w:val="000000"/>
                <w:sz w:val="18"/>
                <w:szCs w:val="18"/>
              </w:rPr>
            </w:pPr>
            <w:r w:rsidRPr="00EC21FB">
              <w:rPr>
                <w:color w:val="000000"/>
                <w:sz w:val="18"/>
                <w:szCs w:val="18"/>
              </w:rPr>
              <w:t>1.33 (mM)</w:t>
            </w:r>
          </w:p>
        </w:tc>
      </w:tr>
      <w:tr w:rsidR="009465D9" w:rsidRPr="00380AE9" w14:paraId="41167FF1" w14:textId="77777777" w:rsidTr="006D5704">
        <w:sdt>
          <w:sdtPr>
            <w:rPr>
              <w:color w:val="000000"/>
              <w:sz w:val="18"/>
              <w:szCs w:val="18"/>
            </w:rPr>
            <w:tag w:val="MENDELEY_CITATION_v3_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"/>
            <w:id w:val="586969784"/>
            <w:placeholder>
              <w:docPart w:val="ABE165DB7AD20B41BBE0277E4E1F6BEB"/>
            </w:placeholder>
          </w:sdtPr>
          <w:sdtContent>
            <w:tc>
              <w:tcPr>
                <w:tcW w:w="2155" w:type="dxa"/>
              </w:tcPr>
              <w:p w14:paraId="5FDCE555" w14:textId="641777F5" w:rsidR="009465D9" w:rsidRDefault="00E807B5" w:rsidP="009465D9">
                <w:pPr>
                  <w:rPr>
                    <w:color w:val="000000"/>
                    <w:sz w:val="18"/>
                    <w:szCs w:val="18"/>
                  </w:rPr>
                </w:pPr>
                <w:r w:rsidRPr="00E807B5">
                  <w:rPr>
                    <w:rFonts w:eastAsia="Times New Roman"/>
                    <w:color w:val="000000"/>
                    <w:sz w:val="18"/>
                  </w:rPr>
                  <w:t>(Chen et al., 2020)</w:t>
                </w:r>
              </w:p>
            </w:tc>
          </w:sdtContent>
        </w:sdt>
        <w:tc>
          <w:tcPr>
            <w:tcW w:w="1350" w:type="dxa"/>
          </w:tcPr>
          <w:p w14:paraId="3856D0C9" w14:textId="13C4F2AC" w:rsidR="009465D9" w:rsidRPr="00ED72A2" w:rsidRDefault="009465D9" w:rsidP="009465D9">
            <w:pPr>
              <w:rPr>
                <w:color w:val="000000"/>
                <w:sz w:val="18"/>
                <w:szCs w:val="18"/>
              </w:rPr>
            </w:pPr>
            <w:proofErr w:type="spellStart"/>
            <w:r w:rsidRPr="009465D9">
              <w:rPr>
                <w:color w:val="000000"/>
                <w:sz w:val="18"/>
                <w:szCs w:val="18"/>
              </w:rPr>
              <w:t>zhifanggou</w:t>
            </w:r>
            <w:proofErr w:type="spellEnd"/>
          </w:p>
        </w:tc>
        <w:tc>
          <w:tcPr>
            <w:tcW w:w="900" w:type="dxa"/>
            <w:vAlign w:val="bottom"/>
          </w:tcPr>
          <w:p w14:paraId="75948B54" w14:textId="6EF1DF72" w:rsidR="009465D9" w:rsidRPr="009465D9" w:rsidRDefault="009465D9" w:rsidP="009465D9">
            <w:pPr>
              <w:jc w:val="right"/>
              <w:rPr>
                <w:color w:val="000000"/>
                <w:sz w:val="18"/>
                <w:szCs w:val="18"/>
              </w:rPr>
            </w:pPr>
            <w:r w:rsidRPr="009465D9">
              <w:rPr>
                <w:rFonts w:ascii="Aptos Narrow" w:hAnsi="Aptos Narrow"/>
                <w:color w:val="000000"/>
                <w:sz w:val="18"/>
                <w:szCs w:val="18"/>
              </w:rPr>
              <w:t>36.74</w:t>
            </w:r>
          </w:p>
        </w:tc>
        <w:tc>
          <w:tcPr>
            <w:tcW w:w="1080" w:type="dxa"/>
            <w:vAlign w:val="bottom"/>
          </w:tcPr>
          <w:p w14:paraId="5EB20D53" w14:textId="50160BE1" w:rsidR="009465D9" w:rsidRPr="009465D9" w:rsidRDefault="009465D9" w:rsidP="009465D9">
            <w:pPr>
              <w:jc w:val="right"/>
              <w:rPr>
                <w:color w:val="000000"/>
                <w:sz w:val="18"/>
                <w:szCs w:val="18"/>
              </w:rPr>
            </w:pPr>
            <w:r w:rsidRPr="009465D9">
              <w:rPr>
                <w:rFonts w:ascii="Aptos Narrow" w:hAnsi="Aptos Narrow"/>
                <w:color w:val="000000"/>
                <w:sz w:val="18"/>
                <w:szCs w:val="18"/>
              </w:rPr>
              <w:t>109.25</w:t>
            </w:r>
          </w:p>
        </w:tc>
        <w:tc>
          <w:tcPr>
            <w:tcW w:w="990" w:type="dxa"/>
            <w:vAlign w:val="bottom"/>
          </w:tcPr>
          <w:p w14:paraId="6FB61413" w14:textId="61C89B47" w:rsidR="009465D9" w:rsidRPr="009465D9" w:rsidRDefault="00E807B5" w:rsidP="009465D9">
            <w:pPr>
              <w:jc w:val="right"/>
              <w:rPr>
                <w:color w:val="000000"/>
                <w:sz w:val="18"/>
                <w:szCs w:val="18"/>
              </w:rPr>
            </w:pPr>
            <w:r>
              <w:rPr>
                <w:rFonts w:ascii="Aptos Narrow" w:hAnsi="Aptos Narrow"/>
                <w:color w:val="000000"/>
                <w:sz w:val="18"/>
                <w:szCs w:val="18"/>
              </w:rPr>
              <w:t>1228</w:t>
            </w:r>
          </w:p>
        </w:tc>
        <w:tc>
          <w:tcPr>
            <w:tcW w:w="630" w:type="dxa"/>
            <w:vAlign w:val="center"/>
          </w:tcPr>
          <w:p w14:paraId="372CFE76" w14:textId="2CB9D7E4" w:rsidR="009465D9" w:rsidRDefault="00E807B5" w:rsidP="009465D9">
            <w:pPr>
              <w:jc w:val="right"/>
              <w:rPr>
                <w:color w:val="000000"/>
                <w:sz w:val="18"/>
                <w:szCs w:val="18"/>
              </w:rPr>
            </w:pPr>
            <w:r>
              <w:rPr>
                <w:color w:val="000000"/>
                <w:sz w:val="18"/>
                <w:szCs w:val="18"/>
              </w:rPr>
              <w:t>13.7</w:t>
            </w:r>
          </w:p>
        </w:tc>
        <w:tc>
          <w:tcPr>
            <w:tcW w:w="630" w:type="dxa"/>
            <w:vAlign w:val="center"/>
          </w:tcPr>
          <w:p w14:paraId="542ABB60" w14:textId="2FC5CB0C" w:rsidR="009465D9" w:rsidRDefault="00E807B5" w:rsidP="009465D9">
            <w:pPr>
              <w:jc w:val="right"/>
              <w:rPr>
                <w:color w:val="000000"/>
                <w:sz w:val="18"/>
                <w:szCs w:val="18"/>
              </w:rPr>
            </w:pPr>
            <w:r>
              <w:rPr>
                <w:color w:val="000000"/>
                <w:sz w:val="18"/>
                <w:szCs w:val="18"/>
              </w:rPr>
              <w:t>0.38</w:t>
            </w:r>
          </w:p>
        </w:tc>
        <w:tc>
          <w:tcPr>
            <w:tcW w:w="630" w:type="dxa"/>
          </w:tcPr>
          <w:p w14:paraId="066328CC" w14:textId="63E28AB1" w:rsidR="009465D9" w:rsidRDefault="00E807B5" w:rsidP="009465D9">
            <w:pPr>
              <w:jc w:val="right"/>
              <w:rPr>
                <w:color w:val="000000"/>
                <w:sz w:val="18"/>
                <w:szCs w:val="18"/>
              </w:rPr>
            </w:pPr>
            <w:r>
              <w:rPr>
                <w:color w:val="000000"/>
                <w:sz w:val="18"/>
                <w:szCs w:val="18"/>
              </w:rPr>
              <w:t>837</w:t>
            </w:r>
          </w:p>
        </w:tc>
        <w:tc>
          <w:tcPr>
            <w:tcW w:w="1080" w:type="dxa"/>
            <w:vAlign w:val="center"/>
          </w:tcPr>
          <w:p w14:paraId="2520C233" w14:textId="51E1160C" w:rsidR="009465D9" w:rsidRPr="00ED72A2" w:rsidRDefault="009465D9" w:rsidP="009465D9">
            <w:pPr>
              <w:jc w:val="right"/>
              <w:rPr>
                <w:color w:val="000000"/>
                <w:sz w:val="18"/>
                <w:szCs w:val="18"/>
              </w:rPr>
            </w:pPr>
            <w:r>
              <w:rPr>
                <w:color w:val="000000"/>
                <w:sz w:val="18"/>
                <w:szCs w:val="18"/>
              </w:rPr>
              <w:t>grassland</w:t>
            </w:r>
          </w:p>
        </w:tc>
        <w:tc>
          <w:tcPr>
            <w:tcW w:w="1170" w:type="dxa"/>
            <w:vAlign w:val="center"/>
          </w:tcPr>
          <w:p w14:paraId="74C6D8D2" w14:textId="33D2F28E" w:rsidR="009465D9" w:rsidRPr="00ED72A2" w:rsidRDefault="009465D9" w:rsidP="009465D9">
            <w:pPr>
              <w:jc w:val="right"/>
              <w:rPr>
                <w:color w:val="000000"/>
                <w:sz w:val="18"/>
                <w:szCs w:val="18"/>
              </w:rPr>
            </w:pPr>
            <w:r>
              <w:rPr>
                <w:color w:val="000000"/>
                <w:sz w:val="18"/>
                <w:szCs w:val="18"/>
              </w:rPr>
              <w:t>field</w:t>
            </w:r>
          </w:p>
        </w:tc>
        <w:tc>
          <w:tcPr>
            <w:tcW w:w="1080" w:type="dxa"/>
            <w:vAlign w:val="center"/>
          </w:tcPr>
          <w:p w14:paraId="0B78D645" w14:textId="027F689A" w:rsidR="009465D9" w:rsidRPr="00ED72A2" w:rsidRDefault="009465D9" w:rsidP="009465D9">
            <w:pPr>
              <w:jc w:val="right"/>
              <w:rPr>
                <w:color w:val="000000"/>
                <w:sz w:val="18"/>
                <w:szCs w:val="18"/>
              </w:rPr>
            </w:pPr>
            <w:r>
              <w:rPr>
                <w:color w:val="000000"/>
                <w:sz w:val="18"/>
                <w:szCs w:val="18"/>
              </w:rPr>
              <w:t>10</w:t>
            </w:r>
          </w:p>
        </w:tc>
        <w:tc>
          <w:tcPr>
            <w:tcW w:w="1080" w:type="dxa"/>
            <w:vAlign w:val="center"/>
          </w:tcPr>
          <w:p w14:paraId="35C0D0C9" w14:textId="6CDC8C6C" w:rsidR="009465D9" w:rsidRPr="00EC21FB" w:rsidRDefault="009465D9" w:rsidP="009465D9">
            <w:pPr>
              <w:jc w:val="right"/>
              <w:rPr>
                <w:color w:val="000000"/>
                <w:sz w:val="18"/>
                <w:szCs w:val="18"/>
              </w:rPr>
            </w:pPr>
            <w:r>
              <w:rPr>
                <w:color w:val="000000"/>
                <w:sz w:val="18"/>
                <w:szCs w:val="18"/>
              </w:rPr>
              <w:t>8</w:t>
            </w:r>
          </w:p>
        </w:tc>
      </w:tr>
    </w:tbl>
    <w:p w14:paraId="75C7F11E" w14:textId="77777777" w:rsidR="00EC21FB" w:rsidRDefault="00EC21FB" w:rsidP="00E84017">
      <w:pPr>
        <w:spacing w:after="0" w:line="360" w:lineRule="auto"/>
        <w:rPr>
          <w:b/>
          <w:bCs/>
        </w:rPr>
      </w:pPr>
    </w:p>
    <w:p w14:paraId="74015B81" w14:textId="6F59629D" w:rsidR="00292722" w:rsidRDefault="00292722" w:rsidP="00E84017">
      <w:pPr>
        <w:spacing w:after="0" w:line="360" w:lineRule="auto"/>
        <w:rPr>
          <w:b/>
          <w:bCs/>
        </w:rPr>
      </w:pPr>
      <w:r>
        <w:rPr>
          <w:b/>
          <w:bCs/>
        </w:rPr>
        <w:br w:type="page"/>
      </w:r>
    </w:p>
    <w:p w14:paraId="5205251E" w14:textId="568CD62D" w:rsidR="00A52A32" w:rsidRDefault="00F1070D" w:rsidP="00E84017">
      <w:pPr>
        <w:spacing w:after="0" w:line="360" w:lineRule="auto"/>
        <w:rPr>
          <w:b/>
          <w:bCs/>
        </w:rPr>
      </w:pPr>
      <w:r>
        <w:rPr>
          <w:b/>
          <w:bCs/>
        </w:rPr>
        <w:lastRenderedPageBreak/>
        <w:t>Table S1 (cont.)</w:t>
      </w:r>
    </w:p>
    <w:tbl>
      <w:tblPr>
        <w:tblStyle w:val="TableGrid"/>
        <w:tblW w:w="12865" w:type="dxa"/>
        <w:tblLayout w:type="fixed"/>
        <w:tblLook w:val="04A0" w:firstRow="1" w:lastRow="0" w:firstColumn="1" w:lastColumn="0" w:noHBand="0" w:noVBand="1"/>
      </w:tblPr>
      <w:tblGrid>
        <w:gridCol w:w="2245"/>
        <w:gridCol w:w="1260"/>
        <w:gridCol w:w="900"/>
        <w:gridCol w:w="1080"/>
        <w:gridCol w:w="990"/>
        <w:gridCol w:w="630"/>
        <w:gridCol w:w="630"/>
        <w:gridCol w:w="630"/>
        <w:gridCol w:w="1080"/>
        <w:gridCol w:w="1170"/>
        <w:gridCol w:w="1080"/>
        <w:gridCol w:w="1170"/>
      </w:tblGrid>
      <w:tr w:rsidR="00ED72A2" w:rsidRPr="00D81D83" w14:paraId="0DF276E0" w14:textId="77777777" w:rsidTr="001475DC">
        <w:tc>
          <w:tcPr>
            <w:tcW w:w="2245" w:type="dxa"/>
            <w:vAlign w:val="center"/>
          </w:tcPr>
          <w:p w14:paraId="096AC0A1" w14:textId="77777777" w:rsidR="00ED72A2" w:rsidRPr="001475DC" w:rsidRDefault="00ED72A2" w:rsidP="001475DC">
            <w:pPr>
              <w:rPr>
                <w:b/>
                <w:bCs w:val="0"/>
                <w:sz w:val="16"/>
                <w:szCs w:val="16"/>
              </w:rPr>
            </w:pPr>
            <w:r w:rsidRPr="001475DC">
              <w:rPr>
                <w:b/>
                <w:sz w:val="16"/>
                <w:szCs w:val="16"/>
              </w:rPr>
              <w:t>Citation</w:t>
            </w:r>
          </w:p>
        </w:tc>
        <w:tc>
          <w:tcPr>
            <w:tcW w:w="1260" w:type="dxa"/>
            <w:vAlign w:val="center"/>
          </w:tcPr>
          <w:p w14:paraId="5F6C9CCE" w14:textId="77777777" w:rsidR="00ED72A2" w:rsidRPr="001475DC" w:rsidRDefault="00ED72A2" w:rsidP="001475DC">
            <w:pPr>
              <w:rPr>
                <w:b/>
                <w:bCs w:val="0"/>
                <w:sz w:val="16"/>
                <w:szCs w:val="16"/>
              </w:rPr>
            </w:pPr>
            <w:r w:rsidRPr="001475DC">
              <w:rPr>
                <w:b/>
                <w:sz w:val="16"/>
                <w:szCs w:val="16"/>
              </w:rPr>
              <w:t>Site name</w:t>
            </w:r>
          </w:p>
        </w:tc>
        <w:tc>
          <w:tcPr>
            <w:tcW w:w="900" w:type="dxa"/>
            <w:vAlign w:val="center"/>
          </w:tcPr>
          <w:p w14:paraId="64C86D24" w14:textId="77777777" w:rsidR="00ED72A2" w:rsidRPr="001475DC" w:rsidRDefault="00ED72A2" w:rsidP="001475DC">
            <w:pPr>
              <w:rPr>
                <w:b/>
                <w:bCs w:val="0"/>
                <w:sz w:val="16"/>
                <w:szCs w:val="16"/>
              </w:rPr>
            </w:pPr>
            <w:r w:rsidRPr="001475DC">
              <w:rPr>
                <w:b/>
                <w:sz w:val="16"/>
                <w:szCs w:val="16"/>
              </w:rPr>
              <w:t>Latitude</w:t>
            </w:r>
          </w:p>
        </w:tc>
        <w:tc>
          <w:tcPr>
            <w:tcW w:w="1080" w:type="dxa"/>
            <w:vAlign w:val="center"/>
          </w:tcPr>
          <w:p w14:paraId="780FE3E7" w14:textId="77777777" w:rsidR="00ED72A2" w:rsidRPr="001475DC" w:rsidRDefault="00ED72A2" w:rsidP="001475DC">
            <w:pPr>
              <w:rPr>
                <w:b/>
                <w:bCs w:val="0"/>
                <w:sz w:val="16"/>
                <w:szCs w:val="16"/>
              </w:rPr>
            </w:pPr>
            <w:r w:rsidRPr="001475DC">
              <w:rPr>
                <w:b/>
                <w:sz w:val="16"/>
                <w:szCs w:val="16"/>
              </w:rPr>
              <w:t>Longitude</w:t>
            </w:r>
          </w:p>
        </w:tc>
        <w:tc>
          <w:tcPr>
            <w:tcW w:w="990" w:type="dxa"/>
            <w:vAlign w:val="center"/>
          </w:tcPr>
          <w:p w14:paraId="11708315" w14:textId="6CCDBA49" w:rsidR="00ED72A2" w:rsidRPr="001475DC" w:rsidRDefault="00ED72A2" w:rsidP="001475DC">
            <w:pPr>
              <w:rPr>
                <w:b/>
                <w:sz w:val="16"/>
                <w:szCs w:val="16"/>
              </w:rPr>
            </w:pPr>
            <w:r w:rsidRPr="001475DC">
              <w:rPr>
                <w:b/>
                <w:sz w:val="16"/>
                <w:szCs w:val="16"/>
              </w:rPr>
              <w:t>Elevation</w:t>
            </w:r>
          </w:p>
        </w:tc>
        <w:tc>
          <w:tcPr>
            <w:tcW w:w="630" w:type="dxa"/>
            <w:vAlign w:val="center"/>
          </w:tcPr>
          <w:p w14:paraId="14A70F5B" w14:textId="55CBB501" w:rsidR="00ED72A2" w:rsidRPr="001475DC" w:rsidRDefault="00ED72A2" w:rsidP="001475DC">
            <w:pPr>
              <w:rPr>
                <w:b/>
                <w:bCs w:val="0"/>
                <w:sz w:val="16"/>
                <w:szCs w:val="16"/>
              </w:rPr>
            </w:pPr>
            <w:proofErr w:type="spellStart"/>
            <w:r w:rsidRPr="001475DC">
              <w:rPr>
                <w:b/>
                <w:i/>
                <w:iCs/>
                <w:sz w:val="16"/>
                <w:szCs w:val="16"/>
              </w:rPr>
              <w:t>T</w:t>
            </w:r>
            <w:r w:rsidRPr="001475DC">
              <w:rPr>
                <w:b/>
                <w:sz w:val="16"/>
                <w:szCs w:val="16"/>
                <w:vertAlign w:val="subscript"/>
              </w:rPr>
              <w:t>g</w:t>
            </w:r>
            <w:proofErr w:type="spellEnd"/>
          </w:p>
        </w:tc>
        <w:tc>
          <w:tcPr>
            <w:tcW w:w="630" w:type="dxa"/>
            <w:vAlign w:val="center"/>
          </w:tcPr>
          <w:p w14:paraId="6804C1E4" w14:textId="6E86C1E8" w:rsidR="00ED72A2" w:rsidRPr="001475DC" w:rsidRDefault="00ED72A2" w:rsidP="001475DC">
            <w:pPr>
              <w:rPr>
                <w:b/>
                <w:bCs w:val="0"/>
                <w:sz w:val="16"/>
                <w:szCs w:val="16"/>
              </w:rPr>
            </w:pPr>
            <w:proofErr w:type="spellStart"/>
            <w:r w:rsidRPr="001475DC">
              <w:rPr>
                <w:b/>
                <w:i/>
                <w:iCs/>
                <w:sz w:val="16"/>
                <w:szCs w:val="16"/>
              </w:rPr>
              <w:t>AI</w:t>
            </w:r>
            <w:r w:rsidRPr="001475DC">
              <w:rPr>
                <w:b/>
                <w:sz w:val="16"/>
                <w:szCs w:val="16"/>
                <w:vertAlign w:val="subscript"/>
              </w:rPr>
              <w:t>g</w:t>
            </w:r>
            <w:proofErr w:type="spellEnd"/>
          </w:p>
        </w:tc>
        <w:tc>
          <w:tcPr>
            <w:tcW w:w="630" w:type="dxa"/>
            <w:vAlign w:val="center"/>
          </w:tcPr>
          <w:p w14:paraId="198F2BA3" w14:textId="41F907E0" w:rsidR="00ED72A2" w:rsidRPr="001475DC" w:rsidRDefault="00ED72A2" w:rsidP="001475DC">
            <w:pPr>
              <w:rPr>
                <w:b/>
                <w:bCs w:val="0"/>
                <w:sz w:val="16"/>
                <w:szCs w:val="16"/>
              </w:rPr>
            </w:pPr>
            <w:proofErr w:type="spellStart"/>
            <w:r w:rsidRPr="001475DC">
              <w:rPr>
                <w:b/>
                <w:bCs w:val="0"/>
                <w:i/>
                <w:iCs/>
                <w:sz w:val="16"/>
                <w:szCs w:val="16"/>
              </w:rPr>
              <w:t>PAR</w:t>
            </w:r>
            <w:r w:rsidRPr="001475DC">
              <w:rPr>
                <w:b/>
                <w:bCs w:val="0"/>
                <w:sz w:val="16"/>
                <w:szCs w:val="16"/>
                <w:vertAlign w:val="subscript"/>
              </w:rPr>
              <w:t>g</w:t>
            </w:r>
            <w:proofErr w:type="spellEnd"/>
          </w:p>
        </w:tc>
        <w:tc>
          <w:tcPr>
            <w:tcW w:w="1080" w:type="dxa"/>
            <w:vAlign w:val="center"/>
          </w:tcPr>
          <w:p w14:paraId="2489BD98" w14:textId="77777777" w:rsidR="00ED72A2" w:rsidRPr="001475DC" w:rsidRDefault="00ED72A2" w:rsidP="001475DC">
            <w:pPr>
              <w:rPr>
                <w:b/>
                <w:bCs w:val="0"/>
                <w:sz w:val="16"/>
                <w:szCs w:val="16"/>
              </w:rPr>
            </w:pPr>
            <w:r w:rsidRPr="001475DC">
              <w:rPr>
                <w:b/>
                <w:sz w:val="16"/>
                <w:szCs w:val="16"/>
              </w:rPr>
              <w:t>Ecosystem type</w:t>
            </w:r>
          </w:p>
        </w:tc>
        <w:tc>
          <w:tcPr>
            <w:tcW w:w="1170" w:type="dxa"/>
            <w:vAlign w:val="center"/>
          </w:tcPr>
          <w:p w14:paraId="533B3E98" w14:textId="77777777" w:rsidR="00ED72A2" w:rsidRPr="001475DC" w:rsidRDefault="00ED72A2" w:rsidP="001475DC">
            <w:pPr>
              <w:rPr>
                <w:b/>
                <w:bCs w:val="0"/>
                <w:sz w:val="16"/>
                <w:szCs w:val="16"/>
              </w:rPr>
            </w:pPr>
            <w:r w:rsidRPr="001475DC">
              <w:rPr>
                <w:b/>
                <w:sz w:val="16"/>
                <w:szCs w:val="16"/>
              </w:rPr>
              <w:t>Experiment type</w:t>
            </w:r>
          </w:p>
        </w:tc>
        <w:tc>
          <w:tcPr>
            <w:tcW w:w="1080" w:type="dxa"/>
            <w:vAlign w:val="center"/>
          </w:tcPr>
          <w:p w14:paraId="22DD26E9" w14:textId="77777777" w:rsidR="00ED72A2" w:rsidRPr="001475DC" w:rsidRDefault="00ED72A2" w:rsidP="001475DC">
            <w:pPr>
              <w:rPr>
                <w:b/>
                <w:bCs w:val="0"/>
                <w:sz w:val="16"/>
                <w:szCs w:val="16"/>
              </w:rPr>
            </w:pPr>
            <w:proofErr w:type="spellStart"/>
            <w:r w:rsidRPr="001475DC">
              <w:rPr>
                <w:b/>
                <w:sz w:val="16"/>
                <w:szCs w:val="16"/>
              </w:rPr>
              <w:t>N</w:t>
            </w:r>
            <w:proofErr w:type="spellEnd"/>
            <w:r w:rsidRPr="001475DC">
              <w:rPr>
                <w:b/>
                <w:sz w:val="16"/>
                <w:szCs w:val="16"/>
              </w:rPr>
              <w:t xml:space="preserve"> addition rate (g m</w:t>
            </w:r>
            <w:r w:rsidRPr="001475DC">
              <w:rPr>
                <w:b/>
                <w:sz w:val="16"/>
                <w:szCs w:val="16"/>
                <w:vertAlign w:val="superscript"/>
              </w:rPr>
              <w:t>-2</w:t>
            </w:r>
            <w:r w:rsidRPr="001475DC">
              <w:rPr>
                <w:b/>
                <w:sz w:val="16"/>
                <w:szCs w:val="16"/>
              </w:rPr>
              <w:t>)</w:t>
            </w:r>
          </w:p>
        </w:tc>
        <w:tc>
          <w:tcPr>
            <w:tcW w:w="1170" w:type="dxa"/>
            <w:vAlign w:val="center"/>
          </w:tcPr>
          <w:p w14:paraId="192A7C62" w14:textId="77777777" w:rsidR="00ED72A2" w:rsidRPr="001475DC" w:rsidRDefault="00ED72A2" w:rsidP="001475DC">
            <w:pPr>
              <w:rPr>
                <w:b/>
                <w:bCs w:val="0"/>
                <w:sz w:val="16"/>
                <w:szCs w:val="16"/>
              </w:rPr>
            </w:pPr>
            <w:r w:rsidRPr="001475DC">
              <w:rPr>
                <w:b/>
                <w:sz w:val="16"/>
                <w:szCs w:val="16"/>
              </w:rPr>
              <w:t>P addition rate (g m</w:t>
            </w:r>
            <w:r w:rsidRPr="001475DC">
              <w:rPr>
                <w:b/>
                <w:sz w:val="16"/>
                <w:szCs w:val="16"/>
                <w:vertAlign w:val="superscript"/>
              </w:rPr>
              <w:t>-2</w:t>
            </w:r>
            <w:r w:rsidRPr="001475DC">
              <w:rPr>
                <w:b/>
                <w:sz w:val="16"/>
                <w:szCs w:val="16"/>
              </w:rPr>
              <w:t>)</w:t>
            </w:r>
          </w:p>
        </w:tc>
      </w:tr>
      <w:tr w:rsidR="00ED72A2" w:rsidRPr="00D81D83" w14:paraId="1B70C183" w14:textId="77777777" w:rsidTr="00ED72A2">
        <w:sdt>
          <w:sdtPr>
            <w:rPr>
              <w:color w:val="000000"/>
              <w:sz w:val="18"/>
              <w:szCs w:val="18"/>
            </w:rPr>
            <w:tag w:val="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"/>
            <w:id w:val="-104577631"/>
            <w:placeholder>
              <w:docPart w:val="F5976DE6FB623648BD02F587A6474B52"/>
            </w:placeholder>
          </w:sdtPr>
          <w:sdtContent>
            <w:tc>
              <w:tcPr>
                <w:tcW w:w="2245" w:type="dxa"/>
                <w:vMerge w:val="restart"/>
                <w:vAlign w:val="center"/>
              </w:tcPr>
              <w:p w14:paraId="29C7167D" w14:textId="5FC3EDE2" w:rsidR="00ED72A2" w:rsidRPr="00C15C33" w:rsidRDefault="00E807B5" w:rsidP="00C954CC">
                <w:pPr>
                  <w:rPr>
                    <w:sz w:val="18"/>
                    <w:szCs w:val="18"/>
                  </w:rPr>
                </w:pPr>
                <w:r w:rsidRPr="00E807B5">
                  <w:rPr>
                    <w:rFonts w:eastAsia="Times New Roman"/>
                    <w:color w:val="000000"/>
                    <w:sz w:val="18"/>
                  </w:rPr>
                  <w:t>(Cleland et al., 2019)</w:t>
                </w:r>
              </w:p>
            </w:tc>
          </w:sdtContent>
        </w:sdt>
        <w:tc>
          <w:tcPr>
            <w:tcW w:w="1260" w:type="dxa"/>
          </w:tcPr>
          <w:p w14:paraId="55B68C34" w14:textId="4ABFFB62" w:rsidR="00ED72A2" w:rsidRPr="00C954CC" w:rsidRDefault="00ED72A2" w:rsidP="00C954CC">
            <w:pPr>
              <w:rPr>
                <w:color w:val="000000"/>
                <w:sz w:val="18"/>
                <w:szCs w:val="18"/>
              </w:rPr>
            </w:pPr>
            <w:r w:rsidRPr="00C954CC">
              <w:rPr>
                <w:color w:val="000000"/>
                <w:sz w:val="18"/>
                <w:szCs w:val="18"/>
              </w:rPr>
              <w:t>bldr.us</w:t>
            </w:r>
          </w:p>
        </w:tc>
        <w:tc>
          <w:tcPr>
            <w:tcW w:w="900" w:type="dxa"/>
            <w:vAlign w:val="bottom"/>
          </w:tcPr>
          <w:p w14:paraId="572D9C14" w14:textId="3EBE7EDC" w:rsidR="00ED72A2" w:rsidRPr="00C954CC" w:rsidRDefault="00ED72A2" w:rsidP="00C954CC">
            <w:pPr>
              <w:jc w:val="right"/>
              <w:rPr>
                <w:color w:val="000000"/>
                <w:sz w:val="18"/>
                <w:szCs w:val="18"/>
              </w:rPr>
            </w:pPr>
            <w:r w:rsidRPr="00C954CC">
              <w:rPr>
                <w:color w:val="000000"/>
                <w:sz w:val="18"/>
                <w:szCs w:val="18"/>
              </w:rPr>
              <w:t>39.97</w:t>
            </w:r>
          </w:p>
        </w:tc>
        <w:tc>
          <w:tcPr>
            <w:tcW w:w="1080" w:type="dxa"/>
            <w:vAlign w:val="bottom"/>
          </w:tcPr>
          <w:p w14:paraId="0BC98868" w14:textId="2D1584BB" w:rsidR="00ED72A2" w:rsidRPr="00C954CC" w:rsidRDefault="00ED72A2" w:rsidP="00C954CC">
            <w:pPr>
              <w:jc w:val="right"/>
              <w:rPr>
                <w:color w:val="000000"/>
                <w:sz w:val="18"/>
                <w:szCs w:val="18"/>
              </w:rPr>
            </w:pPr>
            <w:r w:rsidRPr="00C954CC">
              <w:rPr>
                <w:color w:val="000000"/>
                <w:sz w:val="18"/>
                <w:szCs w:val="18"/>
              </w:rPr>
              <w:t>-105.23</w:t>
            </w:r>
          </w:p>
        </w:tc>
        <w:tc>
          <w:tcPr>
            <w:tcW w:w="990" w:type="dxa"/>
          </w:tcPr>
          <w:p w14:paraId="47AC5DC6" w14:textId="791C66DD" w:rsidR="00ED72A2" w:rsidRPr="00C954CC" w:rsidRDefault="008C50CD" w:rsidP="00C954CC">
            <w:pPr>
              <w:jc w:val="right"/>
              <w:rPr>
                <w:color w:val="000000"/>
                <w:sz w:val="18"/>
                <w:szCs w:val="18"/>
              </w:rPr>
            </w:pPr>
            <w:r>
              <w:rPr>
                <w:color w:val="000000"/>
                <w:sz w:val="18"/>
                <w:szCs w:val="18"/>
              </w:rPr>
              <w:t>1649</w:t>
            </w:r>
          </w:p>
        </w:tc>
        <w:tc>
          <w:tcPr>
            <w:tcW w:w="630" w:type="dxa"/>
            <w:vAlign w:val="center"/>
          </w:tcPr>
          <w:p w14:paraId="4D82A8CA" w14:textId="0B83579F" w:rsidR="00ED72A2" w:rsidRPr="00C954CC" w:rsidRDefault="008C50CD" w:rsidP="00C954CC">
            <w:pPr>
              <w:jc w:val="right"/>
              <w:rPr>
                <w:color w:val="000000"/>
                <w:sz w:val="18"/>
                <w:szCs w:val="18"/>
              </w:rPr>
            </w:pPr>
            <w:r>
              <w:rPr>
                <w:color w:val="000000"/>
                <w:sz w:val="18"/>
                <w:szCs w:val="18"/>
              </w:rPr>
              <w:t>11.0</w:t>
            </w:r>
          </w:p>
        </w:tc>
        <w:tc>
          <w:tcPr>
            <w:tcW w:w="630" w:type="dxa"/>
            <w:vAlign w:val="center"/>
          </w:tcPr>
          <w:p w14:paraId="28923144" w14:textId="7FD5E0A6" w:rsidR="00ED72A2" w:rsidRPr="00C954CC" w:rsidRDefault="008C50CD" w:rsidP="00C954CC">
            <w:pPr>
              <w:jc w:val="right"/>
              <w:rPr>
                <w:color w:val="000000"/>
                <w:sz w:val="18"/>
                <w:szCs w:val="18"/>
              </w:rPr>
            </w:pPr>
            <w:r>
              <w:rPr>
                <w:color w:val="000000"/>
                <w:sz w:val="18"/>
                <w:szCs w:val="18"/>
              </w:rPr>
              <w:t>0.30</w:t>
            </w:r>
          </w:p>
        </w:tc>
        <w:tc>
          <w:tcPr>
            <w:tcW w:w="630" w:type="dxa"/>
          </w:tcPr>
          <w:p w14:paraId="0B78B60E" w14:textId="231F4A00" w:rsidR="00ED72A2" w:rsidRPr="00C954CC" w:rsidRDefault="008C50CD" w:rsidP="00C954CC">
            <w:pPr>
              <w:jc w:val="right"/>
              <w:rPr>
                <w:color w:val="000000"/>
                <w:sz w:val="18"/>
                <w:szCs w:val="18"/>
              </w:rPr>
            </w:pPr>
            <w:r>
              <w:rPr>
                <w:color w:val="000000"/>
                <w:sz w:val="18"/>
                <w:szCs w:val="18"/>
              </w:rPr>
              <w:t>830</w:t>
            </w:r>
          </w:p>
        </w:tc>
        <w:tc>
          <w:tcPr>
            <w:tcW w:w="1080" w:type="dxa"/>
            <w:vAlign w:val="bottom"/>
          </w:tcPr>
          <w:p w14:paraId="30ECDAFA" w14:textId="6BE11FC4"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099982E3" w14:textId="368C8449"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613EFEAD" w14:textId="47BBB584"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48BD263D" w14:textId="072F705C" w:rsidR="00ED72A2" w:rsidRPr="00C954CC" w:rsidRDefault="00ED72A2" w:rsidP="00C954CC">
            <w:pPr>
              <w:jc w:val="right"/>
              <w:rPr>
                <w:color w:val="000000"/>
                <w:sz w:val="18"/>
                <w:szCs w:val="18"/>
              </w:rPr>
            </w:pPr>
            <w:r w:rsidRPr="00C954CC">
              <w:rPr>
                <w:color w:val="000000"/>
                <w:sz w:val="18"/>
                <w:szCs w:val="18"/>
              </w:rPr>
              <w:t>10</w:t>
            </w:r>
          </w:p>
        </w:tc>
      </w:tr>
      <w:tr w:rsidR="00ED72A2" w:rsidRPr="00D81D83" w14:paraId="334263DE" w14:textId="77777777" w:rsidTr="00ED72A2">
        <w:tc>
          <w:tcPr>
            <w:tcW w:w="2245" w:type="dxa"/>
            <w:vMerge/>
          </w:tcPr>
          <w:p w14:paraId="4FBC7FC7" w14:textId="77777777" w:rsidR="00ED72A2" w:rsidRPr="00C15C33" w:rsidRDefault="00ED72A2" w:rsidP="00C954CC">
            <w:pPr>
              <w:rPr>
                <w:color w:val="000000"/>
                <w:sz w:val="18"/>
                <w:szCs w:val="18"/>
              </w:rPr>
            </w:pPr>
          </w:p>
        </w:tc>
        <w:tc>
          <w:tcPr>
            <w:tcW w:w="1260" w:type="dxa"/>
          </w:tcPr>
          <w:p w14:paraId="0D7ED02F" w14:textId="4C739BC0" w:rsidR="00ED72A2" w:rsidRPr="00C954CC" w:rsidRDefault="00ED72A2" w:rsidP="00C954CC">
            <w:pPr>
              <w:rPr>
                <w:color w:val="000000"/>
                <w:sz w:val="18"/>
                <w:szCs w:val="18"/>
              </w:rPr>
            </w:pPr>
            <w:r w:rsidRPr="00C954CC">
              <w:rPr>
                <w:color w:val="000000"/>
                <w:sz w:val="18"/>
                <w:szCs w:val="18"/>
              </w:rPr>
              <w:t>bnch.us</w:t>
            </w:r>
          </w:p>
        </w:tc>
        <w:tc>
          <w:tcPr>
            <w:tcW w:w="900" w:type="dxa"/>
            <w:vAlign w:val="bottom"/>
          </w:tcPr>
          <w:p w14:paraId="55055B36" w14:textId="2D4EFA2C" w:rsidR="00ED72A2" w:rsidRPr="00C954CC" w:rsidRDefault="00ED72A2" w:rsidP="00C954CC">
            <w:pPr>
              <w:jc w:val="right"/>
              <w:rPr>
                <w:color w:val="000000"/>
                <w:sz w:val="18"/>
                <w:szCs w:val="18"/>
              </w:rPr>
            </w:pPr>
            <w:r w:rsidRPr="00C954CC">
              <w:rPr>
                <w:color w:val="000000"/>
                <w:sz w:val="18"/>
                <w:szCs w:val="18"/>
              </w:rPr>
              <w:t>44.28</w:t>
            </w:r>
          </w:p>
        </w:tc>
        <w:tc>
          <w:tcPr>
            <w:tcW w:w="1080" w:type="dxa"/>
            <w:vAlign w:val="bottom"/>
          </w:tcPr>
          <w:p w14:paraId="4989130A" w14:textId="49E0464C" w:rsidR="00ED72A2" w:rsidRPr="00C954CC" w:rsidRDefault="00ED72A2" w:rsidP="00C954CC">
            <w:pPr>
              <w:jc w:val="right"/>
              <w:rPr>
                <w:color w:val="000000"/>
                <w:sz w:val="18"/>
                <w:szCs w:val="18"/>
              </w:rPr>
            </w:pPr>
            <w:r w:rsidRPr="00C954CC">
              <w:rPr>
                <w:color w:val="000000"/>
                <w:sz w:val="18"/>
                <w:szCs w:val="18"/>
              </w:rPr>
              <w:t>-121.97</w:t>
            </w:r>
          </w:p>
        </w:tc>
        <w:tc>
          <w:tcPr>
            <w:tcW w:w="990" w:type="dxa"/>
          </w:tcPr>
          <w:p w14:paraId="365B0A94" w14:textId="56B563E2" w:rsidR="00ED72A2" w:rsidRPr="00C954CC" w:rsidRDefault="008C50CD" w:rsidP="00C954CC">
            <w:pPr>
              <w:jc w:val="right"/>
              <w:rPr>
                <w:color w:val="000000"/>
                <w:sz w:val="18"/>
                <w:szCs w:val="18"/>
              </w:rPr>
            </w:pPr>
            <w:r>
              <w:rPr>
                <w:color w:val="000000"/>
                <w:sz w:val="18"/>
                <w:szCs w:val="18"/>
              </w:rPr>
              <w:t>1298</w:t>
            </w:r>
          </w:p>
        </w:tc>
        <w:tc>
          <w:tcPr>
            <w:tcW w:w="630" w:type="dxa"/>
            <w:vAlign w:val="center"/>
          </w:tcPr>
          <w:p w14:paraId="2AAC3A1B" w14:textId="02F20018" w:rsidR="00ED72A2" w:rsidRPr="00C954CC" w:rsidRDefault="008C50CD" w:rsidP="00C954CC">
            <w:pPr>
              <w:jc w:val="right"/>
              <w:rPr>
                <w:color w:val="000000"/>
                <w:sz w:val="18"/>
                <w:szCs w:val="18"/>
              </w:rPr>
            </w:pPr>
            <w:r>
              <w:rPr>
                <w:color w:val="000000"/>
                <w:sz w:val="18"/>
                <w:szCs w:val="18"/>
              </w:rPr>
              <w:t>7.8</w:t>
            </w:r>
          </w:p>
        </w:tc>
        <w:tc>
          <w:tcPr>
            <w:tcW w:w="630" w:type="dxa"/>
            <w:vAlign w:val="center"/>
          </w:tcPr>
          <w:p w14:paraId="2C3DDEA0" w14:textId="3FF1CC3B" w:rsidR="00ED72A2" w:rsidRPr="00C954CC" w:rsidRDefault="008C50CD" w:rsidP="00C954CC">
            <w:pPr>
              <w:jc w:val="right"/>
              <w:rPr>
                <w:color w:val="000000"/>
                <w:sz w:val="18"/>
                <w:szCs w:val="18"/>
              </w:rPr>
            </w:pPr>
            <w:r>
              <w:rPr>
                <w:color w:val="000000"/>
                <w:sz w:val="18"/>
                <w:szCs w:val="18"/>
              </w:rPr>
              <w:t>1.71</w:t>
            </w:r>
          </w:p>
        </w:tc>
        <w:tc>
          <w:tcPr>
            <w:tcW w:w="630" w:type="dxa"/>
          </w:tcPr>
          <w:p w14:paraId="5C92582C" w14:textId="4793680F" w:rsidR="00ED72A2" w:rsidRPr="00C954CC" w:rsidRDefault="008C50CD" w:rsidP="00C954CC">
            <w:pPr>
              <w:jc w:val="right"/>
              <w:rPr>
                <w:color w:val="000000"/>
                <w:sz w:val="18"/>
                <w:szCs w:val="18"/>
              </w:rPr>
            </w:pPr>
            <w:r>
              <w:rPr>
                <w:color w:val="000000"/>
                <w:sz w:val="18"/>
                <w:szCs w:val="18"/>
              </w:rPr>
              <w:t>770</w:t>
            </w:r>
          </w:p>
        </w:tc>
        <w:tc>
          <w:tcPr>
            <w:tcW w:w="1080" w:type="dxa"/>
            <w:vAlign w:val="bottom"/>
          </w:tcPr>
          <w:p w14:paraId="754D64BA" w14:textId="41F62003"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51E1E1F" w14:textId="1A36DB79"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5F7649FA" w14:textId="458E7644"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5800D6EF" w14:textId="055BE938" w:rsidR="00ED72A2" w:rsidRPr="00C954CC" w:rsidRDefault="00ED72A2" w:rsidP="00C954CC">
            <w:pPr>
              <w:jc w:val="right"/>
              <w:rPr>
                <w:color w:val="000000"/>
                <w:sz w:val="18"/>
                <w:szCs w:val="18"/>
              </w:rPr>
            </w:pPr>
            <w:r w:rsidRPr="00C954CC">
              <w:rPr>
                <w:color w:val="000000"/>
                <w:sz w:val="18"/>
                <w:szCs w:val="18"/>
              </w:rPr>
              <w:t>10</w:t>
            </w:r>
          </w:p>
        </w:tc>
      </w:tr>
      <w:tr w:rsidR="00ED72A2" w:rsidRPr="006A7EA7" w14:paraId="5D3482C0" w14:textId="77777777" w:rsidTr="00ED72A2">
        <w:tc>
          <w:tcPr>
            <w:tcW w:w="2245" w:type="dxa"/>
            <w:vMerge/>
          </w:tcPr>
          <w:p w14:paraId="14FE1BB6" w14:textId="381BAADD" w:rsidR="00ED72A2" w:rsidRPr="00C15C33" w:rsidRDefault="00ED72A2" w:rsidP="00C954CC">
            <w:pPr>
              <w:rPr>
                <w:sz w:val="18"/>
                <w:szCs w:val="18"/>
              </w:rPr>
            </w:pPr>
          </w:p>
        </w:tc>
        <w:tc>
          <w:tcPr>
            <w:tcW w:w="1260" w:type="dxa"/>
          </w:tcPr>
          <w:p w14:paraId="7379C358" w14:textId="597D3AEF" w:rsidR="00ED72A2" w:rsidRPr="00C954CC" w:rsidRDefault="00ED72A2" w:rsidP="00C954CC">
            <w:pPr>
              <w:rPr>
                <w:color w:val="000000"/>
                <w:sz w:val="18"/>
                <w:szCs w:val="18"/>
              </w:rPr>
            </w:pPr>
            <w:r w:rsidRPr="00C954CC">
              <w:rPr>
                <w:color w:val="000000"/>
                <w:sz w:val="18"/>
                <w:szCs w:val="18"/>
              </w:rPr>
              <w:t>bogong.au</w:t>
            </w:r>
          </w:p>
        </w:tc>
        <w:tc>
          <w:tcPr>
            <w:tcW w:w="900" w:type="dxa"/>
            <w:vAlign w:val="bottom"/>
          </w:tcPr>
          <w:p w14:paraId="214809F2" w14:textId="32515623" w:rsidR="00ED72A2" w:rsidRPr="00C954CC" w:rsidRDefault="00ED72A2" w:rsidP="00C954CC">
            <w:pPr>
              <w:jc w:val="right"/>
              <w:rPr>
                <w:color w:val="000000"/>
                <w:sz w:val="18"/>
                <w:szCs w:val="18"/>
              </w:rPr>
            </w:pPr>
            <w:r w:rsidRPr="00C954CC">
              <w:rPr>
                <w:color w:val="000000"/>
                <w:sz w:val="18"/>
                <w:szCs w:val="18"/>
              </w:rPr>
              <w:t>-36.87</w:t>
            </w:r>
          </w:p>
        </w:tc>
        <w:tc>
          <w:tcPr>
            <w:tcW w:w="1080" w:type="dxa"/>
            <w:vAlign w:val="bottom"/>
          </w:tcPr>
          <w:p w14:paraId="63B24FDF" w14:textId="75625341" w:rsidR="00ED72A2" w:rsidRPr="00C954CC" w:rsidRDefault="00ED72A2" w:rsidP="00C954CC">
            <w:pPr>
              <w:jc w:val="right"/>
              <w:rPr>
                <w:color w:val="000000"/>
                <w:sz w:val="18"/>
                <w:szCs w:val="18"/>
              </w:rPr>
            </w:pPr>
            <w:r w:rsidRPr="00C954CC">
              <w:rPr>
                <w:color w:val="000000"/>
                <w:sz w:val="18"/>
                <w:szCs w:val="18"/>
              </w:rPr>
              <w:t>147.24</w:t>
            </w:r>
          </w:p>
        </w:tc>
        <w:tc>
          <w:tcPr>
            <w:tcW w:w="990" w:type="dxa"/>
          </w:tcPr>
          <w:p w14:paraId="04E9A3CB" w14:textId="77F30D9E" w:rsidR="00ED72A2" w:rsidRPr="00C954CC" w:rsidRDefault="008C50CD" w:rsidP="00C954CC">
            <w:pPr>
              <w:jc w:val="right"/>
              <w:rPr>
                <w:color w:val="000000"/>
                <w:sz w:val="18"/>
                <w:szCs w:val="18"/>
              </w:rPr>
            </w:pPr>
            <w:r>
              <w:rPr>
                <w:color w:val="000000"/>
                <w:sz w:val="18"/>
                <w:szCs w:val="18"/>
              </w:rPr>
              <w:t>1567</w:t>
            </w:r>
          </w:p>
        </w:tc>
        <w:tc>
          <w:tcPr>
            <w:tcW w:w="630" w:type="dxa"/>
            <w:vAlign w:val="center"/>
          </w:tcPr>
          <w:p w14:paraId="4AAEF860" w14:textId="6F831D59" w:rsidR="00ED72A2" w:rsidRPr="00C954CC" w:rsidRDefault="008C50CD" w:rsidP="00C954CC">
            <w:pPr>
              <w:jc w:val="right"/>
              <w:rPr>
                <w:color w:val="000000"/>
                <w:sz w:val="18"/>
                <w:szCs w:val="18"/>
              </w:rPr>
            </w:pPr>
            <w:r>
              <w:rPr>
                <w:color w:val="000000"/>
                <w:sz w:val="18"/>
                <w:szCs w:val="18"/>
              </w:rPr>
              <w:t>7.3</w:t>
            </w:r>
          </w:p>
        </w:tc>
        <w:tc>
          <w:tcPr>
            <w:tcW w:w="630" w:type="dxa"/>
            <w:vAlign w:val="center"/>
          </w:tcPr>
          <w:p w14:paraId="357B56F6" w14:textId="213FE5D3" w:rsidR="00ED72A2" w:rsidRPr="00C954CC" w:rsidRDefault="008C50CD" w:rsidP="00C954CC">
            <w:pPr>
              <w:jc w:val="right"/>
              <w:rPr>
                <w:color w:val="000000"/>
                <w:sz w:val="18"/>
                <w:szCs w:val="18"/>
              </w:rPr>
            </w:pPr>
            <w:r>
              <w:rPr>
                <w:color w:val="000000"/>
                <w:sz w:val="18"/>
                <w:szCs w:val="18"/>
              </w:rPr>
              <w:t>2.09</w:t>
            </w:r>
          </w:p>
        </w:tc>
        <w:tc>
          <w:tcPr>
            <w:tcW w:w="630" w:type="dxa"/>
          </w:tcPr>
          <w:p w14:paraId="57C3FE45" w14:textId="3D8A2499" w:rsidR="00ED72A2" w:rsidRPr="00C954CC" w:rsidRDefault="008C50CD" w:rsidP="00C954CC">
            <w:pPr>
              <w:jc w:val="right"/>
              <w:rPr>
                <w:color w:val="000000"/>
                <w:sz w:val="18"/>
                <w:szCs w:val="18"/>
              </w:rPr>
            </w:pPr>
            <w:r>
              <w:rPr>
                <w:color w:val="000000"/>
                <w:sz w:val="18"/>
                <w:szCs w:val="18"/>
              </w:rPr>
              <w:t>797</w:t>
            </w:r>
          </w:p>
        </w:tc>
        <w:tc>
          <w:tcPr>
            <w:tcW w:w="1080" w:type="dxa"/>
            <w:vAlign w:val="bottom"/>
          </w:tcPr>
          <w:p w14:paraId="14FE9448" w14:textId="320ECD01"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058B4143" w14:textId="7CDB7A06"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4A53562B" w14:textId="0AE53025"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7A1D9D9D" w14:textId="1574A794" w:rsidR="00ED72A2" w:rsidRPr="00C954CC" w:rsidRDefault="00ED72A2" w:rsidP="00C954CC">
            <w:pPr>
              <w:jc w:val="right"/>
              <w:rPr>
                <w:color w:val="000000"/>
                <w:sz w:val="18"/>
                <w:szCs w:val="18"/>
              </w:rPr>
            </w:pPr>
            <w:r w:rsidRPr="00C954CC">
              <w:rPr>
                <w:color w:val="000000"/>
                <w:sz w:val="18"/>
                <w:szCs w:val="18"/>
              </w:rPr>
              <w:t>10</w:t>
            </w:r>
          </w:p>
        </w:tc>
      </w:tr>
      <w:tr w:rsidR="00ED72A2" w:rsidRPr="006A7EA7" w14:paraId="16584A68" w14:textId="77777777" w:rsidTr="00ED72A2">
        <w:tc>
          <w:tcPr>
            <w:tcW w:w="2245" w:type="dxa"/>
            <w:vMerge/>
          </w:tcPr>
          <w:p w14:paraId="4288DD30" w14:textId="6FA2C096" w:rsidR="00ED72A2" w:rsidRPr="00C15C33" w:rsidRDefault="00ED72A2" w:rsidP="00C954CC">
            <w:pPr>
              <w:rPr>
                <w:sz w:val="18"/>
                <w:szCs w:val="18"/>
              </w:rPr>
            </w:pPr>
          </w:p>
        </w:tc>
        <w:tc>
          <w:tcPr>
            <w:tcW w:w="1260" w:type="dxa"/>
          </w:tcPr>
          <w:p w14:paraId="179A4153" w14:textId="7FC9252C" w:rsidR="00ED72A2" w:rsidRPr="00C954CC" w:rsidRDefault="00ED72A2" w:rsidP="00C954CC">
            <w:pPr>
              <w:rPr>
                <w:color w:val="000000"/>
                <w:sz w:val="18"/>
                <w:szCs w:val="18"/>
              </w:rPr>
            </w:pPr>
            <w:r w:rsidRPr="00C954CC">
              <w:rPr>
                <w:color w:val="000000"/>
                <w:sz w:val="18"/>
                <w:szCs w:val="18"/>
              </w:rPr>
              <w:t>burrawan.au</w:t>
            </w:r>
          </w:p>
        </w:tc>
        <w:tc>
          <w:tcPr>
            <w:tcW w:w="900" w:type="dxa"/>
            <w:vAlign w:val="bottom"/>
          </w:tcPr>
          <w:p w14:paraId="13C8BA30" w14:textId="4B8B1664" w:rsidR="00ED72A2" w:rsidRPr="00C954CC" w:rsidRDefault="00ED72A2" w:rsidP="00C954CC">
            <w:pPr>
              <w:jc w:val="right"/>
              <w:rPr>
                <w:color w:val="000000"/>
                <w:sz w:val="18"/>
                <w:szCs w:val="18"/>
              </w:rPr>
            </w:pPr>
            <w:r w:rsidRPr="00C954CC">
              <w:rPr>
                <w:color w:val="000000"/>
                <w:sz w:val="18"/>
                <w:szCs w:val="18"/>
              </w:rPr>
              <w:t>-27.73</w:t>
            </w:r>
          </w:p>
        </w:tc>
        <w:tc>
          <w:tcPr>
            <w:tcW w:w="1080" w:type="dxa"/>
            <w:vAlign w:val="bottom"/>
          </w:tcPr>
          <w:p w14:paraId="169B7D49" w14:textId="31E6DE95" w:rsidR="00ED72A2" w:rsidRPr="00C954CC" w:rsidRDefault="00ED72A2" w:rsidP="00C954CC">
            <w:pPr>
              <w:jc w:val="right"/>
              <w:rPr>
                <w:color w:val="000000"/>
                <w:sz w:val="18"/>
                <w:szCs w:val="18"/>
              </w:rPr>
            </w:pPr>
            <w:r w:rsidRPr="00C954CC">
              <w:rPr>
                <w:color w:val="000000"/>
                <w:sz w:val="18"/>
                <w:szCs w:val="18"/>
              </w:rPr>
              <w:t>151.14</w:t>
            </w:r>
          </w:p>
        </w:tc>
        <w:tc>
          <w:tcPr>
            <w:tcW w:w="990" w:type="dxa"/>
          </w:tcPr>
          <w:p w14:paraId="564F984F" w14:textId="0F6CD0C3" w:rsidR="00ED72A2" w:rsidRPr="00C954CC" w:rsidRDefault="008C50CD" w:rsidP="00C954CC">
            <w:pPr>
              <w:jc w:val="right"/>
              <w:rPr>
                <w:color w:val="000000"/>
                <w:sz w:val="18"/>
                <w:szCs w:val="18"/>
              </w:rPr>
            </w:pPr>
            <w:r>
              <w:rPr>
                <w:color w:val="000000"/>
                <w:sz w:val="18"/>
                <w:szCs w:val="18"/>
              </w:rPr>
              <w:t>411</w:t>
            </w:r>
          </w:p>
        </w:tc>
        <w:tc>
          <w:tcPr>
            <w:tcW w:w="630" w:type="dxa"/>
            <w:vAlign w:val="center"/>
          </w:tcPr>
          <w:p w14:paraId="662215AF" w14:textId="555E14DE" w:rsidR="00ED72A2" w:rsidRPr="00C954CC" w:rsidRDefault="008C50CD" w:rsidP="00C954CC">
            <w:pPr>
              <w:jc w:val="right"/>
              <w:rPr>
                <w:color w:val="000000"/>
                <w:sz w:val="18"/>
                <w:szCs w:val="18"/>
              </w:rPr>
            </w:pPr>
            <w:r>
              <w:rPr>
                <w:color w:val="000000"/>
                <w:sz w:val="18"/>
                <w:szCs w:val="18"/>
              </w:rPr>
              <w:t>18.2</w:t>
            </w:r>
          </w:p>
        </w:tc>
        <w:tc>
          <w:tcPr>
            <w:tcW w:w="630" w:type="dxa"/>
            <w:vAlign w:val="center"/>
          </w:tcPr>
          <w:p w14:paraId="44A6D54F" w14:textId="13834185" w:rsidR="00ED72A2" w:rsidRPr="00C954CC" w:rsidRDefault="008C50CD" w:rsidP="00C954CC">
            <w:pPr>
              <w:jc w:val="right"/>
              <w:rPr>
                <w:color w:val="000000"/>
                <w:sz w:val="18"/>
                <w:szCs w:val="18"/>
              </w:rPr>
            </w:pPr>
            <w:r>
              <w:rPr>
                <w:color w:val="000000"/>
                <w:sz w:val="18"/>
                <w:szCs w:val="18"/>
              </w:rPr>
              <w:t>0.34</w:t>
            </w:r>
          </w:p>
        </w:tc>
        <w:tc>
          <w:tcPr>
            <w:tcW w:w="630" w:type="dxa"/>
          </w:tcPr>
          <w:p w14:paraId="4F51FF68" w14:textId="17B55C25" w:rsidR="00ED72A2" w:rsidRPr="00C954CC" w:rsidRDefault="008C50CD" w:rsidP="00C954CC">
            <w:pPr>
              <w:jc w:val="right"/>
              <w:rPr>
                <w:color w:val="000000"/>
                <w:sz w:val="18"/>
                <w:szCs w:val="18"/>
              </w:rPr>
            </w:pPr>
            <w:r>
              <w:rPr>
                <w:color w:val="000000"/>
                <w:sz w:val="18"/>
                <w:szCs w:val="18"/>
              </w:rPr>
              <w:t>897</w:t>
            </w:r>
          </w:p>
        </w:tc>
        <w:tc>
          <w:tcPr>
            <w:tcW w:w="1080" w:type="dxa"/>
            <w:vAlign w:val="bottom"/>
          </w:tcPr>
          <w:p w14:paraId="17C00C1B" w14:textId="374D8BB8"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D9D1AAF" w14:textId="34F5D91A"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4F15923A" w14:textId="56968A51"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09978F12" w14:textId="68453764" w:rsidR="00ED72A2" w:rsidRPr="00C954CC" w:rsidRDefault="00ED72A2" w:rsidP="00C954CC">
            <w:pPr>
              <w:jc w:val="right"/>
              <w:rPr>
                <w:color w:val="000000"/>
                <w:sz w:val="18"/>
                <w:szCs w:val="18"/>
              </w:rPr>
            </w:pPr>
            <w:r w:rsidRPr="00C954CC">
              <w:rPr>
                <w:color w:val="000000"/>
                <w:sz w:val="18"/>
                <w:szCs w:val="18"/>
              </w:rPr>
              <w:t>10</w:t>
            </w:r>
          </w:p>
        </w:tc>
      </w:tr>
      <w:tr w:rsidR="00ED72A2" w:rsidRPr="006A7EA7" w14:paraId="3DD49189" w14:textId="77777777" w:rsidTr="00ED72A2">
        <w:tc>
          <w:tcPr>
            <w:tcW w:w="2245" w:type="dxa"/>
            <w:vMerge/>
          </w:tcPr>
          <w:p w14:paraId="542B3958" w14:textId="3CC438C1" w:rsidR="00ED72A2" w:rsidRPr="00C15C33" w:rsidRDefault="00ED72A2" w:rsidP="00C954CC">
            <w:pPr>
              <w:rPr>
                <w:sz w:val="18"/>
                <w:szCs w:val="18"/>
              </w:rPr>
            </w:pPr>
          </w:p>
        </w:tc>
        <w:tc>
          <w:tcPr>
            <w:tcW w:w="1260" w:type="dxa"/>
          </w:tcPr>
          <w:p w14:paraId="1943BC56" w14:textId="7205606F" w:rsidR="00ED72A2" w:rsidRPr="00C954CC" w:rsidRDefault="00ED72A2" w:rsidP="00C954CC">
            <w:pPr>
              <w:rPr>
                <w:color w:val="000000"/>
                <w:sz w:val="18"/>
                <w:szCs w:val="18"/>
              </w:rPr>
            </w:pPr>
            <w:r w:rsidRPr="00C954CC">
              <w:rPr>
                <w:color w:val="000000"/>
                <w:sz w:val="18"/>
                <w:szCs w:val="18"/>
              </w:rPr>
              <w:t>cbgb.us</w:t>
            </w:r>
          </w:p>
        </w:tc>
        <w:tc>
          <w:tcPr>
            <w:tcW w:w="900" w:type="dxa"/>
            <w:vAlign w:val="bottom"/>
          </w:tcPr>
          <w:p w14:paraId="569D0123" w14:textId="7959CE8E" w:rsidR="00ED72A2" w:rsidRPr="00C954CC" w:rsidRDefault="00ED72A2" w:rsidP="00C954CC">
            <w:pPr>
              <w:jc w:val="right"/>
              <w:rPr>
                <w:color w:val="000000"/>
                <w:sz w:val="18"/>
                <w:szCs w:val="18"/>
              </w:rPr>
            </w:pPr>
            <w:r w:rsidRPr="00C954CC">
              <w:rPr>
                <w:color w:val="000000"/>
                <w:sz w:val="18"/>
                <w:szCs w:val="18"/>
              </w:rPr>
              <w:t>41.79</w:t>
            </w:r>
          </w:p>
        </w:tc>
        <w:tc>
          <w:tcPr>
            <w:tcW w:w="1080" w:type="dxa"/>
            <w:vAlign w:val="bottom"/>
          </w:tcPr>
          <w:p w14:paraId="60418A02" w14:textId="05561507" w:rsidR="00ED72A2" w:rsidRPr="00C954CC" w:rsidRDefault="00ED72A2" w:rsidP="00C954CC">
            <w:pPr>
              <w:jc w:val="right"/>
              <w:rPr>
                <w:color w:val="000000"/>
                <w:sz w:val="18"/>
                <w:szCs w:val="18"/>
              </w:rPr>
            </w:pPr>
            <w:r w:rsidRPr="00C954CC">
              <w:rPr>
                <w:color w:val="000000"/>
                <w:sz w:val="18"/>
                <w:szCs w:val="18"/>
              </w:rPr>
              <w:t>-93.39</w:t>
            </w:r>
          </w:p>
        </w:tc>
        <w:tc>
          <w:tcPr>
            <w:tcW w:w="990" w:type="dxa"/>
          </w:tcPr>
          <w:p w14:paraId="0E7C75F6" w14:textId="35ED87B6" w:rsidR="00ED72A2" w:rsidRPr="00C954CC" w:rsidRDefault="008C50CD" w:rsidP="00C954CC">
            <w:pPr>
              <w:jc w:val="right"/>
              <w:rPr>
                <w:color w:val="000000"/>
                <w:sz w:val="18"/>
                <w:szCs w:val="18"/>
              </w:rPr>
            </w:pPr>
            <w:r>
              <w:rPr>
                <w:color w:val="000000"/>
                <w:sz w:val="18"/>
                <w:szCs w:val="18"/>
              </w:rPr>
              <w:t>275</w:t>
            </w:r>
          </w:p>
        </w:tc>
        <w:tc>
          <w:tcPr>
            <w:tcW w:w="630" w:type="dxa"/>
            <w:vAlign w:val="center"/>
          </w:tcPr>
          <w:p w14:paraId="4D5856F4" w14:textId="4AA75ED9" w:rsidR="00ED72A2" w:rsidRPr="00C954CC" w:rsidRDefault="008C50CD" w:rsidP="00C954CC">
            <w:pPr>
              <w:jc w:val="right"/>
              <w:rPr>
                <w:color w:val="000000"/>
                <w:sz w:val="18"/>
                <w:szCs w:val="18"/>
              </w:rPr>
            </w:pPr>
            <w:r>
              <w:rPr>
                <w:color w:val="000000"/>
                <w:sz w:val="18"/>
                <w:szCs w:val="18"/>
              </w:rPr>
              <w:t>14.1</w:t>
            </w:r>
          </w:p>
        </w:tc>
        <w:tc>
          <w:tcPr>
            <w:tcW w:w="630" w:type="dxa"/>
            <w:vAlign w:val="center"/>
          </w:tcPr>
          <w:p w14:paraId="510C9B84" w14:textId="643A2ACF" w:rsidR="00ED72A2" w:rsidRPr="00C954CC" w:rsidRDefault="008C50CD" w:rsidP="00C954CC">
            <w:pPr>
              <w:jc w:val="right"/>
              <w:rPr>
                <w:color w:val="000000"/>
                <w:sz w:val="18"/>
                <w:szCs w:val="18"/>
              </w:rPr>
            </w:pPr>
            <w:r>
              <w:rPr>
                <w:color w:val="000000"/>
                <w:sz w:val="18"/>
                <w:szCs w:val="18"/>
              </w:rPr>
              <w:t>0.74</w:t>
            </w:r>
          </w:p>
        </w:tc>
        <w:tc>
          <w:tcPr>
            <w:tcW w:w="630" w:type="dxa"/>
          </w:tcPr>
          <w:p w14:paraId="6BB6FEBA" w14:textId="03391E77" w:rsidR="00ED72A2" w:rsidRPr="00C954CC" w:rsidRDefault="008C50CD" w:rsidP="00C954CC">
            <w:pPr>
              <w:jc w:val="right"/>
              <w:rPr>
                <w:color w:val="000000"/>
                <w:sz w:val="18"/>
                <w:szCs w:val="18"/>
              </w:rPr>
            </w:pPr>
            <w:r>
              <w:rPr>
                <w:color w:val="000000"/>
                <w:sz w:val="18"/>
                <w:szCs w:val="18"/>
              </w:rPr>
              <w:t>785</w:t>
            </w:r>
          </w:p>
        </w:tc>
        <w:tc>
          <w:tcPr>
            <w:tcW w:w="1080" w:type="dxa"/>
            <w:vAlign w:val="bottom"/>
          </w:tcPr>
          <w:p w14:paraId="6657155C" w14:textId="426ADBBB"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5DB6AED" w14:textId="187C7E10"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3DA1CD48" w14:textId="7AFCD937"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034D0C11" w14:textId="51261608" w:rsidR="00ED72A2" w:rsidRPr="00C954CC" w:rsidRDefault="00ED72A2" w:rsidP="00C954CC">
            <w:pPr>
              <w:jc w:val="right"/>
              <w:rPr>
                <w:color w:val="000000"/>
                <w:sz w:val="18"/>
                <w:szCs w:val="18"/>
              </w:rPr>
            </w:pPr>
            <w:r w:rsidRPr="00C954CC">
              <w:rPr>
                <w:color w:val="000000"/>
                <w:sz w:val="18"/>
                <w:szCs w:val="18"/>
              </w:rPr>
              <w:t>10</w:t>
            </w:r>
          </w:p>
        </w:tc>
      </w:tr>
      <w:tr w:rsidR="00ED72A2" w:rsidRPr="006A7EA7" w14:paraId="3EC9B3EF" w14:textId="77777777" w:rsidTr="00ED72A2">
        <w:tc>
          <w:tcPr>
            <w:tcW w:w="2245" w:type="dxa"/>
            <w:vMerge/>
          </w:tcPr>
          <w:p w14:paraId="1EE018CE" w14:textId="4A67473A" w:rsidR="00ED72A2" w:rsidRPr="00C15C33" w:rsidRDefault="00ED72A2" w:rsidP="00C954CC">
            <w:pPr>
              <w:rPr>
                <w:sz w:val="18"/>
                <w:szCs w:val="18"/>
              </w:rPr>
            </w:pPr>
          </w:p>
        </w:tc>
        <w:tc>
          <w:tcPr>
            <w:tcW w:w="1260" w:type="dxa"/>
          </w:tcPr>
          <w:p w14:paraId="16244DC3" w14:textId="5FF7AD44" w:rsidR="00ED72A2" w:rsidRPr="00C954CC" w:rsidRDefault="00ED72A2" w:rsidP="00C954CC">
            <w:pPr>
              <w:rPr>
                <w:color w:val="000000"/>
                <w:sz w:val="18"/>
                <w:szCs w:val="18"/>
              </w:rPr>
            </w:pPr>
            <w:r w:rsidRPr="00C954CC">
              <w:rPr>
                <w:color w:val="000000"/>
                <w:sz w:val="18"/>
                <w:szCs w:val="18"/>
              </w:rPr>
              <w:t>cdcr.us</w:t>
            </w:r>
          </w:p>
        </w:tc>
        <w:tc>
          <w:tcPr>
            <w:tcW w:w="900" w:type="dxa"/>
            <w:vAlign w:val="bottom"/>
          </w:tcPr>
          <w:p w14:paraId="09C7EACA" w14:textId="285C7871" w:rsidR="00ED72A2" w:rsidRPr="00C954CC" w:rsidRDefault="00ED72A2" w:rsidP="00C954CC">
            <w:pPr>
              <w:jc w:val="right"/>
              <w:rPr>
                <w:color w:val="000000"/>
                <w:sz w:val="18"/>
                <w:szCs w:val="18"/>
              </w:rPr>
            </w:pPr>
            <w:r w:rsidRPr="00C954CC">
              <w:rPr>
                <w:color w:val="000000"/>
                <w:sz w:val="18"/>
                <w:szCs w:val="18"/>
              </w:rPr>
              <w:t>45.40</w:t>
            </w:r>
          </w:p>
        </w:tc>
        <w:tc>
          <w:tcPr>
            <w:tcW w:w="1080" w:type="dxa"/>
            <w:vAlign w:val="bottom"/>
          </w:tcPr>
          <w:p w14:paraId="5586FCA8" w14:textId="7E854CF5" w:rsidR="00ED72A2" w:rsidRPr="00C954CC" w:rsidRDefault="00ED72A2" w:rsidP="00C954CC">
            <w:pPr>
              <w:jc w:val="right"/>
              <w:rPr>
                <w:color w:val="000000"/>
                <w:sz w:val="18"/>
                <w:szCs w:val="18"/>
              </w:rPr>
            </w:pPr>
            <w:r w:rsidRPr="00C954CC">
              <w:rPr>
                <w:color w:val="000000"/>
                <w:sz w:val="18"/>
                <w:szCs w:val="18"/>
              </w:rPr>
              <w:t>-93.2</w:t>
            </w:r>
          </w:p>
        </w:tc>
        <w:tc>
          <w:tcPr>
            <w:tcW w:w="990" w:type="dxa"/>
          </w:tcPr>
          <w:p w14:paraId="6598D246" w14:textId="4105976C" w:rsidR="00ED72A2" w:rsidRPr="00C954CC" w:rsidRDefault="008C50CD" w:rsidP="00C954CC">
            <w:pPr>
              <w:jc w:val="right"/>
              <w:rPr>
                <w:color w:val="000000"/>
                <w:sz w:val="18"/>
                <w:szCs w:val="18"/>
              </w:rPr>
            </w:pPr>
            <w:r>
              <w:rPr>
                <w:color w:val="000000"/>
                <w:sz w:val="18"/>
                <w:szCs w:val="18"/>
              </w:rPr>
              <w:t>282</w:t>
            </w:r>
          </w:p>
        </w:tc>
        <w:tc>
          <w:tcPr>
            <w:tcW w:w="630" w:type="dxa"/>
            <w:vAlign w:val="center"/>
          </w:tcPr>
          <w:p w14:paraId="3697987E" w14:textId="430B19D1" w:rsidR="00ED72A2" w:rsidRPr="00C954CC" w:rsidRDefault="008C50CD" w:rsidP="00C954CC">
            <w:pPr>
              <w:jc w:val="right"/>
              <w:rPr>
                <w:color w:val="000000"/>
                <w:sz w:val="18"/>
                <w:szCs w:val="18"/>
              </w:rPr>
            </w:pPr>
            <w:r>
              <w:rPr>
                <w:color w:val="000000"/>
                <w:sz w:val="18"/>
                <w:szCs w:val="18"/>
              </w:rPr>
              <w:t>15.1</w:t>
            </w:r>
          </w:p>
        </w:tc>
        <w:tc>
          <w:tcPr>
            <w:tcW w:w="630" w:type="dxa"/>
            <w:vAlign w:val="center"/>
          </w:tcPr>
          <w:p w14:paraId="70C1DCFB" w14:textId="05EE3134" w:rsidR="00ED72A2" w:rsidRPr="00C954CC" w:rsidRDefault="008C50CD" w:rsidP="00C954CC">
            <w:pPr>
              <w:jc w:val="right"/>
              <w:rPr>
                <w:color w:val="000000"/>
                <w:sz w:val="18"/>
                <w:szCs w:val="18"/>
              </w:rPr>
            </w:pPr>
            <w:r>
              <w:rPr>
                <w:color w:val="000000"/>
                <w:sz w:val="18"/>
                <w:szCs w:val="18"/>
              </w:rPr>
              <w:t>0.67</w:t>
            </w:r>
          </w:p>
        </w:tc>
        <w:tc>
          <w:tcPr>
            <w:tcW w:w="630" w:type="dxa"/>
          </w:tcPr>
          <w:p w14:paraId="584786C3" w14:textId="301C749B" w:rsidR="00ED72A2" w:rsidRPr="00C954CC" w:rsidRDefault="008C50CD" w:rsidP="00C954CC">
            <w:pPr>
              <w:jc w:val="right"/>
              <w:rPr>
                <w:color w:val="000000"/>
                <w:sz w:val="18"/>
                <w:szCs w:val="18"/>
              </w:rPr>
            </w:pPr>
            <w:r>
              <w:rPr>
                <w:color w:val="000000"/>
                <w:sz w:val="18"/>
                <w:szCs w:val="18"/>
              </w:rPr>
              <w:t>826</w:t>
            </w:r>
          </w:p>
        </w:tc>
        <w:tc>
          <w:tcPr>
            <w:tcW w:w="1080" w:type="dxa"/>
            <w:vAlign w:val="bottom"/>
          </w:tcPr>
          <w:p w14:paraId="4B09D12A" w14:textId="3D27FEE8"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52AA086E" w14:textId="426AE77E"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60124B6F" w14:textId="1A3FA51E"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38E4DB9C" w14:textId="16AE294C" w:rsidR="00ED72A2" w:rsidRPr="00C954CC" w:rsidRDefault="00ED72A2" w:rsidP="00C954CC">
            <w:pPr>
              <w:jc w:val="right"/>
              <w:rPr>
                <w:color w:val="000000"/>
                <w:sz w:val="18"/>
                <w:szCs w:val="18"/>
              </w:rPr>
            </w:pPr>
            <w:r w:rsidRPr="00C954CC">
              <w:rPr>
                <w:color w:val="000000"/>
                <w:sz w:val="18"/>
                <w:szCs w:val="18"/>
              </w:rPr>
              <w:t>10</w:t>
            </w:r>
          </w:p>
        </w:tc>
      </w:tr>
      <w:tr w:rsidR="00ED72A2" w:rsidRPr="006A7EA7" w14:paraId="399A0F7C" w14:textId="77777777" w:rsidTr="00ED72A2">
        <w:tc>
          <w:tcPr>
            <w:tcW w:w="2245" w:type="dxa"/>
            <w:vMerge/>
          </w:tcPr>
          <w:p w14:paraId="5B089D82" w14:textId="33C5F3ED" w:rsidR="00ED72A2" w:rsidRPr="00C15C33" w:rsidRDefault="00ED72A2" w:rsidP="00C954CC">
            <w:pPr>
              <w:rPr>
                <w:sz w:val="18"/>
                <w:szCs w:val="18"/>
              </w:rPr>
            </w:pPr>
          </w:p>
        </w:tc>
        <w:tc>
          <w:tcPr>
            <w:tcW w:w="1260" w:type="dxa"/>
          </w:tcPr>
          <w:p w14:paraId="748F5B37" w14:textId="4E07ECF9" w:rsidR="00ED72A2" w:rsidRPr="00C954CC" w:rsidRDefault="00ED72A2" w:rsidP="00C954CC">
            <w:pPr>
              <w:rPr>
                <w:color w:val="000000"/>
                <w:sz w:val="18"/>
                <w:szCs w:val="18"/>
              </w:rPr>
            </w:pPr>
            <w:r w:rsidRPr="00C954CC">
              <w:rPr>
                <w:color w:val="000000"/>
                <w:sz w:val="18"/>
                <w:szCs w:val="18"/>
              </w:rPr>
              <w:t>cdpt.us</w:t>
            </w:r>
          </w:p>
        </w:tc>
        <w:tc>
          <w:tcPr>
            <w:tcW w:w="900" w:type="dxa"/>
            <w:vAlign w:val="bottom"/>
          </w:tcPr>
          <w:p w14:paraId="3AAB48C3" w14:textId="20945CB0" w:rsidR="00ED72A2" w:rsidRPr="00C954CC" w:rsidRDefault="00ED72A2" w:rsidP="00C954CC">
            <w:pPr>
              <w:jc w:val="right"/>
              <w:rPr>
                <w:color w:val="000000"/>
                <w:sz w:val="18"/>
                <w:szCs w:val="18"/>
              </w:rPr>
            </w:pPr>
            <w:r w:rsidRPr="00C954CC">
              <w:rPr>
                <w:color w:val="000000"/>
                <w:sz w:val="18"/>
                <w:szCs w:val="18"/>
              </w:rPr>
              <w:t>41.2</w:t>
            </w:r>
          </w:p>
        </w:tc>
        <w:tc>
          <w:tcPr>
            <w:tcW w:w="1080" w:type="dxa"/>
            <w:vAlign w:val="bottom"/>
          </w:tcPr>
          <w:p w14:paraId="58133D60" w14:textId="76B492F7" w:rsidR="00ED72A2" w:rsidRPr="00C954CC" w:rsidRDefault="00ED72A2" w:rsidP="00C954CC">
            <w:pPr>
              <w:jc w:val="right"/>
              <w:rPr>
                <w:color w:val="000000"/>
                <w:sz w:val="18"/>
                <w:szCs w:val="18"/>
              </w:rPr>
            </w:pPr>
            <w:r w:rsidRPr="00C954CC">
              <w:rPr>
                <w:color w:val="000000"/>
                <w:sz w:val="18"/>
                <w:szCs w:val="18"/>
              </w:rPr>
              <w:t>-101.63</w:t>
            </w:r>
          </w:p>
        </w:tc>
        <w:tc>
          <w:tcPr>
            <w:tcW w:w="990" w:type="dxa"/>
          </w:tcPr>
          <w:p w14:paraId="350EA5DA" w14:textId="6BB9113E" w:rsidR="00ED72A2" w:rsidRPr="00C954CC" w:rsidRDefault="008C50CD" w:rsidP="00C954CC">
            <w:pPr>
              <w:jc w:val="right"/>
              <w:rPr>
                <w:color w:val="000000"/>
                <w:sz w:val="18"/>
                <w:szCs w:val="18"/>
              </w:rPr>
            </w:pPr>
            <w:r>
              <w:rPr>
                <w:color w:val="000000"/>
                <w:sz w:val="18"/>
                <w:szCs w:val="18"/>
              </w:rPr>
              <w:t>1018</w:t>
            </w:r>
          </w:p>
        </w:tc>
        <w:tc>
          <w:tcPr>
            <w:tcW w:w="630" w:type="dxa"/>
            <w:vAlign w:val="center"/>
          </w:tcPr>
          <w:p w14:paraId="75267239" w14:textId="01BAB3CC" w:rsidR="00ED72A2" w:rsidRPr="00C954CC" w:rsidRDefault="008C50CD" w:rsidP="00C954CC">
            <w:pPr>
              <w:jc w:val="right"/>
              <w:rPr>
                <w:color w:val="000000"/>
                <w:sz w:val="18"/>
                <w:szCs w:val="18"/>
              </w:rPr>
            </w:pPr>
            <w:r>
              <w:rPr>
                <w:color w:val="000000"/>
                <w:sz w:val="18"/>
                <w:szCs w:val="18"/>
              </w:rPr>
              <w:t>13.8</w:t>
            </w:r>
          </w:p>
        </w:tc>
        <w:tc>
          <w:tcPr>
            <w:tcW w:w="630" w:type="dxa"/>
            <w:vAlign w:val="center"/>
          </w:tcPr>
          <w:p w14:paraId="5EF8F98E" w14:textId="3C06FFAD" w:rsidR="00ED72A2" w:rsidRPr="00C954CC" w:rsidRDefault="008C50CD" w:rsidP="00C954CC">
            <w:pPr>
              <w:jc w:val="right"/>
              <w:rPr>
                <w:color w:val="000000"/>
                <w:sz w:val="18"/>
                <w:szCs w:val="18"/>
              </w:rPr>
            </w:pPr>
            <w:r>
              <w:rPr>
                <w:color w:val="000000"/>
                <w:sz w:val="18"/>
                <w:szCs w:val="18"/>
              </w:rPr>
              <w:t>0.28</w:t>
            </w:r>
          </w:p>
        </w:tc>
        <w:tc>
          <w:tcPr>
            <w:tcW w:w="630" w:type="dxa"/>
          </w:tcPr>
          <w:p w14:paraId="108A9860" w14:textId="303936EF" w:rsidR="00ED72A2" w:rsidRPr="00C954CC" w:rsidRDefault="008C50CD" w:rsidP="00C954CC">
            <w:pPr>
              <w:jc w:val="right"/>
              <w:rPr>
                <w:color w:val="000000"/>
                <w:sz w:val="18"/>
                <w:szCs w:val="18"/>
              </w:rPr>
            </w:pPr>
            <w:r>
              <w:rPr>
                <w:color w:val="000000"/>
                <w:sz w:val="18"/>
                <w:szCs w:val="18"/>
              </w:rPr>
              <w:t>874</w:t>
            </w:r>
          </w:p>
        </w:tc>
        <w:tc>
          <w:tcPr>
            <w:tcW w:w="1080" w:type="dxa"/>
            <w:vAlign w:val="bottom"/>
          </w:tcPr>
          <w:p w14:paraId="300461E9" w14:textId="32730155"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32CE29D" w14:textId="0106E09E"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5BFE7900" w14:textId="7FE3AC7D"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4C74D848" w14:textId="5C5D4639" w:rsidR="00ED72A2" w:rsidRPr="00C954CC" w:rsidRDefault="00ED72A2" w:rsidP="00C954CC">
            <w:pPr>
              <w:jc w:val="right"/>
              <w:rPr>
                <w:color w:val="000000"/>
                <w:sz w:val="18"/>
                <w:szCs w:val="18"/>
              </w:rPr>
            </w:pPr>
            <w:r w:rsidRPr="00C954CC">
              <w:rPr>
                <w:color w:val="000000"/>
                <w:sz w:val="18"/>
                <w:szCs w:val="18"/>
              </w:rPr>
              <w:t>10</w:t>
            </w:r>
          </w:p>
        </w:tc>
      </w:tr>
      <w:tr w:rsidR="00ED72A2" w:rsidRPr="006A7EA7" w14:paraId="1A0651F8" w14:textId="77777777" w:rsidTr="00ED72A2">
        <w:tc>
          <w:tcPr>
            <w:tcW w:w="2245" w:type="dxa"/>
            <w:vMerge/>
            <w:vAlign w:val="center"/>
          </w:tcPr>
          <w:p w14:paraId="6650CCE7" w14:textId="71F2DEAE" w:rsidR="00ED72A2" w:rsidRPr="00C15C33" w:rsidRDefault="00ED72A2" w:rsidP="00C954CC">
            <w:pPr>
              <w:rPr>
                <w:sz w:val="18"/>
                <w:szCs w:val="18"/>
              </w:rPr>
            </w:pPr>
          </w:p>
        </w:tc>
        <w:tc>
          <w:tcPr>
            <w:tcW w:w="1260" w:type="dxa"/>
          </w:tcPr>
          <w:p w14:paraId="44D1B759" w14:textId="5B7DCEA3" w:rsidR="00ED72A2" w:rsidRPr="00C954CC" w:rsidRDefault="00ED72A2" w:rsidP="00C954CC">
            <w:pPr>
              <w:rPr>
                <w:color w:val="000000"/>
                <w:sz w:val="18"/>
                <w:szCs w:val="18"/>
              </w:rPr>
            </w:pPr>
            <w:r w:rsidRPr="00C954CC">
              <w:rPr>
                <w:color w:val="000000"/>
                <w:sz w:val="18"/>
                <w:szCs w:val="18"/>
              </w:rPr>
              <w:t>cowi.ca</w:t>
            </w:r>
          </w:p>
        </w:tc>
        <w:tc>
          <w:tcPr>
            <w:tcW w:w="900" w:type="dxa"/>
            <w:vAlign w:val="bottom"/>
          </w:tcPr>
          <w:p w14:paraId="3C73ADB8" w14:textId="6B75F76F" w:rsidR="00ED72A2" w:rsidRPr="00C954CC" w:rsidRDefault="00ED72A2" w:rsidP="00C954CC">
            <w:pPr>
              <w:jc w:val="right"/>
              <w:rPr>
                <w:color w:val="000000"/>
                <w:sz w:val="18"/>
                <w:szCs w:val="18"/>
              </w:rPr>
            </w:pPr>
            <w:r w:rsidRPr="00C954CC">
              <w:rPr>
                <w:color w:val="000000"/>
                <w:sz w:val="18"/>
                <w:szCs w:val="18"/>
              </w:rPr>
              <w:t>48.46</w:t>
            </w:r>
          </w:p>
        </w:tc>
        <w:tc>
          <w:tcPr>
            <w:tcW w:w="1080" w:type="dxa"/>
            <w:vAlign w:val="bottom"/>
          </w:tcPr>
          <w:p w14:paraId="3CDC4442" w14:textId="27A248EC" w:rsidR="00ED72A2" w:rsidRPr="00C954CC" w:rsidRDefault="00ED72A2" w:rsidP="00C954CC">
            <w:pPr>
              <w:jc w:val="right"/>
              <w:rPr>
                <w:color w:val="000000"/>
                <w:sz w:val="18"/>
                <w:szCs w:val="18"/>
              </w:rPr>
            </w:pPr>
            <w:r w:rsidRPr="00C954CC">
              <w:rPr>
                <w:color w:val="000000"/>
                <w:sz w:val="18"/>
                <w:szCs w:val="18"/>
              </w:rPr>
              <w:t>-123.38</w:t>
            </w:r>
          </w:p>
        </w:tc>
        <w:tc>
          <w:tcPr>
            <w:tcW w:w="990" w:type="dxa"/>
          </w:tcPr>
          <w:p w14:paraId="4F330E1D" w14:textId="1538FD34" w:rsidR="00ED72A2" w:rsidRPr="00C954CC" w:rsidRDefault="008C50CD" w:rsidP="00C954CC">
            <w:pPr>
              <w:jc w:val="right"/>
              <w:rPr>
                <w:color w:val="000000"/>
                <w:sz w:val="18"/>
                <w:szCs w:val="18"/>
              </w:rPr>
            </w:pPr>
            <w:r>
              <w:rPr>
                <w:color w:val="000000"/>
                <w:sz w:val="18"/>
                <w:szCs w:val="18"/>
              </w:rPr>
              <w:t>24</w:t>
            </w:r>
          </w:p>
        </w:tc>
        <w:tc>
          <w:tcPr>
            <w:tcW w:w="630" w:type="dxa"/>
            <w:vAlign w:val="center"/>
          </w:tcPr>
          <w:p w14:paraId="69337EB3" w14:textId="56BAA79B" w:rsidR="00ED72A2" w:rsidRPr="00C954CC" w:rsidRDefault="008C50CD" w:rsidP="00C954CC">
            <w:pPr>
              <w:jc w:val="right"/>
              <w:rPr>
                <w:color w:val="000000"/>
                <w:sz w:val="18"/>
                <w:szCs w:val="18"/>
              </w:rPr>
            </w:pPr>
            <w:r>
              <w:rPr>
                <w:color w:val="000000"/>
                <w:sz w:val="18"/>
                <w:szCs w:val="18"/>
              </w:rPr>
              <w:t>10.5</w:t>
            </w:r>
          </w:p>
        </w:tc>
        <w:tc>
          <w:tcPr>
            <w:tcW w:w="630" w:type="dxa"/>
            <w:vAlign w:val="center"/>
          </w:tcPr>
          <w:p w14:paraId="77909A5A" w14:textId="63BAF3EE" w:rsidR="00ED72A2" w:rsidRPr="00C954CC" w:rsidRDefault="008C50CD" w:rsidP="00C954CC">
            <w:pPr>
              <w:jc w:val="right"/>
              <w:rPr>
                <w:color w:val="000000"/>
                <w:sz w:val="18"/>
                <w:szCs w:val="18"/>
              </w:rPr>
            </w:pPr>
            <w:r>
              <w:rPr>
                <w:color w:val="000000"/>
                <w:sz w:val="18"/>
                <w:szCs w:val="18"/>
              </w:rPr>
              <w:t>1.91</w:t>
            </w:r>
          </w:p>
        </w:tc>
        <w:tc>
          <w:tcPr>
            <w:tcW w:w="630" w:type="dxa"/>
          </w:tcPr>
          <w:p w14:paraId="017E5C2B" w14:textId="72BE5474" w:rsidR="00ED72A2" w:rsidRPr="00C954CC" w:rsidRDefault="008C50CD" w:rsidP="00C954CC">
            <w:pPr>
              <w:jc w:val="right"/>
              <w:rPr>
                <w:color w:val="000000"/>
                <w:sz w:val="18"/>
                <w:szCs w:val="18"/>
              </w:rPr>
            </w:pPr>
            <w:r>
              <w:rPr>
                <w:color w:val="000000"/>
                <w:sz w:val="18"/>
                <w:szCs w:val="18"/>
              </w:rPr>
              <w:t>561</w:t>
            </w:r>
          </w:p>
        </w:tc>
        <w:tc>
          <w:tcPr>
            <w:tcW w:w="1080" w:type="dxa"/>
            <w:vAlign w:val="bottom"/>
          </w:tcPr>
          <w:p w14:paraId="67A29FA1" w14:textId="015BE608"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64D2E4AA" w14:textId="3D9474E8"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099B38C2" w14:textId="0355C460"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22DD2CA4" w14:textId="0C5B3885" w:rsidR="00ED72A2" w:rsidRPr="00C954CC" w:rsidRDefault="00ED72A2" w:rsidP="00C954CC">
            <w:pPr>
              <w:jc w:val="right"/>
              <w:rPr>
                <w:color w:val="000000"/>
                <w:sz w:val="18"/>
                <w:szCs w:val="18"/>
              </w:rPr>
            </w:pPr>
            <w:r w:rsidRPr="00C954CC">
              <w:rPr>
                <w:color w:val="000000"/>
                <w:sz w:val="18"/>
                <w:szCs w:val="18"/>
              </w:rPr>
              <w:t>10</w:t>
            </w:r>
          </w:p>
        </w:tc>
      </w:tr>
      <w:tr w:rsidR="00ED72A2" w:rsidRPr="004F689E" w14:paraId="2E0BDB09" w14:textId="77777777" w:rsidTr="00ED72A2">
        <w:tc>
          <w:tcPr>
            <w:tcW w:w="2245" w:type="dxa"/>
            <w:vMerge/>
            <w:vAlign w:val="center"/>
          </w:tcPr>
          <w:p w14:paraId="7F834805" w14:textId="77777777" w:rsidR="00ED72A2" w:rsidRPr="00C15C33" w:rsidRDefault="00ED72A2" w:rsidP="00C954CC">
            <w:pPr>
              <w:rPr>
                <w:color w:val="000000"/>
                <w:sz w:val="18"/>
                <w:szCs w:val="18"/>
              </w:rPr>
            </w:pPr>
          </w:p>
        </w:tc>
        <w:tc>
          <w:tcPr>
            <w:tcW w:w="1260" w:type="dxa"/>
          </w:tcPr>
          <w:p w14:paraId="6A6ED91B" w14:textId="4871E6F0" w:rsidR="00ED72A2" w:rsidRPr="00C954CC" w:rsidRDefault="00ED72A2" w:rsidP="00C954CC">
            <w:pPr>
              <w:rPr>
                <w:color w:val="000000"/>
                <w:sz w:val="18"/>
                <w:szCs w:val="18"/>
              </w:rPr>
            </w:pPr>
            <w:r w:rsidRPr="00C954CC">
              <w:rPr>
                <w:color w:val="000000"/>
                <w:sz w:val="18"/>
                <w:szCs w:val="18"/>
              </w:rPr>
              <w:t>elliot.us</w:t>
            </w:r>
          </w:p>
        </w:tc>
        <w:tc>
          <w:tcPr>
            <w:tcW w:w="900" w:type="dxa"/>
            <w:vAlign w:val="bottom"/>
          </w:tcPr>
          <w:p w14:paraId="398BD33A" w14:textId="4D1CA070" w:rsidR="00ED72A2" w:rsidRPr="00C954CC" w:rsidRDefault="00ED72A2" w:rsidP="00C954CC">
            <w:pPr>
              <w:jc w:val="right"/>
              <w:rPr>
                <w:color w:val="000000"/>
                <w:sz w:val="18"/>
                <w:szCs w:val="18"/>
              </w:rPr>
            </w:pPr>
            <w:r w:rsidRPr="00C954CC">
              <w:rPr>
                <w:color w:val="000000"/>
                <w:sz w:val="18"/>
                <w:szCs w:val="18"/>
              </w:rPr>
              <w:t>32.88</w:t>
            </w:r>
          </w:p>
        </w:tc>
        <w:tc>
          <w:tcPr>
            <w:tcW w:w="1080" w:type="dxa"/>
            <w:vAlign w:val="bottom"/>
          </w:tcPr>
          <w:p w14:paraId="4433198F" w14:textId="5E43CFB6" w:rsidR="00ED72A2" w:rsidRPr="00C954CC" w:rsidRDefault="00ED72A2" w:rsidP="00C954CC">
            <w:pPr>
              <w:jc w:val="right"/>
              <w:rPr>
                <w:color w:val="000000"/>
                <w:sz w:val="18"/>
                <w:szCs w:val="18"/>
              </w:rPr>
            </w:pPr>
            <w:r w:rsidRPr="00C954CC">
              <w:rPr>
                <w:color w:val="000000"/>
                <w:sz w:val="18"/>
                <w:szCs w:val="18"/>
              </w:rPr>
              <w:t>-117.05</w:t>
            </w:r>
          </w:p>
        </w:tc>
        <w:tc>
          <w:tcPr>
            <w:tcW w:w="990" w:type="dxa"/>
          </w:tcPr>
          <w:p w14:paraId="51D609AA" w14:textId="5257051B" w:rsidR="00ED72A2" w:rsidRPr="00C954CC" w:rsidRDefault="008C50CD" w:rsidP="00C954CC">
            <w:pPr>
              <w:jc w:val="right"/>
              <w:rPr>
                <w:color w:val="000000"/>
                <w:sz w:val="18"/>
                <w:szCs w:val="18"/>
              </w:rPr>
            </w:pPr>
            <w:r>
              <w:rPr>
                <w:color w:val="000000"/>
                <w:sz w:val="18"/>
                <w:szCs w:val="18"/>
              </w:rPr>
              <w:t>256</w:t>
            </w:r>
          </w:p>
        </w:tc>
        <w:tc>
          <w:tcPr>
            <w:tcW w:w="630" w:type="dxa"/>
            <w:vAlign w:val="center"/>
          </w:tcPr>
          <w:p w14:paraId="77685358" w14:textId="2ACCA705" w:rsidR="00ED72A2" w:rsidRPr="00C954CC" w:rsidRDefault="008C50CD" w:rsidP="00C954CC">
            <w:pPr>
              <w:jc w:val="right"/>
              <w:rPr>
                <w:color w:val="000000"/>
                <w:sz w:val="18"/>
                <w:szCs w:val="18"/>
              </w:rPr>
            </w:pPr>
            <w:r>
              <w:rPr>
                <w:color w:val="000000"/>
                <w:sz w:val="18"/>
                <w:szCs w:val="18"/>
              </w:rPr>
              <w:t>17.7</w:t>
            </w:r>
          </w:p>
        </w:tc>
        <w:tc>
          <w:tcPr>
            <w:tcW w:w="630" w:type="dxa"/>
            <w:vAlign w:val="center"/>
          </w:tcPr>
          <w:p w14:paraId="78525359" w14:textId="20DFE308" w:rsidR="00ED72A2" w:rsidRPr="00C954CC" w:rsidRDefault="008C50CD" w:rsidP="00C954CC">
            <w:pPr>
              <w:jc w:val="right"/>
              <w:rPr>
                <w:color w:val="000000"/>
                <w:sz w:val="18"/>
                <w:szCs w:val="18"/>
              </w:rPr>
            </w:pPr>
            <w:r>
              <w:rPr>
                <w:color w:val="000000"/>
                <w:sz w:val="18"/>
                <w:szCs w:val="18"/>
              </w:rPr>
              <w:t>0.25</w:t>
            </w:r>
          </w:p>
        </w:tc>
        <w:tc>
          <w:tcPr>
            <w:tcW w:w="630" w:type="dxa"/>
          </w:tcPr>
          <w:p w14:paraId="09546B41" w14:textId="44791833" w:rsidR="00ED72A2" w:rsidRPr="00C954CC" w:rsidRDefault="008C50CD" w:rsidP="00C954CC">
            <w:pPr>
              <w:jc w:val="right"/>
              <w:rPr>
                <w:color w:val="000000"/>
                <w:sz w:val="18"/>
                <w:szCs w:val="18"/>
              </w:rPr>
            </w:pPr>
            <w:r>
              <w:rPr>
                <w:color w:val="000000"/>
                <w:sz w:val="18"/>
                <w:szCs w:val="18"/>
              </w:rPr>
              <w:t>880</w:t>
            </w:r>
          </w:p>
        </w:tc>
        <w:tc>
          <w:tcPr>
            <w:tcW w:w="1080" w:type="dxa"/>
            <w:vAlign w:val="bottom"/>
          </w:tcPr>
          <w:p w14:paraId="06A36213" w14:textId="22940F26"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44F634FD" w14:textId="2515ED90"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345BAFB1" w14:textId="55476F19"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3C6FF4B7" w14:textId="307DFE5B" w:rsidR="00ED72A2" w:rsidRPr="00C954CC" w:rsidRDefault="00ED72A2" w:rsidP="00C954CC">
            <w:pPr>
              <w:jc w:val="right"/>
              <w:rPr>
                <w:color w:val="000000"/>
                <w:sz w:val="18"/>
                <w:szCs w:val="18"/>
              </w:rPr>
            </w:pPr>
            <w:r w:rsidRPr="00C954CC">
              <w:rPr>
                <w:color w:val="000000"/>
                <w:sz w:val="18"/>
                <w:szCs w:val="18"/>
              </w:rPr>
              <w:t>10</w:t>
            </w:r>
          </w:p>
        </w:tc>
      </w:tr>
      <w:tr w:rsidR="00ED72A2" w:rsidRPr="004F689E" w14:paraId="7BD870EE" w14:textId="77777777" w:rsidTr="00ED72A2">
        <w:tc>
          <w:tcPr>
            <w:tcW w:w="2245" w:type="dxa"/>
            <w:vMerge/>
          </w:tcPr>
          <w:p w14:paraId="17DEB7D9" w14:textId="77777777" w:rsidR="00ED72A2" w:rsidRPr="00C15C33" w:rsidRDefault="00ED72A2" w:rsidP="00C954CC">
            <w:pPr>
              <w:rPr>
                <w:color w:val="000000"/>
                <w:sz w:val="18"/>
                <w:szCs w:val="18"/>
              </w:rPr>
            </w:pPr>
          </w:p>
        </w:tc>
        <w:tc>
          <w:tcPr>
            <w:tcW w:w="1260" w:type="dxa"/>
          </w:tcPr>
          <w:p w14:paraId="563FAF8F" w14:textId="75C7C0A0" w:rsidR="00ED72A2" w:rsidRPr="00C954CC" w:rsidRDefault="00ED72A2" w:rsidP="00C954CC">
            <w:pPr>
              <w:rPr>
                <w:color w:val="000000"/>
                <w:sz w:val="18"/>
                <w:szCs w:val="18"/>
              </w:rPr>
            </w:pPr>
            <w:r w:rsidRPr="00C954CC">
              <w:rPr>
                <w:color w:val="000000"/>
                <w:sz w:val="18"/>
                <w:szCs w:val="18"/>
              </w:rPr>
              <w:t>frue.ch</w:t>
            </w:r>
          </w:p>
        </w:tc>
        <w:tc>
          <w:tcPr>
            <w:tcW w:w="900" w:type="dxa"/>
            <w:vAlign w:val="bottom"/>
          </w:tcPr>
          <w:p w14:paraId="643EF5D6" w14:textId="23DE80DC" w:rsidR="00ED72A2" w:rsidRPr="00C954CC" w:rsidRDefault="00ED72A2" w:rsidP="00C954CC">
            <w:pPr>
              <w:jc w:val="right"/>
              <w:rPr>
                <w:color w:val="000000"/>
                <w:sz w:val="18"/>
                <w:szCs w:val="18"/>
              </w:rPr>
            </w:pPr>
            <w:r w:rsidRPr="00C954CC">
              <w:rPr>
                <w:color w:val="000000"/>
                <w:sz w:val="18"/>
                <w:szCs w:val="18"/>
              </w:rPr>
              <w:t>47.11</w:t>
            </w:r>
          </w:p>
        </w:tc>
        <w:tc>
          <w:tcPr>
            <w:tcW w:w="1080" w:type="dxa"/>
            <w:vAlign w:val="bottom"/>
          </w:tcPr>
          <w:p w14:paraId="5E69FA5E" w14:textId="2A022F85" w:rsidR="00ED72A2" w:rsidRPr="00C954CC" w:rsidRDefault="00ED72A2" w:rsidP="00C954CC">
            <w:pPr>
              <w:jc w:val="right"/>
              <w:rPr>
                <w:color w:val="000000"/>
                <w:sz w:val="18"/>
                <w:szCs w:val="18"/>
              </w:rPr>
            </w:pPr>
            <w:r w:rsidRPr="00C954CC">
              <w:rPr>
                <w:color w:val="000000"/>
                <w:sz w:val="18"/>
                <w:szCs w:val="18"/>
              </w:rPr>
              <w:t>8.54</w:t>
            </w:r>
          </w:p>
        </w:tc>
        <w:tc>
          <w:tcPr>
            <w:tcW w:w="990" w:type="dxa"/>
          </w:tcPr>
          <w:p w14:paraId="26D46315" w14:textId="6553A063" w:rsidR="00ED72A2" w:rsidRPr="00C954CC" w:rsidRDefault="00711C46" w:rsidP="00C954CC">
            <w:pPr>
              <w:jc w:val="right"/>
              <w:rPr>
                <w:color w:val="000000"/>
                <w:sz w:val="18"/>
                <w:szCs w:val="18"/>
              </w:rPr>
            </w:pPr>
            <w:r>
              <w:rPr>
                <w:color w:val="000000"/>
                <w:sz w:val="18"/>
                <w:szCs w:val="18"/>
              </w:rPr>
              <w:t>972</w:t>
            </w:r>
          </w:p>
        </w:tc>
        <w:tc>
          <w:tcPr>
            <w:tcW w:w="630" w:type="dxa"/>
            <w:vAlign w:val="center"/>
          </w:tcPr>
          <w:p w14:paraId="22B6CA02" w14:textId="7B39411A" w:rsidR="00ED72A2" w:rsidRPr="00C954CC" w:rsidRDefault="00711C46" w:rsidP="00C954CC">
            <w:pPr>
              <w:jc w:val="right"/>
              <w:rPr>
                <w:color w:val="000000"/>
                <w:sz w:val="18"/>
                <w:szCs w:val="18"/>
              </w:rPr>
            </w:pPr>
            <w:r>
              <w:rPr>
                <w:color w:val="000000"/>
                <w:sz w:val="18"/>
                <w:szCs w:val="18"/>
              </w:rPr>
              <w:t>7.8</w:t>
            </w:r>
          </w:p>
        </w:tc>
        <w:tc>
          <w:tcPr>
            <w:tcW w:w="630" w:type="dxa"/>
            <w:vAlign w:val="center"/>
          </w:tcPr>
          <w:p w14:paraId="59706ABE" w14:textId="74247493" w:rsidR="00ED72A2" w:rsidRPr="00C954CC" w:rsidRDefault="00711C46" w:rsidP="00C954CC">
            <w:pPr>
              <w:jc w:val="right"/>
              <w:rPr>
                <w:color w:val="000000"/>
                <w:sz w:val="18"/>
                <w:szCs w:val="18"/>
              </w:rPr>
            </w:pPr>
            <w:r>
              <w:rPr>
                <w:color w:val="000000"/>
                <w:sz w:val="18"/>
                <w:szCs w:val="18"/>
              </w:rPr>
              <w:t>2.13</w:t>
            </w:r>
          </w:p>
        </w:tc>
        <w:tc>
          <w:tcPr>
            <w:tcW w:w="630" w:type="dxa"/>
          </w:tcPr>
          <w:p w14:paraId="48BBE7D2" w14:textId="0097FAF6" w:rsidR="00ED72A2" w:rsidRPr="00C954CC" w:rsidRDefault="00711C46" w:rsidP="00C954CC">
            <w:pPr>
              <w:jc w:val="right"/>
              <w:rPr>
                <w:color w:val="000000"/>
                <w:sz w:val="18"/>
                <w:szCs w:val="18"/>
              </w:rPr>
            </w:pPr>
            <w:r>
              <w:rPr>
                <w:color w:val="000000"/>
                <w:sz w:val="18"/>
                <w:szCs w:val="18"/>
              </w:rPr>
              <w:t>617</w:t>
            </w:r>
          </w:p>
        </w:tc>
        <w:tc>
          <w:tcPr>
            <w:tcW w:w="1080" w:type="dxa"/>
            <w:vAlign w:val="bottom"/>
          </w:tcPr>
          <w:p w14:paraId="6BB9333C" w14:textId="6C93AE97"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AEF7DBB" w14:textId="789DC645"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10B74F38" w14:textId="57CC492A"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6366DA7A" w14:textId="531FB316" w:rsidR="00ED72A2" w:rsidRPr="00C954CC" w:rsidRDefault="00ED72A2" w:rsidP="00C954CC">
            <w:pPr>
              <w:jc w:val="right"/>
              <w:rPr>
                <w:color w:val="000000"/>
                <w:sz w:val="18"/>
                <w:szCs w:val="18"/>
              </w:rPr>
            </w:pPr>
            <w:r w:rsidRPr="00C954CC">
              <w:rPr>
                <w:color w:val="000000"/>
                <w:sz w:val="18"/>
                <w:szCs w:val="18"/>
              </w:rPr>
              <w:t>10</w:t>
            </w:r>
          </w:p>
        </w:tc>
      </w:tr>
      <w:tr w:rsidR="00ED72A2" w:rsidRPr="004F689E" w14:paraId="391110A7" w14:textId="77777777" w:rsidTr="00ED72A2">
        <w:tc>
          <w:tcPr>
            <w:tcW w:w="2245" w:type="dxa"/>
            <w:vMerge/>
          </w:tcPr>
          <w:p w14:paraId="397148E8" w14:textId="00D0B212" w:rsidR="00ED72A2" w:rsidRPr="00C15C33" w:rsidRDefault="00ED72A2" w:rsidP="00C954CC">
            <w:pPr>
              <w:rPr>
                <w:sz w:val="18"/>
                <w:szCs w:val="18"/>
              </w:rPr>
            </w:pPr>
          </w:p>
        </w:tc>
        <w:tc>
          <w:tcPr>
            <w:tcW w:w="1260" w:type="dxa"/>
          </w:tcPr>
          <w:p w14:paraId="4A06BC14" w14:textId="7BCDADF1" w:rsidR="00ED72A2" w:rsidRPr="00C954CC" w:rsidRDefault="00ED72A2" w:rsidP="00C954CC">
            <w:pPr>
              <w:rPr>
                <w:color w:val="000000"/>
                <w:sz w:val="18"/>
                <w:szCs w:val="18"/>
              </w:rPr>
            </w:pPr>
            <w:r w:rsidRPr="00C954CC">
              <w:rPr>
                <w:color w:val="000000"/>
                <w:sz w:val="18"/>
                <w:szCs w:val="18"/>
              </w:rPr>
              <w:t>gilb.za</w:t>
            </w:r>
          </w:p>
        </w:tc>
        <w:tc>
          <w:tcPr>
            <w:tcW w:w="900" w:type="dxa"/>
            <w:vAlign w:val="bottom"/>
          </w:tcPr>
          <w:p w14:paraId="7F6A3642" w14:textId="67DE0C57" w:rsidR="00ED72A2" w:rsidRPr="00C954CC" w:rsidRDefault="00ED72A2" w:rsidP="00C954CC">
            <w:pPr>
              <w:jc w:val="right"/>
              <w:rPr>
                <w:color w:val="000000"/>
                <w:sz w:val="18"/>
                <w:szCs w:val="18"/>
              </w:rPr>
            </w:pPr>
            <w:r w:rsidRPr="00C954CC">
              <w:rPr>
                <w:color w:val="000000"/>
                <w:sz w:val="18"/>
                <w:szCs w:val="18"/>
              </w:rPr>
              <w:t>-29.28</w:t>
            </w:r>
          </w:p>
        </w:tc>
        <w:tc>
          <w:tcPr>
            <w:tcW w:w="1080" w:type="dxa"/>
            <w:vAlign w:val="bottom"/>
          </w:tcPr>
          <w:p w14:paraId="28B090DE" w14:textId="4C8C4A29" w:rsidR="00ED72A2" w:rsidRPr="00C954CC" w:rsidRDefault="00ED72A2" w:rsidP="00C954CC">
            <w:pPr>
              <w:jc w:val="right"/>
              <w:rPr>
                <w:color w:val="000000"/>
                <w:sz w:val="18"/>
                <w:szCs w:val="18"/>
              </w:rPr>
            </w:pPr>
            <w:r w:rsidRPr="00C954CC">
              <w:rPr>
                <w:color w:val="000000"/>
                <w:sz w:val="18"/>
                <w:szCs w:val="18"/>
              </w:rPr>
              <w:t>30.29</w:t>
            </w:r>
          </w:p>
        </w:tc>
        <w:tc>
          <w:tcPr>
            <w:tcW w:w="990" w:type="dxa"/>
          </w:tcPr>
          <w:p w14:paraId="72349E38" w14:textId="5161A427" w:rsidR="00ED72A2" w:rsidRPr="00711C46" w:rsidRDefault="00711C46" w:rsidP="00C954CC">
            <w:pPr>
              <w:jc w:val="right"/>
              <w:rPr>
                <w:color w:val="000000"/>
                <w:sz w:val="18"/>
                <w:szCs w:val="18"/>
              </w:rPr>
            </w:pPr>
            <w:r w:rsidRPr="00711C46">
              <w:rPr>
                <w:color w:val="000000"/>
                <w:sz w:val="18"/>
                <w:szCs w:val="18"/>
              </w:rPr>
              <w:t>1666</w:t>
            </w:r>
          </w:p>
        </w:tc>
        <w:tc>
          <w:tcPr>
            <w:tcW w:w="630" w:type="dxa"/>
          </w:tcPr>
          <w:p w14:paraId="18B2571D" w14:textId="0D45C2BB" w:rsidR="00ED72A2" w:rsidRPr="00711C46" w:rsidRDefault="00711C46" w:rsidP="00C954CC">
            <w:pPr>
              <w:jc w:val="right"/>
              <w:rPr>
                <w:color w:val="000000"/>
                <w:sz w:val="18"/>
                <w:szCs w:val="18"/>
              </w:rPr>
            </w:pPr>
            <w:r w:rsidRPr="00711C46">
              <w:rPr>
                <w:color w:val="000000"/>
                <w:sz w:val="18"/>
                <w:szCs w:val="18"/>
              </w:rPr>
              <w:t>13.9</w:t>
            </w:r>
          </w:p>
        </w:tc>
        <w:tc>
          <w:tcPr>
            <w:tcW w:w="630" w:type="dxa"/>
          </w:tcPr>
          <w:p w14:paraId="0CC4AB6F" w14:textId="1D443543" w:rsidR="00ED72A2" w:rsidRPr="00711C46" w:rsidRDefault="00711C46" w:rsidP="00C954CC">
            <w:pPr>
              <w:jc w:val="right"/>
              <w:rPr>
                <w:color w:val="000000"/>
                <w:sz w:val="18"/>
                <w:szCs w:val="18"/>
              </w:rPr>
            </w:pPr>
            <w:r w:rsidRPr="00711C46">
              <w:rPr>
                <w:color w:val="000000"/>
                <w:sz w:val="18"/>
                <w:szCs w:val="18"/>
              </w:rPr>
              <w:t>0.59</w:t>
            </w:r>
          </w:p>
        </w:tc>
        <w:tc>
          <w:tcPr>
            <w:tcW w:w="630" w:type="dxa"/>
          </w:tcPr>
          <w:p w14:paraId="6FF18821" w14:textId="77D49DF6" w:rsidR="00ED72A2" w:rsidRPr="00C954CC" w:rsidRDefault="00711C46" w:rsidP="00C954CC">
            <w:pPr>
              <w:jc w:val="right"/>
              <w:rPr>
                <w:color w:val="000000"/>
                <w:sz w:val="18"/>
                <w:szCs w:val="18"/>
              </w:rPr>
            </w:pPr>
            <w:r>
              <w:rPr>
                <w:color w:val="000000"/>
                <w:sz w:val="18"/>
                <w:szCs w:val="18"/>
              </w:rPr>
              <w:t>855</w:t>
            </w:r>
          </w:p>
        </w:tc>
        <w:tc>
          <w:tcPr>
            <w:tcW w:w="1080" w:type="dxa"/>
            <w:vAlign w:val="bottom"/>
          </w:tcPr>
          <w:p w14:paraId="20004CC8" w14:textId="0226433D"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468E529F" w14:textId="10EE3263"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5D047FEB" w14:textId="1D0FAE6D"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10AC3244" w14:textId="7DA34763" w:rsidR="00ED72A2" w:rsidRPr="00C954CC" w:rsidRDefault="00ED72A2" w:rsidP="00C954CC">
            <w:pPr>
              <w:jc w:val="right"/>
              <w:rPr>
                <w:color w:val="000000"/>
                <w:sz w:val="18"/>
                <w:szCs w:val="18"/>
              </w:rPr>
            </w:pPr>
            <w:r w:rsidRPr="00C954CC">
              <w:rPr>
                <w:color w:val="000000"/>
                <w:sz w:val="18"/>
                <w:szCs w:val="18"/>
              </w:rPr>
              <w:t>10</w:t>
            </w:r>
          </w:p>
        </w:tc>
      </w:tr>
      <w:tr w:rsidR="00ED72A2" w:rsidRPr="004F689E" w14:paraId="5B5B7E9B" w14:textId="77777777" w:rsidTr="00ED72A2">
        <w:tc>
          <w:tcPr>
            <w:tcW w:w="2245" w:type="dxa"/>
            <w:vMerge/>
          </w:tcPr>
          <w:p w14:paraId="5EB8A81D" w14:textId="1FCFFBDE" w:rsidR="00ED72A2" w:rsidRPr="00C15C33" w:rsidRDefault="00ED72A2" w:rsidP="00C954CC">
            <w:pPr>
              <w:rPr>
                <w:color w:val="000000"/>
                <w:sz w:val="18"/>
                <w:szCs w:val="18"/>
              </w:rPr>
            </w:pPr>
          </w:p>
        </w:tc>
        <w:tc>
          <w:tcPr>
            <w:tcW w:w="1260" w:type="dxa"/>
          </w:tcPr>
          <w:p w14:paraId="6D164B61" w14:textId="242CADC0" w:rsidR="00ED72A2" w:rsidRPr="00C954CC" w:rsidRDefault="00ED72A2" w:rsidP="00C954CC">
            <w:pPr>
              <w:rPr>
                <w:color w:val="000000"/>
                <w:sz w:val="18"/>
                <w:szCs w:val="18"/>
              </w:rPr>
            </w:pPr>
            <w:r w:rsidRPr="00C954CC">
              <w:rPr>
                <w:color w:val="000000"/>
                <w:sz w:val="18"/>
                <w:szCs w:val="18"/>
              </w:rPr>
              <w:t>hall.us</w:t>
            </w:r>
          </w:p>
        </w:tc>
        <w:tc>
          <w:tcPr>
            <w:tcW w:w="900" w:type="dxa"/>
            <w:vAlign w:val="bottom"/>
          </w:tcPr>
          <w:p w14:paraId="0B56C932" w14:textId="1773468A" w:rsidR="00ED72A2" w:rsidRPr="00C954CC" w:rsidRDefault="00ED72A2" w:rsidP="00C954CC">
            <w:pPr>
              <w:jc w:val="right"/>
              <w:rPr>
                <w:color w:val="000000"/>
                <w:sz w:val="18"/>
                <w:szCs w:val="18"/>
              </w:rPr>
            </w:pPr>
            <w:r w:rsidRPr="00C954CC">
              <w:rPr>
                <w:color w:val="000000"/>
                <w:sz w:val="18"/>
                <w:szCs w:val="18"/>
              </w:rPr>
              <w:t>36.87</w:t>
            </w:r>
          </w:p>
        </w:tc>
        <w:tc>
          <w:tcPr>
            <w:tcW w:w="1080" w:type="dxa"/>
            <w:vAlign w:val="bottom"/>
          </w:tcPr>
          <w:p w14:paraId="1B712782" w14:textId="3C65C92A" w:rsidR="00ED72A2" w:rsidRPr="00C954CC" w:rsidRDefault="00ED72A2" w:rsidP="00C954CC">
            <w:pPr>
              <w:jc w:val="right"/>
              <w:rPr>
                <w:color w:val="000000"/>
                <w:sz w:val="18"/>
                <w:szCs w:val="18"/>
              </w:rPr>
            </w:pPr>
            <w:r w:rsidRPr="00C954CC">
              <w:rPr>
                <w:color w:val="000000"/>
                <w:sz w:val="18"/>
                <w:szCs w:val="18"/>
              </w:rPr>
              <w:t>-86.7</w:t>
            </w:r>
          </w:p>
        </w:tc>
        <w:tc>
          <w:tcPr>
            <w:tcW w:w="990" w:type="dxa"/>
          </w:tcPr>
          <w:p w14:paraId="00C15C22" w14:textId="4AB30C3E" w:rsidR="00ED72A2" w:rsidRPr="00C954CC" w:rsidRDefault="00711C46" w:rsidP="00C954CC">
            <w:pPr>
              <w:jc w:val="right"/>
              <w:rPr>
                <w:color w:val="000000"/>
                <w:sz w:val="18"/>
                <w:szCs w:val="18"/>
              </w:rPr>
            </w:pPr>
            <w:r>
              <w:rPr>
                <w:color w:val="000000"/>
                <w:sz w:val="18"/>
                <w:szCs w:val="18"/>
              </w:rPr>
              <w:t>201</w:t>
            </w:r>
          </w:p>
        </w:tc>
        <w:tc>
          <w:tcPr>
            <w:tcW w:w="630" w:type="dxa"/>
            <w:vAlign w:val="bottom"/>
          </w:tcPr>
          <w:p w14:paraId="5F055D5F" w14:textId="187646A3" w:rsidR="00ED72A2" w:rsidRPr="00C954CC" w:rsidRDefault="00711C46" w:rsidP="00C954CC">
            <w:pPr>
              <w:jc w:val="right"/>
              <w:rPr>
                <w:color w:val="000000"/>
                <w:sz w:val="18"/>
                <w:szCs w:val="18"/>
              </w:rPr>
            </w:pPr>
            <w:r>
              <w:rPr>
                <w:color w:val="000000"/>
                <w:sz w:val="18"/>
                <w:szCs w:val="18"/>
              </w:rPr>
              <w:t>13.7</w:t>
            </w:r>
          </w:p>
        </w:tc>
        <w:tc>
          <w:tcPr>
            <w:tcW w:w="630" w:type="dxa"/>
            <w:vAlign w:val="bottom"/>
          </w:tcPr>
          <w:p w14:paraId="6BDBF9B9" w14:textId="76927592" w:rsidR="00ED72A2" w:rsidRPr="00C954CC" w:rsidRDefault="00711C46" w:rsidP="00C954CC">
            <w:pPr>
              <w:jc w:val="right"/>
              <w:rPr>
                <w:color w:val="000000"/>
                <w:sz w:val="18"/>
                <w:szCs w:val="18"/>
              </w:rPr>
            </w:pPr>
            <w:r>
              <w:rPr>
                <w:color w:val="000000"/>
                <w:sz w:val="18"/>
                <w:szCs w:val="18"/>
              </w:rPr>
              <w:t>1.27</w:t>
            </w:r>
          </w:p>
        </w:tc>
        <w:tc>
          <w:tcPr>
            <w:tcW w:w="630" w:type="dxa"/>
          </w:tcPr>
          <w:p w14:paraId="710823D7" w14:textId="37B02DF7" w:rsidR="00ED72A2" w:rsidRPr="00C954CC" w:rsidRDefault="00711C46" w:rsidP="00C954CC">
            <w:pPr>
              <w:jc w:val="right"/>
              <w:rPr>
                <w:color w:val="000000"/>
                <w:sz w:val="18"/>
                <w:szCs w:val="18"/>
              </w:rPr>
            </w:pPr>
            <w:r>
              <w:rPr>
                <w:color w:val="000000"/>
                <w:sz w:val="18"/>
                <w:szCs w:val="18"/>
              </w:rPr>
              <w:t>709</w:t>
            </w:r>
          </w:p>
        </w:tc>
        <w:tc>
          <w:tcPr>
            <w:tcW w:w="1080" w:type="dxa"/>
            <w:vAlign w:val="bottom"/>
          </w:tcPr>
          <w:p w14:paraId="6053F60D" w14:textId="7BF69F37"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10132FCF" w14:textId="3F4703BB"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4B1DDEEE" w14:textId="2266F56D"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53FE3C48" w14:textId="62E21DED" w:rsidR="00ED72A2" w:rsidRPr="00C954CC" w:rsidRDefault="00ED72A2" w:rsidP="00C954CC">
            <w:pPr>
              <w:jc w:val="right"/>
              <w:rPr>
                <w:color w:val="000000"/>
                <w:sz w:val="18"/>
                <w:szCs w:val="18"/>
              </w:rPr>
            </w:pPr>
            <w:r w:rsidRPr="00C954CC">
              <w:rPr>
                <w:color w:val="000000"/>
                <w:sz w:val="18"/>
                <w:szCs w:val="18"/>
              </w:rPr>
              <w:t>10</w:t>
            </w:r>
          </w:p>
        </w:tc>
      </w:tr>
      <w:tr w:rsidR="00ED72A2" w:rsidRPr="00877723" w14:paraId="624E987F" w14:textId="77777777" w:rsidTr="00ED72A2">
        <w:tc>
          <w:tcPr>
            <w:tcW w:w="2245" w:type="dxa"/>
            <w:vMerge/>
          </w:tcPr>
          <w:p w14:paraId="6014E217" w14:textId="164E95D8" w:rsidR="00ED72A2" w:rsidRPr="00C15C33" w:rsidRDefault="00ED72A2" w:rsidP="00C954CC">
            <w:pPr>
              <w:rPr>
                <w:sz w:val="18"/>
                <w:szCs w:val="18"/>
              </w:rPr>
            </w:pPr>
          </w:p>
        </w:tc>
        <w:tc>
          <w:tcPr>
            <w:tcW w:w="1260" w:type="dxa"/>
          </w:tcPr>
          <w:p w14:paraId="1C3267C5" w14:textId="51C727C3" w:rsidR="00ED72A2" w:rsidRPr="00C954CC" w:rsidRDefault="00ED72A2" w:rsidP="00C954CC">
            <w:pPr>
              <w:rPr>
                <w:color w:val="000000"/>
                <w:sz w:val="18"/>
                <w:szCs w:val="18"/>
              </w:rPr>
            </w:pPr>
            <w:r w:rsidRPr="00C954CC">
              <w:rPr>
                <w:color w:val="000000"/>
                <w:sz w:val="18"/>
                <w:szCs w:val="18"/>
              </w:rPr>
              <w:t>hart.us</w:t>
            </w:r>
          </w:p>
        </w:tc>
        <w:tc>
          <w:tcPr>
            <w:tcW w:w="900" w:type="dxa"/>
            <w:vAlign w:val="bottom"/>
          </w:tcPr>
          <w:p w14:paraId="54C3BB1E" w14:textId="0D723754" w:rsidR="00ED72A2" w:rsidRPr="00C954CC" w:rsidRDefault="00ED72A2" w:rsidP="00C954CC">
            <w:pPr>
              <w:jc w:val="right"/>
              <w:rPr>
                <w:color w:val="000000"/>
                <w:sz w:val="18"/>
                <w:szCs w:val="18"/>
              </w:rPr>
            </w:pPr>
            <w:r w:rsidRPr="00C954CC">
              <w:rPr>
                <w:color w:val="000000"/>
                <w:sz w:val="18"/>
                <w:szCs w:val="18"/>
              </w:rPr>
              <w:t>42.72</w:t>
            </w:r>
          </w:p>
        </w:tc>
        <w:tc>
          <w:tcPr>
            <w:tcW w:w="1080" w:type="dxa"/>
            <w:vAlign w:val="bottom"/>
          </w:tcPr>
          <w:p w14:paraId="73EE63D5" w14:textId="71C13E78" w:rsidR="00ED72A2" w:rsidRPr="00C954CC" w:rsidRDefault="00ED72A2" w:rsidP="00C954CC">
            <w:pPr>
              <w:jc w:val="right"/>
              <w:rPr>
                <w:color w:val="000000"/>
                <w:sz w:val="18"/>
                <w:szCs w:val="18"/>
              </w:rPr>
            </w:pPr>
            <w:r w:rsidRPr="00C954CC">
              <w:rPr>
                <w:color w:val="000000"/>
                <w:sz w:val="18"/>
                <w:szCs w:val="18"/>
              </w:rPr>
              <w:t>-119.5</w:t>
            </w:r>
          </w:p>
        </w:tc>
        <w:tc>
          <w:tcPr>
            <w:tcW w:w="990" w:type="dxa"/>
          </w:tcPr>
          <w:p w14:paraId="1168B2DB" w14:textId="025E68D8" w:rsidR="00ED72A2" w:rsidRPr="00C954CC" w:rsidRDefault="00711C46" w:rsidP="00C954CC">
            <w:pPr>
              <w:jc w:val="right"/>
              <w:rPr>
                <w:color w:val="000000"/>
                <w:sz w:val="18"/>
                <w:szCs w:val="18"/>
              </w:rPr>
            </w:pPr>
            <w:r>
              <w:rPr>
                <w:color w:val="000000"/>
                <w:sz w:val="18"/>
                <w:szCs w:val="18"/>
              </w:rPr>
              <w:t>1513</w:t>
            </w:r>
          </w:p>
        </w:tc>
        <w:tc>
          <w:tcPr>
            <w:tcW w:w="630" w:type="dxa"/>
          </w:tcPr>
          <w:p w14:paraId="1B78DED6" w14:textId="1F5A8FC6" w:rsidR="00ED72A2" w:rsidRPr="00C954CC" w:rsidRDefault="00711C46" w:rsidP="00C954CC">
            <w:pPr>
              <w:jc w:val="right"/>
              <w:rPr>
                <w:color w:val="000000"/>
                <w:sz w:val="18"/>
                <w:szCs w:val="18"/>
              </w:rPr>
            </w:pPr>
            <w:r>
              <w:rPr>
                <w:color w:val="000000"/>
                <w:sz w:val="18"/>
                <w:szCs w:val="18"/>
              </w:rPr>
              <w:t>9.5</w:t>
            </w:r>
          </w:p>
        </w:tc>
        <w:tc>
          <w:tcPr>
            <w:tcW w:w="630" w:type="dxa"/>
          </w:tcPr>
          <w:p w14:paraId="07098659" w14:textId="659D9F4C" w:rsidR="00ED72A2" w:rsidRPr="00C954CC" w:rsidRDefault="00711C46" w:rsidP="00C954CC">
            <w:pPr>
              <w:jc w:val="right"/>
              <w:rPr>
                <w:color w:val="000000"/>
                <w:sz w:val="18"/>
                <w:szCs w:val="18"/>
              </w:rPr>
            </w:pPr>
            <w:r>
              <w:rPr>
                <w:color w:val="000000"/>
                <w:sz w:val="18"/>
                <w:szCs w:val="18"/>
              </w:rPr>
              <w:t>0.20</w:t>
            </w:r>
          </w:p>
        </w:tc>
        <w:tc>
          <w:tcPr>
            <w:tcW w:w="630" w:type="dxa"/>
          </w:tcPr>
          <w:p w14:paraId="1373A634" w14:textId="007A8E20" w:rsidR="00ED72A2" w:rsidRPr="00C954CC" w:rsidRDefault="00711C46" w:rsidP="00C954CC">
            <w:pPr>
              <w:jc w:val="right"/>
              <w:rPr>
                <w:color w:val="000000"/>
                <w:sz w:val="18"/>
                <w:szCs w:val="18"/>
              </w:rPr>
            </w:pPr>
            <w:r>
              <w:rPr>
                <w:color w:val="000000"/>
                <w:sz w:val="18"/>
                <w:szCs w:val="18"/>
              </w:rPr>
              <w:t>866</w:t>
            </w:r>
          </w:p>
        </w:tc>
        <w:tc>
          <w:tcPr>
            <w:tcW w:w="1080" w:type="dxa"/>
            <w:vAlign w:val="bottom"/>
          </w:tcPr>
          <w:p w14:paraId="56BBD043" w14:textId="17A30A4E"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7E317D18" w14:textId="64CF19D1"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4B98EAFE" w14:textId="781E4BB4"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447BF40E" w14:textId="3D4B1DFE" w:rsidR="00ED72A2" w:rsidRPr="00C954CC" w:rsidRDefault="00ED72A2" w:rsidP="00C954CC">
            <w:pPr>
              <w:jc w:val="right"/>
              <w:rPr>
                <w:color w:val="000000"/>
                <w:sz w:val="18"/>
                <w:szCs w:val="18"/>
              </w:rPr>
            </w:pPr>
            <w:r w:rsidRPr="00C954CC">
              <w:rPr>
                <w:color w:val="000000"/>
                <w:sz w:val="18"/>
                <w:szCs w:val="18"/>
              </w:rPr>
              <w:t>10</w:t>
            </w:r>
          </w:p>
        </w:tc>
      </w:tr>
      <w:tr w:rsidR="00ED72A2" w:rsidRPr="00D81D83" w14:paraId="18A52F93" w14:textId="77777777" w:rsidTr="00ED72A2">
        <w:tc>
          <w:tcPr>
            <w:tcW w:w="2245" w:type="dxa"/>
            <w:vMerge/>
            <w:vAlign w:val="center"/>
          </w:tcPr>
          <w:p w14:paraId="7C3D310D" w14:textId="08002B06" w:rsidR="00ED72A2" w:rsidRPr="00C15C33" w:rsidRDefault="00ED72A2" w:rsidP="00C954CC">
            <w:pPr>
              <w:rPr>
                <w:sz w:val="18"/>
                <w:szCs w:val="18"/>
              </w:rPr>
            </w:pPr>
          </w:p>
        </w:tc>
        <w:tc>
          <w:tcPr>
            <w:tcW w:w="1260" w:type="dxa"/>
            <w:vAlign w:val="bottom"/>
          </w:tcPr>
          <w:p w14:paraId="528FB5A9" w14:textId="4C1741E4" w:rsidR="00ED72A2" w:rsidRPr="00C954CC" w:rsidRDefault="00ED72A2" w:rsidP="00C954CC">
            <w:pPr>
              <w:rPr>
                <w:color w:val="000000"/>
                <w:sz w:val="18"/>
                <w:szCs w:val="18"/>
              </w:rPr>
            </w:pPr>
            <w:r w:rsidRPr="00C954CC">
              <w:rPr>
                <w:color w:val="000000"/>
                <w:sz w:val="18"/>
                <w:szCs w:val="18"/>
              </w:rPr>
              <w:t>konz.us</w:t>
            </w:r>
          </w:p>
        </w:tc>
        <w:tc>
          <w:tcPr>
            <w:tcW w:w="900" w:type="dxa"/>
            <w:vAlign w:val="bottom"/>
          </w:tcPr>
          <w:p w14:paraId="6E38EA7C" w14:textId="5E3D0CDA" w:rsidR="00ED72A2" w:rsidRPr="00C954CC" w:rsidRDefault="00ED72A2" w:rsidP="00C954CC">
            <w:pPr>
              <w:jc w:val="right"/>
              <w:rPr>
                <w:color w:val="000000"/>
                <w:sz w:val="18"/>
                <w:szCs w:val="18"/>
              </w:rPr>
            </w:pPr>
            <w:r w:rsidRPr="00C954CC">
              <w:rPr>
                <w:color w:val="000000"/>
                <w:sz w:val="18"/>
                <w:szCs w:val="18"/>
              </w:rPr>
              <w:t>39.07</w:t>
            </w:r>
          </w:p>
        </w:tc>
        <w:tc>
          <w:tcPr>
            <w:tcW w:w="1080" w:type="dxa"/>
            <w:vAlign w:val="bottom"/>
          </w:tcPr>
          <w:p w14:paraId="18888BF0" w14:textId="6722EF7E" w:rsidR="00ED72A2" w:rsidRPr="00C954CC" w:rsidRDefault="00ED72A2" w:rsidP="00C954CC">
            <w:pPr>
              <w:jc w:val="right"/>
              <w:rPr>
                <w:color w:val="000000"/>
                <w:sz w:val="18"/>
                <w:szCs w:val="18"/>
              </w:rPr>
            </w:pPr>
            <w:r w:rsidRPr="00C954CC">
              <w:rPr>
                <w:color w:val="000000"/>
                <w:sz w:val="18"/>
                <w:szCs w:val="18"/>
              </w:rPr>
              <w:t>-96.58</w:t>
            </w:r>
          </w:p>
        </w:tc>
        <w:tc>
          <w:tcPr>
            <w:tcW w:w="990" w:type="dxa"/>
          </w:tcPr>
          <w:p w14:paraId="026A5D12" w14:textId="50B38DD3" w:rsidR="00ED72A2" w:rsidRPr="00C954CC" w:rsidRDefault="00711C46" w:rsidP="00C954CC">
            <w:pPr>
              <w:jc w:val="right"/>
              <w:rPr>
                <w:color w:val="000000"/>
                <w:sz w:val="18"/>
                <w:szCs w:val="18"/>
              </w:rPr>
            </w:pPr>
            <w:r>
              <w:rPr>
                <w:color w:val="000000"/>
                <w:sz w:val="18"/>
                <w:szCs w:val="18"/>
              </w:rPr>
              <w:t>421</w:t>
            </w:r>
          </w:p>
        </w:tc>
        <w:tc>
          <w:tcPr>
            <w:tcW w:w="630" w:type="dxa"/>
            <w:vAlign w:val="bottom"/>
          </w:tcPr>
          <w:p w14:paraId="496D3773" w14:textId="6D659889" w:rsidR="00ED72A2" w:rsidRPr="00C954CC" w:rsidRDefault="00711C46" w:rsidP="00C954CC">
            <w:pPr>
              <w:jc w:val="right"/>
              <w:rPr>
                <w:color w:val="000000"/>
                <w:sz w:val="18"/>
                <w:szCs w:val="18"/>
              </w:rPr>
            </w:pPr>
            <w:r>
              <w:rPr>
                <w:color w:val="000000"/>
                <w:sz w:val="18"/>
                <w:szCs w:val="18"/>
              </w:rPr>
              <w:t>15.0</w:t>
            </w:r>
          </w:p>
        </w:tc>
        <w:tc>
          <w:tcPr>
            <w:tcW w:w="630" w:type="dxa"/>
            <w:vAlign w:val="bottom"/>
          </w:tcPr>
          <w:p w14:paraId="7DF518A1" w14:textId="6A52BB89" w:rsidR="00ED72A2" w:rsidRPr="00C954CC" w:rsidRDefault="00711C46" w:rsidP="00C954CC">
            <w:pPr>
              <w:jc w:val="right"/>
              <w:rPr>
                <w:color w:val="000000"/>
                <w:sz w:val="18"/>
                <w:szCs w:val="18"/>
              </w:rPr>
            </w:pPr>
            <w:r>
              <w:rPr>
                <w:color w:val="000000"/>
                <w:sz w:val="18"/>
                <w:szCs w:val="18"/>
              </w:rPr>
              <w:t>0.58</w:t>
            </w:r>
          </w:p>
        </w:tc>
        <w:tc>
          <w:tcPr>
            <w:tcW w:w="630" w:type="dxa"/>
          </w:tcPr>
          <w:p w14:paraId="3EBEE13C" w14:textId="4CB5EC0E" w:rsidR="00ED72A2" w:rsidRPr="00C954CC" w:rsidRDefault="00711C46" w:rsidP="00C954CC">
            <w:pPr>
              <w:jc w:val="right"/>
              <w:rPr>
                <w:color w:val="000000"/>
                <w:sz w:val="18"/>
                <w:szCs w:val="18"/>
              </w:rPr>
            </w:pPr>
            <w:r>
              <w:rPr>
                <w:color w:val="000000"/>
                <w:sz w:val="18"/>
                <w:szCs w:val="18"/>
              </w:rPr>
              <w:t>817</w:t>
            </w:r>
          </w:p>
        </w:tc>
        <w:tc>
          <w:tcPr>
            <w:tcW w:w="1080" w:type="dxa"/>
            <w:vAlign w:val="bottom"/>
          </w:tcPr>
          <w:p w14:paraId="3BD3814E" w14:textId="05CA7ECE"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C146441" w14:textId="446F5D08"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7556E00F" w14:textId="7F50DE95"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20DEA679" w14:textId="5C7802CC" w:rsidR="00ED72A2" w:rsidRPr="00C954CC" w:rsidRDefault="00ED72A2" w:rsidP="00C954CC">
            <w:pPr>
              <w:jc w:val="right"/>
              <w:rPr>
                <w:color w:val="000000"/>
                <w:sz w:val="18"/>
                <w:szCs w:val="18"/>
              </w:rPr>
            </w:pPr>
            <w:r w:rsidRPr="00C954CC">
              <w:rPr>
                <w:color w:val="000000"/>
                <w:sz w:val="18"/>
                <w:szCs w:val="18"/>
              </w:rPr>
              <w:t>10</w:t>
            </w:r>
          </w:p>
        </w:tc>
      </w:tr>
      <w:tr w:rsidR="00ED72A2" w:rsidRPr="00D81D83" w14:paraId="0203705F" w14:textId="77777777" w:rsidTr="00ED72A2">
        <w:tc>
          <w:tcPr>
            <w:tcW w:w="2245" w:type="dxa"/>
            <w:vMerge/>
          </w:tcPr>
          <w:p w14:paraId="141ED60C" w14:textId="77777777" w:rsidR="00ED72A2" w:rsidRPr="00C15C33" w:rsidRDefault="00ED72A2" w:rsidP="00C954CC">
            <w:pPr>
              <w:rPr>
                <w:color w:val="000000"/>
                <w:sz w:val="18"/>
                <w:szCs w:val="18"/>
              </w:rPr>
            </w:pPr>
          </w:p>
        </w:tc>
        <w:tc>
          <w:tcPr>
            <w:tcW w:w="1260" w:type="dxa"/>
            <w:vAlign w:val="bottom"/>
          </w:tcPr>
          <w:p w14:paraId="7E06544F" w14:textId="4627B6D7" w:rsidR="00ED72A2" w:rsidRPr="00C954CC" w:rsidRDefault="00ED72A2" w:rsidP="00C954CC">
            <w:pPr>
              <w:rPr>
                <w:color w:val="000000"/>
                <w:sz w:val="18"/>
                <w:szCs w:val="18"/>
              </w:rPr>
            </w:pPr>
            <w:r w:rsidRPr="00C954CC">
              <w:rPr>
                <w:color w:val="000000"/>
                <w:sz w:val="18"/>
                <w:szCs w:val="18"/>
              </w:rPr>
              <w:t>lancaster.uk</w:t>
            </w:r>
          </w:p>
        </w:tc>
        <w:tc>
          <w:tcPr>
            <w:tcW w:w="900" w:type="dxa"/>
            <w:vAlign w:val="bottom"/>
          </w:tcPr>
          <w:p w14:paraId="53DD659E" w14:textId="593B0443" w:rsidR="00ED72A2" w:rsidRPr="00C954CC" w:rsidRDefault="00ED72A2" w:rsidP="00C954CC">
            <w:pPr>
              <w:jc w:val="right"/>
              <w:rPr>
                <w:color w:val="000000"/>
                <w:sz w:val="18"/>
                <w:szCs w:val="18"/>
              </w:rPr>
            </w:pPr>
            <w:r w:rsidRPr="00C954CC">
              <w:rPr>
                <w:color w:val="000000"/>
                <w:sz w:val="18"/>
                <w:szCs w:val="18"/>
              </w:rPr>
              <w:t>53.99</w:t>
            </w:r>
          </w:p>
        </w:tc>
        <w:tc>
          <w:tcPr>
            <w:tcW w:w="1080" w:type="dxa"/>
            <w:vAlign w:val="bottom"/>
          </w:tcPr>
          <w:p w14:paraId="6F902F18" w14:textId="481F5748" w:rsidR="00ED72A2" w:rsidRPr="00C954CC" w:rsidRDefault="00ED72A2" w:rsidP="00C954CC">
            <w:pPr>
              <w:jc w:val="right"/>
              <w:rPr>
                <w:color w:val="000000"/>
                <w:sz w:val="18"/>
                <w:szCs w:val="18"/>
              </w:rPr>
            </w:pPr>
            <w:r w:rsidRPr="00C954CC">
              <w:rPr>
                <w:color w:val="000000"/>
                <w:sz w:val="18"/>
                <w:szCs w:val="18"/>
              </w:rPr>
              <w:t>-2.63</w:t>
            </w:r>
          </w:p>
        </w:tc>
        <w:tc>
          <w:tcPr>
            <w:tcW w:w="990" w:type="dxa"/>
          </w:tcPr>
          <w:p w14:paraId="04E7A14F" w14:textId="022C371F" w:rsidR="00ED72A2" w:rsidRPr="00C954CC" w:rsidRDefault="00711C46" w:rsidP="00C954CC">
            <w:pPr>
              <w:jc w:val="right"/>
              <w:rPr>
                <w:color w:val="000000"/>
                <w:sz w:val="18"/>
                <w:szCs w:val="18"/>
              </w:rPr>
            </w:pPr>
            <w:r>
              <w:rPr>
                <w:color w:val="000000"/>
                <w:sz w:val="18"/>
                <w:szCs w:val="18"/>
              </w:rPr>
              <w:t>219</w:t>
            </w:r>
          </w:p>
        </w:tc>
        <w:tc>
          <w:tcPr>
            <w:tcW w:w="630" w:type="dxa"/>
            <w:vAlign w:val="bottom"/>
          </w:tcPr>
          <w:p w14:paraId="096B9D9D" w14:textId="16C519B8" w:rsidR="00ED72A2" w:rsidRPr="00C954CC" w:rsidRDefault="00711C46" w:rsidP="00C954CC">
            <w:pPr>
              <w:jc w:val="right"/>
              <w:rPr>
                <w:color w:val="000000"/>
                <w:sz w:val="18"/>
                <w:szCs w:val="18"/>
              </w:rPr>
            </w:pPr>
            <w:r>
              <w:rPr>
                <w:color w:val="000000"/>
                <w:sz w:val="18"/>
                <w:szCs w:val="18"/>
              </w:rPr>
              <w:t>8.0</w:t>
            </w:r>
          </w:p>
        </w:tc>
        <w:tc>
          <w:tcPr>
            <w:tcW w:w="630" w:type="dxa"/>
            <w:vAlign w:val="bottom"/>
          </w:tcPr>
          <w:p w14:paraId="008A471D" w14:textId="36F2A537" w:rsidR="00ED72A2" w:rsidRPr="00C954CC" w:rsidRDefault="00711C46" w:rsidP="00C954CC">
            <w:pPr>
              <w:jc w:val="right"/>
              <w:rPr>
                <w:color w:val="000000"/>
                <w:sz w:val="18"/>
                <w:szCs w:val="18"/>
              </w:rPr>
            </w:pPr>
            <w:r>
              <w:rPr>
                <w:color w:val="000000"/>
                <w:sz w:val="18"/>
                <w:szCs w:val="18"/>
              </w:rPr>
              <w:t>3.37</w:t>
            </w:r>
          </w:p>
        </w:tc>
        <w:tc>
          <w:tcPr>
            <w:tcW w:w="630" w:type="dxa"/>
          </w:tcPr>
          <w:p w14:paraId="53D6C40E" w14:textId="04C85408" w:rsidR="00ED72A2" w:rsidRPr="00C954CC" w:rsidRDefault="00711C46" w:rsidP="00C954CC">
            <w:pPr>
              <w:jc w:val="right"/>
              <w:rPr>
                <w:color w:val="000000"/>
                <w:sz w:val="18"/>
                <w:szCs w:val="18"/>
              </w:rPr>
            </w:pPr>
            <w:r>
              <w:rPr>
                <w:color w:val="000000"/>
                <w:sz w:val="18"/>
                <w:szCs w:val="18"/>
              </w:rPr>
              <w:t>443</w:t>
            </w:r>
          </w:p>
        </w:tc>
        <w:tc>
          <w:tcPr>
            <w:tcW w:w="1080" w:type="dxa"/>
            <w:vAlign w:val="bottom"/>
          </w:tcPr>
          <w:p w14:paraId="712C207B" w14:textId="031031F1"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44E6FA5B" w14:textId="1F589842"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6C1F4FA5" w14:textId="24D5EE2D"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083F5DF0" w14:textId="3E1F08CB" w:rsidR="00ED72A2" w:rsidRPr="00C954CC" w:rsidRDefault="00ED72A2" w:rsidP="00C954CC">
            <w:pPr>
              <w:jc w:val="right"/>
              <w:rPr>
                <w:color w:val="000000"/>
                <w:sz w:val="18"/>
                <w:szCs w:val="18"/>
              </w:rPr>
            </w:pPr>
            <w:r w:rsidRPr="00C954CC">
              <w:rPr>
                <w:color w:val="000000"/>
                <w:sz w:val="18"/>
                <w:szCs w:val="18"/>
              </w:rPr>
              <w:t>10</w:t>
            </w:r>
          </w:p>
        </w:tc>
      </w:tr>
      <w:tr w:rsidR="00ED72A2" w:rsidRPr="00D81D83" w14:paraId="413385A1" w14:textId="77777777" w:rsidTr="00ED72A2">
        <w:tc>
          <w:tcPr>
            <w:tcW w:w="2245" w:type="dxa"/>
            <w:vMerge/>
          </w:tcPr>
          <w:p w14:paraId="58FA981E" w14:textId="77777777" w:rsidR="00ED72A2" w:rsidRPr="00C15C33" w:rsidRDefault="00ED72A2" w:rsidP="00C954CC">
            <w:pPr>
              <w:rPr>
                <w:color w:val="000000"/>
                <w:sz w:val="18"/>
                <w:szCs w:val="18"/>
              </w:rPr>
            </w:pPr>
          </w:p>
        </w:tc>
        <w:tc>
          <w:tcPr>
            <w:tcW w:w="1260" w:type="dxa"/>
            <w:vAlign w:val="bottom"/>
          </w:tcPr>
          <w:p w14:paraId="20AAAC2A" w14:textId="1F8FC84E" w:rsidR="00ED72A2" w:rsidRPr="00C954CC" w:rsidRDefault="00ED72A2" w:rsidP="00C954CC">
            <w:pPr>
              <w:rPr>
                <w:color w:val="000000"/>
                <w:sz w:val="18"/>
                <w:szCs w:val="18"/>
              </w:rPr>
            </w:pPr>
            <w:r w:rsidRPr="00C954CC">
              <w:rPr>
                <w:color w:val="000000"/>
                <w:sz w:val="18"/>
                <w:szCs w:val="18"/>
              </w:rPr>
              <w:t>look.us</w:t>
            </w:r>
          </w:p>
        </w:tc>
        <w:tc>
          <w:tcPr>
            <w:tcW w:w="900" w:type="dxa"/>
            <w:vAlign w:val="bottom"/>
          </w:tcPr>
          <w:p w14:paraId="4E9B9C00" w14:textId="3B9E95B2" w:rsidR="00ED72A2" w:rsidRPr="00C954CC" w:rsidRDefault="00ED72A2" w:rsidP="00C954CC">
            <w:pPr>
              <w:jc w:val="right"/>
              <w:rPr>
                <w:color w:val="000000"/>
                <w:sz w:val="18"/>
                <w:szCs w:val="18"/>
              </w:rPr>
            </w:pPr>
            <w:r w:rsidRPr="00C954CC">
              <w:rPr>
                <w:color w:val="000000"/>
                <w:sz w:val="18"/>
                <w:szCs w:val="18"/>
              </w:rPr>
              <w:t>44.21</w:t>
            </w:r>
          </w:p>
        </w:tc>
        <w:tc>
          <w:tcPr>
            <w:tcW w:w="1080" w:type="dxa"/>
            <w:vAlign w:val="bottom"/>
          </w:tcPr>
          <w:p w14:paraId="42BC968C" w14:textId="4DE1A69A" w:rsidR="00ED72A2" w:rsidRPr="00C954CC" w:rsidRDefault="00ED72A2" w:rsidP="00C954CC">
            <w:pPr>
              <w:jc w:val="right"/>
              <w:rPr>
                <w:color w:val="000000"/>
                <w:sz w:val="18"/>
                <w:szCs w:val="18"/>
              </w:rPr>
            </w:pPr>
            <w:r w:rsidRPr="00C954CC">
              <w:rPr>
                <w:color w:val="000000"/>
                <w:sz w:val="18"/>
                <w:szCs w:val="18"/>
              </w:rPr>
              <w:t>-122.13</w:t>
            </w:r>
          </w:p>
        </w:tc>
        <w:tc>
          <w:tcPr>
            <w:tcW w:w="990" w:type="dxa"/>
          </w:tcPr>
          <w:p w14:paraId="111787D3" w14:textId="59605280" w:rsidR="00ED72A2" w:rsidRPr="00C954CC" w:rsidRDefault="00711C46" w:rsidP="00C954CC">
            <w:pPr>
              <w:jc w:val="right"/>
              <w:rPr>
                <w:color w:val="000000"/>
                <w:sz w:val="18"/>
                <w:szCs w:val="18"/>
              </w:rPr>
            </w:pPr>
            <w:r>
              <w:rPr>
                <w:color w:val="000000"/>
                <w:sz w:val="18"/>
                <w:szCs w:val="18"/>
              </w:rPr>
              <w:t>1481</w:t>
            </w:r>
          </w:p>
        </w:tc>
        <w:tc>
          <w:tcPr>
            <w:tcW w:w="630" w:type="dxa"/>
            <w:vAlign w:val="bottom"/>
          </w:tcPr>
          <w:p w14:paraId="57E85DF0" w14:textId="5EA46986" w:rsidR="00ED72A2" w:rsidRPr="00C954CC" w:rsidRDefault="00711C46" w:rsidP="00C954CC">
            <w:pPr>
              <w:jc w:val="right"/>
              <w:rPr>
                <w:color w:val="000000"/>
                <w:sz w:val="18"/>
                <w:szCs w:val="18"/>
              </w:rPr>
            </w:pPr>
            <w:r>
              <w:rPr>
                <w:color w:val="000000"/>
                <w:sz w:val="18"/>
                <w:szCs w:val="18"/>
              </w:rPr>
              <w:t>6.1</w:t>
            </w:r>
          </w:p>
        </w:tc>
        <w:tc>
          <w:tcPr>
            <w:tcW w:w="630" w:type="dxa"/>
            <w:vAlign w:val="bottom"/>
          </w:tcPr>
          <w:p w14:paraId="08689B4E" w14:textId="729EC3AA" w:rsidR="00ED72A2" w:rsidRPr="00C954CC" w:rsidRDefault="00711C46" w:rsidP="00C954CC">
            <w:pPr>
              <w:jc w:val="right"/>
              <w:rPr>
                <w:color w:val="000000"/>
                <w:sz w:val="18"/>
                <w:szCs w:val="18"/>
              </w:rPr>
            </w:pPr>
            <w:r>
              <w:rPr>
                <w:color w:val="000000"/>
                <w:sz w:val="18"/>
                <w:szCs w:val="18"/>
              </w:rPr>
              <w:t>2.72</w:t>
            </w:r>
          </w:p>
        </w:tc>
        <w:tc>
          <w:tcPr>
            <w:tcW w:w="630" w:type="dxa"/>
          </w:tcPr>
          <w:p w14:paraId="301AAE04" w14:textId="0B317C03" w:rsidR="00ED72A2" w:rsidRPr="00C954CC" w:rsidRDefault="00711C46" w:rsidP="00C954CC">
            <w:pPr>
              <w:jc w:val="right"/>
              <w:rPr>
                <w:color w:val="000000"/>
                <w:sz w:val="18"/>
                <w:szCs w:val="18"/>
              </w:rPr>
            </w:pPr>
            <w:r>
              <w:rPr>
                <w:color w:val="000000"/>
                <w:sz w:val="18"/>
                <w:szCs w:val="18"/>
              </w:rPr>
              <w:t>673</w:t>
            </w:r>
          </w:p>
        </w:tc>
        <w:tc>
          <w:tcPr>
            <w:tcW w:w="1080" w:type="dxa"/>
            <w:vAlign w:val="bottom"/>
          </w:tcPr>
          <w:p w14:paraId="0A92AF84" w14:textId="47A1226C"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864092F" w14:textId="0BB25870"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70C12CAF" w14:textId="53F773F0"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3DDC22E5" w14:textId="5727A151"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12CEE3CA" w14:textId="77777777" w:rsidTr="00ED72A2">
        <w:tc>
          <w:tcPr>
            <w:tcW w:w="2245" w:type="dxa"/>
            <w:vMerge/>
          </w:tcPr>
          <w:p w14:paraId="709A548A" w14:textId="52BAB6EA" w:rsidR="00ED72A2" w:rsidRPr="00C15C33" w:rsidRDefault="00ED72A2" w:rsidP="00C954CC">
            <w:pPr>
              <w:rPr>
                <w:sz w:val="18"/>
                <w:szCs w:val="18"/>
              </w:rPr>
            </w:pPr>
          </w:p>
        </w:tc>
        <w:tc>
          <w:tcPr>
            <w:tcW w:w="1260" w:type="dxa"/>
            <w:vAlign w:val="bottom"/>
          </w:tcPr>
          <w:p w14:paraId="6BAA3747" w14:textId="679D5778" w:rsidR="00ED72A2" w:rsidRPr="00C954CC" w:rsidRDefault="00ED72A2" w:rsidP="00C954CC">
            <w:pPr>
              <w:rPr>
                <w:color w:val="000000"/>
                <w:sz w:val="18"/>
                <w:szCs w:val="18"/>
              </w:rPr>
            </w:pPr>
            <w:r w:rsidRPr="00C954CC">
              <w:rPr>
                <w:color w:val="000000"/>
                <w:sz w:val="18"/>
                <w:szCs w:val="18"/>
              </w:rPr>
              <w:t>mtca.au</w:t>
            </w:r>
          </w:p>
        </w:tc>
        <w:tc>
          <w:tcPr>
            <w:tcW w:w="900" w:type="dxa"/>
            <w:vAlign w:val="bottom"/>
          </w:tcPr>
          <w:p w14:paraId="7C179673" w14:textId="7908DD95" w:rsidR="00ED72A2" w:rsidRPr="00C954CC" w:rsidRDefault="00ED72A2" w:rsidP="00C954CC">
            <w:pPr>
              <w:jc w:val="right"/>
              <w:rPr>
                <w:color w:val="000000"/>
                <w:sz w:val="18"/>
                <w:szCs w:val="18"/>
              </w:rPr>
            </w:pPr>
            <w:r w:rsidRPr="00C954CC">
              <w:rPr>
                <w:color w:val="000000"/>
                <w:sz w:val="18"/>
                <w:szCs w:val="18"/>
              </w:rPr>
              <w:t>-31.78</w:t>
            </w:r>
          </w:p>
        </w:tc>
        <w:tc>
          <w:tcPr>
            <w:tcW w:w="1080" w:type="dxa"/>
            <w:vAlign w:val="bottom"/>
          </w:tcPr>
          <w:p w14:paraId="2FF3BD21" w14:textId="6429A08D" w:rsidR="00ED72A2" w:rsidRPr="00C954CC" w:rsidRDefault="00ED72A2" w:rsidP="00C954CC">
            <w:pPr>
              <w:jc w:val="right"/>
              <w:rPr>
                <w:color w:val="000000"/>
                <w:sz w:val="18"/>
                <w:szCs w:val="18"/>
              </w:rPr>
            </w:pPr>
            <w:r w:rsidRPr="00C954CC">
              <w:rPr>
                <w:color w:val="000000"/>
                <w:sz w:val="18"/>
                <w:szCs w:val="18"/>
              </w:rPr>
              <w:t>117.61</w:t>
            </w:r>
          </w:p>
        </w:tc>
        <w:tc>
          <w:tcPr>
            <w:tcW w:w="990" w:type="dxa"/>
          </w:tcPr>
          <w:p w14:paraId="15108368" w14:textId="29A8F09A" w:rsidR="00ED72A2" w:rsidRPr="00C954CC" w:rsidRDefault="00711C46" w:rsidP="00C954CC">
            <w:pPr>
              <w:jc w:val="right"/>
              <w:rPr>
                <w:color w:val="000000"/>
                <w:sz w:val="18"/>
                <w:szCs w:val="18"/>
              </w:rPr>
            </w:pPr>
            <w:r>
              <w:rPr>
                <w:color w:val="000000"/>
                <w:sz w:val="18"/>
                <w:szCs w:val="18"/>
              </w:rPr>
              <w:t>297</w:t>
            </w:r>
          </w:p>
        </w:tc>
        <w:tc>
          <w:tcPr>
            <w:tcW w:w="630" w:type="dxa"/>
            <w:vAlign w:val="center"/>
          </w:tcPr>
          <w:p w14:paraId="34AB5E80" w14:textId="76D3DAF0" w:rsidR="00ED72A2" w:rsidRPr="00C954CC" w:rsidRDefault="00711C46" w:rsidP="00C954CC">
            <w:pPr>
              <w:jc w:val="right"/>
              <w:rPr>
                <w:color w:val="000000"/>
                <w:sz w:val="18"/>
                <w:szCs w:val="18"/>
              </w:rPr>
            </w:pPr>
            <w:r>
              <w:rPr>
                <w:color w:val="000000"/>
                <w:sz w:val="18"/>
                <w:szCs w:val="18"/>
              </w:rPr>
              <w:t>17.7</w:t>
            </w:r>
          </w:p>
        </w:tc>
        <w:tc>
          <w:tcPr>
            <w:tcW w:w="630" w:type="dxa"/>
            <w:vAlign w:val="center"/>
          </w:tcPr>
          <w:p w14:paraId="2D55213A" w14:textId="4868640C" w:rsidR="00ED72A2" w:rsidRPr="00C954CC" w:rsidRDefault="00711C46" w:rsidP="00C954CC">
            <w:pPr>
              <w:jc w:val="right"/>
              <w:rPr>
                <w:color w:val="000000"/>
                <w:sz w:val="18"/>
                <w:szCs w:val="18"/>
              </w:rPr>
            </w:pPr>
            <w:r>
              <w:rPr>
                <w:color w:val="000000"/>
                <w:sz w:val="18"/>
                <w:szCs w:val="18"/>
              </w:rPr>
              <w:t>0.24</w:t>
            </w:r>
          </w:p>
        </w:tc>
        <w:tc>
          <w:tcPr>
            <w:tcW w:w="630" w:type="dxa"/>
          </w:tcPr>
          <w:p w14:paraId="35E887E9" w14:textId="153801DF" w:rsidR="00ED72A2" w:rsidRPr="00C954CC" w:rsidRDefault="00711C46" w:rsidP="00C954CC">
            <w:pPr>
              <w:jc w:val="right"/>
              <w:rPr>
                <w:color w:val="000000"/>
                <w:sz w:val="18"/>
                <w:szCs w:val="18"/>
              </w:rPr>
            </w:pPr>
            <w:r>
              <w:rPr>
                <w:color w:val="000000"/>
                <w:sz w:val="18"/>
                <w:szCs w:val="18"/>
              </w:rPr>
              <w:t>957</w:t>
            </w:r>
          </w:p>
        </w:tc>
        <w:tc>
          <w:tcPr>
            <w:tcW w:w="1080" w:type="dxa"/>
            <w:vAlign w:val="bottom"/>
          </w:tcPr>
          <w:p w14:paraId="34B2C751" w14:textId="2664862E"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499547D1" w14:textId="797C5FCF"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7EF0EB26" w14:textId="337484E2"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7B7A02EB" w14:textId="181A8F2C"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495D4A4D" w14:textId="77777777" w:rsidTr="00ED72A2">
        <w:tc>
          <w:tcPr>
            <w:tcW w:w="2245" w:type="dxa"/>
            <w:vMerge/>
          </w:tcPr>
          <w:p w14:paraId="10ECAB41" w14:textId="77777777" w:rsidR="00ED72A2" w:rsidRPr="00C15C33" w:rsidRDefault="00ED72A2" w:rsidP="00C954CC">
            <w:pPr>
              <w:rPr>
                <w:sz w:val="18"/>
                <w:szCs w:val="18"/>
              </w:rPr>
            </w:pPr>
          </w:p>
        </w:tc>
        <w:tc>
          <w:tcPr>
            <w:tcW w:w="1260" w:type="dxa"/>
            <w:vAlign w:val="bottom"/>
          </w:tcPr>
          <w:p w14:paraId="62728440" w14:textId="625CE1FC" w:rsidR="00ED72A2" w:rsidRPr="00C954CC" w:rsidRDefault="00ED72A2" w:rsidP="00C954CC">
            <w:pPr>
              <w:rPr>
                <w:color w:val="000000"/>
                <w:sz w:val="18"/>
                <w:szCs w:val="18"/>
              </w:rPr>
            </w:pPr>
            <w:r w:rsidRPr="00C954CC">
              <w:rPr>
                <w:color w:val="000000"/>
                <w:sz w:val="18"/>
                <w:szCs w:val="18"/>
              </w:rPr>
              <w:t>sage.us</w:t>
            </w:r>
          </w:p>
        </w:tc>
        <w:tc>
          <w:tcPr>
            <w:tcW w:w="900" w:type="dxa"/>
            <w:vAlign w:val="bottom"/>
          </w:tcPr>
          <w:p w14:paraId="5E486876" w14:textId="2D298A61" w:rsidR="00ED72A2" w:rsidRPr="00C954CC" w:rsidRDefault="00ED72A2" w:rsidP="00C954CC">
            <w:pPr>
              <w:jc w:val="right"/>
              <w:rPr>
                <w:color w:val="000000"/>
                <w:sz w:val="18"/>
                <w:szCs w:val="18"/>
              </w:rPr>
            </w:pPr>
            <w:r w:rsidRPr="00C954CC">
              <w:rPr>
                <w:color w:val="000000"/>
                <w:sz w:val="18"/>
                <w:szCs w:val="18"/>
              </w:rPr>
              <w:t>39.43</w:t>
            </w:r>
          </w:p>
        </w:tc>
        <w:tc>
          <w:tcPr>
            <w:tcW w:w="1080" w:type="dxa"/>
            <w:vAlign w:val="bottom"/>
          </w:tcPr>
          <w:p w14:paraId="1ADC4F36" w14:textId="17404F77" w:rsidR="00ED72A2" w:rsidRPr="00C954CC" w:rsidRDefault="00ED72A2" w:rsidP="00C954CC">
            <w:pPr>
              <w:jc w:val="right"/>
              <w:rPr>
                <w:color w:val="000000"/>
                <w:sz w:val="18"/>
                <w:szCs w:val="18"/>
              </w:rPr>
            </w:pPr>
            <w:r w:rsidRPr="00C954CC">
              <w:rPr>
                <w:color w:val="000000"/>
                <w:sz w:val="18"/>
                <w:szCs w:val="18"/>
              </w:rPr>
              <w:t>-120.24</w:t>
            </w:r>
          </w:p>
        </w:tc>
        <w:tc>
          <w:tcPr>
            <w:tcW w:w="990" w:type="dxa"/>
          </w:tcPr>
          <w:p w14:paraId="2305C5EE" w14:textId="1AD5992C" w:rsidR="00ED72A2" w:rsidRPr="00C954CC" w:rsidRDefault="00711C46" w:rsidP="00C954CC">
            <w:pPr>
              <w:jc w:val="right"/>
              <w:rPr>
                <w:color w:val="000000"/>
                <w:sz w:val="18"/>
                <w:szCs w:val="18"/>
              </w:rPr>
            </w:pPr>
            <w:r>
              <w:rPr>
                <w:color w:val="000000"/>
                <w:sz w:val="18"/>
                <w:szCs w:val="18"/>
              </w:rPr>
              <w:t>1968</w:t>
            </w:r>
          </w:p>
        </w:tc>
        <w:tc>
          <w:tcPr>
            <w:tcW w:w="630" w:type="dxa"/>
            <w:vAlign w:val="center"/>
          </w:tcPr>
          <w:p w14:paraId="10D78404" w14:textId="27001851" w:rsidR="00ED72A2" w:rsidRPr="00C954CC" w:rsidRDefault="00711C46" w:rsidP="00C954CC">
            <w:pPr>
              <w:jc w:val="right"/>
              <w:rPr>
                <w:color w:val="000000"/>
                <w:sz w:val="18"/>
                <w:szCs w:val="18"/>
              </w:rPr>
            </w:pPr>
            <w:r>
              <w:rPr>
                <w:color w:val="000000"/>
                <w:sz w:val="18"/>
                <w:szCs w:val="18"/>
              </w:rPr>
              <w:t>8.5</w:t>
            </w:r>
          </w:p>
        </w:tc>
        <w:tc>
          <w:tcPr>
            <w:tcW w:w="630" w:type="dxa"/>
            <w:vAlign w:val="center"/>
          </w:tcPr>
          <w:p w14:paraId="36F0462D" w14:textId="28298582" w:rsidR="00ED72A2" w:rsidRPr="00C954CC" w:rsidRDefault="00711C46" w:rsidP="00C954CC">
            <w:pPr>
              <w:jc w:val="right"/>
              <w:rPr>
                <w:color w:val="000000"/>
                <w:sz w:val="18"/>
                <w:szCs w:val="18"/>
              </w:rPr>
            </w:pPr>
            <w:r>
              <w:rPr>
                <w:color w:val="000000"/>
                <w:sz w:val="18"/>
                <w:szCs w:val="18"/>
              </w:rPr>
              <w:t>0.53</w:t>
            </w:r>
          </w:p>
        </w:tc>
        <w:tc>
          <w:tcPr>
            <w:tcW w:w="630" w:type="dxa"/>
          </w:tcPr>
          <w:p w14:paraId="3AC0F315" w14:textId="2C382F60" w:rsidR="00ED72A2" w:rsidRPr="00C954CC" w:rsidRDefault="00711C46" w:rsidP="00C954CC">
            <w:pPr>
              <w:jc w:val="right"/>
              <w:rPr>
                <w:color w:val="000000"/>
                <w:sz w:val="18"/>
                <w:szCs w:val="18"/>
              </w:rPr>
            </w:pPr>
            <w:r>
              <w:rPr>
                <w:color w:val="000000"/>
                <w:sz w:val="18"/>
                <w:szCs w:val="18"/>
              </w:rPr>
              <w:t>977</w:t>
            </w:r>
          </w:p>
        </w:tc>
        <w:tc>
          <w:tcPr>
            <w:tcW w:w="1080" w:type="dxa"/>
            <w:vAlign w:val="bottom"/>
          </w:tcPr>
          <w:p w14:paraId="173A3217" w14:textId="4DF33FE2"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2EA05E72" w14:textId="07E6A416"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5953F6D5" w14:textId="36319172"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053124CC" w14:textId="26A597C2"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28CECD30" w14:textId="77777777" w:rsidTr="00ED72A2">
        <w:tc>
          <w:tcPr>
            <w:tcW w:w="2245" w:type="dxa"/>
            <w:vMerge/>
          </w:tcPr>
          <w:p w14:paraId="514B42DF" w14:textId="77777777" w:rsidR="00ED72A2" w:rsidRPr="00C15C33" w:rsidRDefault="00ED72A2" w:rsidP="00C954CC">
            <w:pPr>
              <w:rPr>
                <w:sz w:val="18"/>
                <w:szCs w:val="18"/>
              </w:rPr>
            </w:pPr>
          </w:p>
        </w:tc>
        <w:tc>
          <w:tcPr>
            <w:tcW w:w="1260" w:type="dxa"/>
            <w:vAlign w:val="bottom"/>
          </w:tcPr>
          <w:p w14:paraId="4F513928" w14:textId="19353411" w:rsidR="00ED72A2" w:rsidRPr="00C954CC" w:rsidRDefault="00ED72A2" w:rsidP="00C954CC">
            <w:pPr>
              <w:rPr>
                <w:color w:val="000000"/>
                <w:sz w:val="18"/>
                <w:szCs w:val="18"/>
              </w:rPr>
            </w:pPr>
            <w:r w:rsidRPr="00C954CC">
              <w:rPr>
                <w:color w:val="000000"/>
                <w:sz w:val="18"/>
                <w:szCs w:val="18"/>
              </w:rPr>
              <w:t>saline.us</w:t>
            </w:r>
          </w:p>
        </w:tc>
        <w:tc>
          <w:tcPr>
            <w:tcW w:w="900" w:type="dxa"/>
            <w:vAlign w:val="bottom"/>
          </w:tcPr>
          <w:p w14:paraId="7A0A8CB1" w14:textId="291B2D9E" w:rsidR="00ED72A2" w:rsidRPr="00C954CC" w:rsidRDefault="00ED72A2" w:rsidP="00C954CC">
            <w:pPr>
              <w:jc w:val="right"/>
              <w:rPr>
                <w:color w:val="000000"/>
                <w:sz w:val="18"/>
                <w:szCs w:val="18"/>
              </w:rPr>
            </w:pPr>
            <w:r w:rsidRPr="00C954CC">
              <w:rPr>
                <w:color w:val="000000"/>
                <w:sz w:val="18"/>
                <w:szCs w:val="18"/>
              </w:rPr>
              <w:t>39.05</w:t>
            </w:r>
          </w:p>
        </w:tc>
        <w:tc>
          <w:tcPr>
            <w:tcW w:w="1080" w:type="dxa"/>
            <w:vAlign w:val="bottom"/>
          </w:tcPr>
          <w:p w14:paraId="01C4685A" w14:textId="12B1DE24" w:rsidR="00ED72A2" w:rsidRPr="00C954CC" w:rsidRDefault="00ED72A2" w:rsidP="00C954CC">
            <w:pPr>
              <w:jc w:val="right"/>
              <w:rPr>
                <w:color w:val="000000"/>
                <w:sz w:val="18"/>
                <w:szCs w:val="18"/>
              </w:rPr>
            </w:pPr>
            <w:r w:rsidRPr="00C954CC">
              <w:rPr>
                <w:color w:val="000000"/>
                <w:sz w:val="18"/>
                <w:szCs w:val="18"/>
              </w:rPr>
              <w:t>-99.1</w:t>
            </w:r>
          </w:p>
        </w:tc>
        <w:tc>
          <w:tcPr>
            <w:tcW w:w="990" w:type="dxa"/>
          </w:tcPr>
          <w:p w14:paraId="688BC7B5" w14:textId="35E48460" w:rsidR="00ED72A2" w:rsidRPr="00C954CC" w:rsidRDefault="00711C46" w:rsidP="00C954CC">
            <w:pPr>
              <w:jc w:val="right"/>
              <w:rPr>
                <w:color w:val="000000"/>
                <w:sz w:val="18"/>
                <w:szCs w:val="18"/>
              </w:rPr>
            </w:pPr>
            <w:r>
              <w:rPr>
                <w:color w:val="000000"/>
                <w:sz w:val="18"/>
                <w:szCs w:val="18"/>
              </w:rPr>
              <w:t>566</w:t>
            </w:r>
          </w:p>
        </w:tc>
        <w:tc>
          <w:tcPr>
            <w:tcW w:w="630" w:type="dxa"/>
            <w:vAlign w:val="center"/>
          </w:tcPr>
          <w:p w14:paraId="66E3F685" w14:textId="5B23B287" w:rsidR="00ED72A2" w:rsidRPr="00C954CC" w:rsidRDefault="00711C46" w:rsidP="00C954CC">
            <w:pPr>
              <w:jc w:val="right"/>
              <w:rPr>
                <w:color w:val="000000"/>
                <w:sz w:val="18"/>
                <w:szCs w:val="18"/>
              </w:rPr>
            </w:pPr>
            <w:r>
              <w:rPr>
                <w:color w:val="000000"/>
                <w:sz w:val="18"/>
                <w:szCs w:val="18"/>
              </w:rPr>
              <w:t>14.9</w:t>
            </w:r>
          </w:p>
        </w:tc>
        <w:tc>
          <w:tcPr>
            <w:tcW w:w="630" w:type="dxa"/>
            <w:vAlign w:val="center"/>
          </w:tcPr>
          <w:p w14:paraId="52754481" w14:textId="0B812CFC" w:rsidR="00ED72A2" w:rsidRPr="00C954CC" w:rsidRDefault="00711C46" w:rsidP="00C954CC">
            <w:pPr>
              <w:jc w:val="right"/>
              <w:rPr>
                <w:color w:val="000000"/>
                <w:sz w:val="18"/>
                <w:szCs w:val="18"/>
              </w:rPr>
            </w:pPr>
            <w:r>
              <w:rPr>
                <w:color w:val="000000"/>
                <w:sz w:val="18"/>
                <w:szCs w:val="18"/>
              </w:rPr>
              <w:t>0.35</w:t>
            </w:r>
          </w:p>
        </w:tc>
        <w:tc>
          <w:tcPr>
            <w:tcW w:w="630" w:type="dxa"/>
          </w:tcPr>
          <w:p w14:paraId="77D1E0D3" w14:textId="68AA0260" w:rsidR="00ED72A2" w:rsidRPr="00C954CC" w:rsidRDefault="00711C46" w:rsidP="00C954CC">
            <w:pPr>
              <w:jc w:val="right"/>
              <w:rPr>
                <w:color w:val="000000"/>
                <w:sz w:val="18"/>
                <w:szCs w:val="18"/>
              </w:rPr>
            </w:pPr>
            <w:r>
              <w:rPr>
                <w:color w:val="000000"/>
                <w:sz w:val="18"/>
                <w:szCs w:val="18"/>
              </w:rPr>
              <w:t>858</w:t>
            </w:r>
          </w:p>
        </w:tc>
        <w:tc>
          <w:tcPr>
            <w:tcW w:w="1080" w:type="dxa"/>
            <w:vAlign w:val="bottom"/>
          </w:tcPr>
          <w:p w14:paraId="49AB084C" w14:textId="39BBC30C"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416A1903" w14:textId="73366777"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1E4E53EB" w14:textId="092C44B5"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3DF63151" w14:textId="02548CA1"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6F246007" w14:textId="77777777" w:rsidTr="00ED72A2">
        <w:tc>
          <w:tcPr>
            <w:tcW w:w="2245" w:type="dxa"/>
            <w:vMerge/>
          </w:tcPr>
          <w:p w14:paraId="20A27F55" w14:textId="77777777" w:rsidR="00ED72A2" w:rsidRPr="00C15C33" w:rsidRDefault="00ED72A2" w:rsidP="00C954CC">
            <w:pPr>
              <w:rPr>
                <w:sz w:val="18"/>
                <w:szCs w:val="18"/>
              </w:rPr>
            </w:pPr>
          </w:p>
        </w:tc>
        <w:tc>
          <w:tcPr>
            <w:tcW w:w="1260" w:type="dxa"/>
            <w:vAlign w:val="bottom"/>
          </w:tcPr>
          <w:p w14:paraId="14FBB201" w14:textId="4CA3D974" w:rsidR="00ED72A2" w:rsidRPr="00C954CC" w:rsidRDefault="00ED72A2" w:rsidP="00C954CC">
            <w:pPr>
              <w:rPr>
                <w:color w:val="000000"/>
                <w:sz w:val="18"/>
                <w:szCs w:val="18"/>
              </w:rPr>
            </w:pPr>
            <w:r w:rsidRPr="00C954CC">
              <w:rPr>
                <w:color w:val="000000"/>
                <w:sz w:val="18"/>
                <w:szCs w:val="18"/>
              </w:rPr>
              <w:t>sgs.us</w:t>
            </w:r>
          </w:p>
        </w:tc>
        <w:tc>
          <w:tcPr>
            <w:tcW w:w="900" w:type="dxa"/>
            <w:vAlign w:val="bottom"/>
          </w:tcPr>
          <w:p w14:paraId="16E886D7" w14:textId="44DA10D4" w:rsidR="00ED72A2" w:rsidRPr="00C954CC" w:rsidRDefault="00ED72A2" w:rsidP="00C954CC">
            <w:pPr>
              <w:jc w:val="right"/>
              <w:rPr>
                <w:color w:val="000000"/>
                <w:sz w:val="18"/>
                <w:szCs w:val="18"/>
              </w:rPr>
            </w:pPr>
            <w:r w:rsidRPr="00C954CC">
              <w:rPr>
                <w:color w:val="000000"/>
                <w:sz w:val="18"/>
                <w:szCs w:val="18"/>
              </w:rPr>
              <w:t>40.82</w:t>
            </w:r>
          </w:p>
        </w:tc>
        <w:tc>
          <w:tcPr>
            <w:tcW w:w="1080" w:type="dxa"/>
            <w:vAlign w:val="bottom"/>
          </w:tcPr>
          <w:p w14:paraId="71899B9A" w14:textId="7CC47F1C" w:rsidR="00ED72A2" w:rsidRPr="00C954CC" w:rsidRDefault="00ED72A2" w:rsidP="00C954CC">
            <w:pPr>
              <w:jc w:val="right"/>
              <w:rPr>
                <w:color w:val="000000"/>
                <w:sz w:val="18"/>
                <w:szCs w:val="18"/>
              </w:rPr>
            </w:pPr>
            <w:r w:rsidRPr="00C954CC">
              <w:rPr>
                <w:color w:val="000000"/>
                <w:sz w:val="18"/>
                <w:szCs w:val="18"/>
              </w:rPr>
              <w:t>-104.77</w:t>
            </w:r>
          </w:p>
        </w:tc>
        <w:tc>
          <w:tcPr>
            <w:tcW w:w="990" w:type="dxa"/>
          </w:tcPr>
          <w:p w14:paraId="2CA77A96" w14:textId="4BA9CBAE" w:rsidR="00ED72A2" w:rsidRPr="00C954CC" w:rsidRDefault="00711C46" w:rsidP="00C954CC">
            <w:pPr>
              <w:jc w:val="right"/>
              <w:rPr>
                <w:color w:val="000000"/>
                <w:sz w:val="18"/>
                <w:szCs w:val="18"/>
              </w:rPr>
            </w:pPr>
            <w:r>
              <w:rPr>
                <w:color w:val="000000"/>
                <w:sz w:val="18"/>
                <w:szCs w:val="18"/>
              </w:rPr>
              <w:t>1654</w:t>
            </w:r>
          </w:p>
        </w:tc>
        <w:tc>
          <w:tcPr>
            <w:tcW w:w="630" w:type="dxa"/>
            <w:vAlign w:val="center"/>
          </w:tcPr>
          <w:p w14:paraId="4723574F" w14:textId="2B1C2E29" w:rsidR="00ED72A2" w:rsidRPr="00C954CC" w:rsidRDefault="00711C46" w:rsidP="00C954CC">
            <w:pPr>
              <w:jc w:val="right"/>
              <w:rPr>
                <w:color w:val="000000"/>
                <w:sz w:val="18"/>
                <w:szCs w:val="18"/>
              </w:rPr>
            </w:pPr>
            <w:r>
              <w:rPr>
                <w:color w:val="000000"/>
                <w:sz w:val="18"/>
                <w:szCs w:val="18"/>
              </w:rPr>
              <w:t>11.2</w:t>
            </w:r>
          </w:p>
        </w:tc>
        <w:tc>
          <w:tcPr>
            <w:tcW w:w="630" w:type="dxa"/>
            <w:vAlign w:val="center"/>
          </w:tcPr>
          <w:p w14:paraId="31D94EFC" w14:textId="34B6B709" w:rsidR="00ED72A2" w:rsidRPr="00C954CC" w:rsidRDefault="00711C46" w:rsidP="00C954CC">
            <w:pPr>
              <w:jc w:val="right"/>
              <w:rPr>
                <w:color w:val="000000"/>
                <w:sz w:val="18"/>
                <w:szCs w:val="18"/>
              </w:rPr>
            </w:pPr>
            <w:r>
              <w:rPr>
                <w:color w:val="000000"/>
                <w:sz w:val="18"/>
                <w:szCs w:val="18"/>
              </w:rPr>
              <w:t>0.22</w:t>
            </w:r>
          </w:p>
        </w:tc>
        <w:tc>
          <w:tcPr>
            <w:tcW w:w="630" w:type="dxa"/>
          </w:tcPr>
          <w:p w14:paraId="78B7F8DA" w14:textId="0D055CA9" w:rsidR="00ED72A2" w:rsidRPr="00C954CC" w:rsidRDefault="00711C46" w:rsidP="00C954CC">
            <w:pPr>
              <w:jc w:val="right"/>
              <w:rPr>
                <w:color w:val="000000"/>
                <w:sz w:val="18"/>
                <w:szCs w:val="18"/>
              </w:rPr>
            </w:pPr>
            <w:r>
              <w:rPr>
                <w:color w:val="000000"/>
                <w:sz w:val="18"/>
                <w:szCs w:val="18"/>
              </w:rPr>
              <w:t>860</w:t>
            </w:r>
          </w:p>
        </w:tc>
        <w:tc>
          <w:tcPr>
            <w:tcW w:w="1080" w:type="dxa"/>
            <w:vAlign w:val="bottom"/>
          </w:tcPr>
          <w:p w14:paraId="44D2C532" w14:textId="00A3AACC"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64E3EEB2" w14:textId="21DC1155"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17491336" w14:textId="12919D5A"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6972AB59" w14:textId="774E4442"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2C24B920" w14:textId="77777777" w:rsidTr="00ED72A2">
        <w:tc>
          <w:tcPr>
            <w:tcW w:w="2245" w:type="dxa"/>
            <w:vMerge/>
          </w:tcPr>
          <w:p w14:paraId="6184DF8E" w14:textId="77777777" w:rsidR="00ED72A2" w:rsidRPr="00C15C33" w:rsidRDefault="00ED72A2" w:rsidP="00C954CC">
            <w:pPr>
              <w:rPr>
                <w:sz w:val="18"/>
                <w:szCs w:val="18"/>
              </w:rPr>
            </w:pPr>
          </w:p>
        </w:tc>
        <w:tc>
          <w:tcPr>
            <w:tcW w:w="1260" w:type="dxa"/>
            <w:vAlign w:val="bottom"/>
          </w:tcPr>
          <w:p w14:paraId="418143E5" w14:textId="194D5D2B" w:rsidR="00ED72A2" w:rsidRPr="00C954CC" w:rsidRDefault="00ED72A2" w:rsidP="00C954CC">
            <w:pPr>
              <w:rPr>
                <w:color w:val="000000"/>
                <w:sz w:val="18"/>
                <w:szCs w:val="18"/>
              </w:rPr>
            </w:pPr>
            <w:r w:rsidRPr="00C954CC">
              <w:rPr>
                <w:color w:val="000000"/>
                <w:sz w:val="18"/>
                <w:szCs w:val="18"/>
              </w:rPr>
              <w:t>shps.us</w:t>
            </w:r>
          </w:p>
        </w:tc>
        <w:tc>
          <w:tcPr>
            <w:tcW w:w="900" w:type="dxa"/>
            <w:vAlign w:val="bottom"/>
          </w:tcPr>
          <w:p w14:paraId="171684F5" w14:textId="47FC082C" w:rsidR="00ED72A2" w:rsidRPr="00C954CC" w:rsidRDefault="00ED72A2" w:rsidP="00C954CC">
            <w:pPr>
              <w:jc w:val="right"/>
              <w:rPr>
                <w:color w:val="000000"/>
                <w:sz w:val="18"/>
                <w:szCs w:val="18"/>
              </w:rPr>
            </w:pPr>
            <w:r w:rsidRPr="00C954CC">
              <w:rPr>
                <w:color w:val="000000"/>
                <w:sz w:val="18"/>
                <w:szCs w:val="18"/>
              </w:rPr>
              <w:t>44.24</w:t>
            </w:r>
          </w:p>
        </w:tc>
        <w:tc>
          <w:tcPr>
            <w:tcW w:w="1080" w:type="dxa"/>
            <w:vAlign w:val="bottom"/>
          </w:tcPr>
          <w:p w14:paraId="55F75989" w14:textId="2AD259C0" w:rsidR="00ED72A2" w:rsidRPr="00C954CC" w:rsidRDefault="00ED72A2" w:rsidP="00C954CC">
            <w:pPr>
              <w:jc w:val="right"/>
              <w:rPr>
                <w:color w:val="000000"/>
                <w:sz w:val="18"/>
                <w:szCs w:val="18"/>
              </w:rPr>
            </w:pPr>
            <w:r w:rsidRPr="00C954CC">
              <w:rPr>
                <w:color w:val="000000"/>
                <w:sz w:val="18"/>
                <w:szCs w:val="18"/>
              </w:rPr>
              <w:t>-112.2</w:t>
            </w:r>
          </w:p>
        </w:tc>
        <w:tc>
          <w:tcPr>
            <w:tcW w:w="990" w:type="dxa"/>
          </w:tcPr>
          <w:p w14:paraId="6B603171" w14:textId="6B3D90C1" w:rsidR="00ED72A2" w:rsidRPr="00C954CC" w:rsidRDefault="00711C46" w:rsidP="00C954CC">
            <w:pPr>
              <w:jc w:val="right"/>
              <w:rPr>
                <w:color w:val="000000"/>
                <w:sz w:val="18"/>
                <w:szCs w:val="18"/>
              </w:rPr>
            </w:pPr>
            <w:r>
              <w:rPr>
                <w:color w:val="000000"/>
                <w:sz w:val="18"/>
                <w:szCs w:val="18"/>
              </w:rPr>
              <w:t>1667</w:t>
            </w:r>
          </w:p>
        </w:tc>
        <w:tc>
          <w:tcPr>
            <w:tcW w:w="630" w:type="dxa"/>
            <w:vAlign w:val="center"/>
          </w:tcPr>
          <w:p w14:paraId="0D32AEE5" w14:textId="01B7742F" w:rsidR="00ED72A2" w:rsidRPr="00C954CC" w:rsidRDefault="00711C46" w:rsidP="00C954CC">
            <w:pPr>
              <w:jc w:val="right"/>
              <w:rPr>
                <w:color w:val="000000"/>
                <w:sz w:val="18"/>
                <w:szCs w:val="18"/>
              </w:rPr>
            </w:pPr>
            <w:r>
              <w:rPr>
                <w:color w:val="000000"/>
                <w:sz w:val="18"/>
                <w:szCs w:val="18"/>
              </w:rPr>
              <w:t>12.2</w:t>
            </w:r>
          </w:p>
        </w:tc>
        <w:tc>
          <w:tcPr>
            <w:tcW w:w="630" w:type="dxa"/>
            <w:vAlign w:val="center"/>
          </w:tcPr>
          <w:p w14:paraId="6C6C3DA9" w14:textId="1F77601E" w:rsidR="00ED72A2" w:rsidRPr="00C954CC" w:rsidRDefault="00711C46" w:rsidP="00C954CC">
            <w:pPr>
              <w:jc w:val="right"/>
              <w:rPr>
                <w:color w:val="000000"/>
                <w:sz w:val="18"/>
                <w:szCs w:val="18"/>
              </w:rPr>
            </w:pPr>
            <w:r>
              <w:rPr>
                <w:color w:val="000000"/>
                <w:sz w:val="18"/>
                <w:szCs w:val="18"/>
              </w:rPr>
              <w:t>0.15</w:t>
            </w:r>
          </w:p>
        </w:tc>
        <w:tc>
          <w:tcPr>
            <w:tcW w:w="630" w:type="dxa"/>
          </w:tcPr>
          <w:p w14:paraId="0F867EA0" w14:textId="3DC02B9C" w:rsidR="00ED72A2" w:rsidRPr="00C954CC" w:rsidRDefault="00711C46" w:rsidP="00C954CC">
            <w:pPr>
              <w:jc w:val="right"/>
              <w:rPr>
                <w:color w:val="000000"/>
                <w:sz w:val="18"/>
                <w:szCs w:val="18"/>
              </w:rPr>
            </w:pPr>
            <w:r>
              <w:rPr>
                <w:color w:val="000000"/>
                <w:sz w:val="18"/>
                <w:szCs w:val="18"/>
              </w:rPr>
              <w:t>963</w:t>
            </w:r>
          </w:p>
        </w:tc>
        <w:tc>
          <w:tcPr>
            <w:tcW w:w="1080" w:type="dxa"/>
            <w:vAlign w:val="bottom"/>
          </w:tcPr>
          <w:p w14:paraId="35B467C3" w14:textId="109D8B85"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64FD810C" w14:textId="06FE243E"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6C4CA810" w14:textId="5EC11778"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53D84D92" w14:textId="30AE323B"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5F4A0BA5" w14:textId="77777777" w:rsidTr="00ED72A2">
        <w:tc>
          <w:tcPr>
            <w:tcW w:w="2245" w:type="dxa"/>
            <w:vMerge/>
          </w:tcPr>
          <w:p w14:paraId="17DEC75C" w14:textId="77777777" w:rsidR="00ED72A2" w:rsidRPr="00C15C33" w:rsidRDefault="00ED72A2" w:rsidP="00C954CC">
            <w:pPr>
              <w:rPr>
                <w:sz w:val="18"/>
                <w:szCs w:val="18"/>
              </w:rPr>
            </w:pPr>
          </w:p>
        </w:tc>
        <w:tc>
          <w:tcPr>
            <w:tcW w:w="1260" w:type="dxa"/>
            <w:vAlign w:val="bottom"/>
          </w:tcPr>
          <w:p w14:paraId="5892D9E1" w14:textId="62C9E574" w:rsidR="00ED72A2" w:rsidRPr="00C954CC" w:rsidRDefault="00ED72A2" w:rsidP="00C954CC">
            <w:pPr>
              <w:rPr>
                <w:color w:val="000000"/>
                <w:sz w:val="18"/>
                <w:szCs w:val="18"/>
              </w:rPr>
            </w:pPr>
            <w:r w:rsidRPr="00C954CC">
              <w:rPr>
                <w:color w:val="000000"/>
                <w:sz w:val="18"/>
                <w:szCs w:val="18"/>
              </w:rPr>
              <w:t>sier.us</w:t>
            </w:r>
          </w:p>
        </w:tc>
        <w:tc>
          <w:tcPr>
            <w:tcW w:w="900" w:type="dxa"/>
            <w:vAlign w:val="bottom"/>
          </w:tcPr>
          <w:p w14:paraId="14BD7531" w14:textId="767470A6" w:rsidR="00ED72A2" w:rsidRPr="00C954CC" w:rsidRDefault="00ED72A2" w:rsidP="00C954CC">
            <w:pPr>
              <w:jc w:val="right"/>
              <w:rPr>
                <w:color w:val="000000"/>
                <w:sz w:val="18"/>
                <w:szCs w:val="18"/>
              </w:rPr>
            </w:pPr>
            <w:r w:rsidRPr="00C954CC">
              <w:rPr>
                <w:color w:val="000000"/>
                <w:sz w:val="18"/>
                <w:szCs w:val="18"/>
              </w:rPr>
              <w:t>39.24</w:t>
            </w:r>
          </w:p>
        </w:tc>
        <w:tc>
          <w:tcPr>
            <w:tcW w:w="1080" w:type="dxa"/>
            <w:vAlign w:val="bottom"/>
          </w:tcPr>
          <w:p w14:paraId="43459438" w14:textId="6C128484" w:rsidR="00ED72A2" w:rsidRPr="00C954CC" w:rsidRDefault="00ED72A2" w:rsidP="00C954CC">
            <w:pPr>
              <w:jc w:val="right"/>
              <w:rPr>
                <w:color w:val="000000"/>
                <w:sz w:val="18"/>
                <w:szCs w:val="18"/>
              </w:rPr>
            </w:pPr>
            <w:r w:rsidRPr="00C954CC">
              <w:rPr>
                <w:color w:val="000000"/>
                <w:sz w:val="18"/>
                <w:szCs w:val="18"/>
              </w:rPr>
              <w:t>-121.28</w:t>
            </w:r>
          </w:p>
        </w:tc>
        <w:tc>
          <w:tcPr>
            <w:tcW w:w="990" w:type="dxa"/>
          </w:tcPr>
          <w:p w14:paraId="47B3C054" w14:textId="553ECF48" w:rsidR="00ED72A2" w:rsidRPr="00C954CC" w:rsidRDefault="00711C46" w:rsidP="00C954CC">
            <w:pPr>
              <w:jc w:val="right"/>
              <w:rPr>
                <w:color w:val="000000"/>
                <w:sz w:val="18"/>
                <w:szCs w:val="18"/>
              </w:rPr>
            </w:pPr>
            <w:r>
              <w:rPr>
                <w:color w:val="000000"/>
                <w:sz w:val="18"/>
                <w:szCs w:val="18"/>
              </w:rPr>
              <w:t>258</w:t>
            </w:r>
          </w:p>
        </w:tc>
        <w:tc>
          <w:tcPr>
            <w:tcW w:w="630" w:type="dxa"/>
            <w:vAlign w:val="center"/>
          </w:tcPr>
          <w:p w14:paraId="5F5403C1" w14:textId="41918F1E" w:rsidR="00ED72A2" w:rsidRPr="00C954CC" w:rsidRDefault="00711C46" w:rsidP="00C954CC">
            <w:pPr>
              <w:jc w:val="right"/>
              <w:rPr>
                <w:color w:val="000000"/>
                <w:sz w:val="18"/>
                <w:szCs w:val="18"/>
              </w:rPr>
            </w:pPr>
            <w:r>
              <w:rPr>
                <w:color w:val="000000"/>
                <w:sz w:val="18"/>
                <w:szCs w:val="18"/>
              </w:rPr>
              <w:t>16.3</w:t>
            </w:r>
          </w:p>
        </w:tc>
        <w:tc>
          <w:tcPr>
            <w:tcW w:w="630" w:type="dxa"/>
            <w:vAlign w:val="center"/>
          </w:tcPr>
          <w:p w14:paraId="3520F408" w14:textId="418D3D05" w:rsidR="00ED72A2" w:rsidRPr="00C954CC" w:rsidRDefault="00711C46" w:rsidP="00C954CC">
            <w:pPr>
              <w:jc w:val="right"/>
              <w:rPr>
                <w:color w:val="000000"/>
                <w:sz w:val="18"/>
                <w:szCs w:val="18"/>
              </w:rPr>
            </w:pPr>
            <w:r>
              <w:rPr>
                <w:color w:val="000000"/>
                <w:sz w:val="18"/>
                <w:szCs w:val="18"/>
              </w:rPr>
              <w:t>1.06</w:t>
            </w:r>
          </w:p>
        </w:tc>
        <w:tc>
          <w:tcPr>
            <w:tcW w:w="630" w:type="dxa"/>
          </w:tcPr>
          <w:p w14:paraId="4C3EA67B" w14:textId="04750210" w:rsidR="00ED72A2" w:rsidRPr="00C954CC" w:rsidRDefault="00711C46" w:rsidP="00C954CC">
            <w:pPr>
              <w:jc w:val="right"/>
              <w:rPr>
                <w:color w:val="000000"/>
                <w:sz w:val="18"/>
                <w:szCs w:val="18"/>
              </w:rPr>
            </w:pPr>
            <w:r>
              <w:rPr>
                <w:color w:val="000000"/>
                <w:sz w:val="18"/>
                <w:szCs w:val="18"/>
              </w:rPr>
              <w:t>820</w:t>
            </w:r>
          </w:p>
        </w:tc>
        <w:tc>
          <w:tcPr>
            <w:tcW w:w="1080" w:type="dxa"/>
            <w:vAlign w:val="bottom"/>
          </w:tcPr>
          <w:p w14:paraId="1A8592C7" w14:textId="25C9E0E5"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115CAAD2" w14:textId="4CC57467"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2B11FB8E" w14:textId="4E0F6AA2"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6BEC3214" w14:textId="407AB32D"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522F90EB" w14:textId="77777777" w:rsidTr="00ED72A2">
        <w:tc>
          <w:tcPr>
            <w:tcW w:w="2245" w:type="dxa"/>
            <w:vMerge/>
          </w:tcPr>
          <w:p w14:paraId="36ADA5D0" w14:textId="77777777" w:rsidR="00ED72A2" w:rsidRPr="00C15C33" w:rsidRDefault="00ED72A2" w:rsidP="00C954CC">
            <w:pPr>
              <w:rPr>
                <w:sz w:val="18"/>
                <w:szCs w:val="18"/>
              </w:rPr>
            </w:pPr>
          </w:p>
        </w:tc>
        <w:tc>
          <w:tcPr>
            <w:tcW w:w="1260" w:type="dxa"/>
            <w:vAlign w:val="bottom"/>
          </w:tcPr>
          <w:p w14:paraId="3EBEF37B" w14:textId="1D72B1AB" w:rsidR="00ED72A2" w:rsidRPr="00C954CC" w:rsidRDefault="00ED72A2" w:rsidP="00C954CC">
            <w:pPr>
              <w:rPr>
                <w:color w:val="000000"/>
                <w:sz w:val="18"/>
                <w:szCs w:val="18"/>
              </w:rPr>
            </w:pPr>
            <w:r w:rsidRPr="00C954CC">
              <w:rPr>
                <w:color w:val="000000"/>
                <w:sz w:val="18"/>
                <w:szCs w:val="18"/>
              </w:rPr>
              <w:t>smith.us</w:t>
            </w:r>
          </w:p>
        </w:tc>
        <w:tc>
          <w:tcPr>
            <w:tcW w:w="900" w:type="dxa"/>
            <w:vAlign w:val="bottom"/>
          </w:tcPr>
          <w:p w14:paraId="3E8F8422" w14:textId="5416AE62" w:rsidR="00ED72A2" w:rsidRPr="00C954CC" w:rsidRDefault="00ED72A2" w:rsidP="00C954CC">
            <w:pPr>
              <w:jc w:val="right"/>
              <w:rPr>
                <w:color w:val="000000"/>
                <w:sz w:val="18"/>
                <w:szCs w:val="18"/>
              </w:rPr>
            </w:pPr>
            <w:r w:rsidRPr="00C954CC">
              <w:rPr>
                <w:color w:val="000000"/>
                <w:sz w:val="18"/>
                <w:szCs w:val="18"/>
              </w:rPr>
              <w:t>48.21</w:t>
            </w:r>
          </w:p>
        </w:tc>
        <w:tc>
          <w:tcPr>
            <w:tcW w:w="1080" w:type="dxa"/>
            <w:vAlign w:val="bottom"/>
          </w:tcPr>
          <w:p w14:paraId="22CCED03" w14:textId="052CC776" w:rsidR="00ED72A2" w:rsidRPr="00C954CC" w:rsidRDefault="00ED72A2" w:rsidP="00C954CC">
            <w:pPr>
              <w:jc w:val="right"/>
              <w:rPr>
                <w:color w:val="000000"/>
                <w:sz w:val="18"/>
                <w:szCs w:val="18"/>
              </w:rPr>
            </w:pPr>
            <w:r w:rsidRPr="00C954CC">
              <w:rPr>
                <w:color w:val="000000"/>
                <w:sz w:val="18"/>
                <w:szCs w:val="18"/>
              </w:rPr>
              <w:t>-122.62</w:t>
            </w:r>
          </w:p>
        </w:tc>
        <w:tc>
          <w:tcPr>
            <w:tcW w:w="990" w:type="dxa"/>
          </w:tcPr>
          <w:p w14:paraId="7BDF78F5" w14:textId="0FF594CA" w:rsidR="00ED72A2" w:rsidRPr="00C954CC" w:rsidRDefault="00711C46" w:rsidP="00C954CC">
            <w:pPr>
              <w:jc w:val="right"/>
              <w:rPr>
                <w:color w:val="000000"/>
                <w:sz w:val="18"/>
                <w:szCs w:val="18"/>
              </w:rPr>
            </w:pPr>
            <w:r>
              <w:rPr>
                <w:color w:val="000000"/>
                <w:sz w:val="18"/>
                <w:szCs w:val="18"/>
              </w:rPr>
              <w:t>56</w:t>
            </w:r>
          </w:p>
        </w:tc>
        <w:tc>
          <w:tcPr>
            <w:tcW w:w="630" w:type="dxa"/>
            <w:vAlign w:val="center"/>
          </w:tcPr>
          <w:p w14:paraId="2AAD4BB5" w14:textId="24EE2B8F" w:rsidR="00ED72A2" w:rsidRPr="00C954CC" w:rsidRDefault="00711C46" w:rsidP="00C954CC">
            <w:pPr>
              <w:jc w:val="right"/>
              <w:rPr>
                <w:color w:val="000000"/>
                <w:sz w:val="18"/>
                <w:szCs w:val="18"/>
              </w:rPr>
            </w:pPr>
            <w:r>
              <w:rPr>
                <w:color w:val="000000"/>
                <w:sz w:val="18"/>
                <w:szCs w:val="18"/>
              </w:rPr>
              <w:t>10.2</w:t>
            </w:r>
          </w:p>
        </w:tc>
        <w:tc>
          <w:tcPr>
            <w:tcW w:w="630" w:type="dxa"/>
            <w:vAlign w:val="center"/>
          </w:tcPr>
          <w:p w14:paraId="553E1A65" w14:textId="057BBBB9" w:rsidR="00ED72A2" w:rsidRPr="00C954CC" w:rsidRDefault="00711C46" w:rsidP="00C954CC">
            <w:pPr>
              <w:jc w:val="right"/>
              <w:rPr>
                <w:color w:val="000000"/>
                <w:sz w:val="18"/>
                <w:szCs w:val="18"/>
              </w:rPr>
            </w:pPr>
            <w:r>
              <w:rPr>
                <w:color w:val="000000"/>
                <w:sz w:val="18"/>
                <w:szCs w:val="18"/>
              </w:rPr>
              <w:t>1.08</w:t>
            </w:r>
          </w:p>
        </w:tc>
        <w:tc>
          <w:tcPr>
            <w:tcW w:w="630" w:type="dxa"/>
          </w:tcPr>
          <w:p w14:paraId="4A878502" w14:textId="2385F0A9" w:rsidR="00ED72A2" w:rsidRPr="00C954CC" w:rsidRDefault="00711C46" w:rsidP="00C954CC">
            <w:pPr>
              <w:jc w:val="right"/>
              <w:rPr>
                <w:color w:val="000000"/>
                <w:sz w:val="18"/>
                <w:szCs w:val="18"/>
              </w:rPr>
            </w:pPr>
            <w:r>
              <w:rPr>
                <w:color w:val="000000"/>
                <w:sz w:val="18"/>
                <w:szCs w:val="18"/>
              </w:rPr>
              <w:t>562</w:t>
            </w:r>
          </w:p>
        </w:tc>
        <w:tc>
          <w:tcPr>
            <w:tcW w:w="1080" w:type="dxa"/>
            <w:vAlign w:val="bottom"/>
          </w:tcPr>
          <w:p w14:paraId="4C068248" w14:textId="3E389585"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0C0D4DB" w14:textId="1BCCF6CB"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70B2A115" w14:textId="21249DAB"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0FDAA66E" w14:textId="14C16D62"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035A7B62" w14:textId="77777777" w:rsidTr="00ED72A2">
        <w:tc>
          <w:tcPr>
            <w:tcW w:w="2245" w:type="dxa"/>
            <w:vMerge/>
          </w:tcPr>
          <w:p w14:paraId="05D761BD" w14:textId="77777777" w:rsidR="00ED72A2" w:rsidRPr="00C15C33" w:rsidRDefault="00ED72A2" w:rsidP="00C954CC">
            <w:pPr>
              <w:rPr>
                <w:sz w:val="18"/>
                <w:szCs w:val="18"/>
              </w:rPr>
            </w:pPr>
          </w:p>
        </w:tc>
        <w:tc>
          <w:tcPr>
            <w:tcW w:w="1260" w:type="dxa"/>
            <w:vAlign w:val="bottom"/>
          </w:tcPr>
          <w:p w14:paraId="32CD4563" w14:textId="21ECB5E3" w:rsidR="00ED72A2" w:rsidRPr="00C954CC" w:rsidRDefault="00ED72A2" w:rsidP="00C954CC">
            <w:pPr>
              <w:rPr>
                <w:color w:val="000000"/>
                <w:sz w:val="18"/>
                <w:szCs w:val="18"/>
              </w:rPr>
            </w:pPr>
            <w:r w:rsidRPr="00C954CC">
              <w:rPr>
                <w:color w:val="000000"/>
                <w:sz w:val="18"/>
                <w:szCs w:val="18"/>
              </w:rPr>
              <w:t>spin.us</w:t>
            </w:r>
          </w:p>
        </w:tc>
        <w:tc>
          <w:tcPr>
            <w:tcW w:w="900" w:type="dxa"/>
            <w:vAlign w:val="bottom"/>
          </w:tcPr>
          <w:p w14:paraId="07EBA383" w14:textId="110A8BE7" w:rsidR="00ED72A2" w:rsidRPr="00C954CC" w:rsidRDefault="00ED72A2" w:rsidP="00C954CC">
            <w:pPr>
              <w:jc w:val="right"/>
              <w:rPr>
                <w:color w:val="000000"/>
                <w:sz w:val="18"/>
                <w:szCs w:val="18"/>
              </w:rPr>
            </w:pPr>
            <w:r w:rsidRPr="00C954CC">
              <w:rPr>
                <w:color w:val="000000"/>
                <w:sz w:val="18"/>
                <w:szCs w:val="18"/>
              </w:rPr>
              <w:t>38.14</w:t>
            </w:r>
          </w:p>
        </w:tc>
        <w:tc>
          <w:tcPr>
            <w:tcW w:w="1080" w:type="dxa"/>
            <w:vAlign w:val="bottom"/>
          </w:tcPr>
          <w:p w14:paraId="75EC8312" w14:textId="5CA5C680" w:rsidR="00ED72A2" w:rsidRPr="00C954CC" w:rsidRDefault="00ED72A2" w:rsidP="00C954CC">
            <w:pPr>
              <w:jc w:val="right"/>
              <w:rPr>
                <w:color w:val="000000"/>
                <w:sz w:val="18"/>
                <w:szCs w:val="18"/>
              </w:rPr>
            </w:pPr>
            <w:r w:rsidRPr="00C954CC">
              <w:rPr>
                <w:color w:val="000000"/>
                <w:sz w:val="18"/>
                <w:szCs w:val="18"/>
              </w:rPr>
              <w:t>-84.5</w:t>
            </w:r>
          </w:p>
        </w:tc>
        <w:tc>
          <w:tcPr>
            <w:tcW w:w="990" w:type="dxa"/>
          </w:tcPr>
          <w:p w14:paraId="2494C7D5" w14:textId="30BC153C" w:rsidR="00ED72A2" w:rsidRPr="00C954CC" w:rsidRDefault="00711C46" w:rsidP="00C954CC">
            <w:pPr>
              <w:jc w:val="right"/>
              <w:rPr>
                <w:color w:val="000000"/>
                <w:sz w:val="18"/>
                <w:szCs w:val="18"/>
              </w:rPr>
            </w:pPr>
            <w:r>
              <w:rPr>
                <w:color w:val="000000"/>
                <w:sz w:val="18"/>
                <w:szCs w:val="18"/>
              </w:rPr>
              <w:t>284</w:t>
            </w:r>
          </w:p>
        </w:tc>
        <w:tc>
          <w:tcPr>
            <w:tcW w:w="630" w:type="dxa"/>
            <w:vAlign w:val="center"/>
          </w:tcPr>
          <w:p w14:paraId="0D6D495F" w14:textId="073D61D9" w:rsidR="00ED72A2" w:rsidRPr="00C954CC" w:rsidRDefault="00711C46" w:rsidP="00C954CC">
            <w:pPr>
              <w:jc w:val="right"/>
              <w:rPr>
                <w:color w:val="000000"/>
                <w:sz w:val="18"/>
                <w:szCs w:val="18"/>
              </w:rPr>
            </w:pPr>
            <w:r>
              <w:rPr>
                <w:color w:val="000000"/>
                <w:sz w:val="18"/>
                <w:szCs w:val="18"/>
              </w:rPr>
              <w:t>13.6</w:t>
            </w:r>
          </w:p>
        </w:tc>
        <w:tc>
          <w:tcPr>
            <w:tcW w:w="630" w:type="dxa"/>
            <w:vAlign w:val="center"/>
          </w:tcPr>
          <w:p w14:paraId="34A47058" w14:textId="50D04237" w:rsidR="00ED72A2" w:rsidRPr="00C954CC" w:rsidRDefault="00711C46" w:rsidP="00C954CC">
            <w:pPr>
              <w:jc w:val="right"/>
              <w:rPr>
                <w:color w:val="000000"/>
                <w:sz w:val="18"/>
                <w:szCs w:val="18"/>
              </w:rPr>
            </w:pPr>
            <w:r>
              <w:rPr>
                <w:color w:val="000000"/>
                <w:sz w:val="18"/>
                <w:szCs w:val="18"/>
              </w:rPr>
              <w:t>1.07</w:t>
            </w:r>
          </w:p>
        </w:tc>
        <w:tc>
          <w:tcPr>
            <w:tcW w:w="630" w:type="dxa"/>
          </w:tcPr>
          <w:p w14:paraId="2376A79A" w14:textId="6806FC40" w:rsidR="00ED72A2" w:rsidRPr="00C954CC" w:rsidRDefault="00711C46" w:rsidP="00C954CC">
            <w:pPr>
              <w:jc w:val="right"/>
              <w:rPr>
                <w:color w:val="000000"/>
                <w:sz w:val="18"/>
                <w:szCs w:val="18"/>
              </w:rPr>
            </w:pPr>
            <w:r>
              <w:rPr>
                <w:color w:val="000000"/>
                <w:sz w:val="18"/>
                <w:szCs w:val="18"/>
              </w:rPr>
              <w:t>718</w:t>
            </w:r>
          </w:p>
        </w:tc>
        <w:tc>
          <w:tcPr>
            <w:tcW w:w="1080" w:type="dxa"/>
            <w:vAlign w:val="bottom"/>
          </w:tcPr>
          <w:p w14:paraId="1A088B4D" w14:textId="5B8E0E49"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54D4BFF8" w14:textId="73C6DD82"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00D57360" w14:textId="2F2CC002"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17B7DB08" w14:textId="62CEE943"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5203F8D3" w14:textId="77777777" w:rsidTr="00ED72A2">
        <w:tc>
          <w:tcPr>
            <w:tcW w:w="2245" w:type="dxa"/>
            <w:vMerge/>
          </w:tcPr>
          <w:p w14:paraId="413C036E" w14:textId="77777777" w:rsidR="00ED72A2" w:rsidRPr="00C15C33" w:rsidRDefault="00ED72A2" w:rsidP="00C954CC">
            <w:pPr>
              <w:rPr>
                <w:sz w:val="18"/>
                <w:szCs w:val="18"/>
              </w:rPr>
            </w:pPr>
          </w:p>
        </w:tc>
        <w:tc>
          <w:tcPr>
            <w:tcW w:w="1260" w:type="dxa"/>
            <w:vAlign w:val="bottom"/>
          </w:tcPr>
          <w:p w14:paraId="365C6439" w14:textId="5EBD156F" w:rsidR="00ED72A2" w:rsidRPr="00C954CC" w:rsidRDefault="00ED72A2" w:rsidP="00C954CC">
            <w:pPr>
              <w:rPr>
                <w:color w:val="000000"/>
                <w:sz w:val="18"/>
                <w:szCs w:val="18"/>
              </w:rPr>
            </w:pPr>
            <w:r w:rsidRPr="00C954CC">
              <w:rPr>
                <w:color w:val="000000"/>
                <w:sz w:val="18"/>
                <w:szCs w:val="18"/>
              </w:rPr>
              <w:t>summ.za</w:t>
            </w:r>
          </w:p>
        </w:tc>
        <w:tc>
          <w:tcPr>
            <w:tcW w:w="900" w:type="dxa"/>
            <w:vAlign w:val="bottom"/>
          </w:tcPr>
          <w:p w14:paraId="117DA4FE" w14:textId="16EC239C" w:rsidR="00ED72A2" w:rsidRPr="00C954CC" w:rsidRDefault="00ED72A2" w:rsidP="00C954CC">
            <w:pPr>
              <w:jc w:val="right"/>
              <w:rPr>
                <w:color w:val="000000"/>
                <w:sz w:val="18"/>
                <w:szCs w:val="18"/>
              </w:rPr>
            </w:pPr>
            <w:r w:rsidRPr="00C954CC">
              <w:rPr>
                <w:color w:val="000000"/>
                <w:sz w:val="18"/>
                <w:szCs w:val="18"/>
              </w:rPr>
              <w:t>-29.81</w:t>
            </w:r>
          </w:p>
        </w:tc>
        <w:tc>
          <w:tcPr>
            <w:tcW w:w="1080" w:type="dxa"/>
            <w:vAlign w:val="bottom"/>
          </w:tcPr>
          <w:p w14:paraId="1C2F664A" w14:textId="7C1EDACE" w:rsidR="00ED72A2" w:rsidRPr="00C954CC" w:rsidRDefault="00ED72A2" w:rsidP="00C954CC">
            <w:pPr>
              <w:jc w:val="right"/>
              <w:rPr>
                <w:color w:val="000000"/>
                <w:sz w:val="18"/>
                <w:szCs w:val="18"/>
              </w:rPr>
            </w:pPr>
            <w:r w:rsidRPr="00C954CC">
              <w:rPr>
                <w:color w:val="000000"/>
                <w:sz w:val="18"/>
                <w:szCs w:val="18"/>
              </w:rPr>
              <w:t>30.72</w:t>
            </w:r>
          </w:p>
        </w:tc>
        <w:tc>
          <w:tcPr>
            <w:tcW w:w="990" w:type="dxa"/>
          </w:tcPr>
          <w:p w14:paraId="242D55BD" w14:textId="496E57CD" w:rsidR="00ED72A2" w:rsidRPr="00C954CC" w:rsidRDefault="00711C46" w:rsidP="00C954CC">
            <w:pPr>
              <w:jc w:val="right"/>
              <w:rPr>
                <w:color w:val="000000"/>
                <w:sz w:val="18"/>
                <w:szCs w:val="18"/>
              </w:rPr>
            </w:pPr>
            <w:r>
              <w:rPr>
                <w:color w:val="000000"/>
                <w:sz w:val="18"/>
                <w:szCs w:val="18"/>
              </w:rPr>
              <w:t>636</w:t>
            </w:r>
          </w:p>
        </w:tc>
        <w:tc>
          <w:tcPr>
            <w:tcW w:w="630" w:type="dxa"/>
            <w:vAlign w:val="center"/>
          </w:tcPr>
          <w:p w14:paraId="6173D955" w14:textId="47AE5BC4" w:rsidR="00ED72A2" w:rsidRPr="00C954CC" w:rsidRDefault="00711C46" w:rsidP="00C954CC">
            <w:pPr>
              <w:jc w:val="right"/>
              <w:rPr>
                <w:color w:val="000000"/>
                <w:sz w:val="18"/>
                <w:szCs w:val="18"/>
              </w:rPr>
            </w:pPr>
            <w:r>
              <w:rPr>
                <w:color w:val="000000"/>
                <w:sz w:val="18"/>
                <w:szCs w:val="18"/>
              </w:rPr>
              <w:t>18.2</w:t>
            </w:r>
          </w:p>
        </w:tc>
        <w:tc>
          <w:tcPr>
            <w:tcW w:w="630" w:type="dxa"/>
            <w:vAlign w:val="center"/>
          </w:tcPr>
          <w:p w14:paraId="3465716A" w14:textId="33AE9769" w:rsidR="00ED72A2" w:rsidRPr="00C954CC" w:rsidRDefault="00711C46" w:rsidP="00C954CC">
            <w:pPr>
              <w:jc w:val="right"/>
              <w:rPr>
                <w:color w:val="000000"/>
                <w:sz w:val="18"/>
                <w:szCs w:val="18"/>
              </w:rPr>
            </w:pPr>
            <w:r>
              <w:rPr>
                <w:color w:val="000000"/>
                <w:sz w:val="18"/>
                <w:szCs w:val="18"/>
              </w:rPr>
              <w:t>0.59</w:t>
            </w:r>
          </w:p>
        </w:tc>
        <w:tc>
          <w:tcPr>
            <w:tcW w:w="630" w:type="dxa"/>
          </w:tcPr>
          <w:p w14:paraId="32BCB9B0" w14:textId="15D26288" w:rsidR="00ED72A2" w:rsidRPr="00C954CC" w:rsidRDefault="00711C46" w:rsidP="00C954CC">
            <w:pPr>
              <w:jc w:val="right"/>
              <w:rPr>
                <w:color w:val="000000"/>
                <w:sz w:val="18"/>
                <w:szCs w:val="18"/>
              </w:rPr>
            </w:pPr>
            <w:r>
              <w:rPr>
                <w:color w:val="000000"/>
                <w:sz w:val="18"/>
                <w:szCs w:val="18"/>
              </w:rPr>
              <w:t>810</w:t>
            </w:r>
          </w:p>
        </w:tc>
        <w:tc>
          <w:tcPr>
            <w:tcW w:w="1080" w:type="dxa"/>
            <w:vAlign w:val="bottom"/>
          </w:tcPr>
          <w:p w14:paraId="0D2C6809" w14:textId="36D795B1"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7B9FE59A" w14:textId="079685CA"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403837F6" w14:textId="34974BBC"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47C7AB50" w14:textId="2B412B5D"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3BDB9E6C" w14:textId="77777777" w:rsidTr="00ED72A2">
        <w:tc>
          <w:tcPr>
            <w:tcW w:w="2245" w:type="dxa"/>
            <w:vMerge/>
          </w:tcPr>
          <w:p w14:paraId="7D6D8B8B" w14:textId="77777777" w:rsidR="00ED72A2" w:rsidRPr="00C15C33" w:rsidRDefault="00ED72A2" w:rsidP="00C954CC">
            <w:pPr>
              <w:rPr>
                <w:sz w:val="18"/>
                <w:szCs w:val="18"/>
              </w:rPr>
            </w:pPr>
          </w:p>
        </w:tc>
        <w:tc>
          <w:tcPr>
            <w:tcW w:w="1260" w:type="dxa"/>
            <w:vAlign w:val="bottom"/>
          </w:tcPr>
          <w:p w14:paraId="6E8F4BFA" w14:textId="46BD0773" w:rsidR="00ED72A2" w:rsidRPr="00C954CC" w:rsidRDefault="00ED72A2" w:rsidP="00C954CC">
            <w:pPr>
              <w:rPr>
                <w:color w:val="000000"/>
                <w:sz w:val="18"/>
                <w:szCs w:val="18"/>
              </w:rPr>
            </w:pPr>
            <w:r w:rsidRPr="00C954CC">
              <w:rPr>
                <w:color w:val="000000"/>
                <w:sz w:val="18"/>
                <w:szCs w:val="18"/>
              </w:rPr>
              <w:t>trel.us</w:t>
            </w:r>
          </w:p>
        </w:tc>
        <w:tc>
          <w:tcPr>
            <w:tcW w:w="900" w:type="dxa"/>
            <w:vAlign w:val="bottom"/>
          </w:tcPr>
          <w:p w14:paraId="0A62B906" w14:textId="5CD38EEF" w:rsidR="00ED72A2" w:rsidRPr="00C954CC" w:rsidRDefault="00ED72A2" w:rsidP="00C954CC">
            <w:pPr>
              <w:jc w:val="right"/>
              <w:rPr>
                <w:color w:val="000000"/>
                <w:sz w:val="18"/>
                <w:szCs w:val="18"/>
              </w:rPr>
            </w:pPr>
            <w:r w:rsidRPr="00C954CC">
              <w:rPr>
                <w:color w:val="000000"/>
                <w:sz w:val="18"/>
                <w:szCs w:val="18"/>
              </w:rPr>
              <w:t>40.08</w:t>
            </w:r>
          </w:p>
        </w:tc>
        <w:tc>
          <w:tcPr>
            <w:tcW w:w="1080" w:type="dxa"/>
            <w:vAlign w:val="bottom"/>
          </w:tcPr>
          <w:p w14:paraId="0860D0C2" w14:textId="3B1F3D98" w:rsidR="00ED72A2" w:rsidRPr="00C954CC" w:rsidRDefault="00ED72A2" w:rsidP="00C954CC">
            <w:pPr>
              <w:jc w:val="right"/>
              <w:rPr>
                <w:color w:val="000000"/>
                <w:sz w:val="18"/>
                <w:szCs w:val="18"/>
              </w:rPr>
            </w:pPr>
            <w:r w:rsidRPr="00C954CC">
              <w:rPr>
                <w:color w:val="000000"/>
                <w:sz w:val="18"/>
                <w:szCs w:val="18"/>
              </w:rPr>
              <w:t>-88.83</w:t>
            </w:r>
          </w:p>
        </w:tc>
        <w:tc>
          <w:tcPr>
            <w:tcW w:w="990" w:type="dxa"/>
          </w:tcPr>
          <w:p w14:paraId="5DD391BE" w14:textId="3ED0C443" w:rsidR="00ED72A2" w:rsidRPr="00C954CC" w:rsidRDefault="00711C46" w:rsidP="00C954CC">
            <w:pPr>
              <w:jc w:val="right"/>
              <w:rPr>
                <w:color w:val="000000"/>
                <w:sz w:val="18"/>
                <w:szCs w:val="18"/>
              </w:rPr>
            </w:pPr>
            <w:r>
              <w:rPr>
                <w:color w:val="000000"/>
                <w:sz w:val="18"/>
                <w:szCs w:val="18"/>
              </w:rPr>
              <w:t>215</w:t>
            </w:r>
          </w:p>
        </w:tc>
        <w:tc>
          <w:tcPr>
            <w:tcW w:w="630" w:type="dxa"/>
            <w:vAlign w:val="center"/>
          </w:tcPr>
          <w:p w14:paraId="05355116" w14:textId="19B11ABB" w:rsidR="00ED72A2" w:rsidRPr="00C954CC" w:rsidRDefault="00711C46" w:rsidP="00C954CC">
            <w:pPr>
              <w:jc w:val="right"/>
              <w:rPr>
                <w:color w:val="000000"/>
                <w:sz w:val="18"/>
                <w:szCs w:val="18"/>
              </w:rPr>
            </w:pPr>
            <w:r>
              <w:rPr>
                <w:color w:val="000000"/>
                <w:sz w:val="18"/>
                <w:szCs w:val="18"/>
              </w:rPr>
              <w:t>15.4</w:t>
            </w:r>
          </w:p>
        </w:tc>
        <w:tc>
          <w:tcPr>
            <w:tcW w:w="630" w:type="dxa"/>
            <w:vAlign w:val="center"/>
          </w:tcPr>
          <w:p w14:paraId="69746BB7" w14:textId="7C493504" w:rsidR="00ED72A2" w:rsidRPr="00C954CC" w:rsidRDefault="00711C46" w:rsidP="00C954CC">
            <w:pPr>
              <w:jc w:val="right"/>
              <w:rPr>
                <w:color w:val="000000"/>
                <w:sz w:val="18"/>
                <w:szCs w:val="18"/>
              </w:rPr>
            </w:pPr>
            <w:r>
              <w:rPr>
                <w:color w:val="000000"/>
                <w:sz w:val="18"/>
                <w:szCs w:val="18"/>
              </w:rPr>
              <w:t>0.82</w:t>
            </w:r>
          </w:p>
        </w:tc>
        <w:tc>
          <w:tcPr>
            <w:tcW w:w="630" w:type="dxa"/>
          </w:tcPr>
          <w:p w14:paraId="32554A8F" w14:textId="5418204F" w:rsidR="00ED72A2" w:rsidRPr="00C954CC" w:rsidRDefault="00711C46" w:rsidP="00C954CC">
            <w:pPr>
              <w:jc w:val="right"/>
              <w:rPr>
                <w:color w:val="000000"/>
                <w:sz w:val="18"/>
                <w:szCs w:val="18"/>
              </w:rPr>
            </w:pPr>
            <w:r>
              <w:rPr>
                <w:color w:val="000000"/>
                <w:sz w:val="18"/>
                <w:szCs w:val="18"/>
              </w:rPr>
              <w:t>784</w:t>
            </w:r>
          </w:p>
        </w:tc>
        <w:tc>
          <w:tcPr>
            <w:tcW w:w="1080" w:type="dxa"/>
            <w:vAlign w:val="bottom"/>
          </w:tcPr>
          <w:p w14:paraId="0D1A2C30" w14:textId="7E294DDF"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401DF7EB" w14:textId="119D61F8"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58BCBAFA" w14:textId="5DC4279B"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5B5DE308" w14:textId="49304E35"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3992646C" w14:textId="77777777" w:rsidTr="00ED72A2">
        <w:tc>
          <w:tcPr>
            <w:tcW w:w="2245" w:type="dxa"/>
            <w:vMerge/>
          </w:tcPr>
          <w:p w14:paraId="73595A04" w14:textId="77777777" w:rsidR="00ED72A2" w:rsidRPr="00C15C33" w:rsidRDefault="00ED72A2" w:rsidP="00C954CC">
            <w:pPr>
              <w:rPr>
                <w:sz w:val="18"/>
                <w:szCs w:val="18"/>
              </w:rPr>
            </w:pPr>
          </w:p>
        </w:tc>
        <w:tc>
          <w:tcPr>
            <w:tcW w:w="1260" w:type="dxa"/>
            <w:vAlign w:val="bottom"/>
          </w:tcPr>
          <w:p w14:paraId="45DF41EA" w14:textId="388AB0BC" w:rsidR="00ED72A2" w:rsidRPr="00C954CC" w:rsidRDefault="00ED72A2" w:rsidP="00C954CC">
            <w:pPr>
              <w:rPr>
                <w:color w:val="000000"/>
                <w:sz w:val="18"/>
                <w:szCs w:val="18"/>
              </w:rPr>
            </w:pPr>
            <w:r w:rsidRPr="00C954CC">
              <w:rPr>
                <w:color w:val="000000"/>
                <w:sz w:val="18"/>
                <w:szCs w:val="18"/>
              </w:rPr>
              <w:t>ukul.za</w:t>
            </w:r>
          </w:p>
        </w:tc>
        <w:tc>
          <w:tcPr>
            <w:tcW w:w="900" w:type="dxa"/>
            <w:vAlign w:val="bottom"/>
          </w:tcPr>
          <w:p w14:paraId="20F08E98" w14:textId="3BAADED5" w:rsidR="00ED72A2" w:rsidRPr="00C954CC" w:rsidRDefault="00ED72A2" w:rsidP="00C954CC">
            <w:pPr>
              <w:jc w:val="right"/>
              <w:rPr>
                <w:color w:val="000000"/>
                <w:sz w:val="18"/>
                <w:szCs w:val="18"/>
              </w:rPr>
            </w:pPr>
            <w:r w:rsidRPr="00C954CC">
              <w:rPr>
                <w:color w:val="000000"/>
                <w:sz w:val="18"/>
                <w:szCs w:val="18"/>
              </w:rPr>
              <w:t>-29.67</w:t>
            </w:r>
          </w:p>
        </w:tc>
        <w:tc>
          <w:tcPr>
            <w:tcW w:w="1080" w:type="dxa"/>
            <w:vAlign w:val="bottom"/>
          </w:tcPr>
          <w:p w14:paraId="479B15DD" w14:textId="2533769C" w:rsidR="00ED72A2" w:rsidRPr="00C954CC" w:rsidRDefault="00ED72A2" w:rsidP="00C954CC">
            <w:pPr>
              <w:jc w:val="right"/>
              <w:rPr>
                <w:color w:val="000000"/>
                <w:sz w:val="18"/>
                <w:szCs w:val="18"/>
              </w:rPr>
            </w:pPr>
            <w:r w:rsidRPr="00C954CC">
              <w:rPr>
                <w:color w:val="000000"/>
                <w:sz w:val="18"/>
                <w:szCs w:val="18"/>
              </w:rPr>
              <w:t>30.4</w:t>
            </w:r>
          </w:p>
        </w:tc>
        <w:tc>
          <w:tcPr>
            <w:tcW w:w="990" w:type="dxa"/>
          </w:tcPr>
          <w:p w14:paraId="29D0F894" w14:textId="12FCC27B" w:rsidR="00ED72A2" w:rsidRPr="00C954CC" w:rsidRDefault="00711C46" w:rsidP="00C954CC">
            <w:pPr>
              <w:jc w:val="right"/>
              <w:rPr>
                <w:color w:val="000000"/>
                <w:sz w:val="18"/>
                <w:szCs w:val="18"/>
              </w:rPr>
            </w:pPr>
            <w:r>
              <w:rPr>
                <w:color w:val="000000"/>
                <w:sz w:val="18"/>
                <w:szCs w:val="18"/>
              </w:rPr>
              <w:t>810</w:t>
            </w:r>
          </w:p>
        </w:tc>
        <w:tc>
          <w:tcPr>
            <w:tcW w:w="630" w:type="dxa"/>
            <w:vAlign w:val="center"/>
          </w:tcPr>
          <w:p w14:paraId="23A2A56A" w14:textId="5EB51214" w:rsidR="00ED72A2" w:rsidRPr="00C954CC" w:rsidRDefault="00711C46" w:rsidP="00C954CC">
            <w:pPr>
              <w:jc w:val="right"/>
              <w:rPr>
                <w:color w:val="000000"/>
                <w:sz w:val="18"/>
                <w:szCs w:val="18"/>
              </w:rPr>
            </w:pPr>
            <w:r>
              <w:rPr>
                <w:color w:val="000000"/>
                <w:sz w:val="18"/>
                <w:szCs w:val="18"/>
              </w:rPr>
              <w:t>17.6</w:t>
            </w:r>
          </w:p>
        </w:tc>
        <w:tc>
          <w:tcPr>
            <w:tcW w:w="630" w:type="dxa"/>
            <w:vAlign w:val="center"/>
          </w:tcPr>
          <w:p w14:paraId="31B09D17" w14:textId="512F21EE" w:rsidR="00ED72A2" w:rsidRPr="00C954CC" w:rsidRDefault="00711C46" w:rsidP="00C954CC">
            <w:pPr>
              <w:jc w:val="right"/>
              <w:rPr>
                <w:color w:val="000000"/>
                <w:sz w:val="18"/>
                <w:szCs w:val="18"/>
              </w:rPr>
            </w:pPr>
            <w:r>
              <w:rPr>
                <w:color w:val="000000"/>
                <w:sz w:val="18"/>
                <w:szCs w:val="18"/>
              </w:rPr>
              <w:t>0.50</w:t>
            </w:r>
          </w:p>
        </w:tc>
        <w:tc>
          <w:tcPr>
            <w:tcW w:w="630" w:type="dxa"/>
          </w:tcPr>
          <w:p w14:paraId="5F873D11" w14:textId="3E1F7128" w:rsidR="00ED72A2" w:rsidRPr="00C954CC" w:rsidRDefault="00711C46" w:rsidP="00C954CC">
            <w:pPr>
              <w:jc w:val="right"/>
              <w:rPr>
                <w:color w:val="000000"/>
                <w:sz w:val="18"/>
                <w:szCs w:val="18"/>
              </w:rPr>
            </w:pPr>
            <w:r>
              <w:rPr>
                <w:color w:val="000000"/>
                <w:sz w:val="18"/>
                <w:szCs w:val="18"/>
              </w:rPr>
              <w:t>831</w:t>
            </w:r>
          </w:p>
        </w:tc>
        <w:tc>
          <w:tcPr>
            <w:tcW w:w="1080" w:type="dxa"/>
            <w:vAlign w:val="bottom"/>
          </w:tcPr>
          <w:p w14:paraId="623E9A7A" w14:textId="5D352C7B"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16B92A57" w14:textId="5BF853BB"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589A1449" w14:textId="60B12019"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2A0915B4" w14:textId="06293FE5"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633598B5" w14:textId="77777777" w:rsidTr="00ED72A2">
        <w:tc>
          <w:tcPr>
            <w:tcW w:w="2245" w:type="dxa"/>
            <w:vMerge/>
          </w:tcPr>
          <w:p w14:paraId="65FF383B" w14:textId="77777777" w:rsidR="00ED72A2" w:rsidRPr="00C15C33" w:rsidRDefault="00ED72A2" w:rsidP="00C954CC">
            <w:pPr>
              <w:rPr>
                <w:sz w:val="18"/>
                <w:szCs w:val="18"/>
              </w:rPr>
            </w:pPr>
          </w:p>
        </w:tc>
        <w:tc>
          <w:tcPr>
            <w:tcW w:w="1260" w:type="dxa"/>
            <w:vAlign w:val="bottom"/>
          </w:tcPr>
          <w:p w14:paraId="0B1D2FDD" w14:textId="425A015C" w:rsidR="00ED72A2" w:rsidRPr="00C954CC" w:rsidRDefault="00ED72A2" w:rsidP="00C954CC">
            <w:pPr>
              <w:rPr>
                <w:color w:val="000000"/>
                <w:sz w:val="18"/>
                <w:szCs w:val="18"/>
              </w:rPr>
            </w:pPr>
            <w:r w:rsidRPr="00C954CC">
              <w:rPr>
                <w:color w:val="000000"/>
                <w:sz w:val="18"/>
                <w:szCs w:val="18"/>
              </w:rPr>
              <w:t>unc.us</w:t>
            </w:r>
          </w:p>
        </w:tc>
        <w:tc>
          <w:tcPr>
            <w:tcW w:w="900" w:type="dxa"/>
            <w:vAlign w:val="bottom"/>
          </w:tcPr>
          <w:p w14:paraId="79C1F17F" w14:textId="11F2F33A" w:rsidR="00ED72A2" w:rsidRPr="00C954CC" w:rsidRDefault="00ED72A2" w:rsidP="00C954CC">
            <w:pPr>
              <w:jc w:val="right"/>
              <w:rPr>
                <w:color w:val="000000"/>
                <w:sz w:val="18"/>
                <w:szCs w:val="18"/>
              </w:rPr>
            </w:pPr>
            <w:r w:rsidRPr="00C954CC">
              <w:rPr>
                <w:color w:val="000000"/>
                <w:sz w:val="18"/>
                <w:szCs w:val="18"/>
              </w:rPr>
              <w:t>36.01</w:t>
            </w:r>
          </w:p>
        </w:tc>
        <w:tc>
          <w:tcPr>
            <w:tcW w:w="1080" w:type="dxa"/>
            <w:vAlign w:val="bottom"/>
          </w:tcPr>
          <w:p w14:paraId="205A8887" w14:textId="3069B284" w:rsidR="00ED72A2" w:rsidRPr="00C954CC" w:rsidRDefault="00ED72A2" w:rsidP="00C954CC">
            <w:pPr>
              <w:jc w:val="right"/>
              <w:rPr>
                <w:color w:val="000000"/>
                <w:sz w:val="18"/>
                <w:szCs w:val="18"/>
              </w:rPr>
            </w:pPr>
            <w:r w:rsidRPr="00C954CC">
              <w:rPr>
                <w:color w:val="000000"/>
                <w:sz w:val="18"/>
                <w:szCs w:val="18"/>
              </w:rPr>
              <w:t>-79.02</w:t>
            </w:r>
          </w:p>
        </w:tc>
        <w:tc>
          <w:tcPr>
            <w:tcW w:w="990" w:type="dxa"/>
          </w:tcPr>
          <w:p w14:paraId="48BFCC48" w14:textId="1B340F91" w:rsidR="00ED72A2" w:rsidRPr="00C954CC" w:rsidRDefault="00711C46" w:rsidP="00C954CC">
            <w:pPr>
              <w:jc w:val="right"/>
              <w:rPr>
                <w:color w:val="000000"/>
                <w:sz w:val="18"/>
                <w:szCs w:val="18"/>
              </w:rPr>
            </w:pPr>
            <w:r>
              <w:rPr>
                <w:color w:val="000000"/>
                <w:sz w:val="18"/>
                <w:szCs w:val="18"/>
              </w:rPr>
              <w:t>147</w:t>
            </w:r>
          </w:p>
        </w:tc>
        <w:tc>
          <w:tcPr>
            <w:tcW w:w="630" w:type="dxa"/>
            <w:vAlign w:val="center"/>
          </w:tcPr>
          <w:p w14:paraId="4C347264" w14:textId="0B063AA3" w:rsidR="00ED72A2" w:rsidRPr="00C954CC" w:rsidRDefault="00711C46" w:rsidP="00C954CC">
            <w:pPr>
              <w:jc w:val="right"/>
              <w:rPr>
                <w:color w:val="000000"/>
                <w:sz w:val="18"/>
                <w:szCs w:val="18"/>
              </w:rPr>
            </w:pPr>
            <w:r>
              <w:rPr>
                <w:color w:val="000000"/>
                <w:sz w:val="18"/>
                <w:szCs w:val="18"/>
              </w:rPr>
              <w:t>14.9</w:t>
            </w:r>
          </w:p>
        </w:tc>
        <w:tc>
          <w:tcPr>
            <w:tcW w:w="630" w:type="dxa"/>
            <w:vAlign w:val="center"/>
          </w:tcPr>
          <w:p w14:paraId="13154DE2" w14:textId="0587D2ED" w:rsidR="00ED72A2" w:rsidRPr="00C954CC" w:rsidRDefault="00711C46" w:rsidP="00C954CC">
            <w:pPr>
              <w:jc w:val="right"/>
              <w:rPr>
                <w:color w:val="000000"/>
                <w:sz w:val="18"/>
                <w:szCs w:val="18"/>
              </w:rPr>
            </w:pPr>
            <w:r>
              <w:rPr>
                <w:color w:val="000000"/>
                <w:sz w:val="18"/>
                <w:szCs w:val="18"/>
              </w:rPr>
              <w:t>0.94</w:t>
            </w:r>
          </w:p>
        </w:tc>
        <w:tc>
          <w:tcPr>
            <w:tcW w:w="630" w:type="dxa"/>
          </w:tcPr>
          <w:p w14:paraId="33598BA1" w14:textId="615B21C2" w:rsidR="00ED72A2" w:rsidRPr="00C954CC" w:rsidRDefault="00711C46" w:rsidP="00C954CC">
            <w:pPr>
              <w:jc w:val="right"/>
              <w:rPr>
                <w:color w:val="000000"/>
                <w:sz w:val="18"/>
                <w:szCs w:val="18"/>
              </w:rPr>
            </w:pPr>
            <w:r>
              <w:rPr>
                <w:color w:val="000000"/>
                <w:sz w:val="18"/>
                <w:szCs w:val="18"/>
              </w:rPr>
              <w:t>734</w:t>
            </w:r>
          </w:p>
        </w:tc>
        <w:tc>
          <w:tcPr>
            <w:tcW w:w="1080" w:type="dxa"/>
            <w:vAlign w:val="bottom"/>
          </w:tcPr>
          <w:p w14:paraId="0D4E5FA1" w14:textId="7784DB60"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12B7698D" w14:textId="3EE0F201"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2158F355" w14:textId="56B0DB11"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6C7BC4B1" w14:textId="59D0F8AF"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74FECF42" w14:textId="77777777" w:rsidTr="00ED72A2">
        <w:tc>
          <w:tcPr>
            <w:tcW w:w="2245" w:type="dxa"/>
            <w:vMerge/>
          </w:tcPr>
          <w:p w14:paraId="1A3052DD" w14:textId="77777777" w:rsidR="00ED72A2" w:rsidRPr="00C15C33" w:rsidRDefault="00ED72A2" w:rsidP="00C954CC">
            <w:pPr>
              <w:rPr>
                <w:sz w:val="18"/>
                <w:szCs w:val="18"/>
              </w:rPr>
            </w:pPr>
          </w:p>
        </w:tc>
        <w:tc>
          <w:tcPr>
            <w:tcW w:w="1260" w:type="dxa"/>
          </w:tcPr>
          <w:p w14:paraId="4AE7AC78" w14:textId="61F23F81" w:rsidR="00ED72A2" w:rsidRPr="00C954CC" w:rsidRDefault="00ED72A2" w:rsidP="00C954CC">
            <w:pPr>
              <w:rPr>
                <w:color w:val="000000"/>
                <w:sz w:val="18"/>
                <w:szCs w:val="18"/>
              </w:rPr>
            </w:pPr>
            <w:r w:rsidRPr="00C954CC">
              <w:rPr>
                <w:color w:val="000000"/>
                <w:sz w:val="18"/>
                <w:szCs w:val="18"/>
              </w:rPr>
              <w:t>valm.ch</w:t>
            </w:r>
          </w:p>
        </w:tc>
        <w:tc>
          <w:tcPr>
            <w:tcW w:w="900" w:type="dxa"/>
            <w:vAlign w:val="bottom"/>
          </w:tcPr>
          <w:p w14:paraId="34D05CAC" w14:textId="257B11A1" w:rsidR="00ED72A2" w:rsidRPr="00C954CC" w:rsidRDefault="00ED72A2" w:rsidP="00C954CC">
            <w:pPr>
              <w:jc w:val="right"/>
              <w:rPr>
                <w:color w:val="000000"/>
                <w:sz w:val="18"/>
                <w:szCs w:val="18"/>
              </w:rPr>
            </w:pPr>
            <w:r w:rsidRPr="00C954CC">
              <w:rPr>
                <w:color w:val="000000"/>
                <w:sz w:val="18"/>
                <w:szCs w:val="18"/>
              </w:rPr>
              <w:t>46.63</w:t>
            </w:r>
          </w:p>
        </w:tc>
        <w:tc>
          <w:tcPr>
            <w:tcW w:w="1080" w:type="dxa"/>
            <w:vAlign w:val="bottom"/>
          </w:tcPr>
          <w:p w14:paraId="38800D99" w14:textId="7D601830" w:rsidR="00ED72A2" w:rsidRPr="00C954CC" w:rsidRDefault="00ED72A2" w:rsidP="00C954CC">
            <w:pPr>
              <w:jc w:val="right"/>
              <w:rPr>
                <w:color w:val="000000"/>
                <w:sz w:val="18"/>
                <w:szCs w:val="18"/>
              </w:rPr>
            </w:pPr>
            <w:r w:rsidRPr="00C954CC">
              <w:rPr>
                <w:color w:val="000000"/>
                <w:sz w:val="18"/>
                <w:szCs w:val="18"/>
              </w:rPr>
              <w:t>10.37</w:t>
            </w:r>
          </w:p>
        </w:tc>
        <w:tc>
          <w:tcPr>
            <w:tcW w:w="990" w:type="dxa"/>
          </w:tcPr>
          <w:p w14:paraId="60A47184" w14:textId="5B3FF675" w:rsidR="00ED72A2" w:rsidRPr="00C954CC" w:rsidRDefault="00711C46" w:rsidP="00C954CC">
            <w:pPr>
              <w:jc w:val="right"/>
              <w:rPr>
                <w:color w:val="000000"/>
                <w:sz w:val="18"/>
                <w:szCs w:val="18"/>
              </w:rPr>
            </w:pPr>
            <w:r>
              <w:rPr>
                <w:color w:val="000000"/>
                <w:sz w:val="18"/>
                <w:szCs w:val="18"/>
              </w:rPr>
              <w:t>2233</w:t>
            </w:r>
          </w:p>
        </w:tc>
        <w:tc>
          <w:tcPr>
            <w:tcW w:w="630" w:type="dxa"/>
            <w:vAlign w:val="center"/>
          </w:tcPr>
          <w:p w14:paraId="23967BA1" w14:textId="3CE3E709" w:rsidR="00ED72A2" w:rsidRPr="00C954CC" w:rsidRDefault="00711C46" w:rsidP="00C954CC">
            <w:pPr>
              <w:jc w:val="right"/>
              <w:rPr>
                <w:color w:val="000000"/>
                <w:sz w:val="18"/>
                <w:szCs w:val="18"/>
              </w:rPr>
            </w:pPr>
            <w:r>
              <w:rPr>
                <w:color w:val="000000"/>
                <w:sz w:val="18"/>
                <w:szCs w:val="18"/>
              </w:rPr>
              <w:t>5.5</w:t>
            </w:r>
          </w:p>
        </w:tc>
        <w:tc>
          <w:tcPr>
            <w:tcW w:w="630" w:type="dxa"/>
            <w:vAlign w:val="center"/>
          </w:tcPr>
          <w:p w14:paraId="5F11892E" w14:textId="06AE604A" w:rsidR="00ED72A2" w:rsidRPr="00C954CC" w:rsidRDefault="00711C46" w:rsidP="00C954CC">
            <w:pPr>
              <w:jc w:val="right"/>
              <w:rPr>
                <w:color w:val="000000"/>
                <w:sz w:val="18"/>
                <w:szCs w:val="18"/>
              </w:rPr>
            </w:pPr>
            <w:r>
              <w:rPr>
                <w:color w:val="000000"/>
                <w:sz w:val="18"/>
                <w:szCs w:val="18"/>
              </w:rPr>
              <w:t>0.80</w:t>
            </w:r>
          </w:p>
        </w:tc>
        <w:tc>
          <w:tcPr>
            <w:tcW w:w="630" w:type="dxa"/>
          </w:tcPr>
          <w:p w14:paraId="3EC8A4AB" w14:textId="2E00C914" w:rsidR="00ED72A2" w:rsidRPr="00C954CC" w:rsidRDefault="00711C46" w:rsidP="00C954CC">
            <w:pPr>
              <w:jc w:val="right"/>
              <w:rPr>
                <w:color w:val="000000"/>
                <w:sz w:val="18"/>
                <w:szCs w:val="18"/>
              </w:rPr>
            </w:pPr>
            <w:r>
              <w:rPr>
                <w:color w:val="000000"/>
                <w:sz w:val="18"/>
                <w:szCs w:val="18"/>
              </w:rPr>
              <w:t>827</w:t>
            </w:r>
          </w:p>
        </w:tc>
        <w:tc>
          <w:tcPr>
            <w:tcW w:w="1080" w:type="dxa"/>
            <w:vAlign w:val="bottom"/>
          </w:tcPr>
          <w:p w14:paraId="326210BC" w14:textId="40E145CA"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7728C340" w14:textId="1D3F25A9"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71D76EF9" w14:textId="1A947E9E"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70C948E8" w14:textId="4DCA2C0B"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638CDA62" w14:textId="77777777" w:rsidTr="00ED72A2">
        <w:sdt>
          <w:sdtPr>
            <w:rPr>
              <w:color w:val="000000"/>
              <w:sz w:val="18"/>
              <w:szCs w:val="18"/>
            </w:rPr>
            <w:tag w:val="MENDELEY_CITATION_v3_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"/>
            <w:id w:val="1911505233"/>
            <w:placeholder>
              <w:docPart w:val="B83E6C158C53224A95F556CA079FC6B4"/>
            </w:placeholder>
          </w:sdtPr>
          <w:sdtContent>
            <w:tc>
              <w:tcPr>
                <w:tcW w:w="2245" w:type="dxa"/>
              </w:tcPr>
              <w:p w14:paraId="6E62153A" w14:textId="4603FFCF" w:rsidR="00ED72A2" w:rsidRPr="00C15C33" w:rsidRDefault="00E807B5" w:rsidP="00C954CC">
                <w:pPr>
                  <w:rPr>
                    <w:sz w:val="18"/>
                    <w:szCs w:val="18"/>
                  </w:rPr>
                </w:pPr>
                <w:r w:rsidRPr="00E807B5">
                  <w:rPr>
                    <w:rFonts w:eastAsia="Times New Roman"/>
                    <w:color w:val="000000"/>
                    <w:sz w:val="18"/>
                  </w:rPr>
                  <w:t>(Craft et al., 1995)</w:t>
                </w:r>
              </w:p>
            </w:tc>
          </w:sdtContent>
        </w:sdt>
        <w:tc>
          <w:tcPr>
            <w:tcW w:w="1260" w:type="dxa"/>
          </w:tcPr>
          <w:p w14:paraId="43D554D2" w14:textId="20B3AC4A" w:rsidR="00ED72A2" w:rsidRPr="00C954CC" w:rsidRDefault="00ED72A2" w:rsidP="00C954CC">
            <w:pPr>
              <w:rPr>
                <w:color w:val="000000"/>
                <w:sz w:val="18"/>
                <w:szCs w:val="18"/>
              </w:rPr>
            </w:pPr>
            <w:r w:rsidRPr="00C954CC">
              <w:rPr>
                <w:color w:val="000000"/>
                <w:sz w:val="18"/>
                <w:szCs w:val="18"/>
              </w:rPr>
              <w:t>everglades</w:t>
            </w:r>
          </w:p>
        </w:tc>
        <w:tc>
          <w:tcPr>
            <w:tcW w:w="900" w:type="dxa"/>
            <w:vAlign w:val="bottom"/>
          </w:tcPr>
          <w:p w14:paraId="6A23D4C7" w14:textId="306E4B16" w:rsidR="00ED72A2" w:rsidRPr="00C954CC" w:rsidRDefault="00ED72A2" w:rsidP="00C954CC">
            <w:pPr>
              <w:jc w:val="right"/>
              <w:rPr>
                <w:color w:val="000000"/>
                <w:sz w:val="18"/>
                <w:szCs w:val="18"/>
              </w:rPr>
            </w:pPr>
            <w:r w:rsidRPr="00C954CC">
              <w:rPr>
                <w:color w:val="000000"/>
                <w:sz w:val="18"/>
                <w:szCs w:val="18"/>
              </w:rPr>
              <w:t>26.38</w:t>
            </w:r>
          </w:p>
        </w:tc>
        <w:tc>
          <w:tcPr>
            <w:tcW w:w="1080" w:type="dxa"/>
            <w:vAlign w:val="bottom"/>
          </w:tcPr>
          <w:p w14:paraId="7BA6C3FC" w14:textId="124354CD" w:rsidR="00ED72A2" w:rsidRPr="00C954CC" w:rsidRDefault="00ED72A2" w:rsidP="00C954CC">
            <w:pPr>
              <w:jc w:val="right"/>
              <w:rPr>
                <w:color w:val="000000"/>
                <w:sz w:val="18"/>
                <w:szCs w:val="18"/>
              </w:rPr>
            </w:pPr>
            <w:r w:rsidRPr="00C954CC">
              <w:rPr>
                <w:color w:val="000000"/>
                <w:sz w:val="18"/>
                <w:szCs w:val="18"/>
              </w:rPr>
              <w:t>-80.46</w:t>
            </w:r>
          </w:p>
        </w:tc>
        <w:tc>
          <w:tcPr>
            <w:tcW w:w="990" w:type="dxa"/>
          </w:tcPr>
          <w:p w14:paraId="664A354F" w14:textId="433F5E44" w:rsidR="00ED72A2" w:rsidRPr="00C954CC" w:rsidRDefault="005E42F0" w:rsidP="00C954CC">
            <w:pPr>
              <w:jc w:val="right"/>
              <w:rPr>
                <w:color w:val="000000"/>
                <w:sz w:val="18"/>
                <w:szCs w:val="18"/>
              </w:rPr>
            </w:pPr>
            <w:r>
              <w:rPr>
                <w:color w:val="000000"/>
                <w:sz w:val="18"/>
                <w:szCs w:val="18"/>
              </w:rPr>
              <w:t>5</w:t>
            </w:r>
          </w:p>
        </w:tc>
        <w:tc>
          <w:tcPr>
            <w:tcW w:w="630" w:type="dxa"/>
            <w:vAlign w:val="center"/>
          </w:tcPr>
          <w:p w14:paraId="47B997C0" w14:textId="13B733F5" w:rsidR="00ED72A2" w:rsidRPr="00C954CC" w:rsidRDefault="005E42F0" w:rsidP="00C954CC">
            <w:pPr>
              <w:jc w:val="right"/>
              <w:rPr>
                <w:color w:val="000000"/>
                <w:sz w:val="18"/>
                <w:szCs w:val="18"/>
              </w:rPr>
            </w:pPr>
            <w:r>
              <w:rPr>
                <w:color w:val="000000"/>
                <w:sz w:val="18"/>
                <w:szCs w:val="18"/>
              </w:rPr>
              <w:t>23.4</w:t>
            </w:r>
          </w:p>
        </w:tc>
        <w:tc>
          <w:tcPr>
            <w:tcW w:w="630" w:type="dxa"/>
            <w:vAlign w:val="center"/>
          </w:tcPr>
          <w:p w14:paraId="35FF8EAC" w14:textId="3678E290" w:rsidR="00ED72A2" w:rsidRPr="00C954CC" w:rsidRDefault="005E42F0" w:rsidP="00C954CC">
            <w:pPr>
              <w:jc w:val="right"/>
              <w:rPr>
                <w:color w:val="000000"/>
                <w:sz w:val="18"/>
                <w:szCs w:val="18"/>
              </w:rPr>
            </w:pPr>
            <w:r>
              <w:rPr>
                <w:color w:val="000000"/>
                <w:sz w:val="18"/>
                <w:szCs w:val="18"/>
              </w:rPr>
              <w:t>0.79</w:t>
            </w:r>
          </w:p>
        </w:tc>
        <w:tc>
          <w:tcPr>
            <w:tcW w:w="630" w:type="dxa"/>
          </w:tcPr>
          <w:p w14:paraId="281121DF" w14:textId="330B3794" w:rsidR="00ED72A2" w:rsidRPr="00C954CC" w:rsidRDefault="005E42F0" w:rsidP="00C954CC">
            <w:pPr>
              <w:jc w:val="right"/>
              <w:rPr>
                <w:color w:val="000000"/>
                <w:sz w:val="18"/>
                <w:szCs w:val="18"/>
              </w:rPr>
            </w:pPr>
            <w:r>
              <w:rPr>
                <w:color w:val="000000"/>
                <w:sz w:val="18"/>
                <w:szCs w:val="18"/>
              </w:rPr>
              <w:t>860</w:t>
            </w:r>
          </w:p>
        </w:tc>
        <w:tc>
          <w:tcPr>
            <w:tcW w:w="1080" w:type="dxa"/>
            <w:vAlign w:val="bottom"/>
          </w:tcPr>
          <w:p w14:paraId="344D2322" w14:textId="2312FD3A"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0E498EE5" w14:textId="2A896E5E" w:rsidR="00ED72A2" w:rsidRPr="00C954CC" w:rsidRDefault="00ED72A2" w:rsidP="00C954CC">
            <w:pPr>
              <w:jc w:val="right"/>
              <w:rPr>
                <w:color w:val="000000"/>
                <w:sz w:val="18"/>
                <w:szCs w:val="18"/>
              </w:rPr>
            </w:pPr>
            <w:r w:rsidRPr="00C954CC">
              <w:rPr>
                <w:color w:val="000000"/>
                <w:sz w:val="18"/>
                <w:szCs w:val="18"/>
              </w:rPr>
              <w:t>field</w:t>
            </w:r>
          </w:p>
        </w:tc>
        <w:tc>
          <w:tcPr>
            <w:tcW w:w="1080" w:type="dxa"/>
            <w:vAlign w:val="bottom"/>
          </w:tcPr>
          <w:p w14:paraId="36FB9BDE" w14:textId="755BCCE2" w:rsidR="00ED72A2" w:rsidRPr="00C954CC" w:rsidRDefault="00ED72A2" w:rsidP="00C954CC">
            <w:pPr>
              <w:jc w:val="right"/>
              <w:rPr>
                <w:color w:val="000000"/>
                <w:sz w:val="18"/>
                <w:szCs w:val="18"/>
              </w:rPr>
            </w:pPr>
            <w:r w:rsidRPr="00C954CC">
              <w:rPr>
                <w:color w:val="000000"/>
                <w:sz w:val="18"/>
                <w:szCs w:val="18"/>
              </w:rPr>
              <w:t>22.4</w:t>
            </w:r>
          </w:p>
        </w:tc>
        <w:tc>
          <w:tcPr>
            <w:tcW w:w="1170" w:type="dxa"/>
          </w:tcPr>
          <w:p w14:paraId="6D9761B9" w14:textId="5DCFF7E8" w:rsidR="00ED72A2" w:rsidRPr="00C954CC" w:rsidRDefault="00ED72A2" w:rsidP="00C954CC">
            <w:pPr>
              <w:jc w:val="right"/>
              <w:rPr>
                <w:color w:val="000000"/>
                <w:sz w:val="18"/>
                <w:szCs w:val="18"/>
              </w:rPr>
            </w:pPr>
            <w:r w:rsidRPr="00C954CC">
              <w:rPr>
                <w:color w:val="000000"/>
                <w:sz w:val="18"/>
                <w:szCs w:val="18"/>
              </w:rPr>
              <w:t>4.8</w:t>
            </w:r>
          </w:p>
        </w:tc>
      </w:tr>
      <w:tr w:rsidR="00ED72A2" w:rsidRPr="00380AE9" w14:paraId="3DDADEA6" w14:textId="77777777" w:rsidTr="00ED72A2">
        <w:sdt>
          <w:sdtPr>
            <w:rPr>
              <w:color w:val="000000"/>
              <w:sz w:val="18"/>
              <w:szCs w:val="18"/>
            </w:rPr>
            <w:tag w:val="MENDELEY_CITATION_v3_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"/>
            <w:id w:val="303665540"/>
            <w:placeholder>
              <w:docPart w:val="FE7CB28906A96548BB53D3BA98086DCB"/>
            </w:placeholder>
          </w:sdtPr>
          <w:sdtContent>
            <w:tc>
              <w:tcPr>
                <w:tcW w:w="2245" w:type="dxa"/>
                <w:vMerge w:val="restart"/>
                <w:vAlign w:val="center"/>
              </w:tcPr>
              <w:p w14:paraId="2DA2DC43" w14:textId="224BED12" w:rsidR="00ED72A2" w:rsidRPr="00C15C33" w:rsidRDefault="00E807B5" w:rsidP="00C954CC">
                <w:pPr>
                  <w:rPr>
                    <w:sz w:val="18"/>
                    <w:szCs w:val="18"/>
                  </w:rPr>
                </w:pPr>
                <w:r w:rsidRPr="00E807B5">
                  <w:rPr>
                    <w:rFonts w:eastAsia="Times New Roman"/>
                    <w:color w:val="000000"/>
                    <w:sz w:val="18"/>
                  </w:rPr>
                  <w:t>(Craine et al., 2008)</w:t>
                </w:r>
              </w:p>
            </w:tc>
          </w:sdtContent>
        </w:sdt>
        <w:tc>
          <w:tcPr>
            <w:tcW w:w="1260" w:type="dxa"/>
          </w:tcPr>
          <w:p w14:paraId="5BE8B714" w14:textId="27E549E2" w:rsidR="00ED72A2" w:rsidRPr="00C954CC" w:rsidRDefault="00ED72A2" w:rsidP="00C954CC">
            <w:pPr>
              <w:rPr>
                <w:color w:val="000000"/>
                <w:sz w:val="18"/>
                <w:szCs w:val="18"/>
              </w:rPr>
            </w:pPr>
            <w:proofErr w:type="spellStart"/>
            <w:r w:rsidRPr="00C954CC">
              <w:rPr>
                <w:color w:val="000000"/>
                <w:sz w:val="18"/>
                <w:szCs w:val="18"/>
              </w:rPr>
              <w:t>pretoriuskop</w:t>
            </w:r>
            <w:proofErr w:type="spellEnd"/>
          </w:p>
        </w:tc>
        <w:tc>
          <w:tcPr>
            <w:tcW w:w="900" w:type="dxa"/>
            <w:vAlign w:val="bottom"/>
          </w:tcPr>
          <w:p w14:paraId="09C451B6" w14:textId="3C18ECBA" w:rsidR="00ED72A2" w:rsidRPr="00C954CC" w:rsidRDefault="00ED72A2" w:rsidP="00C954CC">
            <w:pPr>
              <w:jc w:val="right"/>
              <w:rPr>
                <w:color w:val="000000"/>
                <w:sz w:val="18"/>
                <w:szCs w:val="18"/>
              </w:rPr>
            </w:pPr>
            <w:r w:rsidRPr="00C954CC">
              <w:rPr>
                <w:color w:val="000000"/>
                <w:sz w:val="18"/>
                <w:szCs w:val="18"/>
              </w:rPr>
              <w:t>-25.13</w:t>
            </w:r>
          </w:p>
        </w:tc>
        <w:tc>
          <w:tcPr>
            <w:tcW w:w="1080" w:type="dxa"/>
            <w:vAlign w:val="bottom"/>
          </w:tcPr>
          <w:p w14:paraId="4B7F659E" w14:textId="233E7483" w:rsidR="00ED72A2" w:rsidRPr="00C954CC" w:rsidRDefault="00ED72A2" w:rsidP="00C954CC">
            <w:pPr>
              <w:jc w:val="right"/>
              <w:rPr>
                <w:color w:val="000000"/>
                <w:sz w:val="18"/>
                <w:szCs w:val="18"/>
              </w:rPr>
            </w:pPr>
            <w:r w:rsidRPr="00C954CC">
              <w:rPr>
                <w:color w:val="000000"/>
                <w:sz w:val="18"/>
                <w:szCs w:val="18"/>
              </w:rPr>
              <w:t>31.23</w:t>
            </w:r>
          </w:p>
        </w:tc>
        <w:tc>
          <w:tcPr>
            <w:tcW w:w="990" w:type="dxa"/>
          </w:tcPr>
          <w:p w14:paraId="4663B5D7" w14:textId="4849CAEC" w:rsidR="00ED72A2" w:rsidRDefault="00ED72A2" w:rsidP="00C954CC">
            <w:pPr>
              <w:jc w:val="right"/>
              <w:rPr>
                <w:color w:val="000000"/>
                <w:sz w:val="18"/>
                <w:szCs w:val="18"/>
              </w:rPr>
            </w:pPr>
            <w:r>
              <w:rPr>
                <w:color w:val="000000"/>
                <w:sz w:val="18"/>
                <w:szCs w:val="18"/>
              </w:rPr>
              <w:t>569</w:t>
            </w:r>
          </w:p>
        </w:tc>
        <w:tc>
          <w:tcPr>
            <w:tcW w:w="630" w:type="dxa"/>
            <w:vAlign w:val="center"/>
          </w:tcPr>
          <w:p w14:paraId="716A4892" w14:textId="2DF9D9B0" w:rsidR="00ED72A2" w:rsidRPr="00C954CC" w:rsidRDefault="00ED72A2" w:rsidP="00C954CC">
            <w:pPr>
              <w:jc w:val="right"/>
              <w:rPr>
                <w:color w:val="000000"/>
                <w:sz w:val="18"/>
                <w:szCs w:val="18"/>
              </w:rPr>
            </w:pPr>
            <w:r>
              <w:rPr>
                <w:color w:val="000000"/>
                <w:sz w:val="18"/>
                <w:szCs w:val="18"/>
              </w:rPr>
              <w:t>20.9</w:t>
            </w:r>
          </w:p>
        </w:tc>
        <w:tc>
          <w:tcPr>
            <w:tcW w:w="630" w:type="dxa"/>
            <w:vAlign w:val="center"/>
          </w:tcPr>
          <w:p w14:paraId="156EF1A4" w14:textId="2648B43A" w:rsidR="00ED72A2" w:rsidRPr="00C954CC" w:rsidRDefault="00ED72A2" w:rsidP="00C954CC">
            <w:pPr>
              <w:jc w:val="right"/>
              <w:rPr>
                <w:color w:val="000000"/>
                <w:sz w:val="18"/>
                <w:szCs w:val="18"/>
              </w:rPr>
            </w:pPr>
            <w:r>
              <w:rPr>
                <w:color w:val="000000"/>
                <w:sz w:val="18"/>
                <w:szCs w:val="18"/>
              </w:rPr>
              <w:t>0.39</w:t>
            </w:r>
          </w:p>
        </w:tc>
        <w:tc>
          <w:tcPr>
            <w:tcW w:w="630" w:type="dxa"/>
          </w:tcPr>
          <w:p w14:paraId="5C38E9EE" w14:textId="5FCA2CB9" w:rsidR="00ED72A2" w:rsidRPr="00C954CC" w:rsidRDefault="00ED72A2" w:rsidP="00C954CC">
            <w:pPr>
              <w:jc w:val="right"/>
              <w:rPr>
                <w:color w:val="000000"/>
                <w:sz w:val="18"/>
                <w:szCs w:val="18"/>
              </w:rPr>
            </w:pPr>
            <w:r>
              <w:rPr>
                <w:color w:val="000000"/>
                <w:sz w:val="18"/>
                <w:szCs w:val="18"/>
              </w:rPr>
              <w:t>861</w:t>
            </w:r>
          </w:p>
        </w:tc>
        <w:tc>
          <w:tcPr>
            <w:tcW w:w="1080" w:type="dxa"/>
            <w:vAlign w:val="bottom"/>
          </w:tcPr>
          <w:p w14:paraId="0E7348FF" w14:textId="405176B5"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77C429F0" w14:textId="1043C16B" w:rsidR="00ED72A2" w:rsidRPr="00C954CC" w:rsidRDefault="00ED72A2" w:rsidP="00C954CC">
            <w:pPr>
              <w:jc w:val="right"/>
              <w:rPr>
                <w:color w:val="000000"/>
                <w:sz w:val="18"/>
                <w:szCs w:val="18"/>
              </w:rPr>
            </w:pPr>
            <w:r w:rsidRPr="00C954CC">
              <w:rPr>
                <w:color w:val="000000"/>
                <w:sz w:val="18"/>
                <w:szCs w:val="18"/>
              </w:rPr>
              <w:t>field</w:t>
            </w:r>
          </w:p>
        </w:tc>
        <w:tc>
          <w:tcPr>
            <w:tcW w:w="1080" w:type="dxa"/>
            <w:vAlign w:val="bottom"/>
          </w:tcPr>
          <w:p w14:paraId="3B89CB15" w14:textId="125FDA2D"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3040B7E0" w14:textId="02419B96" w:rsidR="00ED72A2" w:rsidRPr="00C954CC" w:rsidRDefault="00ED72A2" w:rsidP="00C954CC">
            <w:pPr>
              <w:jc w:val="right"/>
              <w:rPr>
                <w:color w:val="000000"/>
                <w:sz w:val="18"/>
                <w:szCs w:val="18"/>
              </w:rPr>
            </w:pPr>
            <w:r w:rsidRPr="00C954CC">
              <w:rPr>
                <w:color w:val="000000"/>
                <w:sz w:val="18"/>
                <w:szCs w:val="18"/>
              </w:rPr>
              <w:t>5</w:t>
            </w:r>
          </w:p>
        </w:tc>
      </w:tr>
      <w:tr w:rsidR="00ED72A2" w:rsidRPr="00380AE9" w14:paraId="1A07B1DF" w14:textId="77777777" w:rsidTr="00ED72A2">
        <w:tc>
          <w:tcPr>
            <w:tcW w:w="2245" w:type="dxa"/>
            <w:vMerge/>
          </w:tcPr>
          <w:p w14:paraId="109C4AB8" w14:textId="77777777" w:rsidR="00ED72A2" w:rsidRPr="00C15C33" w:rsidRDefault="00ED72A2" w:rsidP="00C954CC">
            <w:pPr>
              <w:rPr>
                <w:sz w:val="18"/>
                <w:szCs w:val="18"/>
              </w:rPr>
            </w:pPr>
          </w:p>
        </w:tc>
        <w:tc>
          <w:tcPr>
            <w:tcW w:w="1260" w:type="dxa"/>
          </w:tcPr>
          <w:p w14:paraId="56EB2219" w14:textId="22502304" w:rsidR="00ED72A2" w:rsidRPr="00C954CC" w:rsidRDefault="00ED72A2" w:rsidP="00C954CC">
            <w:pPr>
              <w:rPr>
                <w:color w:val="000000"/>
                <w:sz w:val="18"/>
                <w:szCs w:val="18"/>
              </w:rPr>
            </w:pPr>
            <w:proofErr w:type="spellStart"/>
            <w:r w:rsidRPr="00C954CC">
              <w:rPr>
                <w:color w:val="000000"/>
                <w:sz w:val="18"/>
                <w:szCs w:val="18"/>
              </w:rPr>
              <w:t>letaba</w:t>
            </w:r>
            <w:proofErr w:type="spellEnd"/>
          </w:p>
        </w:tc>
        <w:tc>
          <w:tcPr>
            <w:tcW w:w="900" w:type="dxa"/>
            <w:vAlign w:val="bottom"/>
          </w:tcPr>
          <w:p w14:paraId="15880E33" w14:textId="2E08905F" w:rsidR="00ED72A2" w:rsidRPr="00C954CC" w:rsidRDefault="00ED72A2" w:rsidP="00C954CC">
            <w:pPr>
              <w:jc w:val="right"/>
              <w:rPr>
                <w:color w:val="000000"/>
                <w:sz w:val="18"/>
                <w:szCs w:val="18"/>
              </w:rPr>
            </w:pPr>
            <w:r w:rsidRPr="00C954CC">
              <w:rPr>
                <w:color w:val="000000"/>
                <w:sz w:val="18"/>
                <w:szCs w:val="18"/>
              </w:rPr>
              <w:t>-23.76</w:t>
            </w:r>
          </w:p>
        </w:tc>
        <w:tc>
          <w:tcPr>
            <w:tcW w:w="1080" w:type="dxa"/>
            <w:vAlign w:val="bottom"/>
          </w:tcPr>
          <w:p w14:paraId="1F956A55" w14:textId="19974AA1" w:rsidR="00ED72A2" w:rsidRPr="00C954CC" w:rsidRDefault="00ED72A2" w:rsidP="00C954CC">
            <w:pPr>
              <w:jc w:val="right"/>
              <w:rPr>
                <w:color w:val="000000"/>
                <w:sz w:val="18"/>
                <w:szCs w:val="18"/>
              </w:rPr>
            </w:pPr>
            <w:r w:rsidRPr="00C954CC">
              <w:rPr>
                <w:color w:val="000000"/>
                <w:sz w:val="18"/>
                <w:szCs w:val="18"/>
              </w:rPr>
              <w:t>31.43</w:t>
            </w:r>
          </w:p>
        </w:tc>
        <w:tc>
          <w:tcPr>
            <w:tcW w:w="990" w:type="dxa"/>
          </w:tcPr>
          <w:p w14:paraId="18EBE979" w14:textId="6F3AD9DC" w:rsidR="00ED72A2" w:rsidRPr="00C954CC" w:rsidRDefault="00ED72A2" w:rsidP="00C954CC">
            <w:pPr>
              <w:jc w:val="right"/>
              <w:rPr>
                <w:color w:val="000000"/>
                <w:sz w:val="18"/>
                <w:szCs w:val="18"/>
              </w:rPr>
            </w:pPr>
            <w:r>
              <w:rPr>
                <w:color w:val="000000"/>
                <w:sz w:val="18"/>
                <w:szCs w:val="18"/>
              </w:rPr>
              <w:t>270</w:t>
            </w:r>
          </w:p>
        </w:tc>
        <w:tc>
          <w:tcPr>
            <w:tcW w:w="630" w:type="dxa"/>
            <w:vAlign w:val="center"/>
          </w:tcPr>
          <w:p w14:paraId="421D145F" w14:textId="302BCAEC" w:rsidR="00ED72A2" w:rsidRPr="00C954CC" w:rsidRDefault="00ED72A2" w:rsidP="00C954CC">
            <w:pPr>
              <w:jc w:val="right"/>
              <w:rPr>
                <w:color w:val="000000"/>
                <w:sz w:val="18"/>
                <w:szCs w:val="18"/>
              </w:rPr>
            </w:pPr>
            <w:r>
              <w:rPr>
                <w:color w:val="000000"/>
                <w:sz w:val="18"/>
                <w:szCs w:val="18"/>
              </w:rPr>
              <w:t>22.7</w:t>
            </w:r>
          </w:p>
        </w:tc>
        <w:tc>
          <w:tcPr>
            <w:tcW w:w="630" w:type="dxa"/>
            <w:vAlign w:val="center"/>
          </w:tcPr>
          <w:p w14:paraId="70A36404" w14:textId="5DCCFBAF" w:rsidR="00ED72A2" w:rsidRPr="00C954CC" w:rsidRDefault="00ED72A2" w:rsidP="00C954CC">
            <w:pPr>
              <w:jc w:val="right"/>
              <w:rPr>
                <w:color w:val="000000"/>
                <w:sz w:val="18"/>
                <w:szCs w:val="18"/>
              </w:rPr>
            </w:pPr>
            <w:r>
              <w:rPr>
                <w:color w:val="000000"/>
                <w:sz w:val="18"/>
                <w:szCs w:val="18"/>
              </w:rPr>
              <w:t>0.24</w:t>
            </w:r>
          </w:p>
        </w:tc>
        <w:tc>
          <w:tcPr>
            <w:tcW w:w="630" w:type="dxa"/>
          </w:tcPr>
          <w:p w14:paraId="4740CFAF" w14:textId="4168A86F" w:rsidR="00ED72A2" w:rsidRPr="00C954CC" w:rsidRDefault="00ED72A2" w:rsidP="00C954CC">
            <w:pPr>
              <w:jc w:val="right"/>
              <w:rPr>
                <w:color w:val="000000"/>
                <w:sz w:val="18"/>
                <w:szCs w:val="18"/>
              </w:rPr>
            </w:pPr>
            <w:r>
              <w:rPr>
                <w:color w:val="000000"/>
                <w:sz w:val="18"/>
                <w:szCs w:val="18"/>
              </w:rPr>
              <w:t>870</w:t>
            </w:r>
          </w:p>
        </w:tc>
        <w:tc>
          <w:tcPr>
            <w:tcW w:w="1080" w:type="dxa"/>
            <w:vAlign w:val="bottom"/>
          </w:tcPr>
          <w:p w14:paraId="1C6C4B83" w14:textId="29FA758D"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01999964" w14:textId="087C7493" w:rsidR="00ED72A2" w:rsidRPr="00C954CC" w:rsidRDefault="00ED72A2" w:rsidP="00C954CC">
            <w:pPr>
              <w:jc w:val="right"/>
              <w:rPr>
                <w:color w:val="000000"/>
                <w:sz w:val="18"/>
                <w:szCs w:val="18"/>
              </w:rPr>
            </w:pPr>
            <w:r w:rsidRPr="00C954CC">
              <w:rPr>
                <w:color w:val="000000"/>
                <w:sz w:val="18"/>
                <w:szCs w:val="18"/>
              </w:rPr>
              <w:t>field</w:t>
            </w:r>
          </w:p>
        </w:tc>
        <w:tc>
          <w:tcPr>
            <w:tcW w:w="1080" w:type="dxa"/>
            <w:vAlign w:val="bottom"/>
          </w:tcPr>
          <w:p w14:paraId="7C9E38AA" w14:textId="2990E76C"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5CF0B975" w14:textId="370AE0AB" w:rsidR="00ED72A2" w:rsidRPr="00C954CC" w:rsidRDefault="00ED72A2" w:rsidP="00C954CC">
            <w:pPr>
              <w:jc w:val="right"/>
              <w:rPr>
                <w:color w:val="000000"/>
                <w:sz w:val="18"/>
                <w:szCs w:val="18"/>
              </w:rPr>
            </w:pPr>
            <w:r w:rsidRPr="00C954CC">
              <w:rPr>
                <w:color w:val="000000"/>
                <w:sz w:val="18"/>
                <w:szCs w:val="18"/>
              </w:rPr>
              <w:t>5</w:t>
            </w:r>
          </w:p>
        </w:tc>
      </w:tr>
      <w:tr w:rsidR="00ED72A2" w:rsidRPr="00380AE9" w14:paraId="2A537906" w14:textId="77777777" w:rsidTr="00ED72A2">
        <w:tc>
          <w:tcPr>
            <w:tcW w:w="2245" w:type="dxa"/>
            <w:vMerge/>
          </w:tcPr>
          <w:p w14:paraId="6C311627" w14:textId="77777777" w:rsidR="00ED72A2" w:rsidRPr="00C15C33" w:rsidRDefault="00ED72A2" w:rsidP="00C954CC">
            <w:pPr>
              <w:rPr>
                <w:sz w:val="18"/>
                <w:szCs w:val="18"/>
              </w:rPr>
            </w:pPr>
          </w:p>
        </w:tc>
        <w:tc>
          <w:tcPr>
            <w:tcW w:w="1260" w:type="dxa"/>
          </w:tcPr>
          <w:p w14:paraId="322BCC8E" w14:textId="775C27F7" w:rsidR="00ED72A2" w:rsidRPr="00C954CC" w:rsidRDefault="00ED72A2" w:rsidP="00C954CC">
            <w:pPr>
              <w:rPr>
                <w:color w:val="000000"/>
                <w:sz w:val="18"/>
                <w:szCs w:val="18"/>
              </w:rPr>
            </w:pPr>
            <w:proofErr w:type="spellStart"/>
            <w:r w:rsidRPr="00C954CC">
              <w:rPr>
                <w:color w:val="000000"/>
                <w:sz w:val="18"/>
                <w:szCs w:val="18"/>
              </w:rPr>
              <w:t>makhohlola</w:t>
            </w:r>
            <w:proofErr w:type="spellEnd"/>
          </w:p>
        </w:tc>
        <w:tc>
          <w:tcPr>
            <w:tcW w:w="900" w:type="dxa"/>
            <w:vAlign w:val="bottom"/>
          </w:tcPr>
          <w:p w14:paraId="55533D20" w14:textId="5C16CC37" w:rsidR="00ED72A2" w:rsidRPr="00C954CC" w:rsidRDefault="00ED72A2" w:rsidP="00C954CC">
            <w:pPr>
              <w:jc w:val="right"/>
              <w:rPr>
                <w:color w:val="000000"/>
                <w:sz w:val="18"/>
                <w:szCs w:val="18"/>
              </w:rPr>
            </w:pPr>
            <w:r w:rsidRPr="00C954CC">
              <w:rPr>
                <w:color w:val="000000"/>
                <w:sz w:val="18"/>
                <w:szCs w:val="18"/>
              </w:rPr>
              <w:t>-25.30</w:t>
            </w:r>
          </w:p>
        </w:tc>
        <w:tc>
          <w:tcPr>
            <w:tcW w:w="1080" w:type="dxa"/>
            <w:vAlign w:val="bottom"/>
          </w:tcPr>
          <w:p w14:paraId="755CD0C9" w14:textId="71A54FFD" w:rsidR="00ED72A2" w:rsidRPr="00C954CC" w:rsidRDefault="00ED72A2" w:rsidP="00C954CC">
            <w:pPr>
              <w:jc w:val="right"/>
              <w:rPr>
                <w:color w:val="000000"/>
                <w:sz w:val="18"/>
                <w:szCs w:val="18"/>
              </w:rPr>
            </w:pPr>
            <w:r w:rsidRPr="00C954CC">
              <w:rPr>
                <w:color w:val="000000"/>
                <w:sz w:val="18"/>
                <w:szCs w:val="18"/>
              </w:rPr>
              <w:t>31.91</w:t>
            </w:r>
          </w:p>
        </w:tc>
        <w:tc>
          <w:tcPr>
            <w:tcW w:w="990" w:type="dxa"/>
          </w:tcPr>
          <w:p w14:paraId="1FBFDCDF" w14:textId="44B9F471" w:rsidR="00ED72A2" w:rsidRPr="00C954CC" w:rsidRDefault="00ED72A2" w:rsidP="00C954CC">
            <w:pPr>
              <w:jc w:val="right"/>
              <w:rPr>
                <w:color w:val="000000"/>
                <w:sz w:val="18"/>
                <w:szCs w:val="18"/>
              </w:rPr>
            </w:pPr>
            <w:r>
              <w:rPr>
                <w:color w:val="000000"/>
                <w:sz w:val="18"/>
                <w:szCs w:val="18"/>
              </w:rPr>
              <w:t>198</w:t>
            </w:r>
          </w:p>
        </w:tc>
        <w:tc>
          <w:tcPr>
            <w:tcW w:w="630" w:type="dxa"/>
            <w:vAlign w:val="center"/>
          </w:tcPr>
          <w:p w14:paraId="04C298E6" w14:textId="386E89DC" w:rsidR="00ED72A2" w:rsidRPr="00C954CC" w:rsidRDefault="00ED72A2" w:rsidP="00C954CC">
            <w:pPr>
              <w:jc w:val="right"/>
              <w:rPr>
                <w:color w:val="000000"/>
                <w:sz w:val="18"/>
                <w:szCs w:val="18"/>
              </w:rPr>
            </w:pPr>
            <w:r>
              <w:rPr>
                <w:color w:val="000000"/>
                <w:sz w:val="18"/>
                <w:szCs w:val="18"/>
              </w:rPr>
              <w:t>22.3</w:t>
            </w:r>
          </w:p>
        </w:tc>
        <w:tc>
          <w:tcPr>
            <w:tcW w:w="630" w:type="dxa"/>
            <w:vAlign w:val="center"/>
          </w:tcPr>
          <w:p w14:paraId="387055FE" w14:textId="7C022ECF" w:rsidR="00ED72A2" w:rsidRPr="00C954CC" w:rsidRDefault="00ED72A2" w:rsidP="00C954CC">
            <w:pPr>
              <w:jc w:val="right"/>
              <w:rPr>
                <w:color w:val="000000"/>
                <w:sz w:val="18"/>
                <w:szCs w:val="18"/>
              </w:rPr>
            </w:pPr>
            <w:r>
              <w:rPr>
                <w:color w:val="000000"/>
                <w:sz w:val="18"/>
                <w:szCs w:val="18"/>
              </w:rPr>
              <w:t>0.33</w:t>
            </w:r>
          </w:p>
        </w:tc>
        <w:tc>
          <w:tcPr>
            <w:tcW w:w="630" w:type="dxa"/>
          </w:tcPr>
          <w:p w14:paraId="489FD215" w14:textId="18D5AA5F" w:rsidR="00ED72A2" w:rsidRPr="00C954CC" w:rsidRDefault="00ED72A2" w:rsidP="00C954CC">
            <w:pPr>
              <w:jc w:val="right"/>
              <w:rPr>
                <w:color w:val="000000"/>
                <w:sz w:val="18"/>
                <w:szCs w:val="18"/>
              </w:rPr>
            </w:pPr>
            <w:r>
              <w:rPr>
                <w:color w:val="000000"/>
                <w:sz w:val="18"/>
                <w:szCs w:val="18"/>
              </w:rPr>
              <w:t>820</w:t>
            </w:r>
          </w:p>
        </w:tc>
        <w:tc>
          <w:tcPr>
            <w:tcW w:w="1080" w:type="dxa"/>
            <w:vAlign w:val="bottom"/>
          </w:tcPr>
          <w:p w14:paraId="364B3D2E" w14:textId="3759D012"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7F76E779" w14:textId="0B90151D" w:rsidR="00ED72A2" w:rsidRPr="00C954CC" w:rsidRDefault="00ED72A2" w:rsidP="00C954CC">
            <w:pPr>
              <w:jc w:val="right"/>
              <w:rPr>
                <w:color w:val="000000"/>
                <w:sz w:val="18"/>
                <w:szCs w:val="18"/>
              </w:rPr>
            </w:pPr>
            <w:r w:rsidRPr="00C954CC">
              <w:rPr>
                <w:color w:val="000000"/>
                <w:sz w:val="18"/>
                <w:szCs w:val="18"/>
              </w:rPr>
              <w:t>field</w:t>
            </w:r>
          </w:p>
        </w:tc>
        <w:tc>
          <w:tcPr>
            <w:tcW w:w="1080" w:type="dxa"/>
            <w:vAlign w:val="bottom"/>
          </w:tcPr>
          <w:p w14:paraId="0F9AFE07" w14:textId="3186B375"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481009C4" w14:textId="179F52A4" w:rsidR="00ED72A2" w:rsidRPr="00C954CC" w:rsidRDefault="00ED72A2" w:rsidP="00C954CC">
            <w:pPr>
              <w:jc w:val="right"/>
              <w:rPr>
                <w:color w:val="000000"/>
                <w:sz w:val="18"/>
                <w:szCs w:val="18"/>
              </w:rPr>
            </w:pPr>
            <w:r w:rsidRPr="00C954CC">
              <w:rPr>
                <w:color w:val="000000"/>
                <w:sz w:val="18"/>
                <w:szCs w:val="18"/>
              </w:rPr>
              <w:t>5</w:t>
            </w:r>
          </w:p>
        </w:tc>
      </w:tr>
      <w:tr w:rsidR="00ED72A2" w:rsidRPr="00380AE9" w14:paraId="0CF8C9E4" w14:textId="77777777" w:rsidTr="00ED72A2">
        <w:tc>
          <w:tcPr>
            <w:tcW w:w="2245" w:type="dxa"/>
            <w:vMerge/>
          </w:tcPr>
          <w:p w14:paraId="5F56A655" w14:textId="77777777" w:rsidR="00ED72A2" w:rsidRPr="00C15C33" w:rsidRDefault="00ED72A2" w:rsidP="00C954CC">
            <w:pPr>
              <w:rPr>
                <w:sz w:val="18"/>
                <w:szCs w:val="18"/>
              </w:rPr>
            </w:pPr>
          </w:p>
        </w:tc>
        <w:tc>
          <w:tcPr>
            <w:tcW w:w="1260" w:type="dxa"/>
          </w:tcPr>
          <w:p w14:paraId="1A37EBD7" w14:textId="257634EE" w:rsidR="00ED72A2" w:rsidRPr="00C954CC" w:rsidRDefault="00ED72A2" w:rsidP="00C954CC">
            <w:pPr>
              <w:rPr>
                <w:color w:val="000000"/>
                <w:sz w:val="18"/>
                <w:szCs w:val="18"/>
              </w:rPr>
            </w:pPr>
            <w:proofErr w:type="spellStart"/>
            <w:r w:rsidRPr="00C954CC">
              <w:rPr>
                <w:color w:val="000000"/>
                <w:sz w:val="18"/>
                <w:szCs w:val="18"/>
              </w:rPr>
              <w:t>satara</w:t>
            </w:r>
            <w:proofErr w:type="spellEnd"/>
          </w:p>
        </w:tc>
        <w:tc>
          <w:tcPr>
            <w:tcW w:w="900" w:type="dxa"/>
            <w:vAlign w:val="bottom"/>
          </w:tcPr>
          <w:p w14:paraId="6E5F4C3A" w14:textId="6DFAA055" w:rsidR="00ED72A2" w:rsidRPr="00C954CC" w:rsidRDefault="00ED72A2" w:rsidP="00C954CC">
            <w:pPr>
              <w:jc w:val="right"/>
              <w:rPr>
                <w:color w:val="000000"/>
                <w:sz w:val="18"/>
                <w:szCs w:val="18"/>
              </w:rPr>
            </w:pPr>
            <w:r w:rsidRPr="00C954CC">
              <w:rPr>
                <w:color w:val="000000"/>
                <w:sz w:val="18"/>
                <w:szCs w:val="18"/>
              </w:rPr>
              <w:t>-24.40</w:t>
            </w:r>
          </w:p>
        </w:tc>
        <w:tc>
          <w:tcPr>
            <w:tcW w:w="1080" w:type="dxa"/>
            <w:vAlign w:val="bottom"/>
          </w:tcPr>
          <w:p w14:paraId="58FC44F4" w14:textId="42E5CDA5" w:rsidR="00ED72A2" w:rsidRPr="00C954CC" w:rsidRDefault="00ED72A2" w:rsidP="00C954CC">
            <w:pPr>
              <w:jc w:val="right"/>
              <w:rPr>
                <w:color w:val="000000"/>
                <w:sz w:val="18"/>
                <w:szCs w:val="18"/>
              </w:rPr>
            </w:pPr>
            <w:r w:rsidRPr="00C954CC">
              <w:rPr>
                <w:color w:val="000000"/>
                <w:sz w:val="18"/>
                <w:szCs w:val="18"/>
              </w:rPr>
              <w:t>31.75</w:t>
            </w:r>
          </w:p>
        </w:tc>
        <w:tc>
          <w:tcPr>
            <w:tcW w:w="990" w:type="dxa"/>
          </w:tcPr>
          <w:p w14:paraId="0F26F840" w14:textId="0CFA1909" w:rsidR="00ED72A2" w:rsidRPr="00C954CC" w:rsidRDefault="00ED72A2" w:rsidP="00C954CC">
            <w:pPr>
              <w:jc w:val="right"/>
              <w:rPr>
                <w:color w:val="000000"/>
                <w:sz w:val="18"/>
                <w:szCs w:val="18"/>
              </w:rPr>
            </w:pPr>
            <w:r>
              <w:rPr>
                <w:color w:val="000000"/>
                <w:sz w:val="18"/>
                <w:szCs w:val="18"/>
              </w:rPr>
              <w:t>299</w:t>
            </w:r>
          </w:p>
        </w:tc>
        <w:tc>
          <w:tcPr>
            <w:tcW w:w="630" w:type="dxa"/>
            <w:vAlign w:val="center"/>
          </w:tcPr>
          <w:p w14:paraId="60EE3674" w14:textId="23D2AC98" w:rsidR="00ED72A2" w:rsidRPr="00C954CC" w:rsidRDefault="00ED72A2" w:rsidP="00C954CC">
            <w:pPr>
              <w:jc w:val="right"/>
              <w:rPr>
                <w:color w:val="000000"/>
                <w:sz w:val="18"/>
                <w:szCs w:val="18"/>
              </w:rPr>
            </w:pPr>
            <w:r>
              <w:rPr>
                <w:color w:val="000000"/>
                <w:sz w:val="18"/>
                <w:szCs w:val="18"/>
              </w:rPr>
              <w:t>22.0</w:t>
            </w:r>
          </w:p>
        </w:tc>
        <w:tc>
          <w:tcPr>
            <w:tcW w:w="630" w:type="dxa"/>
            <w:vAlign w:val="center"/>
          </w:tcPr>
          <w:p w14:paraId="2DABFCF9" w14:textId="65C20A70" w:rsidR="00ED72A2" w:rsidRPr="00C954CC" w:rsidRDefault="00ED72A2" w:rsidP="00C954CC">
            <w:pPr>
              <w:jc w:val="right"/>
              <w:rPr>
                <w:color w:val="000000"/>
                <w:sz w:val="18"/>
                <w:szCs w:val="18"/>
              </w:rPr>
            </w:pPr>
            <w:r>
              <w:rPr>
                <w:color w:val="000000"/>
                <w:sz w:val="18"/>
                <w:szCs w:val="18"/>
              </w:rPr>
              <w:t>0.31</w:t>
            </w:r>
          </w:p>
        </w:tc>
        <w:tc>
          <w:tcPr>
            <w:tcW w:w="630" w:type="dxa"/>
          </w:tcPr>
          <w:p w14:paraId="3A14A776" w14:textId="6FC2FD9E" w:rsidR="00ED72A2" w:rsidRPr="00C954CC" w:rsidRDefault="00ED72A2" w:rsidP="00C954CC">
            <w:pPr>
              <w:jc w:val="right"/>
              <w:rPr>
                <w:color w:val="000000"/>
                <w:sz w:val="18"/>
                <w:szCs w:val="18"/>
              </w:rPr>
            </w:pPr>
            <w:r>
              <w:rPr>
                <w:color w:val="000000"/>
                <w:sz w:val="18"/>
                <w:szCs w:val="18"/>
              </w:rPr>
              <w:t>847</w:t>
            </w:r>
          </w:p>
        </w:tc>
        <w:tc>
          <w:tcPr>
            <w:tcW w:w="1080" w:type="dxa"/>
            <w:vAlign w:val="bottom"/>
          </w:tcPr>
          <w:p w14:paraId="45692CE3" w14:textId="56322DD3"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6EEBE431" w14:textId="5E14E618" w:rsidR="00ED72A2" w:rsidRPr="00C954CC" w:rsidRDefault="00ED72A2" w:rsidP="00C954CC">
            <w:pPr>
              <w:jc w:val="right"/>
              <w:rPr>
                <w:color w:val="000000"/>
                <w:sz w:val="18"/>
                <w:szCs w:val="18"/>
              </w:rPr>
            </w:pPr>
            <w:r w:rsidRPr="00C954CC">
              <w:rPr>
                <w:color w:val="000000"/>
                <w:sz w:val="18"/>
                <w:szCs w:val="18"/>
              </w:rPr>
              <w:t>field</w:t>
            </w:r>
          </w:p>
        </w:tc>
        <w:tc>
          <w:tcPr>
            <w:tcW w:w="1080" w:type="dxa"/>
            <w:vAlign w:val="bottom"/>
          </w:tcPr>
          <w:p w14:paraId="6A9E22EF" w14:textId="62CC1CE1"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4FAF23AF" w14:textId="4B7CCEBC" w:rsidR="00ED72A2" w:rsidRPr="00C954CC" w:rsidRDefault="00ED72A2" w:rsidP="00C954CC">
            <w:pPr>
              <w:jc w:val="right"/>
              <w:rPr>
                <w:color w:val="000000"/>
                <w:sz w:val="18"/>
                <w:szCs w:val="18"/>
              </w:rPr>
            </w:pPr>
            <w:r w:rsidRPr="00C954CC">
              <w:rPr>
                <w:color w:val="000000"/>
                <w:sz w:val="18"/>
                <w:szCs w:val="18"/>
              </w:rPr>
              <w:t>5</w:t>
            </w:r>
          </w:p>
        </w:tc>
      </w:tr>
      <w:tr w:rsidR="00ED72A2" w:rsidRPr="00380AE9" w14:paraId="3F987362" w14:textId="77777777" w:rsidTr="00ED72A2">
        <w:tc>
          <w:tcPr>
            <w:tcW w:w="2245" w:type="dxa"/>
            <w:vMerge/>
          </w:tcPr>
          <w:p w14:paraId="3F65F716" w14:textId="77777777" w:rsidR="00ED72A2" w:rsidRPr="00C15C33" w:rsidRDefault="00ED72A2" w:rsidP="00C954CC">
            <w:pPr>
              <w:rPr>
                <w:sz w:val="18"/>
                <w:szCs w:val="18"/>
              </w:rPr>
            </w:pPr>
          </w:p>
        </w:tc>
        <w:tc>
          <w:tcPr>
            <w:tcW w:w="1260" w:type="dxa"/>
          </w:tcPr>
          <w:p w14:paraId="45C4D6DE" w14:textId="42D94E3A" w:rsidR="00ED72A2" w:rsidRPr="00C954CC" w:rsidRDefault="00ED72A2" w:rsidP="00C954CC">
            <w:pPr>
              <w:rPr>
                <w:color w:val="000000"/>
                <w:sz w:val="18"/>
                <w:szCs w:val="18"/>
              </w:rPr>
            </w:pPr>
            <w:proofErr w:type="spellStart"/>
            <w:r w:rsidRPr="00C954CC">
              <w:rPr>
                <w:color w:val="000000"/>
                <w:sz w:val="18"/>
                <w:szCs w:val="18"/>
              </w:rPr>
              <w:t>nwashitsumbe</w:t>
            </w:r>
            <w:proofErr w:type="spellEnd"/>
          </w:p>
        </w:tc>
        <w:tc>
          <w:tcPr>
            <w:tcW w:w="900" w:type="dxa"/>
            <w:vAlign w:val="bottom"/>
          </w:tcPr>
          <w:p w14:paraId="2B73CE41" w14:textId="050F1B05" w:rsidR="00ED72A2" w:rsidRPr="00C954CC" w:rsidRDefault="00ED72A2" w:rsidP="00C954CC">
            <w:pPr>
              <w:jc w:val="right"/>
              <w:rPr>
                <w:color w:val="000000"/>
                <w:sz w:val="18"/>
                <w:szCs w:val="18"/>
              </w:rPr>
            </w:pPr>
            <w:r w:rsidRPr="00C954CC">
              <w:rPr>
                <w:color w:val="000000"/>
                <w:sz w:val="18"/>
                <w:szCs w:val="18"/>
              </w:rPr>
              <w:t>-22.78</w:t>
            </w:r>
          </w:p>
        </w:tc>
        <w:tc>
          <w:tcPr>
            <w:tcW w:w="1080" w:type="dxa"/>
            <w:vAlign w:val="bottom"/>
          </w:tcPr>
          <w:p w14:paraId="14BC51A8" w14:textId="2F8C4DC2" w:rsidR="00ED72A2" w:rsidRPr="00C954CC" w:rsidRDefault="00ED72A2" w:rsidP="00C954CC">
            <w:pPr>
              <w:jc w:val="right"/>
              <w:rPr>
                <w:color w:val="000000"/>
                <w:sz w:val="18"/>
                <w:szCs w:val="18"/>
              </w:rPr>
            </w:pPr>
            <w:r w:rsidRPr="00C954CC">
              <w:rPr>
                <w:color w:val="000000"/>
                <w:sz w:val="18"/>
                <w:szCs w:val="18"/>
              </w:rPr>
              <w:t>31.25</w:t>
            </w:r>
          </w:p>
        </w:tc>
        <w:tc>
          <w:tcPr>
            <w:tcW w:w="990" w:type="dxa"/>
          </w:tcPr>
          <w:p w14:paraId="7677EE03" w14:textId="64F6F747" w:rsidR="00ED72A2" w:rsidRPr="00C954CC" w:rsidRDefault="00ED72A2" w:rsidP="00C954CC">
            <w:pPr>
              <w:jc w:val="right"/>
              <w:rPr>
                <w:color w:val="000000"/>
                <w:sz w:val="18"/>
                <w:szCs w:val="18"/>
              </w:rPr>
            </w:pPr>
            <w:r>
              <w:rPr>
                <w:color w:val="000000"/>
                <w:sz w:val="18"/>
                <w:szCs w:val="18"/>
              </w:rPr>
              <w:t>386</w:t>
            </w:r>
          </w:p>
        </w:tc>
        <w:tc>
          <w:tcPr>
            <w:tcW w:w="630" w:type="dxa"/>
            <w:vAlign w:val="center"/>
          </w:tcPr>
          <w:p w14:paraId="17955CCC" w14:textId="58CD1299" w:rsidR="00ED72A2" w:rsidRPr="00C954CC" w:rsidRDefault="00ED72A2" w:rsidP="00C954CC">
            <w:pPr>
              <w:jc w:val="right"/>
              <w:rPr>
                <w:color w:val="000000"/>
                <w:sz w:val="18"/>
                <w:szCs w:val="18"/>
              </w:rPr>
            </w:pPr>
            <w:r>
              <w:rPr>
                <w:color w:val="000000"/>
                <w:sz w:val="18"/>
                <w:szCs w:val="18"/>
              </w:rPr>
              <w:t>23.1</w:t>
            </w:r>
          </w:p>
        </w:tc>
        <w:tc>
          <w:tcPr>
            <w:tcW w:w="630" w:type="dxa"/>
            <w:vAlign w:val="center"/>
          </w:tcPr>
          <w:p w14:paraId="5815AB84" w14:textId="7D4271EF" w:rsidR="00ED72A2" w:rsidRPr="00C954CC" w:rsidRDefault="00ED72A2" w:rsidP="00C954CC">
            <w:pPr>
              <w:jc w:val="right"/>
              <w:rPr>
                <w:color w:val="000000"/>
                <w:sz w:val="18"/>
                <w:szCs w:val="18"/>
              </w:rPr>
            </w:pPr>
            <w:r>
              <w:rPr>
                <w:color w:val="000000"/>
                <w:sz w:val="18"/>
                <w:szCs w:val="18"/>
              </w:rPr>
              <w:t>0.25</w:t>
            </w:r>
          </w:p>
        </w:tc>
        <w:tc>
          <w:tcPr>
            <w:tcW w:w="630" w:type="dxa"/>
          </w:tcPr>
          <w:p w14:paraId="5261C3A3" w14:textId="2B543387" w:rsidR="00ED72A2" w:rsidRPr="00C954CC" w:rsidRDefault="00ED72A2" w:rsidP="00C954CC">
            <w:pPr>
              <w:jc w:val="right"/>
              <w:rPr>
                <w:color w:val="000000"/>
                <w:sz w:val="18"/>
                <w:szCs w:val="18"/>
              </w:rPr>
            </w:pPr>
            <w:r>
              <w:rPr>
                <w:color w:val="000000"/>
                <w:sz w:val="18"/>
                <w:szCs w:val="18"/>
              </w:rPr>
              <w:t>890</w:t>
            </w:r>
          </w:p>
        </w:tc>
        <w:tc>
          <w:tcPr>
            <w:tcW w:w="1080" w:type="dxa"/>
            <w:vAlign w:val="bottom"/>
          </w:tcPr>
          <w:p w14:paraId="0B9B3882" w14:textId="0E13EAD3"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5CD3831B" w14:textId="2D24630A" w:rsidR="00ED72A2" w:rsidRPr="00C954CC" w:rsidRDefault="00ED72A2" w:rsidP="00C954CC">
            <w:pPr>
              <w:jc w:val="right"/>
              <w:rPr>
                <w:color w:val="000000"/>
                <w:sz w:val="18"/>
                <w:szCs w:val="18"/>
              </w:rPr>
            </w:pPr>
            <w:r w:rsidRPr="00C954CC">
              <w:rPr>
                <w:color w:val="000000"/>
                <w:sz w:val="18"/>
                <w:szCs w:val="18"/>
              </w:rPr>
              <w:t>field</w:t>
            </w:r>
          </w:p>
        </w:tc>
        <w:tc>
          <w:tcPr>
            <w:tcW w:w="1080" w:type="dxa"/>
            <w:vAlign w:val="bottom"/>
          </w:tcPr>
          <w:p w14:paraId="39597F45" w14:textId="67F84DEC"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39745973" w14:textId="3BD24807" w:rsidR="00ED72A2" w:rsidRPr="00C954CC" w:rsidRDefault="00ED72A2" w:rsidP="00C954CC">
            <w:pPr>
              <w:jc w:val="right"/>
              <w:rPr>
                <w:color w:val="000000"/>
                <w:sz w:val="18"/>
                <w:szCs w:val="18"/>
              </w:rPr>
            </w:pPr>
            <w:r w:rsidRPr="00C954CC">
              <w:rPr>
                <w:color w:val="000000"/>
                <w:sz w:val="18"/>
                <w:szCs w:val="18"/>
              </w:rPr>
              <w:t>5</w:t>
            </w:r>
          </w:p>
        </w:tc>
      </w:tr>
      <w:tr w:rsidR="00ED72A2" w:rsidRPr="00380AE9" w14:paraId="214B2C6C" w14:textId="77777777" w:rsidTr="00ED72A2">
        <w:sdt>
          <w:sdtPr>
            <w:rPr>
              <w:color w:val="000000"/>
              <w:sz w:val="18"/>
              <w:szCs w:val="18"/>
            </w:rPr>
            <w:tag w:val="MENDELEY_CITATION_v3_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"/>
            <w:id w:val="-699162283"/>
            <w:placeholder>
              <w:docPart w:val="1660F60426796241BF161D7B7BC4C373"/>
            </w:placeholder>
          </w:sdtPr>
          <w:sdtContent>
            <w:tc>
              <w:tcPr>
                <w:tcW w:w="2245" w:type="dxa"/>
              </w:tcPr>
              <w:p w14:paraId="66042107" w14:textId="594D4B4C" w:rsidR="00ED72A2" w:rsidRPr="00C15C33" w:rsidRDefault="00E807B5" w:rsidP="00C954CC">
                <w:pPr>
                  <w:rPr>
                    <w:sz w:val="18"/>
                    <w:szCs w:val="18"/>
                  </w:rPr>
                </w:pPr>
                <w:r w:rsidRPr="00E807B5">
                  <w:rPr>
                    <w:rFonts w:eastAsia="Times New Roman"/>
                    <w:color w:val="000000"/>
                    <w:sz w:val="18"/>
                  </w:rPr>
                  <w:t>(Crous et al., 2017)</w:t>
                </w:r>
              </w:p>
            </w:tc>
          </w:sdtContent>
        </w:sdt>
        <w:tc>
          <w:tcPr>
            <w:tcW w:w="1260" w:type="dxa"/>
          </w:tcPr>
          <w:p w14:paraId="4773EA93" w14:textId="7D3D9341" w:rsidR="00ED72A2" w:rsidRPr="00C954CC" w:rsidRDefault="00ED72A2" w:rsidP="00C954CC">
            <w:pPr>
              <w:rPr>
                <w:color w:val="000000"/>
                <w:sz w:val="18"/>
                <w:szCs w:val="18"/>
              </w:rPr>
            </w:pPr>
            <w:proofErr w:type="spellStart"/>
            <w:r w:rsidRPr="00C954CC">
              <w:rPr>
                <w:color w:val="000000"/>
                <w:sz w:val="18"/>
                <w:szCs w:val="18"/>
              </w:rPr>
              <w:t>ANUglass</w:t>
            </w:r>
            <w:proofErr w:type="spellEnd"/>
          </w:p>
        </w:tc>
        <w:tc>
          <w:tcPr>
            <w:tcW w:w="900" w:type="dxa"/>
          </w:tcPr>
          <w:p w14:paraId="44FAF752" w14:textId="348FD522" w:rsidR="00ED72A2" w:rsidRPr="00C954CC" w:rsidRDefault="00ED72A2" w:rsidP="00C954CC">
            <w:pPr>
              <w:jc w:val="right"/>
              <w:rPr>
                <w:color w:val="000000"/>
                <w:sz w:val="18"/>
                <w:szCs w:val="18"/>
              </w:rPr>
            </w:pPr>
            <w:r w:rsidRPr="00C954CC">
              <w:rPr>
                <w:color w:val="000000"/>
                <w:sz w:val="18"/>
                <w:szCs w:val="18"/>
              </w:rPr>
              <w:t>NA</w:t>
            </w:r>
          </w:p>
        </w:tc>
        <w:tc>
          <w:tcPr>
            <w:tcW w:w="1080" w:type="dxa"/>
          </w:tcPr>
          <w:p w14:paraId="6AEEF089" w14:textId="0CF04209" w:rsidR="00ED72A2" w:rsidRPr="00C954CC" w:rsidRDefault="00ED72A2" w:rsidP="00C954CC">
            <w:pPr>
              <w:jc w:val="right"/>
              <w:rPr>
                <w:color w:val="000000"/>
                <w:sz w:val="18"/>
                <w:szCs w:val="18"/>
              </w:rPr>
            </w:pPr>
            <w:r w:rsidRPr="00C954CC">
              <w:rPr>
                <w:color w:val="000000"/>
                <w:sz w:val="18"/>
                <w:szCs w:val="18"/>
              </w:rPr>
              <w:t>NA</w:t>
            </w:r>
          </w:p>
        </w:tc>
        <w:tc>
          <w:tcPr>
            <w:tcW w:w="990" w:type="dxa"/>
          </w:tcPr>
          <w:p w14:paraId="0D434723" w14:textId="079CDC60" w:rsidR="00ED72A2" w:rsidRPr="00C954CC" w:rsidRDefault="00CF35B0" w:rsidP="00C954CC">
            <w:pPr>
              <w:jc w:val="right"/>
              <w:rPr>
                <w:color w:val="000000"/>
                <w:sz w:val="18"/>
                <w:szCs w:val="18"/>
              </w:rPr>
            </w:pPr>
            <w:r>
              <w:rPr>
                <w:color w:val="000000"/>
                <w:sz w:val="18"/>
                <w:szCs w:val="18"/>
              </w:rPr>
              <w:t>NA</w:t>
            </w:r>
          </w:p>
        </w:tc>
        <w:tc>
          <w:tcPr>
            <w:tcW w:w="630" w:type="dxa"/>
            <w:vAlign w:val="center"/>
          </w:tcPr>
          <w:p w14:paraId="6B8E9940" w14:textId="66D83C35" w:rsidR="00ED72A2" w:rsidRPr="00C954CC" w:rsidRDefault="00CF35B0" w:rsidP="00C954CC">
            <w:pPr>
              <w:jc w:val="right"/>
              <w:rPr>
                <w:color w:val="000000"/>
                <w:sz w:val="18"/>
                <w:szCs w:val="18"/>
              </w:rPr>
            </w:pPr>
            <w:r>
              <w:rPr>
                <w:color w:val="000000"/>
                <w:sz w:val="18"/>
                <w:szCs w:val="18"/>
              </w:rPr>
              <w:t>NA</w:t>
            </w:r>
          </w:p>
        </w:tc>
        <w:tc>
          <w:tcPr>
            <w:tcW w:w="630" w:type="dxa"/>
            <w:vAlign w:val="center"/>
          </w:tcPr>
          <w:p w14:paraId="589A123A" w14:textId="34F20A6B" w:rsidR="00ED72A2" w:rsidRPr="00C954CC" w:rsidRDefault="00CF35B0" w:rsidP="00C954CC">
            <w:pPr>
              <w:jc w:val="right"/>
              <w:rPr>
                <w:color w:val="000000"/>
                <w:sz w:val="18"/>
                <w:szCs w:val="18"/>
              </w:rPr>
            </w:pPr>
            <w:r>
              <w:rPr>
                <w:color w:val="000000"/>
                <w:sz w:val="18"/>
                <w:szCs w:val="18"/>
              </w:rPr>
              <w:t>NA</w:t>
            </w:r>
          </w:p>
        </w:tc>
        <w:tc>
          <w:tcPr>
            <w:tcW w:w="630" w:type="dxa"/>
          </w:tcPr>
          <w:p w14:paraId="29BA1D27" w14:textId="77A3CB87" w:rsidR="00ED72A2" w:rsidRPr="00C954CC" w:rsidRDefault="00CF35B0" w:rsidP="00C954CC">
            <w:pPr>
              <w:jc w:val="right"/>
              <w:rPr>
                <w:color w:val="000000"/>
                <w:sz w:val="18"/>
                <w:szCs w:val="18"/>
              </w:rPr>
            </w:pPr>
            <w:r>
              <w:rPr>
                <w:color w:val="000000"/>
                <w:sz w:val="18"/>
                <w:szCs w:val="18"/>
              </w:rPr>
              <w:t>NA</w:t>
            </w:r>
          </w:p>
        </w:tc>
        <w:tc>
          <w:tcPr>
            <w:tcW w:w="1080" w:type="dxa"/>
          </w:tcPr>
          <w:p w14:paraId="63FD3217" w14:textId="0D220099" w:rsidR="00ED72A2" w:rsidRPr="00C954CC" w:rsidRDefault="00ED72A2" w:rsidP="00C954CC">
            <w:pPr>
              <w:jc w:val="right"/>
              <w:rPr>
                <w:color w:val="000000"/>
                <w:sz w:val="18"/>
                <w:szCs w:val="18"/>
              </w:rPr>
            </w:pPr>
            <w:r w:rsidRPr="00C954CC">
              <w:rPr>
                <w:color w:val="000000"/>
                <w:sz w:val="18"/>
                <w:szCs w:val="18"/>
              </w:rPr>
              <w:t>NA</w:t>
            </w:r>
          </w:p>
        </w:tc>
        <w:tc>
          <w:tcPr>
            <w:tcW w:w="1170" w:type="dxa"/>
          </w:tcPr>
          <w:p w14:paraId="03777CCB" w14:textId="6C7DAF11" w:rsidR="00ED72A2" w:rsidRPr="00C954CC" w:rsidRDefault="00ED72A2" w:rsidP="00C954CC">
            <w:pPr>
              <w:jc w:val="right"/>
              <w:rPr>
                <w:color w:val="000000"/>
                <w:sz w:val="18"/>
                <w:szCs w:val="18"/>
              </w:rPr>
            </w:pPr>
            <w:r w:rsidRPr="00C954CC">
              <w:rPr>
                <w:color w:val="000000"/>
                <w:sz w:val="18"/>
                <w:szCs w:val="18"/>
              </w:rPr>
              <w:t>pot</w:t>
            </w:r>
          </w:p>
        </w:tc>
        <w:tc>
          <w:tcPr>
            <w:tcW w:w="1080" w:type="dxa"/>
          </w:tcPr>
          <w:p w14:paraId="19FB2275" w14:textId="2CB215F0" w:rsidR="00ED72A2" w:rsidRPr="00C954CC" w:rsidRDefault="00ED72A2" w:rsidP="00C954CC">
            <w:pPr>
              <w:jc w:val="right"/>
              <w:rPr>
                <w:color w:val="000000"/>
                <w:sz w:val="18"/>
                <w:szCs w:val="18"/>
              </w:rPr>
            </w:pPr>
            <w:r w:rsidRPr="00C954CC">
              <w:rPr>
                <w:color w:val="000000"/>
                <w:sz w:val="18"/>
                <w:szCs w:val="18"/>
              </w:rPr>
              <w:t>3.3 (g yr</w:t>
            </w:r>
            <w:r w:rsidRPr="00C954CC">
              <w:rPr>
                <w:color w:val="000000"/>
                <w:sz w:val="18"/>
                <w:szCs w:val="18"/>
                <w:vertAlign w:val="superscript"/>
              </w:rPr>
              <w:t>-1</w:t>
            </w:r>
            <w:r w:rsidRPr="00C954CC">
              <w:rPr>
                <w:color w:val="000000"/>
                <w:sz w:val="18"/>
                <w:szCs w:val="18"/>
              </w:rPr>
              <w:t>)</w:t>
            </w:r>
          </w:p>
        </w:tc>
        <w:tc>
          <w:tcPr>
            <w:tcW w:w="1170" w:type="dxa"/>
          </w:tcPr>
          <w:p w14:paraId="5265AA82" w14:textId="47006E48" w:rsidR="00ED72A2" w:rsidRPr="00C954CC" w:rsidRDefault="00ED72A2" w:rsidP="00C954CC">
            <w:pPr>
              <w:jc w:val="right"/>
              <w:rPr>
                <w:color w:val="000000"/>
                <w:sz w:val="18"/>
                <w:szCs w:val="18"/>
              </w:rPr>
            </w:pPr>
            <w:r w:rsidRPr="00C954CC">
              <w:rPr>
                <w:color w:val="000000"/>
                <w:sz w:val="18"/>
                <w:szCs w:val="18"/>
              </w:rPr>
              <w:t>0.153 (</w:t>
            </w:r>
            <w:r w:rsidRPr="00ED72A2">
              <w:rPr>
                <w:color w:val="000000"/>
                <w:sz w:val="16"/>
                <w:szCs w:val="16"/>
              </w:rPr>
              <w:t>g yr</w:t>
            </w:r>
            <w:r w:rsidRPr="00ED72A2">
              <w:rPr>
                <w:color w:val="000000"/>
                <w:sz w:val="16"/>
                <w:szCs w:val="16"/>
                <w:vertAlign w:val="superscript"/>
              </w:rPr>
              <w:t>-1</w:t>
            </w:r>
            <w:r w:rsidRPr="00C954CC">
              <w:rPr>
                <w:color w:val="000000"/>
                <w:sz w:val="18"/>
                <w:szCs w:val="18"/>
              </w:rPr>
              <w:t>)</w:t>
            </w:r>
          </w:p>
        </w:tc>
      </w:tr>
      <w:tr w:rsidR="00ED72A2" w:rsidRPr="00380AE9" w14:paraId="10503322" w14:textId="77777777" w:rsidTr="00ED72A2">
        <w:sdt>
          <w:sdtPr>
            <w:rPr>
              <w:color w:val="000000"/>
              <w:sz w:val="18"/>
              <w:szCs w:val="18"/>
            </w:rPr>
            <w:tag w:val="MENDELEY_CITATION_v3_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"/>
            <w:id w:val="-1885784277"/>
            <w:placeholder>
              <w:docPart w:val="F6D1BF589DFCA5488887BF6AFFB474D5"/>
            </w:placeholder>
          </w:sdtPr>
          <w:sdtContent>
            <w:tc>
              <w:tcPr>
                <w:tcW w:w="2245" w:type="dxa"/>
              </w:tcPr>
              <w:p w14:paraId="5BF3F3FD" w14:textId="5E5153DE" w:rsidR="00ED72A2" w:rsidRPr="00C15C33" w:rsidRDefault="00E807B5" w:rsidP="00C954CC">
                <w:pPr>
                  <w:rPr>
                    <w:sz w:val="18"/>
                    <w:szCs w:val="18"/>
                  </w:rPr>
                </w:pPr>
                <w:r w:rsidRPr="00E807B5">
                  <w:rPr>
                    <w:rFonts w:eastAsia="Times New Roman"/>
                    <w:color w:val="000000"/>
                    <w:sz w:val="18"/>
                  </w:rPr>
                  <w:t>(Cunha et al., 2024)</w:t>
                </w:r>
              </w:p>
            </w:tc>
          </w:sdtContent>
        </w:sdt>
        <w:tc>
          <w:tcPr>
            <w:tcW w:w="1260" w:type="dxa"/>
          </w:tcPr>
          <w:p w14:paraId="38E41910" w14:textId="3E4718AD" w:rsidR="00ED72A2" w:rsidRPr="00C954CC" w:rsidRDefault="00ED72A2" w:rsidP="00C954CC">
            <w:pPr>
              <w:rPr>
                <w:color w:val="000000"/>
                <w:sz w:val="18"/>
                <w:szCs w:val="18"/>
              </w:rPr>
            </w:pPr>
            <w:proofErr w:type="spellStart"/>
            <w:r w:rsidRPr="00C954CC">
              <w:rPr>
                <w:color w:val="000000"/>
                <w:sz w:val="18"/>
                <w:szCs w:val="18"/>
              </w:rPr>
              <w:t>londrina</w:t>
            </w:r>
            <w:proofErr w:type="spellEnd"/>
          </w:p>
        </w:tc>
        <w:tc>
          <w:tcPr>
            <w:tcW w:w="900" w:type="dxa"/>
            <w:vAlign w:val="bottom"/>
          </w:tcPr>
          <w:p w14:paraId="21A240B9" w14:textId="78220E16" w:rsidR="00ED72A2" w:rsidRPr="00C954CC" w:rsidRDefault="00ED72A2" w:rsidP="00C954CC">
            <w:pPr>
              <w:jc w:val="right"/>
              <w:rPr>
                <w:color w:val="000000"/>
                <w:sz w:val="18"/>
                <w:szCs w:val="18"/>
              </w:rPr>
            </w:pPr>
            <w:r w:rsidRPr="00C954CC">
              <w:rPr>
                <w:color w:val="000000"/>
                <w:sz w:val="18"/>
                <w:szCs w:val="18"/>
              </w:rPr>
              <w:t>-23.32</w:t>
            </w:r>
          </w:p>
        </w:tc>
        <w:tc>
          <w:tcPr>
            <w:tcW w:w="1080" w:type="dxa"/>
            <w:vAlign w:val="bottom"/>
          </w:tcPr>
          <w:p w14:paraId="6899BEBD" w14:textId="4D835262" w:rsidR="00ED72A2" w:rsidRPr="00C954CC" w:rsidRDefault="00ED72A2" w:rsidP="00C954CC">
            <w:pPr>
              <w:jc w:val="right"/>
              <w:rPr>
                <w:color w:val="000000"/>
                <w:sz w:val="18"/>
                <w:szCs w:val="18"/>
              </w:rPr>
            </w:pPr>
            <w:r w:rsidRPr="00C954CC">
              <w:rPr>
                <w:color w:val="000000"/>
                <w:sz w:val="18"/>
                <w:szCs w:val="18"/>
              </w:rPr>
              <w:t>-51.18</w:t>
            </w:r>
          </w:p>
        </w:tc>
        <w:tc>
          <w:tcPr>
            <w:tcW w:w="990" w:type="dxa"/>
          </w:tcPr>
          <w:p w14:paraId="292A4DD2" w14:textId="18779301" w:rsidR="00ED72A2" w:rsidRPr="00C15C33" w:rsidRDefault="00946F53" w:rsidP="00C954CC">
            <w:pPr>
              <w:jc w:val="right"/>
              <w:rPr>
                <w:color w:val="000000"/>
                <w:sz w:val="18"/>
                <w:szCs w:val="18"/>
              </w:rPr>
            </w:pPr>
            <w:r>
              <w:rPr>
                <w:color w:val="000000"/>
                <w:sz w:val="18"/>
                <w:szCs w:val="18"/>
              </w:rPr>
              <w:t>NA</w:t>
            </w:r>
          </w:p>
        </w:tc>
        <w:tc>
          <w:tcPr>
            <w:tcW w:w="630" w:type="dxa"/>
            <w:vAlign w:val="center"/>
          </w:tcPr>
          <w:p w14:paraId="6D374813" w14:textId="050960A8" w:rsidR="00ED72A2" w:rsidRPr="00C15C33" w:rsidRDefault="00946F53" w:rsidP="00C954CC">
            <w:pPr>
              <w:jc w:val="right"/>
              <w:rPr>
                <w:color w:val="000000"/>
                <w:sz w:val="18"/>
                <w:szCs w:val="18"/>
              </w:rPr>
            </w:pPr>
            <w:r>
              <w:rPr>
                <w:color w:val="000000"/>
                <w:sz w:val="18"/>
                <w:szCs w:val="18"/>
              </w:rPr>
              <w:t>NA</w:t>
            </w:r>
          </w:p>
        </w:tc>
        <w:tc>
          <w:tcPr>
            <w:tcW w:w="630" w:type="dxa"/>
            <w:vAlign w:val="center"/>
          </w:tcPr>
          <w:p w14:paraId="7CD504EC" w14:textId="16621848" w:rsidR="00ED72A2" w:rsidRPr="00C15C33" w:rsidRDefault="00946F53" w:rsidP="00C954CC">
            <w:pPr>
              <w:jc w:val="right"/>
              <w:rPr>
                <w:color w:val="000000"/>
                <w:sz w:val="18"/>
                <w:szCs w:val="18"/>
              </w:rPr>
            </w:pPr>
            <w:r>
              <w:rPr>
                <w:color w:val="000000"/>
                <w:sz w:val="18"/>
                <w:szCs w:val="18"/>
              </w:rPr>
              <w:t>NA</w:t>
            </w:r>
          </w:p>
        </w:tc>
        <w:tc>
          <w:tcPr>
            <w:tcW w:w="630" w:type="dxa"/>
          </w:tcPr>
          <w:p w14:paraId="132AD3E3" w14:textId="5881FC4B" w:rsidR="00ED72A2" w:rsidRPr="00C15C33" w:rsidRDefault="00946F53" w:rsidP="00C954CC">
            <w:pPr>
              <w:jc w:val="right"/>
              <w:rPr>
                <w:color w:val="000000"/>
                <w:sz w:val="18"/>
                <w:szCs w:val="18"/>
              </w:rPr>
            </w:pPr>
            <w:r>
              <w:rPr>
                <w:color w:val="000000"/>
                <w:sz w:val="18"/>
                <w:szCs w:val="18"/>
              </w:rPr>
              <w:t>NA</w:t>
            </w:r>
          </w:p>
        </w:tc>
        <w:tc>
          <w:tcPr>
            <w:tcW w:w="1080" w:type="dxa"/>
            <w:vAlign w:val="bottom"/>
          </w:tcPr>
          <w:p w14:paraId="6D0F7292" w14:textId="76938EAE" w:rsidR="00ED72A2" w:rsidRPr="00C954CC" w:rsidRDefault="00ED72A2" w:rsidP="00C954CC">
            <w:pPr>
              <w:jc w:val="right"/>
              <w:rPr>
                <w:color w:val="000000"/>
                <w:sz w:val="18"/>
                <w:szCs w:val="18"/>
              </w:rPr>
            </w:pPr>
            <w:r w:rsidRPr="00C954CC">
              <w:rPr>
                <w:color w:val="000000"/>
                <w:sz w:val="18"/>
                <w:szCs w:val="18"/>
              </w:rPr>
              <w:t>NA</w:t>
            </w:r>
          </w:p>
        </w:tc>
        <w:tc>
          <w:tcPr>
            <w:tcW w:w="1170" w:type="dxa"/>
            <w:vAlign w:val="bottom"/>
          </w:tcPr>
          <w:p w14:paraId="04AB3358" w14:textId="15D590D7" w:rsidR="00ED72A2" w:rsidRPr="00C954CC" w:rsidRDefault="00ED72A2" w:rsidP="00C954CC">
            <w:pPr>
              <w:jc w:val="right"/>
              <w:rPr>
                <w:color w:val="000000"/>
                <w:sz w:val="18"/>
                <w:szCs w:val="18"/>
              </w:rPr>
            </w:pPr>
            <w:r w:rsidRPr="00C954CC">
              <w:rPr>
                <w:color w:val="000000"/>
                <w:sz w:val="18"/>
                <w:szCs w:val="18"/>
              </w:rPr>
              <w:t>pot</w:t>
            </w:r>
          </w:p>
        </w:tc>
        <w:tc>
          <w:tcPr>
            <w:tcW w:w="1080" w:type="dxa"/>
          </w:tcPr>
          <w:p w14:paraId="36DD6473" w14:textId="3D2243AD" w:rsidR="00ED72A2" w:rsidRPr="00C954CC" w:rsidRDefault="00ED72A2" w:rsidP="00C954CC">
            <w:pPr>
              <w:jc w:val="right"/>
              <w:rPr>
                <w:color w:val="000000"/>
                <w:sz w:val="18"/>
                <w:szCs w:val="18"/>
              </w:rPr>
            </w:pPr>
            <w:r w:rsidRPr="00C954CC">
              <w:rPr>
                <w:color w:val="000000"/>
                <w:sz w:val="18"/>
                <w:szCs w:val="18"/>
              </w:rPr>
              <w:t>8.4</w:t>
            </w:r>
          </w:p>
        </w:tc>
        <w:tc>
          <w:tcPr>
            <w:tcW w:w="1170" w:type="dxa"/>
          </w:tcPr>
          <w:p w14:paraId="6663736E" w14:textId="668B06D5" w:rsidR="00ED72A2" w:rsidRPr="00C954CC" w:rsidRDefault="00ED72A2" w:rsidP="00C954CC">
            <w:pPr>
              <w:jc w:val="right"/>
              <w:rPr>
                <w:color w:val="000000"/>
                <w:sz w:val="18"/>
                <w:szCs w:val="18"/>
              </w:rPr>
            </w:pPr>
            <w:r w:rsidRPr="00C954CC">
              <w:rPr>
                <w:color w:val="000000"/>
                <w:sz w:val="18"/>
                <w:szCs w:val="18"/>
              </w:rPr>
              <w:t>4.5</w:t>
            </w:r>
          </w:p>
        </w:tc>
      </w:tr>
      <w:tr w:rsidR="00ED72A2" w:rsidRPr="00380AE9" w14:paraId="1ACD6311" w14:textId="77777777" w:rsidTr="00ED72A2">
        <w:sdt>
          <w:sdtPr>
            <w:rPr>
              <w:color w:val="000000"/>
              <w:sz w:val="18"/>
              <w:szCs w:val="18"/>
            </w:rPr>
            <w:tag w:val="MENDELEY_CITATION_v3_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"/>
            <w:id w:val="-349102720"/>
            <w:placeholder>
              <w:docPart w:val="64CD5B642D292441A5966B49F7B73DAA"/>
            </w:placeholder>
          </w:sdtPr>
          <w:sdtContent>
            <w:tc>
              <w:tcPr>
                <w:tcW w:w="2245" w:type="dxa"/>
              </w:tcPr>
              <w:p w14:paraId="6FC64F9A" w14:textId="597B607D" w:rsidR="00ED72A2" w:rsidRPr="00C15C33" w:rsidRDefault="00E807B5" w:rsidP="00C954CC">
                <w:pPr>
                  <w:rPr>
                    <w:sz w:val="18"/>
                    <w:szCs w:val="18"/>
                  </w:rPr>
                </w:pPr>
                <w:r w:rsidRPr="00E807B5">
                  <w:rPr>
                    <w:rFonts w:eastAsia="Times New Roman"/>
                    <w:color w:val="000000"/>
                    <w:sz w:val="18"/>
                  </w:rPr>
                  <w:t>(D’Antonio &amp; Mack, 2006)</w:t>
                </w:r>
              </w:p>
            </w:tc>
          </w:sdtContent>
        </w:sdt>
        <w:tc>
          <w:tcPr>
            <w:tcW w:w="1260" w:type="dxa"/>
          </w:tcPr>
          <w:p w14:paraId="25E8C640" w14:textId="488A8CA0" w:rsidR="00ED72A2" w:rsidRPr="00C954CC" w:rsidRDefault="00ED72A2" w:rsidP="00C954CC">
            <w:pPr>
              <w:rPr>
                <w:color w:val="000000"/>
                <w:sz w:val="18"/>
                <w:szCs w:val="18"/>
              </w:rPr>
            </w:pPr>
            <w:proofErr w:type="spellStart"/>
            <w:r w:rsidRPr="00C954CC">
              <w:rPr>
                <w:color w:val="000000"/>
                <w:sz w:val="18"/>
                <w:szCs w:val="18"/>
              </w:rPr>
              <w:t>volcanoNP</w:t>
            </w:r>
            <w:proofErr w:type="spellEnd"/>
          </w:p>
        </w:tc>
        <w:tc>
          <w:tcPr>
            <w:tcW w:w="900" w:type="dxa"/>
            <w:vAlign w:val="bottom"/>
          </w:tcPr>
          <w:p w14:paraId="6E0A501A" w14:textId="41FC6520" w:rsidR="00ED72A2" w:rsidRPr="00C954CC" w:rsidRDefault="00ED72A2" w:rsidP="00C954CC">
            <w:pPr>
              <w:jc w:val="right"/>
              <w:rPr>
                <w:color w:val="000000"/>
                <w:sz w:val="18"/>
                <w:szCs w:val="18"/>
              </w:rPr>
            </w:pPr>
            <w:r w:rsidRPr="00C954CC">
              <w:rPr>
                <w:color w:val="000000"/>
                <w:sz w:val="18"/>
                <w:szCs w:val="18"/>
              </w:rPr>
              <w:t>19.1</w:t>
            </w:r>
          </w:p>
        </w:tc>
        <w:tc>
          <w:tcPr>
            <w:tcW w:w="1080" w:type="dxa"/>
            <w:vAlign w:val="bottom"/>
          </w:tcPr>
          <w:p w14:paraId="1CAFE0E5" w14:textId="0AC04935" w:rsidR="00ED72A2" w:rsidRPr="00C954CC" w:rsidRDefault="00ED72A2" w:rsidP="00C954CC">
            <w:pPr>
              <w:jc w:val="right"/>
              <w:rPr>
                <w:color w:val="000000"/>
                <w:sz w:val="18"/>
                <w:szCs w:val="18"/>
              </w:rPr>
            </w:pPr>
            <w:r w:rsidRPr="00C954CC">
              <w:rPr>
                <w:color w:val="000000"/>
                <w:sz w:val="18"/>
                <w:szCs w:val="18"/>
              </w:rPr>
              <w:t>-155.55</w:t>
            </w:r>
          </w:p>
        </w:tc>
        <w:tc>
          <w:tcPr>
            <w:tcW w:w="990" w:type="dxa"/>
          </w:tcPr>
          <w:p w14:paraId="09597CDC" w14:textId="2A41C916" w:rsidR="00ED72A2" w:rsidRPr="00C15C33" w:rsidRDefault="00ED72A2" w:rsidP="00C954CC">
            <w:pPr>
              <w:jc w:val="right"/>
              <w:rPr>
                <w:color w:val="000000"/>
                <w:sz w:val="18"/>
                <w:szCs w:val="18"/>
              </w:rPr>
            </w:pPr>
            <w:r>
              <w:rPr>
                <w:color w:val="000000"/>
                <w:sz w:val="18"/>
                <w:szCs w:val="18"/>
              </w:rPr>
              <w:t>148</w:t>
            </w:r>
          </w:p>
        </w:tc>
        <w:tc>
          <w:tcPr>
            <w:tcW w:w="630" w:type="dxa"/>
            <w:vAlign w:val="center"/>
          </w:tcPr>
          <w:p w14:paraId="225376CD" w14:textId="051E2651" w:rsidR="00ED72A2" w:rsidRPr="00C15C33" w:rsidRDefault="00ED72A2" w:rsidP="00C954CC">
            <w:pPr>
              <w:jc w:val="right"/>
              <w:rPr>
                <w:color w:val="000000"/>
                <w:sz w:val="18"/>
                <w:szCs w:val="18"/>
              </w:rPr>
            </w:pPr>
            <w:r>
              <w:rPr>
                <w:color w:val="000000"/>
                <w:sz w:val="18"/>
                <w:szCs w:val="18"/>
              </w:rPr>
              <w:t>22.8</w:t>
            </w:r>
          </w:p>
        </w:tc>
        <w:tc>
          <w:tcPr>
            <w:tcW w:w="630" w:type="dxa"/>
            <w:vAlign w:val="center"/>
          </w:tcPr>
          <w:p w14:paraId="7701667E" w14:textId="12A94064" w:rsidR="00ED72A2" w:rsidRPr="00C15C33" w:rsidRDefault="00ED72A2" w:rsidP="00C954CC">
            <w:pPr>
              <w:jc w:val="right"/>
              <w:rPr>
                <w:color w:val="000000"/>
                <w:sz w:val="18"/>
                <w:szCs w:val="18"/>
              </w:rPr>
            </w:pPr>
            <w:r>
              <w:rPr>
                <w:color w:val="000000"/>
                <w:sz w:val="18"/>
                <w:szCs w:val="18"/>
              </w:rPr>
              <w:t>0.95</w:t>
            </w:r>
          </w:p>
        </w:tc>
        <w:tc>
          <w:tcPr>
            <w:tcW w:w="630" w:type="dxa"/>
          </w:tcPr>
          <w:p w14:paraId="0BC5EFAE" w14:textId="072CE242" w:rsidR="00ED72A2" w:rsidRPr="00C15C33" w:rsidRDefault="00ED72A2" w:rsidP="00C954CC">
            <w:pPr>
              <w:jc w:val="right"/>
              <w:rPr>
                <w:color w:val="000000"/>
                <w:sz w:val="18"/>
                <w:szCs w:val="18"/>
              </w:rPr>
            </w:pPr>
            <w:r>
              <w:rPr>
                <w:color w:val="000000"/>
                <w:sz w:val="18"/>
                <w:szCs w:val="18"/>
              </w:rPr>
              <w:t>860</w:t>
            </w:r>
          </w:p>
        </w:tc>
        <w:tc>
          <w:tcPr>
            <w:tcW w:w="1080" w:type="dxa"/>
            <w:vAlign w:val="bottom"/>
          </w:tcPr>
          <w:p w14:paraId="43889C16" w14:textId="7E92020D" w:rsidR="00ED72A2" w:rsidRPr="00C954CC" w:rsidRDefault="00ED72A2" w:rsidP="00C954CC">
            <w:pPr>
              <w:jc w:val="right"/>
              <w:rPr>
                <w:color w:val="000000"/>
                <w:sz w:val="18"/>
                <w:szCs w:val="18"/>
              </w:rPr>
            </w:pPr>
            <w:r w:rsidRPr="00C954CC">
              <w:rPr>
                <w:color w:val="000000"/>
                <w:sz w:val="18"/>
                <w:szCs w:val="18"/>
              </w:rPr>
              <w:t>forest</w:t>
            </w:r>
          </w:p>
        </w:tc>
        <w:tc>
          <w:tcPr>
            <w:tcW w:w="1170" w:type="dxa"/>
            <w:vAlign w:val="bottom"/>
          </w:tcPr>
          <w:p w14:paraId="6AD8C278" w14:textId="4265A369" w:rsidR="00ED72A2" w:rsidRPr="00C954CC" w:rsidRDefault="00ED72A2" w:rsidP="00C954CC">
            <w:pPr>
              <w:jc w:val="right"/>
              <w:rPr>
                <w:color w:val="000000"/>
                <w:sz w:val="18"/>
                <w:szCs w:val="18"/>
              </w:rPr>
            </w:pPr>
            <w:r w:rsidRPr="00C954CC">
              <w:rPr>
                <w:color w:val="000000"/>
                <w:sz w:val="18"/>
                <w:szCs w:val="18"/>
              </w:rPr>
              <w:t>field</w:t>
            </w:r>
          </w:p>
        </w:tc>
        <w:tc>
          <w:tcPr>
            <w:tcW w:w="1080" w:type="dxa"/>
            <w:vAlign w:val="bottom"/>
          </w:tcPr>
          <w:p w14:paraId="18A96491" w14:textId="503AC231"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3583C29A" w14:textId="7938C3D7" w:rsidR="00ED72A2" w:rsidRPr="00C954CC" w:rsidRDefault="00ED72A2" w:rsidP="00C954CC">
            <w:pPr>
              <w:jc w:val="right"/>
              <w:rPr>
                <w:color w:val="000000"/>
                <w:sz w:val="18"/>
                <w:szCs w:val="18"/>
              </w:rPr>
            </w:pPr>
            <w:r w:rsidRPr="00C954CC">
              <w:rPr>
                <w:color w:val="000000"/>
                <w:sz w:val="18"/>
                <w:szCs w:val="18"/>
              </w:rPr>
              <w:t>10</w:t>
            </w:r>
          </w:p>
        </w:tc>
      </w:tr>
    </w:tbl>
    <w:p w14:paraId="6BEE03F5" w14:textId="77777777" w:rsidR="00581754" w:rsidRDefault="00581754" w:rsidP="00C15C33">
      <w:pPr>
        <w:spacing w:after="0" w:line="360" w:lineRule="auto"/>
        <w:rPr>
          <w:b/>
          <w:bCs/>
        </w:rPr>
      </w:pPr>
    </w:p>
    <w:p w14:paraId="1CFB9EA6" w14:textId="2F9E6DFB" w:rsidR="00C15C33" w:rsidRDefault="00C15C33" w:rsidP="00C15C33">
      <w:pPr>
        <w:spacing w:after="0" w:line="360" w:lineRule="auto"/>
        <w:rPr>
          <w:b/>
          <w:bCs/>
        </w:rPr>
      </w:pPr>
      <w:r>
        <w:rPr>
          <w:b/>
          <w:bCs/>
        </w:rPr>
        <w:lastRenderedPageBreak/>
        <w:t>Table S1 (cont.)</w:t>
      </w:r>
    </w:p>
    <w:tbl>
      <w:tblPr>
        <w:tblStyle w:val="TableGrid"/>
        <w:tblW w:w="12865" w:type="dxa"/>
        <w:tblLayout w:type="fixed"/>
        <w:tblLook w:val="04A0" w:firstRow="1" w:lastRow="0" w:firstColumn="1" w:lastColumn="0" w:noHBand="0" w:noVBand="1"/>
      </w:tblPr>
      <w:tblGrid>
        <w:gridCol w:w="2245"/>
        <w:gridCol w:w="1260"/>
        <w:gridCol w:w="900"/>
        <w:gridCol w:w="1080"/>
        <w:gridCol w:w="990"/>
        <w:gridCol w:w="630"/>
        <w:gridCol w:w="630"/>
        <w:gridCol w:w="630"/>
        <w:gridCol w:w="1080"/>
        <w:gridCol w:w="1170"/>
        <w:gridCol w:w="1080"/>
        <w:gridCol w:w="1170"/>
      </w:tblGrid>
      <w:tr w:rsidR="00BE0821" w:rsidRPr="00D81D83" w14:paraId="7E22B88C" w14:textId="77777777" w:rsidTr="001475DC">
        <w:tc>
          <w:tcPr>
            <w:tcW w:w="2245" w:type="dxa"/>
            <w:vAlign w:val="center"/>
          </w:tcPr>
          <w:p w14:paraId="7C020577" w14:textId="77777777" w:rsidR="00BE0821" w:rsidRPr="001475DC" w:rsidRDefault="00BE0821" w:rsidP="001475DC">
            <w:pPr>
              <w:rPr>
                <w:b/>
                <w:bCs w:val="0"/>
                <w:sz w:val="16"/>
                <w:szCs w:val="16"/>
              </w:rPr>
            </w:pPr>
            <w:r w:rsidRPr="001475DC">
              <w:rPr>
                <w:b/>
                <w:sz w:val="16"/>
                <w:szCs w:val="16"/>
              </w:rPr>
              <w:t>Citation</w:t>
            </w:r>
          </w:p>
        </w:tc>
        <w:tc>
          <w:tcPr>
            <w:tcW w:w="1260" w:type="dxa"/>
            <w:vAlign w:val="center"/>
          </w:tcPr>
          <w:p w14:paraId="7498AB26" w14:textId="77777777" w:rsidR="00BE0821" w:rsidRPr="001475DC" w:rsidRDefault="00BE0821" w:rsidP="001475DC">
            <w:pPr>
              <w:rPr>
                <w:b/>
                <w:bCs w:val="0"/>
                <w:sz w:val="16"/>
                <w:szCs w:val="16"/>
              </w:rPr>
            </w:pPr>
            <w:r w:rsidRPr="001475DC">
              <w:rPr>
                <w:b/>
                <w:sz w:val="16"/>
                <w:szCs w:val="16"/>
              </w:rPr>
              <w:t>Site name</w:t>
            </w:r>
          </w:p>
        </w:tc>
        <w:tc>
          <w:tcPr>
            <w:tcW w:w="900" w:type="dxa"/>
            <w:vAlign w:val="center"/>
          </w:tcPr>
          <w:p w14:paraId="1FEAD9DA" w14:textId="77777777" w:rsidR="00BE0821" w:rsidRPr="001475DC" w:rsidRDefault="00BE0821" w:rsidP="001475DC">
            <w:pPr>
              <w:rPr>
                <w:b/>
                <w:bCs w:val="0"/>
                <w:sz w:val="16"/>
                <w:szCs w:val="16"/>
              </w:rPr>
            </w:pPr>
            <w:r w:rsidRPr="001475DC">
              <w:rPr>
                <w:b/>
                <w:sz w:val="16"/>
                <w:szCs w:val="16"/>
              </w:rPr>
              <w:t>Latitude</w:t>
            </w:r>
          </w:p>
        </w:tc>
        <w:tc>
          <w:tcPr>
            <w:tcW w:w="1080" w:type="dxa"/>
            <w:vAlign w:val="center"/>
          </w:tcPr>
          <w:p w14:paraId="0FB43C37" w14:textId="77777777" w:rsidR="00BE0821" w:rsidRPr="001475DC" w:rsidRDefault="00BE0821" w:rsidP="001475DC">
            <w:pPr>
              <w:rPr>
                <w:b/>
                <w:bCs w:val="0"/>
                <w:sz w:val="16"/>
                <w:szCs w:val="16"/>
              </w:rPr>
            </w:pPr>
            <w:r w:rsidRPr="001475DC">
              <w:rPr>
                <w:b/>
                <w:sz w:val="16"/>
                <w:szCs w:val="16"/>
              </w:rPr>
              <w:t>Longitude</w:t>
            </w:r>
          </w:p>
        </w:tc>
        <w:tc>
          <w:tcPr>
            <w:tcW w:w="990" w:type="dxa"/>
            <w:vAlign w:val="center"/>
          </w:tcPr>
          <w:p w14:paraId="44029949" w14:textId="5692B748" w:rsidR="00BE0821" w:rsidRPr="001475DC" w:rsidRDefault="00BE0821" w:rsidP="001475DC">
            <w:pPr>
              <w:rPr>
                <w:b/>
                <w:sz w:val="16"/>
                <w:szCs w:val="16"/>
              </w:rPr>
            </w:pPr>
            <w:r w:rsidRPr="001475DC">
              <w:rPr>
                <w:b/>
                <w:sz w:val="16"/>
                <w:szCs w:val="16"/>
              </w:rPr>
              <w:t>Elevation</w:t>
            </w:r>
          </w:p>
        </w:tc>
        <w:tc>
          <w:tcPr>
            <w:tcW w:w="630" w:type="dxa"/>
            <w:vAlign w:val="center"/>
          </w:tcPr>
          <w:p w14:paraId="1076D06B" w14:textId="29127441" w:rsidR="00BE0821" w:rsidRPr="001475DC" w:rsidRDefault="00BE0821" w:rsidP="001475DC">
            <w:pPr>
              <w:rPr>
                <w:b/>
                <w:bCs w:val="0"/>
                <w:sz w:val="16"/>
                <w:szCs w:val="16"/>
              </w:rPr>
            </w:pPr>
            <w:proofErr w:type="spellStart"/>
            <w:r w:rsidRPr="001475DC">
              <w:rPr>
                <w:b/>
                <w:i/>
                <w:iCs/>
                <w:sz w:val="16"/>
                <w:szCs w:val="16"/>
              </w:rPr>
              <w:t>T</w:t>
            </w:r>
            <w:r w:rsidRPr="001475DC">
              <w:rPr>
                <w:b/>
                <w:sz w:val="16"/>
                <w:szCs w:val="16"/>
                <w:vertAlign w:val="subscript"/>
              </w:rPr>
              <w:t>g</w:t>
            </w:r>
            <w:proofErr w:type="spellEnd"/>
          </w:p>
        </w:tc>
        <w:tc>
          <w:tcPr>
            <w:tcW w:w="630" w:type="dxa"/>
            <w:vAlign w:val="center"/>
          </w:tcPr>
          <w:p w14:paraId="39264275" w14:textId="3B594926" w:rsidR="00BE0821" w:rsidRPr="001475DC" w:rsidRDefault="00BE0821" w:rsidP="001475DC">
            <w:pPr>
              <w:rPr>
                <w:b/>
                <w:bCs w:val="0"/>
                <w:sz w:val="16"/>
                <w:szCs w:val="16"/>
              </w:rPr>
            </w:pPr>
            <w:proofErr w:type="spellStart"/>
            <w:r w:rsidRPr="001475DC">
              <w:rPr>
                <w:b/>
                <w:i/>
                <w:iCs/>
                <w:sz w:val="16"/>
                <w:szCs w:val="16"/>
              </w:rPr>
              <w:t>AI</w:t>
            </w:r>
            <w:r w:rsidRPr="001475DC">
              <w:rPr>
                <w:b/>
                <w:sz w:val="16"/>
                <w:szCs w:val="16"/>
                <w:vertAlign w:val="subscript"/>
              </w:rPr>
              <w:t>g</w:t>
            </w:r>
            <w:proofErr w:type="spellEnd"/>
          </w:p>
        </w:tc>
        <w:tc>
          <w:tcPr>
            <w:tcW w:w="630" w:type="dxa"/>
            <w:vAlign w:val="center"/>
          </w:tcPr>
          <w:p w14:paraId="0BD05514" w14:textId="29729EEC" w:rsidR="00BE0821" w:rsidRPr="001475DC" w:rsidRDefault="00BE0821" w:rsidP="001475DC">
            <w:pPr>
              <w:rPr>
                <w:b/>
                <w:bCs w:val="0"/>
                <w:sz w:val="16"/>
                <w:szCs w:val="16"/>
              </w:rPr>
            </w:pPr>
            <w:proofErr w:type="spellStart"/>
            <w:r w:rsidRPr="001475DC">
              <w:rPr>
                <w:b/>
                <w:bCs w:val="0"/>
                <w:i/>
                <w:iCs/>
                <w:sz w:val="16"/>
                <w:szCs w:val="16"/>
              </w:rPr>
              <w:t>PAR</w:t>
            </w:r>
            <w:r w:rsidRPr="001475DC">
              <w:rPr>
                <w:b/>
                <w:bCs w:val="0"/>
                <w:sz w:val="16"/>
                <w:szCs w:val="16"/>
                <w:vertAlign w:val="subscript"/>
              </w:rPr>
              <w:t>g</w:t>
            </w:r>
            <w:proofErr w:type="spellEnd"/>
          </w:p>
        </w:tc>
        <w:tc>
          <w:tcPr>
            <w:tcW w:w="1080" w:type="dxa"/>
            <w:vAlign w:val="center"/>
          </w:tcPr>
          <w:p w14:paraId="525C9A2F" w14:textId="77777777" w:rsidR="00BE0821" w:rsidRPr="001475DC" w:rsidRDefault="00BE0821" w:rsidP="001475DC">
            <w:pPr>
              <w:rPr>
                <w:b/>
                <w:bCs w:val="0"/>
                <w:sz w:val="16"/>
                <w:szCs w:val="16"/>
              </w:rPr>
            </w:pPr>
            <w:r w:rsidRPr="001475DC">
              <w:rPr>
                <w:b/>
                <w:sz w:val="16"/>
                <w:szCs w:val="16"/>
              </w:rPr>
              <w:t>Ecosystem type</w:t>
            </w:r>
          </w:p>
        </w:tc>
        <w:tc>
          <w:tcPr>
            <w:tcW w:w="1170" w:type="dxa"/>
            <w:vAlign w:val="center"/>
          </w:tcPr>
          <w:p w14:paraId="4593E693" w14:textId="77777777" w:rsidR="00BE0821" w:rsidRPr="001475DC" w:rsidRDefault="00BE0821" w:rsidP="001475DC">
            <w:pPr>
              <w:rPr>
                <w:b/>
                <w:bCs w:val="0"/>
                <w:sz w:val="16"/>
                <w:szCs w:val="16"/>
              </w:rPr>
            </w:pPr>
            <w:r w:rsidRPr="001475DC">
              <w:rPr>
                <w:b/>
                <w:sz w:val="16"/>
                <w:szCs w:val="16"/>
              </w:rPr>
              <w:t>Experiment type</w:t>
            </w:r>
          </w:p>
        </w:tc>
        <w:tc>
          <w:tcPr>
            <w:tcW w:w="1080" w:type="dxa"/>
            <w:vAlign w:val="center"/>
          </w:tcPr>
          <w:p w14:paraId="560165A6" w14:textId="77777777" w:rsidR="00BE0821" w:rsidRPr="001475DC" w:rsidRDefault="00BE0821" w:rsidP="001475DC">
            <w:pPr>
              <w:rPr>
                <w:b/>
                <w:bCs w:val="0"/>
                <w:sz w:val="16"/>
                <w:szCs w:val="16"/>
              </w:rPr>
            </w:pPr>
            <w:proofErr w:type="spellStart"/>
            <w:r w:rsidRPr="001475DC">
              <w:rPr>
                <w:b/>
                <w:sz w:val="16"/>
                <w:szCs w:val="16"/>
              </w:rPr>
              <w:t>N</w:t>
            </w:r>
            <w:proofErr w:type="spellEnd"/>
            <w:r w:rsidRPr="001475DC">
              <w:rPr>
                <w:b/>
                <w:sz w:val="16"/>
                <w:szCs w:val="16"/>
              </w:rPr>
              <w:t xml:space="preserve"> addition rate (g m</w:t>
            </w:r>
            <w:r w:rsidRPr="001475DC">
              <w:rPr>
                <w:b/>
                <w:sz w:val="16"/>
                <w:szCs w:val="16"/>
                <w:vertAlign w:val="superscript"/>
              </w:rPr>
              <w:t>-2</w:t>
            </w:r>
            <w:r w:rsidRPr="001475DC">
              <w:rPr>
                <w:b/>
                <w:sz w:val="16"/>
                <w:szCs w:val="16"/>
              </w:rPr>
              <w:t>)</w:t>
            </w:r>
          </w:p>
        </w:tc>
        <w:tc>
          <w:tcPr>
            <w:tcW w:w="1170" w:type="dxa"/>
            <w:vAlign w:val="center"/>
          </w:tcPr>
          <w:p w14:paraId="0EA57FC1" w14:textId="77777777" w:rsidR="00BE0821" w:rsidRPr="001475DC" w:rsidRDefault="00BE0821" w:rsidP="001475DC">
            <w:pPr>
              <w:rPr>
                <w:b/>
                <w:bCs w:val="0"/>
                <w:sz w:val="16"/>
                <w:szCs w:val="16"/>
              </w:rPr>
            </w:pPr>
            <w:r w:rsidRPr="001475DC">
              <w:rPr>
                <w:b/>
                <w:sz w:val="16"/>
                <w:szCs w:val="16"/>
              </w:rPr>
              <w:t>P addition rate (g m</w:t>
            </w:r>
            <w:r w:rsidRPr="001475DC">
              <w:rPr>
                <w:b/>
                <w:sz w:val="16"/>
                <w:szCs w:val="16"/>
                <w:vertAlign w:val="superscript"/>
              </w:rPr>
              <w:t>-2</w:t>
            </w:r>
            <w:r w:rsidRPr="001475DC">
              <w:rPr>
                <w:b/>
                <w:sz w:val="16"/>
                <w:szCs w:val="16"/>
              </w:rPr>
              <w:t>)</w:t>
            </w:r>
          </w:p>
        </w:tc>
      </w:tr>
      <w:tr w:rsidR="00BE0821" w:rsidRPr="00D81D83" w14:paraId="2F48DFE1" w14:textId="77777777" w:rsidTr="00BE0821">
        <w:sdt>
          <w:sdtPr>
            <w:rPr>
              <w:color w:val="000000"/>
              <w:sz w:val="18"/>
              <w:szCs w:val="18"/>
            </w:rPr>
            <w:tag w:val="MENDELEY_CITATION_v3_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"/>
            <w:id w:val="2108384374"/>
            <w:placeholder>
              <w:docPart w:val="8357A5550318144785DE947DA692CA0A"/>
            </w:placeholder>
          </w:sdtPr>
          <w:sdtContent>
            <w:tc>
              <w:tcPr>
                <w:tcW w:w="2245" w:type="dxa"/>
              </w:tcPr>
              <w:p w14:paraId="150EBDDC" w14:textId="192DC590" w:rsidR="00BE0821" w:rsidRPr="00C15C33" w:rsidRDefault="00E807B5" w:rsidP="00C954CC">
                <w:pPr>
                  <w:rPr>
                    <w:sz w:val="18"/>
                    <w:szCs w:val="18"/>
                  </w:rPr>
                </w:pPr>
                <w:r w:rsidRPr="00E807B5">
                  <w:rPr>
                    <w:rFonts w:eastAsia="Times New Roman"/>
                    <w:color w:val="000000"/>
                    <w:sz w:val="18"/>
                  </w:rPr>
                  <w:t>(Davidson et al., 2004)</w:t>
                </w:r>
              </w:p>
            </w:tc>
          </w:sdtContent>
        </w:sdt>
        <w:tc>
          <w:tcPr>
            <w:tcW w:w="1260" w:type="dxa"/>
          </w:tcPr>
          <w:p w14:paraId="71966315" w14:textId="3FBEA077" w:rsidR="00BE0821" w:rsidRPr="00BE0821" w:rsidRDefault="00BE0821" w:rsidP="00C954CC">
            <w:pPr>
              <w:rPr>
                <w:color w:val="000000"/>
                <w:sz w:val="16"/>
                <w:szCs w:val="16"/>
              </w:rPr>
            </w:pPr>
            <w:proofErr w:type="spellStart"/>
            <w:r w:rsidRPr="00BE0821">
              <w:rPr>
                <w:color w:val="000000"/>
                <w:sz w:val="16"/>
                <w:szCs w:val="16"/>
              </w:rPr>
              <w:t>fazendaVitoria</w:t>
            </w:r>
            <w:proofErr w:type="spellEnd"/>
          </w:p>
        </w:tc>
        <w:tc>
          <w:tcPr>
            <w:tcW w:w="900" w:type="dxa"/>
            <w:vAlign w:val="bottom"/>
          </w:tcPr>
          <w:p w14:paraId="31640561" w14:textId="439D18C3" w:rsidR="00BE0821" w:rsidRPr="00C15C33" w:rsidRDefault="00BE0821" w:rsidP="00C954CC">
            <w:pPr>
              <w:jc w:val="right"/>
              <w:rPr>
                <w:color w:val="000000"/>
                <w:sz w:val="18"/>
                <w:szCs w:val="18"/>
              </w:rPr>
            </w:pPr>
            <w:r w:rsidRPr="00C15C33">
              <w:rPr>
                <w:color w:val="000000"/>
                <w:sz w:val="18"/>
                <w:szCs w:val="18"/>
              </w:rPr>
              <w:t>-2.98</w:t>
            </w:r>
          </w:p>
        </w:tc>
        <w:tc>
          <w:tcPr>
            <w:tcW w:w="1080" w:type="dxa"/>
            <w:vAlign w:val="bottom"/>
          </w:tcPr>
          <w:p w14:paraId="652F3187" w14:textId="7CCBBE3D" w:rsidR="00BE0821" w:rsidRPr="00C15C33" w:rsidRDefault="00BE0821" w:rsidP="00C954CC">
            <w:pPr>
              <w:jc w:val="right"/>
              <w:rPr>
                <w:color w:val="000000"/>
                <w:sz w:val="18"/>
                <w:szCs w:val="18"/>
              </w:rPr>
            </w:pPr>
            <w:r w:rsidRPr="00C15C33">
              <w:rPr>
                <w:color w:val="000000"/>
                <w:sz w:val="18"/>
                <w:szCs w:val="18"/>
              </w:rPr>
              <w:t>-47.52</w:t>
            </w:r>
          </w:p>
        </w:tc>
        <w:tc>
          <w:tcPr>
            <w:tcW w:w="990" w:type="dxa"/>
          </w:tcPr>
          <w:p w14:paraId="727DC0CF" w14:textId="198687D1" w:rsidR="00BE0821" w:rsidRPr="00C15C33" w:rsidRDefault="00BE0821" w:rsidP="00C954CC">
            <w:pPr>
              <w:jc w:val="right"/>
              <w:rPr>
                <w:color w:val="000000"/>
                <w:sz w:val="18"/>
                <w:szCs w:val="18"/>
              </w:rPr>
            </w:pPr>
            <w:r>
              <w:rPr>
                <w:color w:val="000000"/>
                <w:sz w:val="18"/>
                <w:szCs w:val="18"/>
              </w:rPr>
              <w:t>136</w:t>
            </w:r>
          </w:p>
        </w:tc>
        <w:tc>
          <w:tcPr>
            <w:tcW w:w="630" w:type="dxa"/>
            <w:vAlign w:val="center"/>
          </w:tcPr>
          <w:p w14:paraId="5E8BF955" w14:textId="210B309E" w:rsidR="00BE0821" w:rsidRPr="00C15C33" w:rsidRDefault="00BE0821" w:rsidP="00C954CC">
            <w:pPr>
              <w:jc w:val="right"/>
              <w:rPr>
                <w:color w:val="000000"/>
                <w:sz w:val="18"/>
                <w:szCs w:val="18"/>
              </w:rPr>
            </w:pPr>
            <w:r>
              <w:rPr>
                <w:color w:val="000000"/>
                <w:sz w:val="18"/>
                <w:szCs w:val="18"/>
              </w:rPr>
              <w:t>25.9</w:t>
            </w:r>
          </w:p>
        </w:tc>
        <w:tc>
          <w:tcPr>
            <w:tcW w:w="630" w:type="dxa"/>
            <w:vAlign w:val="center"/>
          </w:tcPr>
          <w:p w14:paraId="3AE9244C" w14:textId="31582FAF" w:rsidR="00BE0821" w:rsidRPr="00C15C33" w:rsidRDefault="00BE0821" w:rsidP="00C954CC">
            <w:pPr>
              <w:jc w:val="right"/>
              <w:rPr>
                <w:color w:val="000000"/>
                <w:sz w:val="18"/>
                <w:szCs w:val="18"/>
              </w:rPr>
            </w:pPr>
            <w:r>
              <w:rPr>
                <w:color w:val="000000"/>
                <w:sz w:val="18"/>
                <w:szCs w:val="18"/>
              </w:rPr>
              <w:t>1.62</w:t>
            </w:r>
          </w:p>
        </w:tc>
        <w:tc>
          <w:tcPr>
            <w:tcW w:w="630" w:type="dxa"/>
          </w:tcPr>
          <w:p w14:paraId="1D223919" w14:textId="4D73B706" w:rsidR="00BE0821" w:rsidRPr="00C15C33" w:rsidRDefault="00BE0821" w:rsidP="00C954CC">
            <w:pPr>
              <w:jc w:val="right"/>
              <w:rPr>
                <w:color w:val="000000"/>
                <w:sz w:val="18"/>
                <w:szCs w:val="18"/>
              </w:rPr>
            </w:pPr>
            <w:r>
              <w:rPr>
                <w:color w:val="000000"/>
                <w:sz w:val="18"/>
                <w:szCs w:val="18"/>
              </w:rPr>
              <w:t>771</w:t>
            </w:r>
          </w:p>
        </w:tc>
        <w:tc>
          <w:tcPr>
            <w:tcW w:w="1080" w:type="dxa"/>
            <w:vAlign w:val="bottom"/>
          </w:tcPr>
          <w:p w14:paraId="44F5447B" w14:textId="246FDA7F" w:rsidR="00BE0821" w:rsidRPr="00C954CC" w:rsidRDefault="00BE0821" w:rsidP="00C954CC">
            <w:pPr>
              <w:jc w:val="right"/>
              <w:rPr>
                <w:color w:val="000000"/>
                <w:sz w:val="18"/>
                <w:szCs w:val="18"/>
              </w:rPr>
            </w:pPr>
            <w:r w:rsidRPr="00C954CC">
              <w:rPr>
                <w:color w:val="000000"/>
                <w:sz w:val="18"/>
                <w:szCs w:val="18"/>
              </w:rPr>
              <w:t>forest</w:t>
            </w:r>
          </w:p>
        </w:tc>
        <w:tc>
          <w:tcPr>
            <w:tcW w:w="1170" w:type="dxa"/>
            <w:vAlign w:val="bottom"/>
          </w:tcPr>
          <w:p w14:paraId="1050F8B4" w14:textId="721E10D3" w:rsidR="00BE0821" w:rsidRPr="00C954CC" w:rsidRDefault="00BE0821" w:rsidP="00C954CC">
            <w:pPr>
              <w:jc w:val="right"/>
              <w:rPr>
                <w:color w:val="000000"/>
                <w:sz w:val="18"/>
                <w:szCs w:val="18"/>
              </w:rPr>
            </w:pPr>
            <w:r w:rsidRPr="00C954CC">
              <w:rPr>
                <w:color w:val="000000"/>
                <w:sz w:val="18"/>
                <w:szCs w:val="18"/>
              </w:rPr>
              <w:t>field</w:t>
            </w:r>
          </w:p>
        </w:tc>
        <w:tc>
          <w:tcPr>
            <w:tcW w:w="1080" w:type="dxa"/>
            <w:vAlign w:val="bottom"/>
          </w:tcPr>
          <w:p w14:paraId="0D61D8F3" w14:textId="067874ED" w:rsidR="00BE0821" w:rsidRPr="00C954CC" w:rsidRDefault="00BE0821" w:rsidP="00C954CC">
            <w:pPr>
              <w:jc w:val="right"/>
              <w:rPr>
                <w:color w:val="000000"/>
                <w:sz w:val="18"/>
                <w:szCs w:val="18"/>
              </w:rPr>
            </w:pPr>
            <w:r w:rsidRPr="00C954CC">
              <w:rPr>
                <w:color w:val="000000"/>
                <w:sz w:val="18"/>
                <w:szCs w:val="18"/>
              </w:rPr>
              <w:t>10</w:t>
            </w:r>
          </w:p>
        </w:tc>
        <w:tc>
          <w:tcPr>
            <w:tcW w:w="1170" w:type="dxa"/>
          </w:tcPr>
          <w:p w14:paraId="7DCCA7A8" w14:textId="562A6EC1" w:rsidR="00BE0821" w:rsidRPr="00C954CC" w:rsidRDefault="00BE0821" w:rsidP="00C954CC">
            <w:pPr>
              <w:jc w:val="right"/>
              <w:rPr>
                <w:color w:val="000000"/>
                <w:sz w:val="18"/>
                <w:szCs w:val="18"/>
              </w:rPr>
            </w:pPr>
            <w:r w:rsidRPr="00C954CC">
              <w:rPr>
                <w:color w:val="000000"/>
                <w:sz w:val="18"/>
                <w:szCs w:val="18"/>
              </w:rPr>
              <w:t>5</w:t>
            </w:r>
          </w:p>
        </w:tc>
      </w:tr>
      <w:tr w:rsidR="00BE0821" w:rsidRPr="00D81D83" w14:paraId="49FAE824" w14:textId="77777777" w:rsidTr="00BE0821">
        <w:sdt>
          <w:sdtPr>
            <w:rPr>
              <w:color w:val="000000"/>
              <w:sz w:val="18"/>
              <w:szCs w:val="18"/>
            </w:rPr>
            <w:tag w:val="MENDELEY_CITATION_v3_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"/>
            <w:id w:val="1671284991"/>
            <w:placeholder>
              <w:docPart w:val="DB2093A7B3BE674FA2257FF61F6C5DFF"/>
            </w:placeholder>
          </w:sdtPr>
          <w:sdtContent>
            <w:tc>
              <w:tcPr>
                <w:tcW w:w="2245" w:type="dxa"/>
              </w:tcPr>
              <w:p w14:paraId="19C17A5B" w14:textId="5DAC7368" w:rsidR="00BE0821" w:rsidRPr="00C15C33" w:rsidRDefault="00E807B5" w:rsidP="00C954CC">
                <w:pPr>
                  <w:rPr>
                    <w:color w:val="000000"/>
                    <w:sz w:val="18"/>
                    <w:szCs w:val="18"/>
                  </w:rPr>
                </w:pPr>
                <w:r w:rsidRPr="00E807B5">
                  <w:rPr>
                    <w:rFonts w:eastAsia="Times New Roman"/>
                    <w:color w:val="000000"/>
                    <w:sz w:val="18"/>
                  </w:rPr>
                  <w:t>(Dong et al., 2016)</w:t>
                </w:r>
              </w:p>
            </w:tc>
          </w:sdtContent>
        </w:sdt>
        <w:tc>
          <w:tcPr>
            <w:tcW w:w="1260" w:type="dxa"/>
          </w:tcPr>
          <w:p w14:paraId="2E7FB0B4" w14:textId="5B64280E" w:rsidR="00BE0821" w:rsidRPr="00C15C33" w:rsidRDefault="00BE0821" w:rsidP="00C954CC">
            <w:pPr>
              <w:rPr>
                <w:color w:val="000000"/>
                <w:sz w:val="18"/>
                <w:szCs w:val="18"/>
              </w:rPr>
            </w:pPr>
            <w:proofErr w:type="spellStart"/>
            <w:r w:rsidRPr="00C15C33">
              <w:rPr>
                <w:color w:val="000000"/>
                <w:sz w:val="18"/>
                <w:szCs w:val="18"/>
              </w:rPr>
              <w:t>baingoin</w:t>
            </w:r>
            <w:proofErr w:type="spellEnd"/>
          </w:p>
        </w:tc>
        <w:tc>
          <w:tcPr>
            <w:tcW w:w="900" w:type="dxa"/>
            <w:vAlign w:val="bottom"/>
          </w:tcPr>
          <w:p w14:paraId="73AAB358" w14:textId="2F4E1C5A" w:rsidR="00BE0821" w:rsidRPr="00C15C33" w:rsidRDefault="00BE0821" w:rsidP="00C954CC">
            <w:pPr>
              <w:jc w:val="right"/>
              <w:rPr>
                <w:color w:val="000000"/>
                <w:sz w:val="18"/>
                <w:szCs w:val="18"/>
              </w:rPr>
            </w:pPr>
            <w:r w:rsidRPr="00C15C33">
              <w:rPr>
                <w:color w:val="000000"/>
                <w:sz w:val="18"/>
                <w:szCs w:val="18"/>
              </w:rPr>
              <w:t>31.43</w:t>
            </w:r>
          </w:p>
        </w:tc>
        <w:tc>
          <w:tcPr>
            <w:tcW w:w="1080" w:type="dxa"/>
            <w:vAlign w:val="bottom"/>
          </w:tcPr>
          <w:p w14:paraId="76AF1B85" w14:textId="62A27BA4" w:rsidR="00BE0821" w:rsidRPr="00C15C33" w:rsidRDefault="00BE0821" w:rsidP="00C954CC">
            <w:pPr>
              <w:jc w:val="right"/>
              <w:rPr>
                <w:color w:val="000000"/>
                <w:sz w:val="18"/>
                <w:szCs w:val="18"/>
              </w:rPr>
            </w:pPr>
            <w:r w:rsidRPr="00C15C33">
              <w:rPr>
                <w:color w:val="000000"/>
                <w:sz w:val="18"/>
                <w:szCs w:val="18"/>
              </w:rPr>
              <w:t>90.03</w:t>
            </w:r>
          </w:p>
        </w:tc>
        <w:tc>
          <w:tcPr>
            <w:tcW w:w="990" w:type="dxa"/>
          </w:tcPr>
          <w:p w14:paraId="79FB6423" w14:textId="3A60917B" w:rsidR="00BE0821" w:rsidRPr="00C15C33" w:rsidRDefault="00BE0821" w:rsidP="00C954CC">
            <w:pPr>
              <w:jc w:val="right"/>
              <w:rPr>
                <w:color w:val="000000"/>
                <w:sz w:val="18"/>
                <w:szCs w:val="18"/>
              </w:rPr>
            </w:pPr>
            <w:r>
              <w:rPr>
                <w:color w:val="000000"/>
                <w:sz w:val="18"/>
                <w:szCs w:val="18"/>
              </w:rPr>
              <w:t>4705</w:t>
            </w:r>
          </w:p>
        </w:tc>
        <w:tc>
          <w:tcPr>
            <w:tcW w:w="630" w:type="dxa"/>
            <w:vAlign w:val="center"/>
          </w:tcPr>
          <w:p w14:paraId="36BFB461" w14:textId="2588848F" w:rsidR="00BE0821" w:rsidRPr="00C15C33" w:rsidRDefault="00BE0821" w:rsidP="00C954CC">
            <w:pPr>
              <w:jc w:val="right"/>
              <w:rPr>
                <w:color w:val="000000"/>
                <w:sz w:val="18"/>
                <w:szCs w:val="18"/>
              </w:rPr>
            </w:pPr>
            <w:r>
              <w:rPr>
                <w:color w:val="000000"/>
                <w:sz w:val="18"/>
                <w:szCs w:val="18"/>
              </w:rPr>
              <w:t>6.4</w:t>
            </w:r>
          </w:p>
        </w:tc>
        <w:tc>
          <w:tcPr>
            <w:tcW w:w="630" w:type="dxa"/>
            <w:vAlign w:val="center"/>
          </w:tcPr>
          <w:p w14:paraId="7377B8D7" w14:textId="4CB5CA0C" w:rsidR="00BE0821" w:rsidRPr="00C15C33" w:rsidRDefault="00BE0821" w:rsidP="00C954CC">
            <w:pPr>
              <w:jc w:val="right"/>
              <w:rPr>
                <w:color w:val="000000"/>
                <w:sz w:val="18"/>
                <w:szCs w:val="18"/>
              </w:rPr>
            </w:pPr>
            <w:r>
              <w:rPr>
                <w:color w:val="000000"/>
                <w:sz w:val="18"/>
                <w:szCs w:val="18"/>
              </w:rPr>
              <w:t>0.52</w:t>
            </w:r>
          </w:p>
        </w:tc>
        <w:tc>
          <w:tcPr>
            <w:tcW w:w="630" w:type="dxa"/>
          </w:tcPr>
          <w:p w14:paraId="52FAF482" w14:textId="6B9DC370" w:rsidR="00BE0821" w:rsidRPr="00C15C33" w:rsidRDefault="00BE0821" w:rsidP="00C954CC">
            <w:pPr>
              <w:jc w:val="right"/>
              <w:rPr>
                <w:color w:val="000000"/>
                <w:sz w:val="18"/>
                <w:szCs w:val="18"/>
              </w:rPr>
            </w:pPr>
            <w:r>
              <w:rPr>
                <w:color w:val="000000"/>
                <w:sz w:val="18"/>
                <w:szCs w:val="18"/>
              </w:rPr>
              <w:t>931</w:t>
            </w:r>
          </w:p>
        </w:tc>
        <w:tc>
          <w:tcPr>
            <w:tcW w:w="1080" w:type="dxa"/>
            <w:vAlign w:val="bottom"/>
          </w:tcPr>
          <w:p w14:paraId="0083085B" w14:textId="34E7C6F8" w:rsidR="00BE0821" w:rsidRPr="00C954CC" w:rsidRDefault="00BE0821" w:rsidP="00C954CC">
            <w:pPr>
              <w:jc w:val="right"/>
              <w:rPr>
                <w:color w:val="000000"/>
                <w:sz w:val="18"/>
                <w:szCs w:val="18"/>
              </w:rPr>
            </w:pPr>
            <w:r w:rsidRPr="00C954CC">
              <w:rPr>
                <w:color w:val="000000"/>
                <w:sz w:val="18"/>
                <w:szCs w:val="18"/>
              </w:rPr>
              <w:t>grassland</w:t>
            </w:r>
          </w:p>
        </w:tc>
        <w:tc>
          <w:tcPr>
            <w:tcW w:w="1170" w:type="dxa"/>
            <w:vAlign w:val="bottom"/>
          </w:tcPr>
          <w:p w14:paraId="3DE43877" w14:textId="3AC8DE4D" w:rsidR="00BE0821" w:rsidRPr="00C954CC" w:rsidRDefault="00BE0821" w:rsidP="00C954CC">
            <w:pPr>
              <w:jc w:val="right"/>
              <w:rPr>
                <w:color w:val="000000"/>
                <w:sz w:val="18"/>
                <w:szCs w:val="18"/>
              </w:rPr>
            </w:pPr>
            <w:r w:rsidRPr="00C954CC">
              <w:rPr>
                <w:color w:val="000000"/>
                <w:sz w:val="18"/>
                <w:szCs w:val="18"/>
              </w:rPr>
              <w:t>field</w:t>
            </w:r>
          </w:p>
        </w:tc>
        <w:tc>
          <w:tcPr>
            <w:tcW w:w="1080" w:type="dxa"/>
          </w:tcPr>
          <w:p w14:paraId="775709EA" w14:textId="47051161" w:rsidR="00BE0821" w:rsidRPr="00C954CC" w:rsidRDefault="00BE0821" w:rsidP="00C954CC">
            <w:pPr>
              <w:jc w:val="right"/>
              <w:rPr>
                <w:color w:val="000000"/>
                <w:sz w:val="18"/>
                <w:szCs w:val="18"/>
              </w:rPr>
            </w:pPr>
            <w:r w:rsidRPr="00C954CC">
              <w:rPr>
                <w:color w:val="000000"/>
                <w:sz w:val="18"/>
                <w:szCs w:val="18"/>
              </w:rPr>
              <w:t>15</w:t>
            </w:r>
          </w:p>
        </w:tc>
        <w:tc>
          <w:tcPr>
            <w:tcW w:w="1170" w:type="dxa"/>
          </w:tcPr>
          <w:p w14:paraId="612455C2" w14:textId="2878952D" w:rsidR="00BE0821" w:rsidRPr="00C954CC" w:rsidRDefault="00BE0821" w:rsidP="00C954CC">
            <w:pPr>
              <w:jc w:val="right"/>
              <w:rPr>
                <w:color w:val="000000"/>
                <w:sz w:val="18"/>
                <w:szCs w:val="18"/>
              </w:rPr>
            </w:pPr>
            <w:r w:rsidRPr="00C954CC">
              <w:rPr>
                <w:color w:val="000000"/>
                <w:sz w:val="18"/>
                <w:szCs w:val="18"/>
              </w:rPr>
              <w:t>12.9</w:t>
            </w:r>
          </w:p>
        </w:tc>
      </w:tr>
      <w:tr w:rsidR="00BE0821" w:rsidRPr="006A7EA7" w14:paraId="3E1C556D" w14:textId="77777777" w:rsidTr="00BE0821">
        <w:sdt>
          <w:sdtPr>
            <w:rPr>
              <w:color w:val="000000"/>
              <w:sz w:val="18"/>
              <w:szCs w:val="18"/>
            </w:rPr>
            <w:tag w:val="MENDELEY_CITATION_v3_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"/>
            <w:id w:val="-1083294725"/>
            <w:placeholder>
              <w:docPart w:val="AED446CF03DB704FB0BD759C4B2662EC"/>
            </w:placeholder>
          </w:sdtPr>
          <w:sdtContent>
            <w:tc>
              <w:tcPr>
                <w:tcW w:w="2245" w:type="dxa"/>
              </w:tcPr>
              <w:p w14:paraId="39A87FCD" w14:textId="565A9BEB" w:rsidR="00BE0821" w:rsidRPr="00C15C33" w:rsidRDefault="00E807B5" w:rsidP="00C954CC">
                <w:pPr>
                  <w:rPr>
                    <w:sz w:val="18"/>
                    <w:szCs w:val="18"/>
                  </w:rPr>
                </w:pPr>
                <w:r w:rsidRPr="00E807B5">
                  <w:rPr>
                    <w:rFonts w:eastAsia="Times New Roman"/>
                    <w:color w:val="000000"/>
                    <w:sz w:val="18"/>
                  </w:rPr>
                  <w:t>(Eller et al., 2017)</w:t>
                </w:r>
              </w:p>
            </w:tc>
          </w:sdtContent>
        </w:sdt>
        <w:tc>
          <w:tcPr>
            <w:tcW w:w="1260" w:type="dxa"/>
          </w:tcPr>
          <w:p w14:paraId="103BA355" w14:textId="2E57114B" w:rsidR="00BE0821" w:rsidRPr="00C15C33" w:rsidRDefault="00BE0821" w:rsidP="00C954CC">
            <w:pPr>
              <w:rPr>
                <w:color w:val="000000"/>
                <w:sz w:val="18"/>
                <w:szCs w:val="18"/>
              </w:rPr>
            </w:pPr>
            <w:proofErr w:type="spellStart"/>
            <w:r w:rsidRPr="00C15C33">
              <w:rPr>
                <w:color w:val="000000"/>
                <w:sz w:val="18"/>
                <w:szCs w:val="18"/>
              </w:rPr>
              <w:t>flottbek</w:t>
            </w:r>
            <w:proofErr w:type="spellEnd"/>
          </w:p>
        </w:tc>
        <w:tc>
          <w:tcPr>
            <w:tcW w:w="900" w:type="dxa"/>
            <w:vAlign w:val="center"/>
          </w:tcPr>
          <w:p w14:paraId="5AF5AEC5" w14:textId="0E6E1F58" w:rsidR="00BE0821" w:rsidRPr="00C15C33" w:rsidRDefault="00BE0821" w:rsidP="00C954CC">
            <w:pPr>
              <w:jc w:val="right"/>
              <w:rPr>
                <w:color w:val="000000"/>
                <w:sz w:val="18"/>
                <w:szCs w:val="18"/>
              </w:rPr>
            </w:pPr>
            <w:r w:rsidRPr="00C15C33">
              <w:rPr>
                <w:color w:val="000000"/>
                <w:sz w:val="18"/>
                <w:szCs w:val="18"/>
              </w:rPr>
              <w:t>53.56</w:t>
            </w:r>
          </w:p>
        </w:tc>
        <w:tc>
          <w:tcPr>
            <w:tcW w:w="1080" w:type="dxa"/>
            <w:vAlign w:val="center"/>
          </w:tcPr>
          <w:p w14:paraId="1E3EB2EE" w14:textId="31B52180" w:rsidR="00BE0821" w:rsidRPr="00C15C33" w:rsidRDefault="00BE0821" w:rsidP="00C954CC">
            <w:pPr>
              <w:jc w:val="right"/>
              <w:rPr>
                <w:color w:val="000000"/>
                <w:sz w:val="18"/>
                <w:szCs w:val="18"/>
              </w:rPr>
            </w:pPr>
            <w:r w:rsidRPr="00C15C33">
              <w:rPr>
                <w:color w:val="000000"/>
                <w:sz w:val="18"/>
                <w:szCs w:val="18"/>
              </w:rPr>
              <w:t>9.86</w:t>
            </w:r>
          </w:p>
        </w:tc>
        <w:tc>
          <w:tcPr>
            <w:tcW w:w="990" w:type="dxa"/>
          </w:tcPr>
          <w:p w14:paraId="1EB35025" w14:textId="53AB74D6" w:rsidR="00BE0821" w:rsidRPr="00C15C33" w:rsidRDefault="00BE0821" w:rsidP="00C954CC">
            <w:pPr>
              <w:jc w:val="right"/>
              <w:rPr>
                <w:color w:val="000000"/>
                <w:sz w:val="18"/>
                <w:szCs w:val="18"/>
              </w:rPr>
            </w:pPr>
            <w:r>
              <w:rPr>
                <w:color w:val="000000"/>
                <w:sz w:val="18"/>
                <w:szCs w:val="18"/>
              </w:rPr>
              <w:t>NA</w:t>
            </w:r>
          </w:p>
        </w:tc>
        <w:tc>
          <w:tcPr>
            <w:tcW w:w="630" w:type="dxa"/>
            <w:vAlign w:val="center"/>
          </w:tcPr>
          <w:p w14:paraId="6663157F" w14:textId="7BB1C998" w:rsidR="00BE0821" w:rsidRPr="00C15C33" w:rsidRDefault="00BE0821" w:rsidP="00C954CC">
            <w:pPr>
              <w:jc w:val="right"/>
              <w:rPr>
                <w:color w:val="000000"/>
                <w:sz w:val="18"/>
                <w:szCs w:val="18"/>
              </w:rPr>
            </w:pPr>
            <w:r>
              <w:rPr>
                <w:color w:val="000000"/>
                <w:sz w:val="18"/>
                <w:szCs w:val="18"/>
              </w:rPr>
              <w:t>NA</w:t>
            </w:r>
          </w:p>
        </w:tc>
        <w:tc>
          <w:tcPr>
            <w:tcW w:w="630" w:type="dxa"/>
            <w:vAlign w:val="center"/>
          </w:tcPr>
          <w:p w14:paraId="023C9C75" w14:textId="1C602B78" w:rsidR="00BE0821" w:rsidRPr="00C15C33" w:rsidRDefault="00BE0821" w:rsidP="00C954CC">
            <w:pPr>
              <w:jc w:val="right"/>
              <w:rPr>
                <w:color w:val="000000"/>
                <w:sz w:val="18"/>
                <w:szCs w:val="18"/>
              </w:rPr>
            </w:pPr>
            <w:r>
              <w:rPr>
                <w:color w:val="000000"/>
                <w:sz w:val="18"/>
                <w:szCs w:val="18"/>
              </w:rPr>
              <w:t>NA</w:t>
            </w:r>
          </w:p>
        </w:tc>
        <w:tc>
          <w:tcPr>
            <w:tcW w:w="630" w:type="dxa"/>
          </w:tcPr>
          <w:p w14:paraId="6A4AD685" w14:textId="609ACCC2" w:rsidR="00BE0821" w:rsidRPr="00C15C33" w:rsidRDefault="00BE0821" w:rsidP="00C954CC">
            <w:pPr>
              <w:jc w:val="right"/>
              <w:rPr>
                <w:color w:val="000000"/>
                <w:sz w:val="18"/>
                <w:szCs w:val="18"/>
              </w:rPr>
            </w:pPr>
            <w:r>
              <w:rPr>
                <w:color w:val="000000"/>
                <w:sz w:val="18"/>
                <w:szCs w:val="18"/>
              </w:rPr>
              <w:t>NA</w:t>
            </w:r>
          </w:p>
        </w:tc>
        <w:tc>
          <w:tcPr>
            <w:tcW w:w="1080" w:type="dxa"/>
            <w:vAlign w:val="center"/>
          </w:tcPr>
          <w:p w14:paraId="541497FD" w14:textId="34FF9825" w:rsidR="00BE0821" w:rsidRPr="00C954CC" w:rsidRDefault="00BE0821" w:rsidP="00C954CC">
            <w:pPr>
              <w:jc w:val="right"/>
              <w:rPr>
                <w:color w:val="000000"/>
                <w:sz w:val="18"/>
                <w:szCs w:val="18"/>
              </w:rPr>
            </w:pPr>
            <w:r w:rsidRPr="00C954CC">
              <w:rPr>
                <w:color w:val="000000"/>
                <w:sz w:val="18"/>
                <w:szCs w:val="18"/>
              </w:rPr>
              <w:t>NA</w:t>
            </w:r>
          </w:p>
        </w:tc>
        <w:tc>
          <w:tcPr>
            <w:tcW w:w="1170" w:type="dxa"/>
            <w:vAlign w:val="center"/>
          </w:tcPr>
          <w:p w14:paraId="3517B66D" w14:textId="4C7C9124" w:rsidR="00BE0821" w:rsidRPr="00C954CC" w:rsidRDefault="00BE0821" w:rsidP="00C954CC">
            <w:pPr>
              <w:jc w:val="right"/>
              <w:rPr>
                <w:color w:val="000000"/>
                <w:sz w:val="18"/>
                <w:szCs w:val="18"/>
              </w:rPr>
            </w:pPr>
            <w:r w:rsidRPr="00C954CC">
              <w:rPr>
                <w:color w:val="000000"/>
                <w:sz w:val="18"/>
                <w:szCs w:val="18"/>
              </w:rPr>
              <w:t>pot</w:t>
            </w:r>
          </w:p>
        </w:tc>
        <w:tc>
          <w:tcPr>
            <w:tcW w:w="1080" w:type="dxa"/>
            <w:vAlign w:val="center"/>
          </w:tcPr>
          <w:p w14:paraId="69BE548D" w14:textId="61D8F9C7" w:rsidR="00BE0821" w:rsidRPr="00C954CC" w:rsidRDefault="00BE0821" w:rsidP="00C954CC">
            <w:pPr>
              <w:jc w:val="right"/>
              <w:rPr>
                <w:color w:val="000000"/>
                <w:sz w:val="18"/>
                <w:szCs w:val="18"/>
              </w:rPr>
            </w:pPr>
            <w:r w:rsidRPr="00C954CC">
              <w:rPr>
                <w:color w:val="000000"/>
                <w:sz w:val="18"/>
                <w:szCs w:val="18"/>
              </w:rPr>
              <w:t>1.3 (g pot</w:t>
            </w:r>
            <w:r w:rsidRPr="00C954CC">
              <w:rPr>
                <w:color w:val="000000"/>
                <w:sz w:val="18"/>
                <w:szCs w:val="18"/>
                <w:vertAlign w:val="superscript"/>
              </w:rPr>
              <w:t>-1</w:t>
            </w:r>
            <w:r w:rsidRPr="00C954CC">
              <w:rPr>
                <w:color w:val="000000"/>
                <w:sz w:val="18"/>
                <w:szCs w:val="18"/>
              </w:rPr>
              <w:t>)</w:t>
            </w:r>
          </w:p>
        </w:tc>
        <w:tc>
          <w:tcPr>
            <w:tcW w:w="1170" w:type="dxa"/>
            <w:vAlign w:val="center"/>
          </w:tcPr>
          <w:p w14:paraId="45BEA713" w14:textId="5BF3301E" w:rsidR="00BE0821" w:rsidRPr="00C954CC" w:rsidRDefault="00BE0821" w:rsidP="00C954CC">
            <w:pPr>
              <w:jc w:val="right"/>
              <w:rPr>
                <w:color w:val="000000"/>
                <w:sz w:val="18"/>
                <w:szCs w:val="18"/>
              </w:rPr>
            </w:pPr>
            <w:r w:rsidRPr="00C954CC">
              <w:rPr>
                <w:color w:val="000000"/>
                <w:sz w:val="18"/>
                <w:szCs w:val="18"/>
              </w:rPr>
              <w:t>1.3 (g pot</w:t>
            </w:r>
            <w:r w:rsidRPr="00C954CC">
              <w:rPr>
                <w:color w:val="000000"/>
                <w:sz w:val="18"/>
                <w:szCs w:val="18"/>
                <w:vertAlign w:val="superscript"/>
              </w:rPr>
              <w:t>-1</w:t>
            </w:r>
            <w:r w:rsidRPr="00C954CC">
              <w:rPr>
                <w:color w:val="000000"/>
                <w:sz w:val="18"/>
                <w:szCs w:val="18"/>
              </w:rPr>
              <w:t>)</w:t>
            </w:r>
          </w:p>
        </w:tc>
      </w:tr>
      <w:tr w:rsidR="00BE0821" w:rsidRPr="006A7EA7" w14:paraId="4888D062" w14:textId="77777777" w:rsidTr="00BE0821">
        <w:sdt>
          <w:sdtPr>
            <w:rPr>
              <w:color w:val="000000"/>
              <w:sz w:val="18"/>
              <w:szCs w:val="18"/>
            </w:rPr>
            <w:tag w:val="MENDELEY_CITATION_v3_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"/>
            <w:id w:val="-1231535818"/>
            <w:placeholder>
              <w:docPart w:val="9291EE10C974094783BCA2DD3B43B2E7"/>
            </w:placeholder>
          </w:sdtPr>
          <w:sdtContent>
            <w:tc>
              <w:tcPr>
                <w:tcW w:w="2245" w:type="dxa"/>
              </w:tcPr>
              <w:p w14:paraId="6006020C" w14:textId="7FAAF4C1" w:rsidR="00BE0821" w:rsidRPr="00C15C33" w:rsidRDefault="00E807B5" w:rsidP="00C954CC">
                <w:pPr>
                  <w:rPr>
                    <w:sz w:val="18"/>
                    <w:szCs w:val="18"/>
                  </w:rPr>
                </w:pPr>
                <w:r w:rsidRPr="00E807B5">
                  <w:rPr>
                    <w:rFonts w:eastAsia="Times New Roman"/>
                    <w:color w:val="000000"/>
                    <w:sz w:val="18"/>
                  </w:rPr>
                  <w:t>(Falk et al., 2010)</w:t>
                </w:r>
              </w:p>
            </w:tc>
          </w:sdtContent>
        </w:sdt>
        <w:tc>
          <w:tcPr>
            <w:tcW w:w="1260" w:type="dxa"/>
          </w:tcPr>
          <w:p w14:paraId="61898330" w14:textId="3692B1B4" w:rsidR="00BE0821" w:rsidRPr="00C15C33" w:rsidRDefault="00BE0821" w:rsidP="00C954CC">
            <w:pPr>
              <w:rPr>
                <w:color w:val="000000"/>
                <w:sz w:val="18"/>
                <w:szCs w:val="18"/>
              </w:rPr>
            </w:pPr>
            <w:proofErr w:type="spellStart"/>
            <w:r w:rsidRPr="00C15C33">
              <w:rPr>
                <w:color w:val="000000"/>
                <w:sz w:val="18"/>
                <w:szCs w:val="18"/>
              </w:rPr>
              <w:t>luneberg</w:t>
            </w:r>
            <w:proofErr w:type="spellEnd"/>
          </w:p>
        </w:tc>
        <w:tc>
          <w:tcPr>
            <w:tcW w:w="900" w:type="dxa"/>
            <w:vAlign w:val="bottom"/>
          </w:tcPr>
          <w:p w14:paraId="737AB9CD" w14:textId="0CD2FDA0" w:rsidR="00BE0821" w:rsidRPr="00C15C33" w:rsidRDefault="00BE0821" w:rsidP="00C954CC">
            <w:pPr>
              <w:jc w:val="right"/>
              <w:rPr>
                <w:color w:val="000000"/>
                <w:sz w:val="18"/>
                <w:szCs w:val="18"/>
              </w:rPr>
            </w:pPr>
            <w:r w:rsidRPr="00C15C33">
              <w:rPr>
                <w:color w:val="000000"/>
                <w:sz w:val="18"/>
                <w:szCs w:val="18"/>
              </w:rPr>
              <w:t>53.25</w:t>
            </w:r>
          </w:p>
        </w:tc>
        <w:tc>
          <w:tcPr>
            <w:tcW w:w="1080" w:type="dxa"/>
            <w:vAlign w:val="bottom"/>
          </w:tcPr>
          <w:p w14:paraId="4636E6DB" w14:textId="1558999A" w:rsidR="00BE0821" w:rsidRPr="00C15C33" w:rsidRDefault="00BE0821" w:rsidP="00C954CC">
            <w:pPr>
              <w:jc w:val="right"/>
              <w:rPr>
                <w:color w:val="000000"/>
                <w:sz w:val="18"/>
                <w:szCs w:val="18"/>
              </w:rPr>
            </w:pPr>
            <w:r w:rsidRPr="00C15C33">
              <w:rPr>
                <w:color w:val="000000"/>
                <w:sz w:val="18"/>
                <w:szCs w:val="18"/>
              </w:rPr>
              <w:t>9.97</w:t>
            </w:r>
          </w:p>
        </w:tc>
        <w:tc>
          <w:tcPr>
            <w:tcW w:w="990" w:type="dxa"/>
          </w:tcPr>
          <w:p w14:paraId="53C73491" w14:textId="0804C7C6" w:rsidR="00BE0821" w:rsidRPr="00C15C33" w:rsidRDefault="00BE0821" w:rsidP="00C954CC">
            <w:pPr>
              <w:jc w:val="right"/>
              <w:rPr>
                <w:color w:val="000000"/>
                <w:sz w:val="18"/>
                <w:szCs w:val="18"/>
              </w:rPr>
            </w:pPr>
            <w:r>
              <w:rPr>
                <w:color w:val="000000"/>
                <w:sz w:val="18"/>
                <w:szCs w:val="18"/>
              </w:rPr>
              <w:t>118</w:t>
            </w:r>
          </w:p>
        </w:tc>
        <w:tc>
          <w:tcPr>
            <w:tcW w:w="630" w:type="dxa"/>
            <w:vAlign w:val="center"/>
          </w:tcPr>
          <w:p w14:paraId="4343434A" w14:textId="649C62E2" w:rsidR="00BE0821" w:rsidRPr="00C15C33" w:rsidRDefault="00BE0821" w:rsidP="00C954CC">
            <w:pPr>
              <w:jc w:val="right"/>
              <w:rPr>
                <w:color w:val="000000"/>
                <w:sz w:val="18"/>
                <w:szCs w:val="18"/>
              </w:rPr>
            </w:pPr>
            <w:r>
              <w:rPr>
                <w:color w:val="000000"/>
                <w:sz w:val="18"/>
                <w:szCs w:val="18"/>
              </w:rPr>
              <w:t>8.5</w:t>
            </w:r>
          </w:p>
        </w:tc>
        <w:tc>
          <w:tcPr>
            <w:tcW w:w="630" w:type="dxa"/>
            <w:vAlign w:val="center"/>
          </w:tcPr>
          <w:p w14:paraId="06793EA9" w14:textId="7F275B05" w:rsidR="00BE0821" w:rsidRPr="00C15C33" w:rsidRDefault="00BE0821" w:rsidP="00C954CC">
            <w:pPr>
              <w:jc w:val="right"/>
              <w:rPr>
                <w:color w:val="000000"/>
                <w:sz w:val="18"/>
                <w:szCs w:val="18"/>
              </w:rPr>
            </w:pPr>
            <w:r>
              <w:rPr>
                <w:color w:val="000000"/>
                <w:sz w:val="18"/>
                <w:szCs w:val="18"/>
              </w:rPr>
              <w:t>1.76</w:t>
            </w:r>
          </w:p>
        </w:tc>
        <w:tc>
          <w:tcPr>
            <w:tcW w:w="630" w:type="dxa"/>
          </w:tcPr>
          <w:p w14:paraId="74658586" w14:textId="0257A1B4" w:rsidR="00BE0821" w:rsidRPr="00C15C33" w:rsidRDefault="00BE0821" w:rsidP="00C954CC">
            <w:pPr>
              <w:jc w:val="right"/>
              <w:rPr>
                <w:color w:val="000000"/>
                <w:sz w:val="18"/>
                <w:szCs w:val="18"/>
              </w:rPr>
            </w:pPr>
            <w:r>
              <w:rPr>
                <w:color w:val="000000"/>
                <w:sz w:val="18"/>
                <w:szCs w:val="18"/>
              </w:rPr>
              <w:t>469</w:t>
            </w:r>
          </w:p>
        </w:tc>
        <w:tc>
          <w:tcPr>
            <w:tcW w:w="1080" w:type="dxa"/>
            <w:vAlign w:val="bottom"/>
          </w:tcPr>
          <w:p w14:paraId="75C0655B" w14:textId="1B89CD29" w:rsidR="00BE0821" w:rsidRPr="00C954CC" w:rsidRDefault="00BE0821" w:rsidP="00C954CC">
            <w:pPr>
              <w:jc w:val="right"/>
              <w:rPr>
                <w:color w:val="000000"/>
                <w:sz w:val="18"/>
                <w:szCs w:val="18"/>
              </w:rPr>
            </w:pPr>
            <w:r w:rsidRPr="00C954CC">
              <w:rPr>
                <w:color w:val="000000"/>
                <w:sz w:val="18"/>
                <w:szCs w:val="18"/>
              </w:rPr>
              <w:t>grassland</w:t>
            </w:r>
          </w:p>
        </w:tc>
        <w:tc>
          <w:tcPr>
            <w:tcW w:w="1170" w:type="dxa"/>
            <w:vAlign w:val="bottom"/>
          </w:tcPr>
          <w:p w14:paraId="70FD41AD" w14:textId="109064B4" w:rsidR="00BE0821" w:rsidRPr="00C954CC" w:rsidRDefault="00BE0821" w:rsidP="00C954CC">
            <w:pPr>
              <w:jc w:val="right"/>
              <w:rPr>
                <w:color w:val="000000"/>
                <w:sz w:val="18"/>
                <w:szCs w:val="18"/>
              </w:rPr>
            </w:pPr>
            <w:r w:rsidRPr="00C954CC">
              <w:rPr>
                <w:color w:val="000000"/>
                <w:sz w:val="18"/>
                <w:szCs w:val="18"/>
              </w:rPr>
              <w:t>field</w:t>
            </w:r>
          </w:p>
        </w:tc>
        <w:tc>
          <w:tcPr>
            <w:tcW w:w="1080" w:type="dxa"/>
            <w:vAlign w:val="bottom"/>
          </w:tcPr>
          <w:p w14:paraId="3ECD8029" w14:textId="0E7419D2" w:rsidR="00BE0821" w:rsidRPr="00C954CC" w:rsidRDefault="00BE0821" w:rsidP="00C954CC">
            <w:pPr>
              <w:jc w:val="right"/>
              <w:rPr>
                <w:color w:val="000000"/>
                <w:sz w:val="18"/>
                <w:szCs w:val="18"/>
              </w:rPr>
            </w:pPr>
            <w:r w:rsidRPr="00C954CC">
              <w:rPr>
                <w:color w:val="000000"/>
                <w:sz w:val="18"/>
                <w:szCs w:val="18"/>
              </w:rPr>
              <w:t>5</w:t>
            </w:r>
          </w:p>
        </w:tc>
        <w:tc>
          <w:tcPr>
            <w:tcW w:w="1170" w:type="dxa"/>
          </w:tcPr>
          <w:p w14:paraId="6CBA778A" w14:textId="170F4B42" w:rsidR="00BE0821" w:rsidRPr="00C954CC" w:rsidRDefault="00BE0821" w:rsidP="00C954CC">
            <w:pPr>
              <w:jc w:val="right"/>
              <w:rPr>
                <w:color w:val="000000"/>
                <w:sz w:val="18"/>
                <w:szCs w:val="18"/>
              </w:rPr>
            </w:pPr>
            <w:r w:rsidRPr="00C954CC">
              <w:rPr>
                <w:color w:val="000000"/>
                <w:sz w:val="18"/>
                <w:szCs w:val="18"/>
              </w:rPr>
              <w:t>2</w:t>
            </w:r>
          </w:p>
        </w:tc>
      </w:tr>
      <w:tr w:rsidR="00BE0821" w:rsidRPr="006A7EA7" w14:paraId="68F13E8A" w14:textId="77777777" w:rsidTr="00BE0821">
        <w:sdt>
          <w:sdtPr>
            <w:rPr>
              <w:color w:val="000000"/>
              <w:sz w:val="18"/>
              <w:szCs w:val="18"/>
            </w:rPr>
            <w:tag w:val="MENDELEY_CITATION_v3_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"/>
            <w:id w:val="-62949808"/>
            <w:placeholder>
              <w:docPart w:val="63337440A8EC06448B1A34D1DA2DBC6E"/>
            </w:placeholder>
          </w:sdtPr>
          <w:sdtContent>
            <w:tc>
              <w:tcPr>
                <w:tcW w:w="2245" w:type="dxa"/>
                <w:vMerge w:val="restart"/>
                <w:vAlign w:val="center"/>
              </w:tcPr>
              <w:p w14:paraId="43AF24FB" w14:textId="70AF5C46" w:rsidR="00BE0821" w:rsidRPr="00C15C33" w:rsidRDefault="00E807B5" w:rsidP="00C954CC">
                <w:pPr>
                  <w:rPr>
                    <w:sz w:val="18"/>
                    <w:szCs w:val="18"/>
                  </w:rPr>
                </w:pPr>
                <w:r w:rsidRPr="00E807B5">
                  <w:rPr>
                    <w:rFonts w:eastAsia="Times New Roman"/>
                    <w:color w:val="000000"/>
                    <w:sz w:val="18"/>
                  </w:rPr>
                  <w:t>(Fisher et al., 2013)</w:t>
                </w:r>
              </w:p>
            </w:tc>
          </w:sdtContent>
        </w:sdt>
        <w:tc>
          <w:tcPr>
            <w:tcW w:w="1260" w:type="dxa"/>
          </w:tcPr>
          <w:p w14:paraId="312A81CF" w14:textId="7C548778" w:rsidR="00BE0821" w:rsidRPr="00C15C33" w:rsidRDefault="00BE0821" w:rsidP="00C954CC">
            <w:pPr>
              <w:rPr>
                <w:color w:val="000000"/>
                <w:sz w:val="18"/>
                <w:szCs w:val="18"/>
              </w:rPr>
            </w:pPr>
            <w:proofErr w:type="spellStart"/>
            <w:r w:rsidRPr="00C15C33">
              <w:rPr>
                <w:color w:val="000000"/>
                <w:sz w:val="18"/>
                <w:szCs w:val="18"/>
              </w:rPr>
              <w:t>tambopata</w:t>
            </w:r>
            <w:proofErr w:type="spellEnd"/>
          </w:p>
        </w:tc>
        <w:tc>
          <w:tcPr>
            <w:tcW w:w="900" w:type="dxa"/>
            <w:vAlign w:val="bottom"/>
          </w:tcPr>
          <w:p w14:paraId="46C2A6C2" w14:textId="03095E73" w:rsidR="00BE0821" w:rsidRPr="00C15C33" w:rsidRDefault="00BE0821" w:rsidP="00C954CC">
            <w:pPr>
              <w:jc w:val="right"/>
              <w:rPr>
                <w:color w:val="000000"/>
                <w:sz w:val="18"/>
                <w:szCs w:val="18"/>
              </w:rPr>
            </w:pPr>
            <w:r w:rsidRPr="00C15C33">
              <w:rPr>
                <w:color w:val="000000"/>
                <w:sz w:val="18"/>
                <w:szCs w:val="18"/>
              </w:rPr>
              <w:t>-12.84</w:t>
            </w:r>
          </w:p>
        </w:tc>
        <w:tc>
          <w:tcPr>
            <w:tcW w:w="1080" w:type="dxa"/>
            <w:vAlign w:val="bottom"/>
          </w:tcPr>
          <w:p w14:paraId="34844209" w14:textId="1979096B" w:rsidR="00BE0821" w:rsidRPr="00C15C33" w:rsidRDefault="00BE0821" w:rsidP="00C954CC">
            <w:pPr>
              <w:jc w:val="right"/>
              <w:rPr>
                <w:color w:val="000000"/>
                <w:sz w:val="18"/>
                <w:szCs w:val="18"/>
              </w:rPr>
            </w:pPr>
            <w:r w:rsidRPr="00C15C33">
              <w:rPr>
                <w:color w:val="000000"/>
                <w:sz w:val="18"/>
                <w:szCs w:val="18"/>
              </w:rPr>
              <w:t>-69.30</w:t>
            </w:r>
          </w:p>
        </w:tc>
        <w:tc>
          <w:tcPr>
            <w:tcW w:w="990" w:type="dxa"/>
          </w:tcPr>
          <w:p w14:paraId="3F1ABE9D" w14:textId="7A89313B" w:rsidR="00BE0821" w:rsidRPr="00C15C33" w:rsidRDefault="00BE0821" w:rsidP="00C954CC">
            <w:pPr>
              <w:jc w:val="right"/>
              <w:rPr>
                <w:color w:val="000000"/>
                <w:sz w:val="18"/>
                <w:szCs w:val="18"/>
              </w:rPr>
            </w:pPr>
            <w:r>
              <w:rPr>
                <w:color w:val="000000"/>
                <w:sz w:val="18"/>
                <w:szCs w:val="18"/>
              </w:rPr>
              <w:t>198</w:t>
            </w:r>
          </w:p>
        </w:tc>
        <w:tc>
          <w:tcPr>
            <w:tcW w:w="630" w:type="dxa"/>
            <w:vAlign w:val="center"/>
          </w:tcPr>
          <w:p w14:paraId="50E619C7" w14:textId="0C76D8D5" w:rsidR="00BE0821" w:rsidRPr="00C15C33" w:rsidRDefault="00BE0821" w:rsidP="00C954CC">
            <w:pPr>
              <w:jc w:val="right"/>
              <w:rPr>
                <w:color w:val="000000"/>
                <w:sz w:val="18"/>
                <w:szCs w:val="18"/>
              </w:rPr>
            </w:pPr>
            <w:r>
              <w:rPr>
                <w:color w:val="000000"/>
                <w:sz w:val="18"/>
                <w:szCs w:val="18"/>
              </w:rPr>
              <w:t>25.3</w:t>
            </w:r>
          </w:p>
        </w:tc>
        <w:tc>
          <w:tcPr>
            <w:tcW w:w="630" w:type="dxa"/>
            <w:vAlign w:val="center"/>
          </w:tcPr>
          <w:p w14:paraId="2677BE36" w14:textId="3C3F2A60" w:rsidR="00BE0821" w:rsidRPr="00C15C33" w:rsidRDefault="00BE0821" w:rsidP="00C954CC">
            <w:pPr>
              <w:jc w:val="right"/>
              <w:rPr>
                <w:color w:val="000000"/>
                <w:sz w:val="18"/>
                <w:szCs w:val="18"/>
              </w:rPr>
            </w:pPr>
            <w:r>
              <w:rPr>
                <w:color w:val="000000"/>
                <w:sz w:val="18"/>
                <w:szCs w:val="18"/>
              </w:rPr>
              <w:t>1.83</w:t>
            </w:r>
          </w:p>
        </w:tc>
        <w:tc>
          <w:tcPr>
            <w:tcW w:w="630" w:type="dxa"/>
          </w:tcPr>
          <w:p w14:paraId="5AC8EC11" w14:textId="5D064F6F" w:rsidR="00BE0821" w:rsidRPr="00C15C33" w:rsidRDefault="00BE0821" w:rsidP="00C954CC">
            <w:pPr>
              <w:jc w:val="right"/>
              <w:rPr>
                <w:color w:val="000000"/>
                <w:sz w:val="18"/>
                <w:szCs w:val="18"/>
              </w:rPr>
            </w:pPr>
            <w:r>
              <w:rPr>
                <w:color w:val="000000"/>
                <w:sz w:val="18"/>
                <w:szCs w:val="18"/>
              </w:rPr>
              <w:t>709</w:t>
            </w:r>
          </w:p>
        </w:tc>
        <w:tc>
          <w:tcPr>
            <w:tcW w:w="1080" w:type="dxa"/>
            <w:vAlign w:val="bottom"/>
          </w:tcPr>
          <w:p w14:paraId="691528D5" w14:textId="08C08246" w:rsidR="00BE0821" w:rsidRPr="00C954CC" w:rsidRDefault="00BE0821" w:rsidP="00C954CC">
            <w:pPr>
              <w:jc w:val="right"/>
              <w:rPr>
                <w:color w:val="000000"/>
                <w:sz w:val="18"/>
                <w:szCs w:val="18"/>
              </w:rPr>
            </w:pPr>
            <w:r w:rsidRPr="00C954CC">
              <w:rPr>
                <w:color w:val="000000"/>
                <w:sz w:val="18"/>
                <w:szCs w:val="18"/>
              </w:rPr>
              <w:t>forest</w:t>
            </w:r>
          </w:p>
        </w:tc>
        <w:tc>
          <w:tcPr>
            <w:tcW w:w="1170" w:type="dxa"/>
            <w:vAlign w:val="bottom"/>
          </w:tcPr>
          <w:p w14:paraId="6BCC595B" w14:textId="5C5273F8" w:rsidR="00BE0821" w:rsidRPr="00C954CC" w:rsidRDefault="00BE0821" w:rsidP="00C954CC">
            <w:pPr>
              <w:jc w:val="right"/>
              <w:rPr>
                <w:color w:val="000000"/>
                <w:sz w:val="18"/>
                <w:szCs w:val="18"/>
              </w:rPr>
            </w:pPr>
            <w:r w:rsidRPr="00C954CC">
              <w:rPr>
                <w:color w:val="000000"/>
                <w:sz w:val="18"/>
                <w:szCs w:val="18"/>
              </w:rPr>
              <w:t>field</w:t>
            </w:r>
          </w:p>
        </w:tc>
        <w:tc>
          <w:tcPr>
            <w:tcW w:w="1080" w:type="dxa"/>
            <w:vAlign w:val="bottom"/>
          </w:tcPr>
          <w:p w14:paraId="198CDA11" w14:textId="6237E84E" w:rsidR="00BE0821" w:rsidRPr="00C954CC" w:rsidRDefault="00BE0821" w:rsidP="00C954CC">
            <w:pPr>
              <w:jc w:val="right"/>
              <w:rPr>
                <w:color w:val="000000"/>
                <w:sz w:val="18"/>
                <w:szCs w:val="18"/>
              </w:rPr>
            </w:pPr>
            <w:r w:rsidRPr="00C954CC">
              <w:rPr>
                <w:color w:val="000000"/>
                <w:sz w:val="18"/>
                <w:szCs w:val="18"/>
              </w:rPr>
              <w:t>2.5</w:t>
            </w:r>
          </w:p>
        </w:tc>
        <w:tc>
          <w:tcPr>
            <w:tcW w:w="1170" w:type="dxa"/>
          </w:tcPr>
          <w:p w14:paraId="4B968821" w14:textId="15D7D1CE" w:rsidR="00BE0821" w:rsidRPr="00C954CC" w:rsidRDefault="00BE0821" w:rsidP="00C954CC">
            <w:pPr>
              <w:jc w:val="right"/>
              <w:rPr>
                <w:color w:val="000000"/>
                <w:sz w:val="18"/>
                <w:szCs w:val="18"/>
              </w:rPr>
            </w:pPr>
            <w:r w:rsidRPr="00C954CC">
              <w:rPr>
                <w:color w:val="000000"/>
                <w:sz w:val="18"/>
                <w:szCs w:val="18"/>
              </w:rPr>
              <w:t>0.5</w:t>
            </w:r>
          </w:p>
        </w:tc>
      </w:tr>
      <w:tr w:rsidR="00BE0821" w:rsidRPr="006A7EA7" w14:paraId="36D83332" w14:textId="77777777" w:rsidTr="00BE0821">
        <w:tc>
          <w:tcPr>
            <w:tcW w:w="2245" w:type="dxa"/>
            <w:vMerge/>
          </w:tcPr>
          <w:p w14:paraId="09F92B33" w14:textId="77777777" w:rsidR="00BE0821" w:rsidRPr="00C15C33" w:rsidRDefault="00BE0821" w:rsidP="00C954CC">
            <w:pPr>
              <w:rPr>
                <w:sz w:val="18"/>
                <w:szCs w:val="18"/>
              </w:rPr>
            </w:pPr>
          </w:p>
        </w:tc>
        <w:tc>
          <w:tcPr>
            <w:tcW w:w="1260" w:type="dxa"/>
          </w:tcPr>
          <w:p w14:paraId="36FAE8B1" w14:textId="51DDF3B0" w:rsidR="00BE0821" w:rsidRPr="00C15C33" w:rsidRDefault="00BE0821" w:rsidP="00C954CC">
            <w:pPr>
              <w:rPr>
                <w:color w:val="000000"/>
                <w:sz w:val="18"/>
                <w:szCs w:val="18"/>
              </w:rPr>
            </w:pPr>
            <w:proofErr w:type="spellStart"/>
            <w:r w:rsidRPr="00C15C33">
              <w:rPr>
                <w:color w:val="000000"/>
                <w:sz w:val="18"/>
                <w:szCs w:val="18"/>
              </w:rPr>
              <w:t>tono</w:t>
            </w:r>
            <w:proofErr w:type="spellEnd"/>
          </w:p>
        </w:tc>
        <w:tc>
          <w:tcPr>
            <w:tcW w:w="900" w:type="dxa"/>
            <w:vAlign w:val="bottom"/>
          </w:tcPr>
          <w:p w14:paraId="52BDABBC" w14:textId="536B04B8" w:rsidR="00BE0821" w:rsidRPr="00C15C33" w:rsidRDefault="00BE0821" w:rsidP="00C954CC">
            <w:pPr>
              <w:jc w:val="right"/>
              <w:rPr>
                <w:color w:val="000000"/>
                <w:sz w:val="18"/>
                <w:szCs w:val="18"/>
              </w:rPr>
            </w:pPr>
            <w:r w:rsidRPr="00C15C33">
              <w:rPr>
                <w:color w:val="000000"/>
                <w:sz w:val="18"/>
                <w:szCs w:val="18"/>
              </w:rPr>
              <w:t>-12.95</w:t>
            </w:r>
          </w:p>
        </w:tc>
        <w:tc>
          <w:tcPr>
            <w:tcW w:w="1080" w:type="dxa"/>
            <w:vAlign w:val="bottom"/>
          </w:tcPr>
          <w:p w14:paraId="5172388B" w14:textId="4BA0F630" w:rsidR="00BE0821" w:rsidRPr="00C15C33" w:rsidRDefault="00BE0821" w:rsidP="00C954CC">
            <w:pPr>
              <w:jc w:val="right"/>
              <w:rPr>
                <w:color w:val="000000"/>
                <w:sz w:val="18"/>
                <w:szCs w:val="18"/>
              </w:rPr>
            </w:pPr>
            <w:r w:rsidRPr="00C15C33">
              <w:rPr>
                <w:color w:val="000000"/>
                <w:sz w:val="18"/>
                <w:szCs w:val="18"/>
              </w:rPr>
              <w:t>-71.53</w:t>
            </w:r>
          </w:p>
        </w:tc>
        <w:tc>
          <w:tcPr>
            <w:tcW w:w="990" w:type="dxa"/>
          </w:tcPr>
          <w:p w14:paraId="6B0CC3FC" w14:textId="0E354B30" w:rsidR="00BE0821" w:rsidRPr="00C15C33" w:rsidRDefault="00BE0821" w:rsidP="00C954CC">
            <w:pPr>
              <w:jc w:val="right"/>
              <w:rPr>
                <w:color w:val="000000"/>
                <w:sz w:val="18"/>
                <w:szCs w:val="18"/>
              </w:rPr>
            </w:pPr>
            <w:r>
              <w:rPr>
                <w:color w:val="000000"/>
                <w:sz w:val="18"/>
                <w:szCs w:val="18"/>
              </w:rPr>
              <w:t>805</w:t>
            </w:r>
          </w:p>
        </w:tc>
        <w:tc>
          <w:tcPr>
            <w:tcW w:w="630" w:type="dxa"/>
            <w:vAlign w:val="center"/>
          </w:tcPr>
          <w:p w14:paraId="25EFFFE5" w14:textId="6D6F96A7" w:rsidR="00BE0821" w:rsidRPr="00C15C33" w:rsidRDefault="00BE0821" w:rsidP="00C954CC">
            <w:pPr>
              <w:jc w:val="right"/>
              <w:rPr>
                <w:color w:val="000000"/>
                <w:sz w:val="18"/>
                <w:szCs w:val="18"/>
              </w:rPr>
            </w:pPr>
            <w:r>
              <w:rPr>
                <w:color w:val="000000"/>
                <w:sz w:val="18"/>
                <w:szCs w:val="18"/>
              </w:rPr>
              <w:t>23.1</w:t>
            </w:r>
          </w:p>
        </w:tc>
        <w:tc>
          <w:tcPr>
            <w:tcW w:w="630" w:type="dxa"/>
            <w:vAlign w:val="center"/>
          </w:tcPr>
          <w:p w14:paraId="0338AE0A" w14:textId="3CB94098" w:rsidR="00BE0821" w:rsidRPr="00C15C33" w:rsidRDefault="00BE0821" w:rsidP="00C954CC">
            <w:pPr>
              <w:jc w:val="right"/>
              <w:rPr>
                <w:color w:val="000000"/>
                <w:sz w:val="18"/>
                <w:szCs w:val="18"/>
              </w:rPr>
            </w:pPr>
            <w:r>
              <w:rPr>
                <w:color w:val="000000"/>
                <w:sz w:val="18"/>
                <w:szCs w:val="18"/>
              </w:rPr>
              <w:t>2.04</w:t>
            </w:r>
          </w:p>
        </w:tc>
        <w:tc>
          <w:tcPr>
            <w:tcW w:w="630" w:type="dxa"/>
          </w:tcPr>
          <w:p w14:paraId="307971CD" w14:textId="74E89A96" w:rsidR="00BE0821" w:rsidRPr="00C15C33" w:rsidRDefault="00BE0821" w:rsidP="00C954CC">
            <w:pPr>
              <w:jc w:val="right"/>
              <w:rPr>
                <w:color w:val="000000"/>
                <w:sz w:val="18"/>
                <w:szCs w:val="18"/>
              </w:rPr>
            </w:pPr>
            <w:r>
              <w:rPr>
                <w:color w:val="000000"/>
                <w:sz w:val="18"/>
                <w:szCs w:val="18"/>
              </w:rPr>
              <w:t>726</w:t>
            </w:r>
          </w:p>
        </w:tc>
        <w:tc>
          <w:tcPr>
            <w:tcW w:w="1080" w:type="dxa"/>
            <w:vAlign w:val="bottom"/>
          </w:tcPr>
          <w:p w14:paraId="3E0F99D8" w14:textId="13987AAB" w:rsidR="00BE0821" w:rsidRPr="00C954CC" w:rsidRDefault="00BE0821" w:rsidP="00C954CC">
            <w:pPr>
              <w:jc w:val="right"/>
              <w:rPr>
                <w:color w:val="000000"/>
                <w:sz w:val="18"/>
                <w:szCs w:val="18"/>
              </w:rPr>
            </w:pPr>
            <w:r w:rsidRPr="00C954CC">
              <w:rPr>
                <w:color w:val="000000"/>
                <w:sz w:val="18"/>
                <w:szCs w:val="18"/>
              </w:rPr>
              <w:t>forest</w:t>
            </w:r>
          </w:p>
        </w:tc>
        <w:tc>
          <w:tcPr>
            <w:tcW w:w="1170" w:type="dxa"/>
            <w:vAlign w:val="bottom"/>
          </w:tcPr>
          <w:p w14:paraId="778DD22D" w14:textId="5BA6B9C0" w:rsidR="00BE0821" w:rsidRPr="00C954CC" w:rsidRDefault="00BE0821" w:rsidP="00C954CC">
            <w:pPr>
              <w:jc w:val="right"/>
              <w:rPr>
                <w:color w:val="000000"/>
                <w:sz w:val="18"/>
                <w:szCs w:val="18"/>
              </w:rPr>
            </w:pPr>
            <w:r w:rsidRPr="00C954CC">
              <w:rPr>
                <w:color w:val="000000"/>
                <w:sz w:val="18"/>
                <w:szCs w:val="18"/>
              </w:rPr>
              <w:t>field</w:t>
            </w:r>
          </w:p>
        </w:tc>
        <w:tc>
          <w:tcPr>
            <w:tcW w:w="1080" w:type="dxa"/>
            <w:vAlign w:val="bottom"/>
          </w:tcPr>
          <w:p w14:paraId="16C4F8F8" w14:textId="2630ED78" w:rsidR="00BE0821" w:rsidRPr="00C954CC" w:rsidRDefault="00BE0821" w:rsidP="00C954CC">
            <w:pPr>
              <w:jc w:val="right"/>
              <w:rPr>
                <w:color w:val="000000"/>
                <w:sz w:val="18"/>
                <w:szCs w:val="18"/>
              </w:rPr>
            </w:pPr>
            <w:r w:rsidRPr="00C954CC">
              <w:rPr>
                <w:color w:val="000000"/>
                <w:sz w:val="18"/>
                <w:szCs w:val="18"/>
              </w:rPr>
              <w:t>2.5</w:t>
            </w:r>
          </w:p>
        </w:tc>
        <w:tc>
          <w:tcPr>
            <w:tcW w:w="1170" w:type="dxa"/>
          </w:tcPr>
          <w:p w14:paraId="1D8FF5DF" w14:textId="3E12CB97" w:rsidR="00BE0821" w:rsidRPr="00C954CC" w:rsidRDefault="00BE0821" w:rsidP="00C954CC">
            <w:pPr>
              <w:jc w:val="right"/>
              <w:rPr>
                <w:color w:val="000000"/>
                <w:sz w:val="18"/>
                <w:szCs w:val="18"/>
              </w:rPr>
            </w:pPr>
            <w:r w:rsidRPr="00C954CC">
              <w:rPr>
                <w:color w:val="000000"/>
                <w:sz w:val="18"/>
                <w:szCs w:val="18"/>
              </w:rPr>
              <w:t>0.5</w:t>
            </w:r>
          </w:p>
        </w:tc>
      </w:tr>
      <w:tr w:rsidR="00BE0821" w:rsidRPr="006A7EA7" w14:paraId="0D3FC7CC" w14:textId="77777777" w:rsidTr="00BE0821">
        <w:tc>
          <w:tcPr>
            <w:tcW w:w="2245" w:type="dxa"/>
            <w:vMerge/>
          </w:tcPr>
          <w:p w14:paraId="1F30CE12" w14:textId="77777777" w:rsidR="00BE0821" w:rsidRPr="00C15C33" w:rsidRDefault="00BE0821" w:rsidP="00C954CC">
            <w:pPr>
              <w:rPr>
                <w:sz w:val="18"/>
                <w:szCs w:val="18"/>
              </w:rPr>
            </w:pPr>
          </w:p>
        </w:tc>
        <w:tc>
          <w:tcPr>
            <w:tcW w:w="1260" w:type="dxa"/>
          </w:tcPr>
          <w:p w14:paraId="2E5E5844" w14:textId="4ADA92C2" w:rsidR="00BE0821" w:rsidRPr="00C15C33" w:rsidRDefault="00BE0821" w:rsidP="00C954CC">
            <w:pPr>
              <w:rPr>
                <w:color w:val="000000"/>
                <w:sz w:val="18"/>
                <w:szCs w:val="18"/>
              </w:rPr>
            </w:pPr>
            <w:proofErr w:type="spellStart"/>
            <w:r w:rsidRPr="00C15C33">
              <w:rPr>
                <w:color w:val="000000"/>
                <w:sz w:val="18"/>
                <w:szCs w:val="18"/>
              </w:rPr>
              <w:t>san_pedro</w:t>
            </w:r>
            <w:proofErr w:type="spellEnd"/>
          </w:p>
        </w:tc>
        <w:tc>
          <w:tcPr>
            <w:tcW w:w="900" w:type="dxa"/>
            <w:vAlign w:val="bottom"/>
          </w:tcPr>
          <w:p w14:paraId="746CE65E" w14:textId="79116620" w:rsidR="00BE0821" w:rsidRPr="00C15C33" w:rsidRDefault="00BE0821" w:rsidP="00C954CC">
            <w:pPr>
              <w:jc w:val="right"/>
              <w:rPr>
                <w:color w:val="000000"/>
                <w:sz w:val="18"/>
                <w:szCs w:val="18"/>
              </w:rPr>
            </w:pPr>
            <w:r w:rsidRPr="00C15C33">
              <w:rPr>
                <w:color w:val="000000"/>
                <w:sz w:val="18"/>
                <w:szCs w:val="18"/>
              </w:rPr>
              <w:t>-13.05</w:t>
            </w:r>
          </w:p>
        </w:tc>
        <w:tc>
          <w:tcPr>
            <w:tcW w:w="1080" w:type="dxa"/>
            <w:vAlign w:val="bottom"/>
          </w:tcPr>
          <w:p w14:paraId="10CE90CC" w14:textId="2B87DFE6" w:rsidR="00BE0821" w:rsidRPr="00C15C33" w:rsidRDefault="00BE0821" w:rsidP="00C954CC">
            <w:pPr>
              <w:jc w:val="right"/>
              <w:rPr>
                <w:color w:val="000000"/>
                <w:sz w:val="18"/>
                <w:szCs w:val="18"/>
              </w:rPr>
            </w:pPr>
            <w:r w:rsidRPr="00C15C33">
              <w:rPr>
                <w:color w:val="000000"/>
                <w:sz w:val="18"/>
                <w:szCs w:val="18"/>
              </w:rPr>
              <w:t>-71.54</w:t>
            </w:r>
          </w:p>
        </w:tc>
        <w:tc>
          <w:tcPr>
            <w:tcW w:w="990" w:type="dxa"/>
          </w:tcPr>
          <w:p w14:paraId="7694F017" w14:textId="4CC15684" w:rsidR="00BE0821" w:rsidRPr="00C15C33" w:rsidRDefault="00BE0821" w:rsidP="00C954CC">
            <w:pPr>
              <w:jc w:val="right"/>
              <w:rPr>
                <w:color w:val="000000"/>
                <w:sz w:val="18"/>
                <w:szCs w:val="18"/>
              </w:rPr>
            </w:pPr>
            <w:r>
              <w:rPr>
                <w:color w:val="000000"/>
                <w:sz w:val="18"/>
                <w:szCs w:val="18"/>
              </w:rPr>
              <w:t>1511</w:t>
            </w:r>
          </w:p>
        </w:tc>
        <w:tc>
          <w:tcPr>
            <w:tcW w:w="630" w:type="dxa"/>
            <w:vAlign w:val="center"/>
          </w:tcPr>
          <w:p w14:paraId="5F95A41F" w14:textId="6027B9D8" w:rsidR="00BE0821" w:rsidRPr="00C15C33" w:rsidRDefault="00BE0821" w:rsidP="00C954CC">
            <w:pPr>
              <w:jc w:val="right"/>
              <w:rPr>
                <w:color w:val="000000"/>
                <w:sz w:val="18"/>
                <w:szCs w:val="18"/>
              </w:rPr>
            </w:pPr>
            <w:r>
              <w:rPr>
                <w:color w:val="000000"/>
                <w:sz w:val="18"/>
                <w:szCs w:val="18"/>
              </w:rPr>
              <w:t>20.2</w:t>
            </w:r>
          </w:p>
        </w:tc>
        <w:tc>
          <w:tcPr>
            <w:tcW w:w="630" w:type="dxa"/>
            <w:vAlign w:val="center"/>
          </w:tcPr>
          <w:p w14:paraId="0AC61414" w14:textId="3E93023C" w:rsidR="00BE0821" w:rsidRPr="00C15C33" w:rsidRDefault="00BE0821" w:rsidP="00C954CC">
            <w:pPr>
              <w:jc w:val="right"/>
              <w:rPr>
                <w:color w:val="000000"/>
                <w:sz w:val="18"/>
                <w:szCs w:val="18"/>
              </w:rPr>
            </w:pPr>
            <w:r>
              <w:rPr>
                <w:color w:val="000000"/>
                <w:sz w:val="18"/>
                <w:szCs w:val="18"/>
              </w:rPr>
              <w:t>1.68</w:t>
            </w:r>
          </w:p>
        </w:tc>
        <w:tc>
          <w:tcPr>
            <w:tcW w:w="630" w:type="dxa"/>
          </w:tcPr>
          <w:p w14:paraId="6BFCFC6F" w14:textId="3D15AA34" w:rsidR="00BE0821" w:rsidRPr="00C15C33" w:rsidRDefault="00BE0821" w:rsidP="00C954CC">
            <w:pPr>
              <w:jc w:val="right"/>
              <w:rPr>
                <w:color w:val="000000"/>
                <w:sz w:val="18"/>
                <w:szCs w:val="18"/>
              </w:rPr>
            </w:pPr>
            <w:r>
              <w:rPr>
                <w:color w:val="000000"/>
                <w:sz w:val="18"/>
                <w:szCs w:val="18"/>
              </w:rPr>
              <w:t>674</w:t>
            </w:r>
          </w:p>
        </w:tc>
        <w:tc>
          <w:tcPr>
            <w:tcW w:w="1080" w:type="dxa"/>
            <w:vAlign w:val="bottom"/>
          </w:tcPr>
          <w:p w14:paraId="636D1EDD" w14:textId="72194621" w:rsidR="00BE0821" w:rsidRPr="00C954CC" w:rsidRDefault="00BE0821" w:rsidP="00C954CC">
            <w:pPr>
              <w:jc w:val="right"/>
              <w:rPr>
                <w:color w:val="000000"/>
                <w:sz w:val="18"/>
                <w:szCs w:val="18"/>
              </w:rPr>
            </w:pPr>
            <w:r w:rsidRPr="00C954CC">
              <w:rPr>
                <w:color w:val="000000"/>
                <w:sz w:val="18"/>
                <w:szCs w:val="18"/>
              </w:rPr>
              <w:t>forest</w:t>
            </w:r>
          </w:p>
        </w:tc>
        <w:tc>
          <w:tcPr>
            <w:tcW w:w="1170" w:type="dxa"/>
            <w:vAlign w:val="bottom"/>
          </w:tcPr>
          <w:p w14:paraId="6C45FDBE" w14:textId="4EA45DDE" w:rsidR="00BE0821" w:rsidRPr="00C954CC" w:rsidRDefault="00BE0821" w:rsidP="00C954CC">
            <w:pPr>
              <w:jc w:val="right"/>
              <w:rPr>
                <w:color w:val="000000"/>
                <w:sz w:val="18"/>
                <w:szCs w:val="18"/>
              </w:rPr>
            </w:pPr>
            <w:r w:rsidRPr="00C954CC">
              <w:rPr>
                <w:color w:val="000000"/>
                <w:sz w:val="18"/>
                <w:szCs w:val="18"/>
              </w:rPr>
              <w:t>field</w:t>
            </w:r>
          </w:p>
        </w:tc>
        <w:tc>
          <w:tcPr>
            <w:tcW w:w="1080" w:type="dxa"/>
            <w:vAlign w:val="bottom"/>
          </w:tcPr>
          <w:p w14:paraId="54244CB8" w14:textId="12B1ED7C" w:rsidR="00BE0821" w:rsidRPr="00C954CC" w:rsidRDefault="00BE0821" w:rsidP="00C954CC">
            <w:pPr>
              <w:jc w:val="right"/>
              <w:rPr>
                <w:color w:val="000000"/>
                <w:sz w:val="18"/>
                <w:szCs w:val="18"/>
              </w:rPr>
            </w:pPr>
            <w:r w:rsidRPr="00C954CC">
              <w:rPr>
                <w:color w:val="000000"/>
                <w:sz w:val="18"/>
                <w:szCs w:val="18"/>
              </w:rPr>
              <w:t>2.5</w:t>
            </w:r>
          </w:p>
        </w:tc>
        <w:tc>
          <w:tcPr>
            <w:tcW w:w="1170" w:type="dxa"/>
          </w:tcPr>
          <w:p w14:paraId="0FA021DD" w14:textId="4EF06DBC" w:rsidR="00BE0821" w:rsidRPr="00C954CC" w:rsidRDefault="00BE0821" w:rsidP="00C954CC">
            <w:pPr>
              <w:jc w:val="right"/>
              <w:rPr>
                <w:color w:val="000000"/>
                <w:sz w:val="18"/>
                <w:szCs w:val="18"/>
              </w:rPr>
            </w:pPr>
            <w:r w:rsidRPr="00C954CC">
              <w:rPr>
                <w:color w:val="000000"/>
                <w:sz w:val="18"/>
                <w:szCs w:val="18"/>
              </w:rPr>
              <w:t>0.5</w:t>
            </w:r>
          </w:p>
        </w:tc>
      </w:tr>
      <w:tr w:rsidR="00BE0821" w:rsidRPr="006A7EA7" w14:paraId="2130D3E6" w14:textId="77777777" w:rsidTr="00BE0821">
        <w:tc>
          <w:tcPr>
            <w:tcW w:w="2245" w:type="dxa"/>
            <w:vMerge/>
          </w:tcPr>
          <w:p w14:paraId="62E08C8A" w14:textId="77777777" w:rsidR="00BE0821" w:rsidRPr="00C15C33" w:rsidRDefault="00BE0821" w:rsidP="00C954CC">
            <w:pPr>
              <w:rPr>
                <w:sz w:val="18"/>
                <w:szCs w:val="18"/>
              </w:rPr>
            </w:pPr>
          </w:p>
        </w:tc>
        <w:tc>
          <w:tcPr>
            <w:tcW w:w="1260" w:type="dxa"/>
          </w:tcPr>
          <w:p w14:paraId="5B7C6325" w14:textId="3E3D04ED" w:rsidR="00BE0821" w:rsidRPr="00C15C33" w:rsidRDefault="00BE0821" w:rsidP="00C954CC">
            <w:pPr>
              <w:rPr>
                <w:color w:val="000000"/>
                <w:sz w:val="18"/>
                <w:szCs w:val="18"/>
              </w:rPr>
            </w:pPr>
            <w:proofErr w:type="spellStart"/>
            <w:r w:rsidRPr="00C15C33">
              <w:rPr>
                <w:color w:val="000000"/>
                <w:sz w:val="18"/>
                <w:szCs w:val="18"/>
              </w:rPr>
              <w:t>wayqecha</w:t>
            </w:r>
            <w:proofErr w:type="spellEnd"/>
          </w:p>
        </w:tc>
        <w:tc>
          <w:tcPr>
            <w:tcW w:w="900" w:type="dxa"/>
            <w:vAlign w:val="bottom"/>
          </w:tcPr>
          <w:p w14:paraId="4DF47A8D" w14:textId="16A54137" w:rsidR="00BE0821" w:rsidRPr="00C15C33" w:rsidRDefault="00BE0821" w:rsidP="00C954CC">
            <w:pPr>
              <w:jc w:val="right"/>
              <w:rPr>
                <w:color w:val="000000"/>
                <w:sz w:val="18"/>
                <w:szCs w:val="18"/>
              </w:rPr>
            </w:pPr>
            <w:r w:rsidRPr="00C15C33">
              <w:rPr>
                <w:color w:val="000000"/>
                <w:sz w:val="18"/>
                <w:szCs w:val="18"/>
              </w:rPr>
              <w:t>-13.19</w:t>
            </w:r>
          </w:p>
        </w:tc>
        <w:tc>
          <w:tcPr>
            <w:tcW w:w="1080" w:type="dxa"/>
            <w:vAlign w:val="bottom"/>
          </w:tcPr>
          <w:p w14:paraId="370E5395" w14:textId="5CC39978" w:rsidR="00BE0821" w:rsidRPr="00C15C33" w:rsidRDefault="00BE0821" w:rsidP="00C954CC">
            <w:pPr>
              <w:jc w:val="right"/>
              <w:rPr>
                <w:color w:val="000000"/>
                <w:sz w:val="18"/>
                <w:szCs w:val="18"/>
              </w:rPr>
            </w:pPr>
            <w:r w:rsidRPr="00C15C33">
              <w:rPr>
                <w:color w:val="000000"/>
                <w:sz w:val="18"/>
                <w:szCs w:val="18"/>
              </w:rPr>
              <w:t>-71.59</w:t>
            </w:r>
          </w:p>
        </w:tc>
        <w:tc>
          <w:tcPr>
            <w:tcW w:w="990" w:type="dxa"/>
          </w:tcPr>
          <w:p w14:paraId="7DD26007" w14:textId="68625CDD" w:rsidR="00BE0821" w:rsidRPr="00C15C33" w:rsidRDefault="00BE0821" w:rsidP="00C954CC">
            <w:pPr>
              <w:jc w:val="right"/>
              <w:rPr>
                <w:color w:val="000000"/>
                <w:sz w:val="18"/>
                <w:szCs w:val="18"/>
              </w:rPr>
            </w:pPr>
            <w:r>
              <w:rPr>
                <w:color w:val="000000"/>
                <w:sz w:val="18"/>
                <w:szCs w:val="18"/>
              </w:rPr>
              <w:t>2989</w:t>
            </w:r>
          </w:p>
        </w:tc>
        <w:tc>
          <w:tcPr>
            <w:tcW w:w="630" w:type="dxa"/>
            <w:vAlign w:val="center"/>
          </w:tcPr>
          <w:p w14:paraId="3BA9453C" w14:textId="00015AD5" w:rsidR="00BE0821" w:rsidRPr="00C15C33" w:rsidRDefault="00BE0821" w:rsidP="00C954CC">
            <w:pPr>
              <w:jc w:val="right"/>
              <w:rPr>
                <w:color w:val="000000"/>
                <w:sz w:val="18"/>
                <w:szCs w:val="18"/>
              </w:rPr>
            </w:pPr>
            <w:r>
              <w:rPr>
                <w:color w:val="000000"/>
                <w:sz w:val="18"/>
                <w:szCs w:val="18"/>
              </w:rPr>
              <w:t>12.9</w:t>
            </w:r>
          </w:p>
        </w:tc>
        <w:tc>
          <w:tcPr>
            <w:tcW w:w="630" w:type="dxa"/>
            <w:vAlign w:val="center"/>
          </w:tcPr>
          <w:p w14:paraId="67D1DAEC" w14:textId="1F3E85DA" w:rsidR="00BE0821" w:rsidRPr="00C15C33" w:rsidRDefault="00BE0821" w:rsidP="00C954CC">
            <w:pPr>
              <w:jc w:val="right"/>
              <w:rPr>
                <w:color w:val="000000"/>
                <w:sz w:val="18"/>
                <w:szCs w:val="18"/>
              </w:rPr>
            </w:pPr>
            <w:r>
              <w:rPr>
                <w:color w:val="000000"/>
                <w:sz w:val="18"/>
                <w:szCs w:val="18"/>
              </w:rPr>
              <w:t>0.29</w:t>
            </w:r>
          </w:p>
        </w:tc>
        <w:tc>
          <w:tcPr>
            <w:tcW w:w="630" w:type="dxa"/>
          </w:tcPr>
          <w:p w14:paraId="78C87E8D" w14:textId="41E69194" w:rsidR="00BE0821" w:rsidRPr="00C15C33" w:rsidRDefault="00BE0821" w:rsidP="00C954CC">
            <w:pPr>
              <w:jc w:val="right"/>
              <w:rPr>
                <w:color w:val="000000"/>
                <w:sz w:val="18"/>
                <w:szCs w:val="18"/>
              </w:rPr>
            </w:pPr>
            <w:r>
              <w:rPr>
                <w:color w:val="000000"/>
                <w:sz w:val="18"/>
                <w:szCs w:val="18"/>
              </w:rPr>
              <w:t>683</w:t>
            </w:r>
          </w:p>
        </w:tc>
        <w:tc>
          <w:tcPr>
            <w:tcW w:w="1080" w:type="dxa"/>
            <w:vAlign w:val="bottom"/>
          </w:tcPr>
          <w:p w14:paraId="3EABD9DD" w14:textId="78AEAE45" w:rsidR="00BE0821" w:rsidRPr="00C954CC" w:rsidRDefault="00BE0821" w:rsidP="00C954CC">
            <w:pPr>
              <w:jc w:val="right"/>
              <w:rPr>
                <w:color w:val="000000"/>
                <w:sz w:val="18"/>
                <w:szCs w:val="18"/>
              </w:rPr>
            </w:pPr>
            <w:r w:rsidRPr="00C954CC">
              <w:rPr>
                <w:color w:val="000000"/>
                <w:sz w:val="18"/>
                <w:szCs w:val="18"/>
              </w:rPr>
              <w:t>forest</w:t>
            </w:r>
          </w:p>
        </w:tc>
        <w:tc>
          <w:tcPr>
            <w:tcW w:w="1170" w:type="dxa"/>
            <w:vAlign w:val="bottom"/>
          </w:tcPr>
          <w:p w14:paraId="61D1C9AD" w14:textId="60607943" w:rsidR="00BE0821" w:rsidRPr="00C954CC" w:rsidRDefault="00BE0821" w:rsidP="00C954CC">
            <w:pPr>
              <w:jc w:val="right"/>
              <w:rPr>
                <w:color w:val="000000"/>
                <w:sz w:val="18"/>
                <w:szCs w:val="18"/>
              </w:rPr>
            </w:pPr>
            <w:r w:rsidRPr="00C954CC">
              <w:rPr>
                <w:color w:val="000000"/>
                <w:sz w:val="18"/>
                <w:szCs w:val="18"/>
              </w:rPr>
              <w:t>field</w:t>
            </w:r>
          </w:p>
        </w:tc>
        <w:tc>
          <w:tcPr>
            <w:tcW w:w="1080" w:type="dxa"/>
            <w:vAlign w:val="bottom"/>
          </w:tcPr>
          <w:p w14:paraId="4832DC3F" w14:textId="7018E444" w:rsidR="00BE0821" w:rsidRPr="00C954CC" w:rsidRDefault="00BE0821" w:rsidP="00C954CC">
            <w:pPr>
              <w:jc w:val="right"/>
              <w:rPr>
                <w:color w:val="000000"/>
                <w:sz w:val="18"/>
                <w:szCs w:val="18"/>
              </w:rPr>
            </w:pPr>
            <w:r w:rsidRPr="00C954CC">
              <w:rPr>
                <w:color w:val="000000"/>
                <w:sz w:val="18"/>
                <w:szCs w:val="18"/>
              </w:rPr>
              <w:t>2.5</w:t>
            </w:r>
          </w:p>
        </w:tc>
        <w:tc>
          <w:tcPr>
            <w:tcW w:w="1170" w:type="dxa"/>
          </w:tcPr>
          <w:p w14:paraId="62383407" w14:textId="05F9F83F" w:rsidR="00BE0821" w:rsidRPr="00C954CC" w:rsidRDefault="00BE0821" w:rsidP="00C954CC">
            <w:pPr>
              <w:jc w:val="right"/>
              <w:rPr>
                <w:color w:val="000000"/>
                <w:sz w:val="18"/>
                <w:szCs w:val="18"/>
              </w:rPr>
            </w:pPr>
            <w:r w:rsidRPr="00C954CC">
              <w:rPr>
                <w:color w:val="000000"/>
                <w:sz w:val="18"/>
                <w:szCs w:val="18"/>
              </w:rPr>
              <w:t>0.5</w:t>
            </w:r>
          </w:p>
        </w:tc>
      </w:tr>
      <w:tr w:rsidR="00BE0821" w:rsidRPr="004F689E" w14:paraId="0B86E78D" w14:textId="77777777" w:rsidTr="00BE0821">
        <w:sdt>
          <w:sdtPr>
            <w:rPr>
              <w:color w:val="000000"/>
              <w:sz w:val="18"/>
              <w:szCs w:val="18"/>
            </w:rPr>
            <w:tag w:val="MENDELEY_CITATION_v3_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"/>
            <w:id w:val="-1738163285"/>
            <w:placeholder>
              <w:docPart w:val="0F6EB6521AD8A948BAA588F53E407806"/>
            </w:placeholder>
          </w:sdtPr>
          <w:sdtContent>
            <w:tc>
              <w:tcPr>
                <w:tcW w:w="2245" w:type="dxa"/>
                <w:vMerge w:val="restart"/>
                <w:vAlign w:val="center"/>
              </w:tcPr>
              <w:p w14:paraId="693DF2D9" w14:textId="42C11A86" w:rsidR="00BE0821" w:rsidRPr="00C15C33" w:rsidRDefault="00E807B5" w:rsidP="00EC21FB">
                <w:pPr>
                  <w:rPr>
                    <w:color w:val="000000"/>
                    <w:sz w:val="18"/>
                    <w:szCs w:val="18"/>
                  </w:rPr>
                </w:pPr>
                <w:r w:rsidRPr="00E807B5">
                  <w:rPr>
                    <w:rFonts w:eastAsia="Times New Roman"/>
                    <w:color w:val="000000"/>
                    <w:sz w:val="18"/>
                  </w:rPr>
                  <w:t>(</w:t>
                </w:r>
                <w:proofErr w:type="spellStart"/>
                <w:r w:rsidRPr="00E807B5">
                  <w:rPr>
                    <w:rFonts w:eastAsia="Times New Roman"/>
                    <w:color w:val="000000"/>
                    <w:sz w:val="18"/>
                  </w:rPr>
                  <w:t>Firn</w:t>
                </w:r>
                <w:proofErr w:type="spellEnd"/>
                <w:r w:rsidRPr="00E807B5">
                  <w:rPr>
                    <w:rFonts w:eastAsia="Times New Roman"/>
                    <w:color w:val="000000"/>
                    <w:sz w:val="18"/>
                  </w:rPr>
                  <w:t xml:space="preserve"> et al., 2019)</w:t>
                </w:r>
              </w:p>
            </w:tc>
          </w:sdtContent>
        </w:sdt>
        <w:tc>
          <w:tcPr>
            <w:tcW w:w="1260" w:type="dxa"/>
          </w:tcPr>
          <w:p w14:paraId="089A55F0" w14:textId="6B6CE2D5" w:rsidR="00BE0821" w:rsidRPr="00C15C33" w:rsidRDefault="00BE0821" w:rsidP="00EC21FB">
            <w:pPr>
              <w:rPr>
                <w:color w:val="000000"/>
                <w:sz w:val="18"/>
                <w:szCs w:val="18"/>
              </w:rPr>
            </w:pPr>
            <w:r w:rsidRPr="00C15C33">
              <w:rPr>
                <w:color w:val="000000"/>
                <w:sz w:val="18"/>
                <w:szCs w:val="18"/>
              </w:rPr>
              <w:t>bogong.au</w:t>
            </w:r>
          </w:p>
        </w:tc>
        <w:tc>
          <w:tcPr>
            <w:tcW w:w="900" w:type="dxa"/>
            <w:vAlign w:val="bottom"/>
          </w:tcPr>
          <w:p w14:paraId="23DF8945" w14:textId="56E37D2A" w:rsidR="00BE0821" w:rsidRPr="00C15C33" w:rsidRDefault="00BE0821" w:rsidP="00EC21FB">
            <w:pPr>
              <w:jc w:val="right"/>
              <w:rPr>
                <w:color w:val="000000"/>
                <w:sz w:val="18"/>
                <w:szCs w:val="18"/>
              </w:rPr>
            </w:pPr>
            <w:r w:rsidRPr="00C15C33">
              <w:rPr>
                <w:color w:val="000000"/>
                <w:sz w:val="18"/>
                <w:szCs w:val="18"/>
              </w:rPr>
              <w:t>-36.87</w:t>
            </w:r>
          </w:p>
        </w:tc>
        <w:tc>
          <w:tcPr>
            <w:tcW w:w="1080" w:type="dxa"/>
            <w:vAlign w:val="bottom"/>
          </w:tcPr>
          <w:p w14:paraId="51A1CE91" w14:textId="704595A9" w:rsidR="00BE0821" w:rsidRPr="00C15C33" w:rsidRDefault="00BE0821" w:rsidP="00EC21FB">
            <w:pPr>
              <w:jc w:val="right"/>
              <w:rPr>
                <w:color w:val="000000"/>
                <w:sz w:val="18"/>
                <w:szCs w:val="18"/>
              </w:rPr>
            </w:pPr>
            <w:r w:rsidRPr="00C15C33">
              <w:rPr>
                <w:color w:val="000000"/>
                <w:sz w:val="18"/>
                <w:szCs w:val="18"/>
              </w:rPr>
              <w:t>147.24</w:t>
            </w:r>
          </w:p>
        </w:tc>
        <w:tc>
          <w:tcPr>
            <w:tcW w:w="990" w:type="dxa"/>
          </w:tcPr>
          <w:p w14:paraId="3F7B142C" w14:textId="5D00C514" w:rsidR="00BE0821" w:rsidRPr="00C15C33" w:rsidRDefault="00581754" w:rsidP="00EC21FB">
            <w:pPr>
              <w:jc w:val="right"/>
              <w:rPr>
                <w:color w:val="000000"/>
                <w:sz w:val="18"/>
                <w:szCs w:val="18"/>
              </w:rPr>
            </w:pPr>
            <w:r>
              <w:rPr>
                <w:color w:val="000000"/>
                <w:sz w:val="18"/>
                <w:szCs w:val="18"/>
              </w:rPr>
              <w:t>1567</w:t>
            </w:r>
          </w:p>
        </w:tc>
        <w:tc>
          <w:tcPr>
            <w:tcW w:w="630" w:type="dxa"/>
            <w:vAlign w:val="center"/>
          </w:tcPr>
          <w:p w14:paraId="477E7AD9" w14:textId="37F3DA30" w:rsidR="00BE0821" w:rsidRPr="00C15C33" w:rsidRDefault="00581754" w:rsidP="00EC21FB">
            <w:pPr>
              <w:jc w:val="right"/>
              <w:rPr>
                <w:color w:val="000000"/>
                <w:sz w:val="18"/>
                <w:szCs w:val="18"/>
              </w:rPr>
            </w:pPr>
            <w:r>
              <w:rPr>
                <w:color w:val="000000"/>
                <w:sz w:val="18"/>
                <w:szCs w:val="18"/>
              </w:rPr>
              <w:t>7.3</w:t>
            </w:r>
          </w:p>
        </w:tc>
        <w:tc>
          <w:tcPr>
            <w:tcW w:w="630" w:type="dxa"/>
            <w:vAlign w:val="center"/>
          </w:tcPr>
          <w:p w14:paraId="5A3BBF6E" w14:textId="205E8DA3" w:rsidR="00BE0821" w:rsidRPr="00C15C33" w:rsidRDefault="00581754" w:rsidP="00EC21FB">
            <w:pPr>
              <w:jc w:val="right"/>
              <w:rPr>
                <w:color w:val="000000"/>
                <w:sz w:val="18"/>
                <w:szCs w:val="18"/>
              </w:rPr>
            </w:pPr>
            <w:r>
              <w:rPr>
                <w:color w:val="000000"/>
                <w:sz w:val="18"/>
                <w:szCs w:val="18"/>
              </w:rPr>
              <w:t>2.09</w:t>
            </w:r>
          </w:p>
        </w:tc>
        <w:tc>
          <w:tcPr>
            <w:tcW w:w="630" w:type="dxa"/>
          </w:tcPr>
          <w:p w14:paraId="412BCEAE" w14:textId="33FA5571" w:rsidR="00BE0821" w:rsidRPr="00C15C33" w:rsidRDefault="00581754" w:rsidP="00EC21FB">
            <w:pPr>
              <w:jc w:val="right"/>
              <w:rPr>
                <w:color w:val="000000"/>
                <w:sz w:val="18"/>
                <w:szCs w:val="18"/>
              </w:rPr>
            </w:pPr>
            <w:r>
              <w:rPr>
                <w:color w:val="000000"/>
                <w:sz w:val="18"/>
                <w:szCs w:val="18"/>
              </w:rPr>
              <w:t>797</w:t>
            </w:r>
          </w:p>
        </w:tc>
        <w:tc>
          <w:tcPr>
            <w:tcW w:w="1080" w:type="dxa"/>
            <w:vAlign w:val="bottom"/>
          </w:tcPr>
          <w:p w14:paraId="48A4BC62" w14:textId="47B208C7"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72DBC6E7" w14:textId="1407885F"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746A7ACF" w14:textId="00076255"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33F650CF" w14:textId="365404BC" w:rsidR="00BE0821" w:rsidRPr="00EC21FB" w:rsidRDefault="00BE0821" w:rsidP="00EC21FB">
            <w:pPr>
              <w:jc w:val="right"/>
              <w:rPr>
                <w:color w:val="000000"/>
                <w:sz w:val="18"/>
                <w:szCs w:val="18"/>
              </w:rPr>
            </w:pPr>
            <w:r w:rsidRPr="00EC21FB">
              <w:rPr>
                <w:color w:val="000000"/>
                <w:sz w:val="18"/>
                <w:szCs w:val="18"/>
              </w:rPr>
              <w:t>10</w:t>
            </w:r>
          </w:p>
        </w:tc>
      </w:tr>
      <w:tr w:rsidR="00BE0821" w:rsidRPr="004F689E" w14:paraId="1B864151" w14:textId="77777777" w:rsidTr="00BE0821">
        <w:tc>
          <w:tcPr>
            <w:tcW w:w="2245" w:type="dxa"/>
            <w:vMerge/>
          </w:tcPr>
          <w:p w14:paraId="516DB13D" w14:textId="4C968D04" w:rsidR="00BE0821" w:rsidRPr="00C15C33" w:rsidRDefault="00BE0821" w:rsidP="00EC21FB">
            <w:pPr>
              <w:rPr>
                <w:color w:val="000000"/>
                <w:sz w:val="18"/>
                <w:szCs w:val="18"/>
              </w:rPr>
            </w:pPr>
          </w:p>
        </w:tc>
        <w:tc>
          <w:tcPr>
            <w:tcW w:w="1260" w:type="dxa"/>
          </w:tcPr>
          <w:p w14:paraId="783540A8" w14:textId="4B46EE47" w:rsidR="00BE0821" w:rsidRPr="00C15C33" w:rsidRDefault="00BE0821" w:rsidP="00EC21FB">
            <w:pPr>
              <w:rPr>
                <w:color w:val="000000"/>
                <w:sz w:val="18"/>
                <w:szCs w:val="18"/>
              </w:rPr>
            </w:pPr>
            <w:r w:rsidRPr="00C15C33">
              <w:rPr>
                <w:color w:val="000000"/>
                <w:sz w:val="18"/>
                <w:szCs w:val="18"/>
              </w:rPr>
              <w:t>burrawan.au</w:t>
            </w:r>
          </w:p>
        </w:tc>
        <w:tc>
          <w:tcPr>
            <w:tcW w:w="900" w:type="dxa"/>
            <w:vAlign w:val="bottom"/>
          </w:tcPr>
          <w:p w14:paraId="2DFE6285" w14:textId="388B79B1" w:rsidR="00BE0821" w:rsidRPr="00C15C33" w:rsidRDefault="00BE0821" w:rsidP="00EC21FB">
            <w:pPr>
              <w:jc w:val="right"/>
              <w:rPr>
                <w:color w:val="000000"/>
                <w:sz w:val="18"/>
                <w:szCs w:val="18"/>
              </w:rPr>
            </w:pPr>
            <w:r w:rsidRPr="00C15C33">
              <w:rPr>
                <w:color w:val="000000"/>
                <w:sz w:val="18"/>
                <w:szCs w:val="18"/>
              </w:rPr>
              <w:t>-27.73</w:t>
            </w:r>
          </w:p>
        </w:tc>
        <w:tc>
          <w:tcPr>
            <w:tcW w:w="1080" w:type="dxa"/>
            <w:vAlign w:val="bottom"/>
          </w:tcPr>
          <w:p w14:paraId="13165AF7" w14:textId="59C85A89" w:rsidR="00BE0821" w:rsidRPr="00C15C33" w:rsidRDefault="00BE0821" w:rsidP="00EC21FB">
            <w:pPr>
              <w:jc w:val="right"/>
              <w:rPr>
                <w:color w:val="000000"/>
                <w:sz w:val="18"/>
                <w:szCs w:val="18"/>
              </w:rPr>
            </w:pPr>
            <w:r w:rsidRPr="00C15C33">
              <w:rPr>
                <w:color w:val="000000"/>
                <w:sz w:val="18"/>
                <w:szCs w:val="18"/>
              </w:rPr>
              <w:t>151.14</w:t>
            </w:r>
          </w:p>
        </w:tc>
        <w:tc>
          <w:tcPr>
            <w:tcW w:w="990" w:type="dxa"/>
          </w:tcPr>
          <w:p w14:paraId="74D0D82D" w14:textId="08FD75BE" w:rsidR="00BE0821" w:rsidRPr="00C15C33" w:rsidRDefault="00581754" w:rsidP="00EC21FB">
            <w:pPr>
              <w:jc w:val="right"/>
              <w:rPr>
                <w:color w:val="000000"/>
                <w:sz w:val="18"/>
                <w:szCs w:val="18"/>
              </w:rPr>
            </w:pPr>
            <w:r>
              <w:rPr>
                <w:color w:val="000000"/>
                <w:sz w:val="18"/>
                <w:szCs w:val="18"/>
              </w:rPr>
              <w:t>411</w:t>
            </w:r>
          </w:p>
        </w:tc>
        <w:tc>
          <w:tcPr>
            <w:tcW w:w="630" w:type="dxa"/>
            <w:vAlign w:val="center"/>
          </w:tcPr>
          <w:p w14:paraId="5BAC769E" w14:textId="24BDBF78" w:rsidR="00BE0821" w:rsidRPr="00C15C33" w:rsidRDefault="00581754" w:rsidP="00EC21FB">
            <w:pPr>
              <w:jc w:val="right"/>
              <w:rPr>
                <w:color w:val="000000"/>
                <w:sz w:val="18"/>
                <w:szCs w:val="18"/>
              </w:rPr>
            </w:pPr>
            <w:r>
              <w:rPr>
                <w:color w:val="000000"/>
                <w:sz w:val="18"/>
                <w:szCs w:val="18"/>
              </w:rPr>
              <w:t>18.2</w:t>
            </w:r>
          </w:p>
        </w:tc>
        <w:tc>
          <w:tcPr>
            <w:tcW w:w="630" w:type="dxa"/>
            <w:vAlign w:val="center"/>
          </w:tcPr>
          <w:p w14:paraId="024F70C8" w14:textId="7A9D88F9" w:rsidR="00BE0821" w:rsidRPr="00C15C33" w:rsidRDefault="00581754" w:rsidP="00EC21FB">
            <w:pPr>
              <w:jc w:val="right"/>
              <w:rPr>
                <w:color w:val="000000"/>
                <w:sz w:val="18"/>
                <w:szCs w:val="18"/>
              </w:rPr>
            </w:pPr>
            <w:r>
              <w:rPr>
                <w:color w:val="000000"/>
                <w:sz w:val="18"/>
                <w:szCs w:val="18"/>
              </w:rPr>
              <w:t>0.34</w:t>
            </w:r>
          </w:p>
        </w:tc>
        <w:tc>
          <w:tcPr>
            <w:tcW w:w="630" w:type="dxa"/>
          </w:tcPr>
          <w:p w14:paraId="3CA652EB" w14:textId="40C70795" w:rsidR="00BE0821" w:rsidRPr="00C15C33" w:rsidRDefault="00581754" w:rsidP="00EC21FB">
            <w:pPr>
              <w:jc w:val="right"/>
              <w:rPr>
                <w:color w:val="000000"/>
                <w:sz w:val="18"/>
                <w:szCs w:val="18"/>
              </w:rPr>
            </w:pPr>
            <w:r>
              <w:rPr>
                <w:color w:val="000000"/>
                <w:sz w:val="18"/>
                <w:szCs w:val="18"/>
              </w:rPr>
              <w:t>897</w:t>
            </w:r>
          </w:p>
        </w:tc>
        <w:tc>
          <w:tcPr>
            <w:tcW w:w="1080" w:type="dxa"/>
            <w:vAlign w:val="bottom"/>
          </w:tcPr>
          <w:p w14:paraId="53C7C5EF" w14:textId="5046806E"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32013406" w14:textId="3BB9E529"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7335879E" w14:textId="659930A1"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67A0B680" w14:textId="40EB8F6B" w:rsidR="00BE0821" w:rsidRPr="00EC21FB" w:rsidRDefault="00BE0821" w:rsidP="00EC21FB">
            <w:pPr>
              <w:jc w:val="right"/>
              <w:rPr>
                <w:color w:val="000000"/>
                <w:sz w:val="18"/>
                <w:szCs w:val="18"/>
              </w:rPr>
            </w:pPr>
            <w:r w:rsidRPr="00EC21FB">
              <w:rPr>
                <w:color w:val="000000"/>
                <w:sz w:val="18"/>
                <w:szCs w:val="18"/>
              </w:rPr>
              <w:t>10</w:t>
            </w:r>
          </w:p>
        </w:tc>
      </w:tr>
      <w:tr w:rsidR="00BE0821" w:rsidRPr="004F689E" w14:paraId="090DD9D0" w14:textId="77777777" w:rsidTr="00BE0821">
        <w:tc>
          <w:tcPr>
            <w:tcW w:w="2245" w:type="dxa"/>
            <w:vMerge/>
          </w:tcPr>
          <w:p w14:paraId="08847AB9" w14:textId="102E4FDA" w:rsidR="00BE0821" w:rsidRPr="00C15C33" w:rsidRDefault="00BE0821" w:rsidP="00EC21FB">
            <w:pPr>
              <w:rPr>
                <w:sz w:val="18"/>
                <w:szCs w:val="18"/>
              </w:rPr>
            </w:pPr>
          </w:p>
        </w:tc>
        <w:tc>
          <w:tcPr>
            <w:tcW w:w="1260" w:type="dxa"/>
          </w:tcPr>
          <w:p w14:paraId="5D64CAD2" w14:textId="7B2FFF05" w:rsidR="00BE0821" w:rsidRPr="00C15C33" w:rsidRDefault="00BE0821" w:rsidP="00EC21FB">
            <w:pPr>
              <w:rPr>
                <w:color w:val="000000"/>
                <w:sz w:val="18"/>
                <w:szCs w:val="18"/>
              </w:rPr>
            </w:pPr>
            <w:r w:rsidRPr="00C15C33">
              <w:rPr>
                <w:color w:val="000000"/>
                <w:sz w:val="18"/>
                <w:szCs w:val="18"/>
              </w:rPr>
              <w:t>cbgb.us</w:t>
            </w:r>
          </w:p>
        </w:tc>
        <w:tc>
          <w:tcPr>
            <w:tcW w:w="900" w:type="dxa"/>
            <w:vAlign w:val="bottom"/>
          </w:tcPr>
          <w:p w14:paraId="7EC5BC4B" w14:textId="76460E6F" w:rsidR="00BE0821" w:rsidRPr="00C15C33" w:rsidRDefault="00BE0821" w:rsidP="00EC21FB">
            <w:pPr>
              <w:jc w:val="right"/>
              <w:rPr>
                <w:color w:val="000000"/>
                <w:sz w:val="18"/>
                <w:szCs w:val="18"/>
              </w:rPr>
            </w:pPr>
            <w:r w:rsidRPr="00C15C33">
              <w:rPr>
                <w:color w:val="000000"/>
                <w:sz w:val="18"/>
                <w:szCs w:val="18"/>
              </w:rPr>
              <w:t>41.79</w:t>
            </w:r>
          </w:p>
        </w:tc>
        <w:tc>
          <w:tcPr>
            <w:tcW w:w="1080" w:type="dxa"/>
            <w:vAlign w:val="bottom"/>
          </w:tcPr>
          <w:p w14:paraId="02D57991" w14:textId="78A4C244" w:rsidR="00BE0821" w:rsidRPr="00C15C33" w:rsidRDefault="00BE0821" w:rsidP="00EC21FB">
            <w:pPr>
              <w:jc w:val="right"/>
              <w:rPr>
                <w:color w:val="000000"/>
                <w:sz w:val="18"/>
                <w:szCs w:val="18"/>
              </w:rPr>
            </w:pPr>
            <w:r w:rsidRPr="00C15C33">
              <w:rPr>
                <w:color w:val="000000"/>
                <w:sz w:val="18"/>
                <w:szCs w:val="18"/>
              </w:rPr>
              <w:t>-93.39</w:t>
            </w:r>
          </w:p>
        </w:tc>
        <w:tc>
          <w:tcPr>
            <w:tcW w:w="990" w:type="dxa"/>
          </w:tcPr>
          <w:p w14:paraId="6D21E5EB" w14:textId="65855F9E" w:rsidR="00BE0821" w:rsidRPr="00D73409" w:rsidRDefault="00581754" w:rsidP="00EC21FB">
            <w:pPr>
              <w:jc w:val="right"/>
              <w:rPr>
                <w:color w:val="000000"/>
                <w:sz w:val="18"/>
                <w:szCs w:val="18"/>
              </w:rPr>
            </w:pPr>
            <w:r w:rsidRPr="00D73409">
              <w:rPr>
                <w:color w:val="000000"/>
                <w:sz w:val="18"/>
                <w:szCs w:val="18"/>
              </w:rPr>
              <w:t>275</w:t>
            </w:r>
          </w:p>
        </w:tc>
        <w:tc>
          <w:tcPr>
            <w:tcW w:w="630" w:type="dxa"/>
          </w:tcPr>
          <w:p w14:paraId="52A56DF1" w14:textId="42060779" w:rsidR="00BE0821" w:rsidRPr="00D73409" w:rsidRDefault="00581754" w:rsidP="00EC21FB">
            <w:pPr>
              <w:jc w:val="right"/>
              <w:rPr>
                <w:color w:val="000000"/>
                <w:sz w:val="18"/>
                <w:szCs w:val="18"/>
              </w:rPr>
            </w:pPr>
            <w:r w:rsidRPr="00D73409">
              <w:rPr>
                <w:color w:val="000000"/>
                <w:sz w:val="18"/>
                <w:szCs w:val="18"/>
              </w:rPr>
              <w:t>14.1</w:t>
            </w:r>
          </w:p>
        </w:tc>
        <w:tc>
          <w:tcPr>
            <w:tcW w:w="630" w:type="dxa"/>
          </w:tcPr>
          <w:p w14:paraId="2F778E38" w14:textId="2DBF31C0" w:rsidR="00BE0821" w:rsidRPr="00D73409" w:rsidRDefault="00581754" w:rsidP="00EC21FB">
            <w:pPr>
              <w:jc w:val="right"/>
              <w:rPr>
                <w:color w:val="000000"/>
                <w:sz w:val="18"/>
                <w:szCs w:val="18"/>
              </w:rPr>
            </w:pPr>
            <w:r w:rsidRPr="00D73409">
              <w:rPr>
                <w:color w:val="000000"/>
                <w:sz w:val="18"/>
                <w:szCs w:val="18"/>
              </w:rPr>
              <w:t>0.74</w:t>
            </w:r>
          </w:p>
        </w:tc>
        <w:tc>
          <w:tcPr>
            <w:tcW w:w="630" w:type="dxa"/>
          </w:tcPr>
          <w:p w14:paraId="1897D8C2" w14:textId="3C36252F" w:rsidR="00BE0821" w:rsidRPr="00C15C33" w:rsidRDefault="00581754" w:rsidP="00EC21FB">
            <w:pPr>
              <w:jc w:val="right"/>
              <w:rPr>
                <w:color w:val="000000"/>
                <w:sz w:val="18"/>
                <w:szCs w:val="18"/>
              </w:rPr>
            </w:pPr>
            <w:r>
              <w:rPr>
                <w:color w:val="000000"/>
                <w:sz w:val="18"/>
                <w:szCs w:val="18"/>
              </w:rPr>
              <w:t>785</w:t>
            </w:r>
          </w:p>
        </w:tc>
        <w:tc>
          <w:tcPr>
            <w:tcW w:w="1080" w:type="dxa"/>
            <w:vAlign w:val="bottom"/>
          </w:tcPr>
          <w:p w14:paraId="146338DC" w14:textId="27E9CA2C"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3D89141B" w14:textId="4EFDCCB4"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4ED534E3" w14:textId="79A3039B"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645AC393" w14:textId="7DCE58ED" w:rsidR="00BE0821" w:rsidRPr="00EC21FB" w:rsidRDefault="00BE0821" w:rsidP="00EC21FB">
            <w:pPr>
              <w:jc w:val="right"/>
              <w:rPr>
                <w:color w:val="000000"/>
                <w:sz w:val="18"/>
                <w:szCs w:val="18"/>
              </w:rPr>
            </w:pPr>
            <w:r w:rsidRPr="00EC21FB">
              <w:rPr>
                <w:color w:val="000000"/>
                <w:sz w:val="18"/>
                <w:szCs w:val="18"/>
              </w:rPr>
              <w:t>10</w:t>
            </w:r>
          </w:p>
        </w:tc>
      </w:tr>
      <w:tr w:rsidR="00BE0821" w:rsidRPr="004F689E" w14:paraId="5583E09B" w14:textId="77777777" w:rsidTr="00BE0821">
        <w:tc>
          <w:tcPr>
            <w:tcW w:w="2245" w:type="dxa"/>
            <w:vMerge/>
          </w:tcPr>
          <w:p w14:paraId="7369BA41" w14:textId="77777777" w:rsidR="00BE0821" w:rsidRPr="00C15C33" w:rsidRDefault="00BE0821" w:rsidP="00EC21FB">
            <w:pPr>
              <w:rPr>
                <w:color w:val="000000"/>
                <w:sz w:val="18"/>
                <w:szCs w:val="18"/>
              </w:rPr>
            </w:pPr>
          </w:p>
        </w:tc>
        <w:tc>
          <w:tcPr>
            <w:tcW w:w="1260" w:type="dxa"/>
          </w:tcPr>
          <w:p w14:paraId="3A1B4A92" w14:textId="7B574BDD" w:rsidR="00BE0821" w:rsidRPr="00C15C33" w:rsidRDefault="00BE0821" w:rsidP="00EC21FB">
            <w:pPr>
              <w:rPr>
                <w:color w:val="000000"/>
                <w:sz w:val="18"/>
                <w:szCs w:val="18"/>
              </w:rPr>
            </w:pPr>
            <w:r w:rsidRPr="00C15C33">
              <w:rPr>
                <w:color w:val="000000"/>
                <w:sz w:val="18"/>
                <w:szCs w:val="18"/>
              </w:rPr>
              <w:t>cowi.ca</w:t>
            </w:r>
          </w:p>
        </w:tc>
        <w:tc>
          <w:tcPr>
            <w:tcW w:w="900" w:type="dxa"/>
            <w:vAlign w:val="bottom"/>
          </w:tcPr>
          <w:p w14:paraId="44089FBA" w14:textId="63BD93FA" w:rsidR="00BE0821" w:rsidRPr="00C15C33" w:rsidRDefault="00BE0821" w:rsidP="00EC21FB">
            <w:pPr>
              <w:jc w:val="right"/>
              <w:rPr>
                <w:color w:val="000000"/>
                <w:sz w:val="18"/>
                <w:szCs w:val="18"/>
              </w:rPr>
            </w:pPr>
            <w:r w:rsidRPr="00C15C33">
              <w:rPr>
                <w:color w:val="000000"/>
                <w:sz w:val="18"/>
                <w:szCs w:val="18"/>
              </w:rPr>
              <w:t>48.46</w:t>
            </w:r>
          </w:p>
        </w:tc>
        <w:tc>
          <w:tcPr>
            <w:tcW w:w="1080" w:type="dxa"/>
            <w:vAlign w:val="bottom"/>
          </w:tcPr>
          <w:p w14:paraId="19E47080" w14:textId="7AE2BF99" w:rsidR="00BE0821" w:rsidRPr="00C15C33" w:rsidRDefault="00BE0821" w:rsidP="00EC21FB">
            <w:pPr>
              <w:jc w:val="right"/>
              <w:rPr>
                <w:color w:val="000000"/>
                <w:sz w:val="18"/>
                <w:szCs w:val="18"/>
              </w:rPr>
            </w:pPr>
            <w:r w:rsidRPr="00C15C33">
              <w:rPr>
                <w:color w:val="000000"/>
                <w:sz w:val="18"/>
                <w:szCs w:val="18"/>
              </w:rPr>
              <w:t>-123.38</w:t>
            </w:r>
          </w:p>
        </w:tc>
        <w:tc>
          <w:tcPr>
            <w:tcW w:w="990" w:type="dxa"/>
          </w:tcPr>
          <w:p w14:paraId="32091D66" w14:textId="36B35A68" w:rsidR="00BE0821" w:rsidRPr="00C15C33" w:rsidRDefault="00581754" w:rsidP="00EC21FB">
            <w:pPr>
              <w:jc w:val="right"/>
              <w:rPr>
                <w:color w:val="000000"/>
                <w:sz w:val="18"/>
                <w:szCs w:val="18"/>
              </w:rPr>
            </w:pPr>
            <w:r>
              <w:rPr>
                <w:color w:val="000000"/>
                <w:sz w:val="18"/>
                <w:szCs w:val="18"/>
              </w:rPr>
              <w:t>24</w:t>
            </w:r>
          </w:p>
        </w:tc>
        <w:tc>
          <w:tcPr>
            <w:tcW w:w="630" w:type="dxa"/>
            <w:vAlign w:val="bottom"/>
          </w:tcPr>
          <w:p w14:paraId="6BBC8E60" w14:textId="7BAFDA10" w:rsidR="00BE0821" w:rsidRPr="00C15C33" w:rsidRDefault="00581754" w:rsidP="00EC21FB">
            <w:pPr>
              <w:jc w:val="right"/>
              <w:rPr>
                <w:color w:val="000000"/>
                <w:sz w:val="18"/>
                <w:szCs w:val="18"/>
              </w:rPr>
            </w:pPr>
            <w:r>
              <w:rPr>
                <w:color w:val="000000"/>
                <w:sz w:val="18"/>
                <w:szCs w:val="18"/>
              </w:rPr>
              <w:t>10.5</w:t>
            </w:r>
          </w:p>
        </w:tc>
        <w:tc>
          <w:tcPr>
            <w:tcW w:w="630" w:type="dxa"/>
            <w:vAlign w:val="bottom"/>
          </w:tcPr>
          <w:p w14:paraId="3BAEFBB3" w14:textId="229F3C24" w:rsidR="00BE0821" w:rsidRPr="00C15C33" w:rsidRDefault="00581754" w:rsidP="00EC21FB">
            <w:pPr>
              <w:jc w:val="right"/>
              <w:rPr>
                <w:color w:val="000000"/>
                <w:sz w:val="18"/>
                <w:szCs w:val="18"/>
              </w:rPr>
            </w:pPr>
            <w:r>
              <w:rPr>
                <w:color w:val="000000"/>
                <w:sz w:val="18"/>
                <w:szCs w:val="18"/>
              </w:rPr>
              <w:t>1.91</w:t>
            </w:r>
          </w:p>
        </w:tc>
        <w:tc>
          <w:tcPr>
            <w:tcW w:w="630" w:type="dxa"/>
          </w:tcPr>
          <w:p w14:paraId="42FAE169" w14:textId="2C2FC285" w:rsidR="00BE0821" w:rsidRPr="00C15C33" w:rsidRDefault="00581754" w:rsidP="00EC21FB">
            <w:pPr>
              <w:jc w:val="right"/>
              <w:rPr>
                <w:color w:val="000000"/>
                <w:sz w:val="18"/>
                <w:szCs w:val="18"/>
              </w:rPr>
            </w:pPr>
            <w:r>
              <w:rPr>
                <w:color w:val="000000"/>
                <w:sz w:val="18"/>
                <w:szCs w:val="18"/>
              </w:rPr>
              <w:t>561</w:t>
            </w:r>
          </w:p>
        </w:tc>
        <w:tc>
          <w:tcPr>
            <w:tcW w:w="1080" w:type="dxa"/>
            <w:vAlign w:val="bottom"/>
          </w:tcPr>
          <w:p w14:paraId="2DA65BC0" w14:textId="70367375"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621AB016" w14:textId="73F836FA"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34E225F1" w14:textId="14620F2E"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62D6623E" w14:textId="10ED2304" w:rsidR="00BE0821" w:rsidRPr="00EC21FB" w:rsidRDefault="00BE0821" w:rsidP="00EC21FB">
            <w:pPr>
              <w:jc w:val="right"/>
              <w:rPr>
                <w:color w:val="000000"/>
                <w:sz w:val="18"/>
                <w:szCs w:val="18"/>
              </w:rPr>
            </w:pPr>
            <w:r w:rsidRPr="00EC21FB">
              <w:rPr>
                <w:color w:val="000000"/>
                <w:sz w:val="18"/>
                <w:szCs w:val="18"/>
              </w:rPr>
              <w:t>10</w:t>
            </w:r>
          </w:p>
        </w:tc>
      </w:tr>
      <w:tr w:rsidR="00BE0821" w:rsidRPr="00877723" w14:paraId="4FA9EBA5" w14:textId="77777777" w:rsidTr="00BE0821">
        <w:tc>
          <w:tcPr>
            <w:tcW w:w="2245" w:type="dxa"/>
            <w:vMerge/>
          </w:tcPr>
          <w:p w14:paraId="3F4C6C5B" w14:textId="77777777" w:rsidR="00BE0821" w:rsidRPr="00C15C33" w:rsidRDefault="00BE0821" w:rsidP="00EC21FB">
            <w:pPr>
              <w:rPr>
                <w:sz w:val="18"/>
                <w:szCs w:val="18"/>
              </w:rPr>
            </w:pPr>
          </w:p>
        </w:tc>
        <w:tc>
          <w:tcPr>
            <w:tcW w:w="1260" w:type="dxa"/>
          </w:tcPr>
          <w:p w14:paraId="71E5B4EC" w14:textId="5F065073" w:rsidR="00BE0821" w:rsidRPr="00C15C33" w:rsidRDefault="00BE0821" w:rsidP="00EC21FB">
            <w:pPr>
              <w:rPr>
                <w:color w:val="000000"/>
                <w:sz w:val="18"/>
                <w:szCs w:val="18"/>
              </w:rPr>
            </w:pPr>
            <w:r w:rsidRPr="00C15C33">
              <w:rPr>
                <w:color w:val="000000"/>
                <w:sz w:val="18"/>
                <w:szCs w:val="18"/>
              </w:rPr>
              <w:t>elliot.us</w:t>
            </w:r>
          </w:p>
        </w:tc>
        <w:tc>
          <w:tcPr>
            <w:tcW w:w="900" w:type="dxa"/>
            <w:vAlign w:val="bottom"/>
          </w:tcPr>
          <w:p w14:paraId="145AC815" w14:textId="67DD525B" w:rsidR="00BE0821" w:rsidRPr="00C15C33" w:rsidRDefault="00BE0821" w:rsidP="00EC21FB">
            <w:pPr>
              <w:jc w:val="right"/>
              <w:rPr>
                <w:color w:val="000000"/>
                <w:sz w:val="18"/>
                <w:szCs w:val="18"/>
              </w:rPr>
            </w:pPr>
            <w:r w:rsidRPr="00C15C33">
              <w:rPr>
                <w:color w:val="000000"/>
                <w:sz w:val="18"/>
                <w:szCs w:val="18"/>
              </w:rPr>
              <w:t>32.88</w:t>
            </w:r>
          </w:p>
        </w:tc>
        <w:tc>
          <w:tcPr>
            <w:tcW w:w="1080" w:type="dxa"/>
            <w:vAlign w:val="bottom"/>
          </w:tcPr>
          <w:p w14:paraId="79BA9B54" w14:textId="30AD5DFA" w:rsidR="00BE0821" w:rsidRPr="00C15C33" w:rsidRDefault="00BE0821" w:rsidP="00EC21FB">
            <w:pPr>
              <w:jc w:val="right"/>
              <w:rPr>
                <w:color w:val="000000"/>
                <w:sz w:val="18"/>
                <w:szCs w:val="18"/>
              </w:rPr>
            </w:pPr>
            <w:r w:rsidRPr="00C15C33">
              <w:rPr>
                <w:color w:val="000000"/>
                <w:sz w:val="18"/>
                <w:szCs w:val="18"/>
              </w:rPr>
              <w:t>-117.05</w:t>
            </w:r>
          </w:p>
        </w:tc>
        <w:tc>
          <w:tcPr>
            <w:tcW w:w="990" w:type="dxa"/>
          </w:tcPr>
          <w:p w14:paraId="45388211" w14:textId="19032DED" w:rsidR="00BE0821" w:rsidRPr="00C15C33" w:rsidRDefault="00581754" w:rsidP="00EC21FB">
            <w:pPr>
              <w:jc w:val="right"/>
              <w:rPr>
                <w:color w:val="000000"/>
                <w:sz w:val="18"/>
                <w:szCs w:val="18"/>
              </w:rPr>
            </w:pPr>
            <w:r>
              <w:rPr>
                <w:color w:val="000000"/>
                <w:sz w:val="18"/>
                <w:szCs w:val="18"/>
              </w:rPr>
              <w:t>256</w:t>
            </w:r>
          </w:p>
        </w:tc>
        <w:tc>
          <w:tcPr>
            <w:tcW w:w="630" w:type="dxa"/>
          </w:tcPr>
          <w:p w14:paraId="06E5CD38" w14:textId="303C483C" w:rsidR="00BE0821" w:rsidRPr="00C15C33" w:rsidRDefault="00581754" w:rsidP="00EC21FB">
            <w:pPr>
              <w:jc w:val="right"/>
              <w:rPr>
                <w:color w:val="000000"/>
                <w:sz w:val="18"/>
                <w:szCs w:val="18"/>
              </w:rPr>
            </w:pPr>
            <w:r>
              <w:rPr>
                <w:color w:val="000000"/>
                <w:sz w:val="18"/>
                <w:szCs w:val="18"/>
              </w:rPr>
              <w:t>17.7</w:t>
            </w:r>
          </w:p>
        </w:tc>
        <w:tc>
          <w:tcPr>
            <w:tcW w:w="630" w:type="dxa"/>
          </w:tcPr>
          <w:p w14:paraId="38FE9FCE" w14:textId="0F7F7CAA" w:rsidR="00BE0821" w:rsidRPr="00C15C33" w:rsidRDefault="00581754" w:rsidP="00EC21FB">
            <w:pPr>
              <w:jc w:val="right"/>
              <w:rPr>
                <w:color w:val="000000"/>
                <w:sz w:val="18"/>
                <w:szCs w:val="18"/>
              </w:rPr>
            </w:pPr>
            <w:r>
              <w:rPr>
                <w:color w:val="000000"/>
                <w:sz w:val="18"/>
                <w:szCs w:val="18"/>
              </w:rPr>
              <w:t>0.25</w:t>
            </w:r>
          </w:p>
        </w:tc>
        <w:tc>
          <w:tcPr>
            <w:tcW w:w="630" w:type="dxa"/>
          </w:tcPr>
          <w:p w14:paraId="1B458019" w14:textId="13C5C6B3" w:rsidR="00BE0821" w:rsidRPr="00C15C33" w:rsidRDefault="00581754" w:rsidP="00EC21FB">
            <w:pPr>
              <w:jc w:val="right"/>
              <w:rPr>
                <w:color w:val="000000"/>
                <w:sz w:val="18"/>
                <w:szCs w:val="18"/>
              </w:rPr>
            </w:pPr>
            <w:r>
              <w:rPr>
                <w:color w:val="000000"/>
                <w:sz w:val="18"/>
                <w:szCs w:val="18"/>
              </w:rPr>
              <w:t>880</w:t>
            </w:r>
          </w:p>
        </w:tc>
        <w:tc>
          <w:tcPr>
            <w:tcW w:w="1080" w:type="dxa"/>
            <w:vAlign w:val="bottom"/>
          </w:tcPr>
          <w:p w14:paraId="545005E3" w14:textId="746518FB"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1CFEC842" w14:textId="657C4ECA"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755549F0" w14:textId="6CE79417"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640284B4" w14:textId="0B29281A" w:rsidR="00BE0821" w:rsidRPr="00EC21FB" w:rsidRDefault="00BE0821" w:rsidP="00EC21FB">
            <w:pPr>
              <w:jc w:val="right"/>
              <w:rPr>
                <w:color w:val="000000"/>
                <w:sz w:val="18"/>
                <w:szCs w:val="18"/>
              </w:rPr>
            </w:pPr>
            <w:r w:rsidRPr="00EC21FB">
              <w:rPr>
                <w:color w:val="000000"/>
                <w:sz w:val="18"/>
                <w:szCs w:val="18"/>
              </w:rPr>
              <w:t>10</w:t>
            </w:r>
          </w:p>
        </w:tc>
      </w:tr>
      <w:tr w:rsidR="00BE0821" w:rsidRPr="00D81D83" w14:paraId="2CFAFDBA" w14:textId="77777777" w:rsidTr="00BE0821">
        <w:tc>
          <w:tcPr>
            <w:tcW w:w="2245" w:type="dxa"/>
            <w:vMerge/>
          </w:tcPr>
          <w:p w14:paraId="44C1F541" w14:textId="77777777" w:rsidR="00BE0821" w:rsidRPr="00C15C33" w:rsidRDefault="00BE0821" w:rsidP="00EC21FB">
            <w:pPr>
              <w:rPr>
                <w:sz w:val="18"/>
                <w:szCs w:val="18"/>
              </w:rPr>
            </w:pPr>
          </w:p>
        </w:tc>
        <w:tc>
          <w:tcPr>
            <w:tcW w:w="1260" w:type="dxa"/>
          </w:tcPr>
          <w:p w14:paraId="5FEA900F" w14:textId="10492CAA" w:rsidR="00BE0821" w:rsidRPr="00C15C33" w:rsidRDefault="00BE0821" w:rsidP="00EC21FB">
            <w:pPr>
              <w:rPr>
                <w:color w:val="000000"/>
                <w:sz w:val="18"/>
                <w:szCs w:val="18"/>
              </w:rPr>
            </w:pPr>
            <w:r w:rsidRPr="00C15C33">
              <w:rPr>
                <w:color w:val="000000"/>
                <w:sz w:val="18"/>
                <w:szCs w:val="18"/>
              </w:rPr>
              <w:t>frue.ch</w:t>
            </w:r>
          </w:p>
        </w:tc>
        <w:tc>
          <w:tcPr>
            <w:tcW w:w="900" w:type="dxa"/>
            <w:vAlign w:val="bottom"/>
          </w:tcPr>
          <w:p w14:paraId="44A57A4C" w14:textId="05FB0F66" w:rsidR="00BE0821" w:rsidRPr="00C15C33" w:rsidRDefault="00BE0821" w:rsidP="00EC21FB">
            <w:pPr>
              <w:jc w:val="right"/>
              <w:rPr>
                <w:color w:val="000000"/>
                <w:sz w:val="18"/>
                <w:szCs w:val="18"/>
              </w:rPr>
            </w:pPr>
            <w:r w:rsidRPr="00C15C33">
              <w:rPr>
                <w:color w:val="000000"/>
                <w:sz w:val="18"/>
                <w:szCs w:val="18"/>
              </w:rPr>
              <w:t>47.11</w:t>
            </w:r>
          </w:p>
        </w:tc>
        <w:tc>
          <w:tcPr>
            <w:tcW w:w="1080" w:type="dxa"/>
            <w:vAlign w:val="bottom"/>
          </w:tcPr>
          <w:p w14:paraId="1B519033" w14:textId="0B8A6BCA" w:rsidR="00BE0821" w:rsidRPr="00C15C33" w:rsidRDefault="00BE0821" w:rsidP="00EC21FB">
            <w:pPr>
              <w:jc w:val="right"/>
              <w:rPr>
                <w:color w:val="000000"/>
                <w:sz w:val="18"/>
                <w:szCs w:val="18"/>
              </w:rPr>
            </w:pPr>
            <w:r w:rsidRPr="00C15C33">
              <w:rPr>
                <w:color w:val="000000"/>
                <w:sz w:val="18"/>
                <w:szCs w:val="18"/>
              </w:rPr>
              <w:t>8.54</w:t>
            </w:r>
          </w:p>
        </w:tc>
        <w:tc>
          <w:tcPr>
            <w:tcW w:w="990" w:type="dxa"/>
          </w:tcPr>
          <w:p w14:paraId="469D7C95" w14:textId="2577149A" w:rsidR="00BE0821" w:rsidRPr="00C15C33" w:rsidRDefault="00581754" w:rsidP="00EC21FB">
            <w:pPr>
              <w:jc w:val="right"/>
              <w:rPr>
                <w:color w:val="000000"/>
                <w:sz w:val="18"/>
                <w:szCs w:val="18"/>
              </w:rPr>
            </w:pPr>
            <w:r>
              <w:rPr>
                <w:color w:val="000000"/>
                <w:sz w:val="18"/>
                <w:szCs w:val="18"/>
              </w:rPr>
              <w:t>972</w:t>
            </w:r>
          </w:p>
        </w:tc>
        <w:tc>
          <w:tcPr>
            <w:tcW w:w="630" w:type="dxa"/>
            <w:vAlign w:val="bottom"/>
          </w:tcPr>
          <w:p w14:paraId="2315BF28" w14:textId="29903AD2" w:rsidR="00BE0821" w:rsidRPr="00C15C33" w:rsidRDefault="00581754" w:rsidP="00EC21FB">
            <w:pPr>
              <w:jc w:val="right"/>
              <w:rPr>
                <w:color w:val="000000"/>
                <w:sz w:val="18"/>
                <w:szCs w:val="18"/>
              </w:rPr>
            </w:pPr>
            <w:r>
              <w:rPr>
                <w:color w:val="000000"/>
                <w:sz w:val="18"/>
                <w:szCs w:val="18"/>
              </w:rPr>
              <w:t>7.8</w:t>
            </w:r>
          </w:p>
        </w:tc>
        <w:tc>
          <w:tcPr>
            <w:tcW w:w="630" w:type="dxa"/>
            <w:vAlign w:val="bottom"/>
          </w:tcPr>
          <w:p w14:paraId="14533814" w14:textId="1826BC44" w:rsidR="00BE0821" w:rsidRPr="00C15C33" w:rsidRDefault="00581754" w:rsidP="00EC21FB">
            <w:pPr>
              <w:jc w:val="right"/>
              <w:rPr>
                <w:color w:val="000000"/>
                <w:sz w:val="18"/>
                <w:szCs w:val="18"/>
              </w:rPr>
            </w:pPr>
            <w:r>
              <w:rPr>
                <w:color w:val="000000"/>
                <w:sz w:val="18"/>
                <w:szCs w:val="18"/>
              </w:rPr>
              <w:t>2.13</w:t>
            </w:r>
          </w:p>
        </w:tc>
        <w:tc>
          <w:tcPr>
            <w:tcW w:w="630" w:type="dxa"/>
          </w:tcPr>
          <w:p w14:paraId="579B02DF" w14:textId="7441298B" w:rsidR="00BE0821" w:rsidRPr="00C15C33" w:rsidRDefault="00581754" w:rsidP="00EC21FB">
            <w:pPr>
              <w:jc w:val="right"/>
              <w:rPr>
                <w:color w:val="000000"/>
                <w:sz w:val="18"/>
                <w:szCs w:val="18"/>
              </w:rPr>
            </w:pPr>
            <w:r>
              <w:rPr>
                <w:color w:val="000000"/>
                <w:sz w:val="18"/>
                <w:szCs w:val="18"/>
              </w:rPr>
              <w:t>617</w:t>
            </w:r>
          </w:p>
        </w:tc>
        <w:tc>
          <w:tcPr>
            <w:tcW w:w="1080" w:type="dxa"/>
            <w:vAlign w:val="bottom"/>
          </w:tcPr>
          <w:p w14:paraId="70CA1A46" w14:textId="44F41695"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145ED389" w14:textId="63132140"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14E5FC06" w14:textId="6FEF8D42"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56023012" w14:textId="540B043A" w:rsidR="00BE0821" w:rsidRPr="00EC21FB" w:rsidRDefault="00BE0821" w:rsidP="00EC21FB">
            <w:pPr>
              <w:jc w:val="right"/>
              <w:rPr>
                <w:color w:val="000000"/>
                <w:sz w:val="18"/>
                <w:szCs w:val="18"/>
              </w:rPr>
            </w:pPr>
            <w:r w:rsidRPr="00EC21FB">
              <w:rPr>
                <w:color w:val="000000"/>
                <w:sz w:val="18"/>
                <w:szCs w:val="18"/>
              </w:rPr>
              <w:t>10</w:t>
            </w:r>
          </w:p>
        </w:tc>
      </w:tr>
      <w:tr w:rsidR="00BE0821" w:rsidRPr="00D81D83" w14:paraId="78D54E00" w14:textId="77777777" w:rsidTr="00BE0821">
        <w:tc>
          <w:tcPr>
            <w:tcW w:w="2245" w:type="dxa"/>
            <w:vMerge/>
          </w:tcPr>
          <w:p w14:paraId="33E4A495" w14:textId="77777777" w:rsidR="00BE0821" w:rsidRPr="00C15C33" w:rsidRDefault="00BE0821" w:rsidP="00EC21FB">
            <w:pPr>
              <w:rPr>
                <w:color w:val="000000"/>
                <w:sz w:val="18"/>
                <w:szCs w:val="18"/>
              </w:rPr>
            </w:pPr>
          </w:p>
        </w:tc>
        <w:tc>
          <w:tcPr>
            <w:tcW w:w="1260" w:type="dxa"/>
          </w:tcPr>
          <w:p w14:paraId="658AC410" w14:textId="624323E9" w:rsidR="00BE0821" w:rsidRPr="00C15C33" w:rsidRDefault="00BE0821" w:rsidP="00EC21FB">
            <w:pPr>
              <w:rPr>
                <w:color w:val="000000"/>
                <w:sz w:val="18"/>
                <w:szCs w:val="18"/>
              </w:rPr>
            </w:pPr>
            <w:r w:rsidRPr="00C15C33">
              <w:rPr>
                <w:color w:val="000000"/>
                <w:sz w:val="18"/>
                <w:szCs w:val="18"/>
              </w:rPr>
              <w:t>gilb.za</w:t>
            </w:r>
          </w:p>
        </w:tc>
        <w:tc>
          <w:tcPr>
            <w:tcW w:w="900" w:type="dxa"/>
            <w:vAlign w:val="bottom"/>
          </w:tcPr>
          <w:p w14:paraId="17909526" w14:textId="5855CC8B" w:rsidR="00BE0821" w:rsidRPr="00C15C33" w:rsidRDefault="00BE0821" w:rsidP="00EC21FB">
            <w:pPr>
              <w:jc w:val="right"/>
              <w:rPr>
                <w:color w:val="000000"/>
                <w:sz w:val="18"/>
                <w:szCs w:val="18"/>
              </w:rPr>
            </w:pPr>
            <w:r w:rsidRPr="00C15C33">
              <w:rPr>
                <w:color w:val="000000"/>
                <w:sz w:val="18"/>
                <w:szCs w:val="18"/>
              </w:rPr>
              <w:t>-29.28</w:t>
            </w:r>
          </w:p>
        </w:tc>
        <w:tc>
          <w:tcPr>
            <w:tcW w:w="1080" w:type="dxa"/>
            <w:vAlign w:val="bottom"/>
          </w:tcPr>
          <w:p w14:paraId="20B68589" w14:textId="6E94D81F" w:rsidR="00BE0821" w:rsidRPr="00C15C33" w:rsidRDefault="00BE0821" w:rsidP="00EC21FB">
            <w:pPr>
              <w:jc w:val="right"/>
              <w:rPr>
                <w:color w:val="000000"/>
                <w:sz w:val="18"/>
                <w:szCs w:val="18"/>
              </w:rPr>
            </w:pPr>
            <w:r w:rsidRPr="00C15C33">
              <w:rPr>
                <w:color w:val="000000"/>
                <w:sz w:val="18"/>
                <w:szCs w:val="18"/>
              </w:rPr>
              <w:t>30.29</w:t>
            </w:r>
          </w:p>
        </w:tc>
        <w:tc>
          <w:tcPr>
            <w:tcW w:w="990" w:type="dxa"/>
          </w:tcPr>
          <w:p w14:paraId="6CAB304D" w14:textId="292B0454" w:rsidR="00BE0821" w:rsidRPr="00C15C33" w:rsidRDefault="00581754" w:rsidP="00EC21FB">
            <w:pPr>
              <w:jc w:val="right"/>
              <w:rPr>
                <w:color w:val="000000"/>
                <w:sz w:val="18"/>
                <w:szCs w:val="18"/>
              </w:rPr>
            </w:pPr>
            <w:r>
              <w:rPr>
                <w:color w:val="000000"/>
                <w:sz w:val="18"/>
                <w:szCs w:val="18"/>
              </w:rPr>
              <w:t>1666</w:t>
            </w:r>
          </w:p>
        </w:tc>
        <w:tc>
          <w:tcPr>
            <w:tcW w:w="630" w:type="dxa"/>
            <w:vAlign w:val="bottom"/>
          </w:tcPr>
          <w:p w14:paraId="152D8B20" w14:textId="4FDB27BF" w:rsidR="00BE0821" w:rsidRPr="00C15C33" w:rsidRDefault="00581754" w:rsidP="00EC21FB">
            <w:pPr>
              <w:jc w:val="right"/>
              <w:rPr>
                <w:color w:val="000000"/>
                <w:sz w:val="18"/>
                <w:szCs w:val="18"/>
              </w:rPr>
            </w:pPr>
            <w:r>
              <w:rPr>
                <w:color w:val="000000"/>
                <w:sz w:val="18"/>
                <w:szCs w:val="18"/>
              </w:rPr>
              <w:t>13.9</w:t>
            </w:r>
          </w:p>
        </w:tc>
        <w:tc>
          <w:tcPr>
            <w:tcW w:w="630" w:type="dxa"/>
            <w:vAlign w:val="bottom"/>
          </w:tcPr>
          <w:p w14:paraId="0F3F0080" w14:textId="77EF5DE4" w:rsidR="00BE0821" w:rsidRPr="00C15C33" w:rsidRDefault="00581754" w:rsidP="00EC21FB">
            <w:pPr>
              <w:jc w:val="right"/>
              <w:rPr>
                <w:color w:val="000000"/>
                <w:sz w:val="18"/>
                <w:szCs w:val="18"/>
              </w:rPr>
            </w:pPr>
            <w:r>
              <w:rPr>
                <w:color w:val="000000"/>
                <w:sz w:val="18"/>
                <w:szCs w:val="18"/>
              </w:rPr>
              <w:t>0.59</w:t>
            </w:r>
          </w:p>
        </w:tc>
        <w:tc>
          <w:tcPr>
            <w:tcW w:w="630" w:type="dxa"/>
          </w:tcPr>
          <w:p w14:paraId="7F02F8FA" w14:textId="2B648F9F" w:rsidR="00BE0821" w:rsidRPr="00C15C33" w:rsidRDefault="00581754" w:rsidP="00EC21FB">
            <w:pPr>
              <w:jc w:val="right"/>
              <w:rPr>
                <w:color w:val="000000"/>
                <w:sz w:val="18"/>
                <w:szCs w:val="18"/>
              </w:rPr>
            </w:pPr>
            <w:r>
              <w:rPr>
                <w:color w:val="000000"/>
                <w:sz w:val="18"/>
                <w:szCs w:val="18"/>
              </w:rPr>
              <w:t>855</w:t>
            </w:r>
          </w:p>
        </w:tc>
        <w:tc>
          <w:tcPr>
            <w:tcW w:w="1080" w:type="dxa"/>
            <w:vAlign w:val="bottom"/>
          </w:tcPr>
          <w:p w14:paraId="30167DCA" w14:textId="45AE0A73"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69E488AB" w14:textId="40D3AE67"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7F5C0399" w14:textId="13D669FB"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080311FA" w14:textId="23AC7D61" w:rsidR="00BE0821" w:rsidRPr="00EC21FB" w:rsidRDefault="00BE0821" w:rsidP="00EC21FB">
            <w:pPr>
              <w:jc w:val="right"/>
              <w:rPr>
                <w:color w:val="000000"/>
                <w:sz w:val="18"/>
                <w:szCs w:val="18"/>
              </w:rPr>
            </w:pPr>
            <w:r w:rsidRPr="00EC21FB">
              <w:rPr>
                <w:color w:val="000000"/>
                <w:sz w:val="18"/>
                <w:szCs w:val="18"/>
              </w:rPr>
              <w:t>10</w:t>
            </w:r>
          </w:p>
        </w:tc>
      </w:tr>
      <w:tr w:rsidR="00BE0821" w:rsidRPr="00D81D83" w14:paraId="5A45C99A" w14:textId="77777777" w:rsidTr="00BE0821">
        <w:tc>
          <w:tcPr>
            <w:tcW w:w="2245" w:type="dxa"/>
            <w:vMerge/>
          </w:tcPr>
          <w:p w14:paraId="2A1E6052" w14:textId="77777777" w:rsidR="00BE0821" w:rsidRPr="00C15C33" w:rsidRDefault="00BE0821" w:rsidP="00EC21FB">
            <w:pPr>
              <w:rPr>
                <w:color w:val="000000"/>
                <w:sz w:val="18"/>
                <w:szCs w:val="18"/>
              </w:rPr>
            </w:pPr>
          </w:p>
        </w:tc>
        <w:tc>
          <w:tcPr>
            <w:tcW w:w="1260" w:type="dxa"/>
          </w:tcPr>
          <w:p w14:paraId="6A61E91A" w14:textId="44C59DA7" w:rsidR="00BE0821" w:rsidRPr="00C15C33" w:rsidRDefault="00BE0821" w:rsidP="00EC21FB">
            <w:pPr>
              <w:rPr>
                <w:color w:val="000000"/>
                <w:sz w:val="18"/>
                <w:szCs w:val="18"/>
              </w:rPr>
            </w:pPr>
            <w:r w:rsidRPr="00C15C33">
              <w:rPr>
                <w:color w:val="000000"/>
                <w:sz w:val="18"/>
                <w:szCs w:val="18"/>
              </w:rPr>
              <w:t>kiny.au</w:t>
            </w:r>
          </w:p>
        </w:tc>
        <w:tc>
          <w:tcPr>
            <w:tcW w:w="900" w:type="dxa"/>
            <w:vAlign w:val="bottom"/>
          </w:tcPr>
          <w:p w14:paraId="493876F1" w14:textId="5F33FF1E" w:rsidR="00BE0821" w:rsidRPr="00C15C33" w:rsidRDefault="00BE0821" w:rsidP="00EC21FB">
            <w:pPr>
              <w:jc w:val="right"/>
              <w:rPr>
                <w:color w:val="000000"/>
                <w:sz w:val="18"/>
                <w:szCs w:val="18"/>
              </w:rPr>
            </w:pPr>
            <w:r w:rsidRPr="00C15C33">
              <w:rPr>
                <w:color w:val="000000"/>
                <w:sz w:val="18"/>
                <w:szCs w:val="18"/>
              </w:rPr>
              <w:t>-36.20</w:t>
            </w:r>
          </w:p>
        </w:tc>
        <w:tc>
          <w:tcPr>
            <w:tcW w:w="1080" w:type="dxa"/>
            <w:vAlign w:val="bottom"/>
          </w:tcPr>
          <w:p w14:paraId="1637D5FE" w14:textId="68CF0447" w:rsidR="00BE0821" w:rsidRPr="00C15C33" w:rsidRDefault="00BE0821" w:rsidP="00EC21FB">
            <w:pPr>
              <w:jc w:val="right"/>
              <w:rPr>
                <w:color w:val="000000"/>
                <w:sz w:val="18"/>
                <w:szCs w:val="18"/>
              </w:rPr>
            </w:pPr>
            <w:r w:rsidRPr="00C15C33">
              <w:rPr>
                <w:color w:val="000000"/>
                <w:sz w:val="18"/>
                <w:szCs w:val="18"/>
              </w:rPr>
              <w:t>143.75</w:t>
            </w:r>
          </w:p>
        </w:tc>
        <w:tc>
          <w:tcPr>
            <w:tcW w:w="990" w:type="dxa"/>
          </w:tcPr>
          <w:p w14:paraId="1C77C057" w14:textId="64F4BBEF" w:rsidR="00BE0821" w:rsidRPr="00C15C33" w:rsidRDefault="00581754" w:rsidP="00EC21FB">
            <w:pPr>
              <w:jc w:val="right"/>
              <w:rPr>
                <w:color w:val="000000"/>
                <w:sz w:val="18"/>
                <w:szCs w:val="18"/>
              </w:rPr>
            </w:pPr>
            <w:r>
              <w:rPr>
                <w:color w:val="000000"/>
                <w:sz w:val="18"/>
                <w:szCs w:val="18"/>
              </w:rPr>
              <w:t>99</w:t>
            </w:r>
          </w:p>
        </w:tc>
        <w:tc>
          <w:tcPr>
            <w:tcW w:w="630" w:type="dxa"/>
            <w:vAlign w:val="bottom"/>
          </w:tcPr>
          <w:p w14:paraId="77192DF6" w14:textId="7AB5F6DE" w:rsidR="00BE0821" w:rsidRPr="00C15C33" w:rsidRDefault="00581754" w:rsidP="00EC21FB">
            <w:pPr>
              <w:jc w:val="right"/>
              <w:rPr>
                <w:color w:val="000000"/>
                <w:sz w:val="18"/>
                <w:szCs w:val="18"/>
              </w:rPr>
            </w:pPr>
            <w:r>
              <w:rPr>
                <w:color w:val="000000"/>
                <w:sz w:val="18"/>
                <w:szCs w:val="18"/>
              </w:rPr>
              <w:t>15.5</w:t>
            </w:r>
          </w:p>
        </w:tc>
        <w:tc>
          <w:tcPr>
            <w:tcW w:w="630" w:type="dxa"/>
            <w:vAlign w:val="bottom"/>
          </w:tcPr>
          <w:p w14:paraId="1C053B84" w14:textId="6ADF2216" w:rsidR="00BE0821" w:rsidRPr="00C15C33" w:rsidRDefault="00581754" w:rsidP="00EC21FB">
            <w:pPr>
              <w:jc w:val="right"/>
              <w:rPr>
                <w:color w:val="000000"/>
                <w:sz w:val="18"/>
                <w:szCs w:val="18"/>
              </w:rPr>
            </w:pPr>
            <w:r>
              <w:rPr>
                <w:color w:val="000000"/>
                <w:sz w:val="18"/>
                <w:szCs w:val="18"/>
              </w:rPr>
              <w:t>0.33</w:t>
            </w:r>
          </w:p>
        </w:tc>
        <w:tc>
          <w:tcPr>
            <w:tcW w:w="630" w:type="dxa"/>
          </w:tcPr>
          <w:p w14:paraId="0FC90841" w14:textId="1953B8CE" w:rsidR="00BE0821" w:rsidRPr="00C15C33" w:rsidRDefault="00581754" w:rsidP="00EC21FB">
            <w:pPr>
              <w:jc w:val="right"/>
              <w:rPr>
                <w:color w:val="000000"/>
                <w:sz w:val="18"/>
                <w:szCs w:val="18"/>
              </w:rPr>
            </w:pPr>
            <w:r>
              <w:rPr>
                <w:color w:val="000000"/>
                <w:sz w:val="18"/>
                <w:szCs w:val="18"/>
              </w:rPr>
              <w:t>809</w:t>
            </w:r>
          </w:p>
        </w:tc>
        <w:tc>
          <w:tcPr>
            <w:tcW w:w="1080" w:type="dxa"/>
            <w:vAlign w:val="bottom"/>
          </w:tcPr>
          <w:p w14:paraId="2E4E5C2A" w14:textId="2B52B8BF"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0F3273BA" w14:textId="1F864E4E"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1D8E7074" w14:textId="7E76D4C8"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7C7CC95C" w14:textId="2FCE03AE"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06FD0F8E" w14:textId="77777777" w:rsidTr="00BE0821">
        <w:tc>
          <w:tcPr>
            <w:tcW w:w="2245" w:type="dxa"/>
            <w:vMerge/>
          </w:tcPr>
          <w:p w14:paraId="42540A76" w14:textId="77777777" w:rsidR="00BE0821" w:rsidRPr="00C15C33" w:rsidRDefault="00BE0821" w:rsidP="00EC21FB">
            <w:pPr>
              <w:rPr>
                <w:sz w:val="18"/>
                <w:szCs w:val="18"/>
              </w:rPr>
            </w:pPr>
          </w:p>
        </w:tc>
        <w:tc>
          <w:tcPr>
            <w:tcW w:w="1260" w:type="dxa"/>
          </w:tcPr>
          <w:p w14:paraId="2D2231D3" w14:textId="6C3DDABE" w:rsidR="00BE0821" w:rsidRPr="00C15C33" w:rsidRDefault="00BE0821" w:rsidP="00EC21FB">
            <w:pPr>
              <w:rPr>
                <w:color w:val="000000"/>
                <w:sz w:val="18"/>
                <w:szCs w:val="18"/>
              </w:rPr>
            </w:pPr>
            <w:r w:rsidRPr="00C15C33">
              <w:rPr>
                <w:color w:val="000000"/>
                <w:sz w:val="18"/>
                <w:szCs w:val="18"/>
              </w:rPr>
              <w:t>konz.us</w:t>
            </w:r>
          </w:p>
        </w:tc>
        <w:tc>
          <w:tcPr>
            <w:tcW w:w="900" w:type="dxa"/>
            <w:vAlign w:val="bottom"/>
          </w:tcPr>
          <w:p w14:paraId="13DE4725" w14:textId="68E40496" w:rsidR="00BE0821" w:rsidRPr="00C15C33" w:rsidRDefault="00BE0821" w:rsidP="00EC21FB">
            <w:pPr>
              <w:jc w:val="right"/>
              <w:rPr>
                <w:color w:val="000000"/>
                <w:sz w:val="18"/>
                <w:szCs w:val="18"/>
              </w:rPr>
            </w:pPr>
            <w:r w:rsidRPr="00C15C33">
              <w:rPr>
                <w:color w:val="000000"/>
                <w:sz w:val="18"/>
                <w:szCs w:val="18"/>
              </w:rPr>
              <w:t>39.07</w:t>
            </w:r>
          </w:p>
        </w:tc>
        <w:tc>
          <w:tcPr>
            <w:tcW w:w="1080" w:type="dxa"/>
            <w:vAlign w:val="bottom"/>
          </w:tcPr>
          <w:p w14:paraId="515C0199" w14:textId="0E90E4CF" w:rsidR="00BE0821" w:rsidRPr="00C15C33" w:rsidRDefault="00BE0821" w:rsidP="00EC21FB">
            <w:pPr>
              <w:jc w:val="right"/>
              <w:rPr>
                <w:color w:val="000000"/>
                <w:sz w:val="18"/>
                <w:szCs w:val="18"/>
              </w:rPr>
            </w:pPr>
            <w:r w:rsidRPr="00C15C33">
              <w:rPr>
                <w:color w:val="000000"/>
                <w:sz w:val="18"/>
                <w:szCs w:val="18"/>
              </w:rPr>
              <w:t>-96.58</w:t>
            </w:r>
          </w:p>
        </w:tc>
        <w:tc>
          <w:tcPr>
            <w:tcW w:w="990" w:type="dxa"/>
          </w:tcPr>
          <w:p w14:paraId="4BA738FC" w14:textId="046F9801" w:rsidR="00BE0821" w:rsidRPr="00C15C33" w:rsidRDefault="00581754" w:rsidP="00EC21FB">
            <w:pPr>
              <w:jc w:val="right"/>
              <w:rPr>
                <w:color w:val="000000"/>
                <w:sz w:val="18"/>
                <w:szCs w:val="18"/>
              </w:rPr>
            </w:pPr>
            <w:r>
              <w:rPr>
                <w:color w:val="000000"/>
                <w:sz w:val="18"/>
                <w:szCs w:val="18"/>
              </w:rPr>
              <w:t>421</w:t>
            </w:r>
          </w:p>
        </w:tc>
        <w:tc>
          <w:tcPr>
            <w:tcW w:w="630" w:type="dxa"/>
            <w:vAlign w:val="center"/>
          </w:tcPr>
          <w:p w14:paraId="51B63C66" w14:textId="6AAEC24A" w:rsidR="00BE0821" w:rsidRPr="00C15C33" w:rsidRDefault="00581754" w:rsidP="00EC21FB">
            <w:pPr>
              <w:jc w:val="right"/>
              <w:rPr>
                <w:color w:val="000000"/>
                <w:sz w:val="18"/>
                <w:szCs w:val="18"/>
              </w:rPr>
            </w:pPr>
            <w:r>
              <w:rPr>
                <w:color w:val="000000"/>
                <w:sz w:val="18"/>
                <w:szCs w:val="18"/>
              </w:rPr>
              <w:t>15.0</w:t>
            </w:r>
          </w:p>
        </w:tc>
        <w:tc>
          <w:tcPr>
            <w:tcW w:w="630" w:type="dxa"/>
            <w:vAlign w:val="center"/>
          </w:tcPr>
          <w:p w14:paraId="5737EB85" w14:textId="777301E5" w:rsidR="00BE0821" w:rsidRPr="00C15C33" w:rsidRDefault="00581754" w:rsidP="00EC21FB">
            <w:pPr>
              <w:jc w:val="right"/>
              <w:rPr>
                <w:color w:val="000000"/>
                <w:sz w:val="18"/>
                <w:szCs w:val="18"/>
              </w:rPr>
            </w:pPr>
            <w:r>
              <w:rPr>
                <w:color w:val="000000"/>
                <w:sz w:val="18"/>
                <w:szCs w:val="18"/>
              </w:rPr>
              <w:t>0.58</w:t>
            </w:r>
          </w:p>
        </w:tc>
        <w:tc>
          <w:tcPr>
            <w:tcW w:w="630" w:type="dxa"/>
          </w:tcPr>
          <w:p w14:paraId="17533EB0" w14:textId="5B389994" w:rsidR="00BE0821" w:rsidRPr="00C15C33" w:rsidRDefault="00581754" w:rsidP="00EC21FB">
            <w:pPr>
              <w:jc w:val="right"/>
              <w:rPr>
                <w:color w:val="000000"/>
                <w:sz w:val="18"/>
                <w:szCs w:val="18"/>
              </w:rPr>
            </w:pPr>
            <w:r>
              <w:rPr>
                <w:color w:val="000000"/>
                <w:sz w:val="18"/>
                <w:szCs w:val="18"/>
              </w:rPr>
              <w:t>817</w:t>
            </w:r>
          </w:p>
        </w:tc>
        <w:tc>
          <w:tcPr>
            <w:tcW w:w="1080" w:type="dxa"/>
            <w:vAlign w:val="bottom"/>
          </w:tcPr>
          <w:p w14:paraId="6F989298" w14:textId="0D6FE9D4"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4B3CB4F3" w14:textId="196A25A9"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72F69F1F" w14:textId="18338E5A"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7A436816" w14:textId="0CE8D0E4"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0C91E61F" w14:textId="77777777" w:rsidTr="00BE0821">
        <w:tc>
          <w:tcPr>
            <w:tcW w:w="2245" w:type="dxa"/>
            <w:vMerge/>
          </w:tcPr>
          <w:p w14:paraId="354A5BEE" w14:textId="77777777" w:rsidR="00BE0821" w:rsidRPr="00C15C33" w:rsidRDefault="00BE0821" w:rsidP="00EC21FB">
            <w:pPr>
              <w:rPr>
                <w:sz w:val="18"/>
                <w:szCs w:val="18"/>
              </w:rPr>
            </w:pPr>
          </w:p>
        </w:tc>
        <w:tc>
          <w:tcPr>
            <w:tcW w:w="1260" w:type="dxa"/>
          </w:tcPr>
          <w:p w14:paraId="00B58CC9" w14:textId="1BFDAB61" w:rsidR="00BE0821" w:rsidRPr="00C15C33" w:rsidRDefault="00BE0821" w:rsidP="00EC21FB">
            <w:pPr>
              <w:rPr>
                <w:color w:val="000000"/>
                <w:sz w:val="18"/>
                <w:szCs w:val="18"/>
              </w:rPr>
            </w:pPr>
            <w:r w:rsidRPr="00C15C33">
              <w:rPr>
                <w:color w:val="000000"/>
                <w:sz w:val="18"/>
                <w:szCs w:val="18"/>
              </w:rPr>
              <w:t>lancaster.uk</w:t>
            </w:r>
          </w:p>
        </w:tc>
        <w:tc>
          <w:tcPr>
            <w:tcW w:w="900" w:type="dxa"/>
            <w:vAlign w:val="bottom"/>
          </w:tcPr>
          <w:p w14:paraId="4FE6ADE5" w14:textId="67A68568" w:rsidR="00BE0821" w:rsidRPr="00C15C33" w:rsidRDefault="00BE0821" w:rsidP="00EC21FB">
            <w:pPr>
              <w:jc w:val="right"/>
              <w:rPr>
                <w:color w:val="000000"/>
                <w:sz w:val="18"/>
                <w:szCs w:val="18"/>
              </w:rPr>
            </w:pPr>
            <w:r w:rsidRPr="00C15C33">
              <w:rPr>
                <w:color w:val="000000"/>
                <w:sz w:val="18"/>
                <w:szCs w:val="18"/>
              </w:rPr>
              <w:t>53.99</w:t>
            </w:r>
          </w:p>
        </w:tc>
        <w:tc>
          <w:tcPr>
            <w:tcW w:w="1080" w:type="dxa"/>
            <w:vAlign w:val="bottom"/>
          </w:tcPr>
          <w:p w14:paraId="5FAA10D8" w14:textId="7A58C710" w:rsidR="00BE0821" w:rsidRPr="00C15C33" w:rsidRDefault="00BE0821" w:rsidP="00EC21FB">
            <w:pPr>
              <w:jc w:val="right"/>
              <w:rPr>
                <w:color w:val="000000"/>
                <w:sz w:val="18"/>
                <w:szCs w:val="18"/>
              </w:rPr>
            </w:pPr>
            <w:r w:rsidRPr="00C15C33">
              <w:rPr>
                <w:color w:val="000000"/>
                <w:sz w:val="18"/>
                <w:szCs w:val="18"/>
              </w:rPr>
              <w:t>-2.63</w:t>
            </w:r>
          </w:p>
        </w:tc>
        <w:tc>
          <w:tcPr>
            <w:tcW w:w="990" w:type="dxa"/>
          </w:tcPr>
          <w:p w14:paraId="245852A7" w14:textId="0A3B7D34" w:rsidR="00BE0821" w:rsidRPr="00C15C33" w:rsidRDefault="00581754" w:rsidP="00EC21FB">
            <w:pPr>
              <w:jc w:val="right"/>
              <w:rPr>
                <w:color w:val="000000"/>
                <w:sz w:val="18"/>
                <w:szCs w:val="18"/>
              </w:rPr>
            </w:pPr>
            <w:r>
              <w:rPr>
                <w:color w:val="000000"/>
                <w:sz w:val="18"/>
                <w:szCs w:val="18"/>
              </w:rPr>
              <w:t>219</w:t>
            </w:r>
          </w:p>
        </w:tc>
        <w:tc>
          <w:tcPr>
            <w:tcW w:w="630" w:type="dxa"/>
            <w:vAlign w:val="center"/>
          </w:tcPr>
          <w:p w14:paraId="1A550DEE" w14:textId="6E8B38C1" w:rsidR="00BE0821" w:rsidRPr="00C15C33" w:rsidRDefault="00581754" w:rsidP="00EC21FB">
            <w:pPr>
              <w:jc w:val="right"/>
              <w:rPr>
                <w:color w:val="000000"/>
                <w:sz w:val="18"/>
                <w:szCs w:val="18"/>
              </w:rPr>
            </w:pPr>
            <w:r>
              <w:rPr>
                <w:color w:val="000000"/>
                <w:sz w:val="18"/>
                <w:szCs w:val="18"/>
              </w:rPr>
              <w:t>8.0</w:t>
            </w:r>
          </w:p>
        </w:tc>
        <w:tc>
          <w:tcPr>
            <w:tcW w:w="630" w:type="dxa"/>
            <w:vAlign w:val="center"/>
          </w:tcPr>
          <w:p w14:paraId="4C0426AC" w14:textId="53C12304" w:rsidR="00BE0821" w:rsidRPr="00C15C33" w:rsidRDefault="00581754" w:rsidP="00EC21FB">
            <w:pPr>
              <w:jc w:val="right"/>
              <w:rPr>
                <w:color w:val="000000"/>
                <w:sz w:val="18"/>
                <w:szCs w:val="18"/>
              </w:rPr>
            </w:pPr>
            <w:r>
              <w:rPr>
                <w:color w:val="000000"/>
                <w:sz w:val="18"/>
                <w:szCs w:val="18"/>
              </w:rPr>
              <w:t>3.37</w:t>
            </w:r>
          </w:p>
        </w:tc>
        <w:tc>
          <w:tcPr>
            <w:tcW w:w="630" w:type="dxa"/>
          </w:tcPr>
          <w:p w14:paraId="564C6BB3" w14:textId="54BB564A" w:rsidR="00BE0821" w:rsidRPr="00C15C33" w:rsidRDefault="00581754" w:rsidP="00EC21FB">
            <w:pPr>
              <w:jc w:val="right"/>
              <w:rPr>
                <w:color w:val="000000"/>
                <w:sz w:val="18"/>
                <w:szCs w:val="18"/>
              </w:rPr>
            </w:pPr>
            <w:r>
              <w:rPr>
                <w:color w:val="000000"/>
                <w:sz w:val="18"/>
                <w:szCs w:val="18"/>
              </w:rPr>
              <w:t>443</w:t>
            </w:r>
          </w:p>
        </w:tc>
        <w:tc>
          <w:tcPr>
            <w:tcW w:w="1080" w:type="dxa"/>
            <w:vAlign w:val="bottom"/>
          </w:tcPr>
          <w:p w14:paraId="4CCC9C5A" w14:textId="52E88BDA"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6096F8DE" w14:textId="3E4A1F29"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1AD64421" w14:textId="3C9A3020"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2900538C" w14:textId="0235195D"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18C99D0A" w14:textId="77777777" w:rsidTr="00BE0821">
        <w:tc>
          <w:tcPr>
            <w:tcW w:w="2245" w:type="dxa"/>
            <w:vMerge/>
          </w:tcPr>
          <w:p w14:paraId="5435F8F2" w14:textId="77777777" w:rsidR="00BE0821" w:rsidRPr="00C15C33" w:rsidRDefault="00BE0821" w:rsidP="00EC21FB">
            <w:pPr>
              <w:rPr>
                <w:sz w:val="18"/>
                <w:szCs w:val="18"/>
              </w:rPr>
            </w:pPr>
          </w:p>
        </w:tc>
        <w:tc>
          <w:tcPr>
            <w:tcW w:w="1260" w:type="dxa"/>
          </w:tcPr>
          <w:p w14:paraId="359C32E8" w14:textId="6DA4618E" w:rsidR="00BE0821" w:rsidRPr="00C15C33" w:rsidRDefault="00BE0821" w:rsidP="00EC21FB">
            <w:pPr>
              <w:rPr>
                <w:color w:val="000000"/>
                <w:sz w:val="18"/>
                <w:szCs w:val="18"/>
              </w:rPr>
            </w:pPr>
            <w:r w:rsidRPr="00C15C33">
              <w:rPr>
                <w:color w:val="000000"/>
                <w:sz w:val="18"/>
                <w:szCs w:val="18"/>
              </w:rPr>
              <w:t>look.us</w:t>
            </w:r>
          </w:p>
        </w:tc>
        <w:tc>
          <w:tcPr>
            <w:tcW w:w="900" w:type="dxa"/>
            <w:vAlign w:val="bottom"/>
          </w:tcPr>
          <w:p w14:paraId="4459C3B3" w14:textId="3AD99A50" w:rsidR="00BE0821" w:rsidRPr="00C15C33" w:rsidRDefault="00BE0821" w:rsidP="00EC21FB">
            <w:pPr>
              <w:jc w:val="right"/>
              <w:rPr>
                <w:color w:val="000000"/>
                <w:sz w:val="18"/>
                <w:szCs w:val="18"/>
              </w:rPr>
            </w:pPr>
            <w:r w:rsidRPr="00C15C33">
              <w:rPr>
                <w:color w:val="000000"/>
                <w:sz w:val="18"/>
                <w:szCs w:val="18"/>
              </w:rPr>
              <w:t>44.21</w:t>
            </w:r>
          </w:p>
        </w:tc>
        <w:tc>
          <w:tcPr>
            <w:tcW w:w="1080" w:type="dxa"/>
            <w:vAlign w:val="bottom"/>
          </w:tcPr>
          <w:p w14:paraId="42B58690" w14:textId="4901BF4F" w:rsidR="00BE0821" w:rsidRPr="00C15C33" w:rsidRDefault="00BE0821" w:rsidP="00EC21FB">
            <w:pPr>
              <w:jc w:val="right"/>
              <w:rPr>
                <w:color w:val="000000"/>
                <w:sz w:val="18"/>
                <w:szCs w:val="18"/>
              </w:rPr>
            </w:pPr>
            <w:r w:rsidRPr="00C15C33">
              <w:rPr>
                <w:color w:val="000000"/>
                <w:sz w:val="18"/>
                <w:szCs w:val="18"/>
              </w:rPr>
              <w:t>-122.13</w:t>
            </w:r>
          </w:p>
        </w:tc>
        <w:tc>
          <w:tcPr>
            <w:tcW w:w="990" w:type="dxa"/>
          </w:tcPr>
          <w:p w14:paraId="0172A102" w14:textId="25499769" w:rsidR="00BE0821" w:rsidRPr="00C15C33" w:rsidRDefault="00581754" w:rsidP="00EC21FB">
            <w:pPr>
              <w:jc w:val="right"/>
              <w:rPr>
                <w:color w:val="000000"/>
                <w:sz w:val="18"/>
                <w:szCs w:val="18"/>
              </w:rPr>
            </w:pPr>
            <w:r>
              <w:rPr>
                <w:color w:val="000000"/>
                <w:sz w:val="18"/>
                <w:szCs w:val="18"/>
              </w:rPr>
              <w:t>1481</w:t>
            </w:r>
          </w:p>
        </w:tc>
        <w:tc>
          <w:tcPr>
            <w:tcW w:w="630" w:type="dxa"/>
            <w:vAlign w:val="center"/>
          </w:tcPr>
          <w:p w14:paraId="48F828AA" w14:textId="3794607B" w:rsidR="00BE0821" w:rsidRPr="00C15C33" w:rsidRDefault="00581754" w:rsidP="00EC21FB">
            <w:pPr>
              <w:jc w:val="right"/>
              <w:rPr>
                <w:color w:val="000000"/>
                <w:sz w:val="18"/>
                <w:szCs w:val="18"/>
              </w:rPr>
            </w:pPr>
            <w:r>
              <w:rPr>
                <w:color w:val="000000"/>
                <w:sz w:val="18"/>
                <w:szCs w:val="18"/>
              </w:rPr>
              <w:t>6.1</w:t>
            </w:r>
          </w:p>
        </w:tc>
        <w:tc>
          <w:tcPr>
            <w:tcW w:w="630" w:type="dxa"/>
            <w:vAlign w:val="center"/>
          </w:tcPr>
          <w:p w14:paraId="733CE03D" w14:textId="075D1F8C" w:rsidR="00BE0821" w:rsidRPr="00C15C33" w:rsidRDefault="00581754" w:rsidP="00EC21FB">
            <w:pPr>
              <w:jc w:val="right"/>
              <w:rPr>
                <w:color w:val="000000"/>
                <w:sz w:val="18"/>
                <w:szCs w:val="18"/>
              </w:rPr>
            </w:pPr>
            <w:r>
              <w:rPr>
                <w:color w:val="000000"/>
                <w:sz w:val="18"/>
                <w:szCs w:val="18"/>
              </w:rPr>
              <w:t>2.72</w:t>
            </w:r>
          </w:p>
        </w:tc>
        <w:tc>
          <w:tcPr>
            <w:tcW w:w="630" w:type="dxa"/>
          </w:tcPr>
          <w:p w14:paraId="0173863D" w14:textId="28F26470" w:rsidR="00BE0821" w:rsidRPr="00C15C33" w:rsidRDefault="00581754" w:rsidP="00EC21FB">
            <w:pPr>
              <w:jc w:val="right"/>
              <w:rPr>
                <w:color w:val="000000"/>
                <w:sz w:val="18"/>
                <w:szCs w:val="18"/>
              </w:rPr>
            </w:pPr>
            <w:r>
              <w:rPr>
                <w:color w:val="000000"/>
                <w:sz w:val="18"/>
                <w:szCs w:val="18"/>
              </w:rPr>
              <w:t>673</w:t>
            </w:r>
          </w:p>
        </w:tc>
        <w:tc>
          <w:tcPr>
            <w:tcW w:w="1080" w:type="dxa"/>
            <w:vAlign w:val="bottom"/>
          </w:tcPr>
          <w:p w14:paraId="47F19239" w14:textId="4A1AC12D"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19837A2A" w14:textId="7F71C49F"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63F259F3" w14:textId="4A910079"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63719E0F" w14:textId="37CBED69"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639988E6" w14:textId="77777777" w:rsidTr="00BE0821">
        <w:tc>
          <w:tcPr>
            <w:tcW w:w="2245" w:type="dxa"/>
            <w:vMerge/>
          </w:tcPr>
          <w:p w14:paraId="099A3837" w14:textId="77777777" w:rsidR="00BE0821" w:rsidRPr="00C15C33" w:rsidRDefault="00BE0821" w:rsidP="00EC21FB">
            <w:pPr>
              <w:rPr>
                <w:sz w:val="18"/>
                <w:szCs w:val="18"/>
              </w:rPr>
            </w:pPr>
          </w:p>
        </w:tc>
        <w:tc>
          <w:tcPr>
            <w:tcW w:w="1260" w:type="dxa"/>
          </w:tcPr>
          <w:p w14:paraId="7C6B5691" w14:textId="563F8310" w:rsidR="00BE0821" w:rsidRPr="00C15C33" w:rsidRDefault="00BE0821" w:rsidP="00EC21FB">
            <w:pPr>
              <w:rPr>
                <w:color w:val="000000"/>
                <w:sz w:val="18"/>
                <w:szCs w:val="18"/>
              </w:rPr>
            </w:pPr>
            <w:r w:rsidRPr="00C15C33">
              <w:rPr>
                <w:color w:val="000000"/>
                <w:sz w:val="18"/>
                <w:szCs w:val="18"/>
              </w:rPr>
              <w:t>mcla.us</w:t>
            </w:r>
          </w:p>
        </w:tc>
        <w:tc>
          <w:tcPr>
            <w:tcW w:w="900" w:type="dxa"/>
            <w:vAlign w:val="bottom"/>
          </w:tcPr>
          <w:p w14:paraId="3CE4E88B" w14:textId="63152824" w:rsidR="00BE0821" w:rsidRPr="00C15C33" w:rsidRDefault="00BE0821" w:rsidP="00EC21FB">
            <w:pPr>
              <w:jc w:val="right"/>
              <w:rPr>
                <w:color w:val="000000"/>
                <w:sz w:val="18"/>
                <w:szCs w:val="18"/>
              </w:rPr>
            </w:pPr>
            <w:r w:rsidRPr="00C15C33">
              <w:rPr>
                <w:color w:val="000000"/>
                <w:sz w:val="18"/>
                <w:szCs w:val="18"/>
              </w:rPr>
              <w:t>38.86</w:t>
            </w:r>
          </w:p>
        </w:tc>
        <w:tc>
          <w:tcPr>
            <w:tcW w:w="1080" w:type="dxa"/>
            <w:vAlign w:val="bottom"/>
          </w:tcPr>
          <w:p w14:paraId="34B9FDAE" w14:textId="3DB1E33E" w:rsidR="00BE0821" w:rsidRPr="00C15C33" w:rsidRDefault="00BE0821" w:rsidP="00EC21FB">
            <w:pPr>
              <w:jc w:val="right"/>
              <w:rPr>
                <w:color w:val="000000"/>
                <w:sz w:val="18"/>
                <w:szCs w:val="18"/>
              </w:rPr>
            </w:pPr>
            <w:r w:rsidRPr="00C15C33">
              <w:rPr>
                <w:color w:val="000000"/>
                <w:sz w:val="18"/>
                <w:szCs w:val="18"/>
              </w:rPr>
              <w:t>-122.41</w:t>
            </w:r>
          </w:p>
        </w:tc>
        <w:tc>
          <w:tcPr>
            <w:tcW w:w="990" w:type="dxa"/>
          </w:tcPr>
          <w:p w14:paraId="3FD343C1" w14:textId="6C306C0C" w:rsidR="00BE0821" w:rsidRPr="00C15C33" w:rsidRDefault="00581754" w:rsidP="00EC21FB">
            <w:pPr>
              <w:jc w:val="right"/>
              <w:rPr>
                <w:color w:val="000000"/>
                <w:sz w:val="18"/>
                <w:szCs w:val="18"/>
              </w:rPr>
            </w:pPr>
            <w:r>
              <w:rPr>
                <w:color w:val="000000"/>
                <w:sz w:val="18"/>
                <w:szCs w:val="18"/>
              </w:rPr>
              <w:t>647</w:t>
            </w:r>
          </w:p>
        </w:tc>
        <w:tc>
          <w:tcPr>
            <w:tcW w:w="630" w:type="dxa"/>
            <w:vAlign w:val="center"/>
          </w:tcPr>
          <w:p w14:paraId="5E45C63D" w14:textId="13D2CEE0" w:rsidR="00BE0821" w:rsidRPr="00C15C33" w:rsidRDefault="00581754" w:rsidP="00EC21FB">
            <w:pPr>
              <w:jc w:val="right"/>
              <w:rPr>
                <w:color w:val="000000"/>
                <w:sz w:val="18"/>
                <w:szCs w:val="18"/>
              </w:rPr>
            </w:pPr>
            <w:r>
              <w:rPr>
                <w:color w:val="000000"/>
                <w:sz w:val="18"/>
                <w:szCs w:val="18"/>
              </w:rPr>
              <w:t>14.0</w:t>
            </w:r>
          </w:p>
        </w:tc>
        <w:tc>
          <w:tcPr>
            <w:tcW w:w="630" w:type="dxa"/>
            <w:vAlign w:val="center"/>
          </w:tcPr>
          <w:p w14:paraId="35D2FDAF" w14:textId="3FEA9937" w:rsidR="00BE0821" w:rsidRPr="00C15C33" w:rsidRDefault="00581754" w:rsidP="00EC21FB">
            <w:pPr>
              <w:jc w:val="right"/>
              <w:rPr>
                <w:color w:val="000000"/>
                <w:sz w:val="18"/>
                <w:szCs w:val="18"/>
              </w:rPr>
            </w:pPr>
            <w:r>
              <w:rPr>
                <w:color w:val="000000"/>
                <w:sz w:val="18"/>
                <w:szCs w:val="18"/>
              </w:rPr>
              <w:t>1.15</w:t>
            </w:r>
          </w:p>
        </w:tc>
        <w:tc>
          <w:tcPr>
            <w:tcW w:w="630" w:type="dxa"/>
          </w:tcPr>
          <w:p w14:paraId="7A5AEF26" w14:textId="45CF1B98" w:rsidR="00BE0821" w:rsidRPr="00C15C33" w:rsidRDefault="00581754" w:rsidP="00EC21FB">
            <w:pPr>
              <w:jc w:val="right"/>
              <w:rPr>
                <w:color w:val="000000"/>
                <w:sz w:val="18"/>
                <w:szCs w:val="18"/>
              </w:rPr>
            </w:pPr>
            <w:r>
              <w:rPr>
                <w:color w:val="000000"/>
                <w:sz w:val="18"/>
                <w:szCs w:val="18"/>
              </w:rPr>
              <w:t>803</w:t>
            </w:r>
          </w:p>
        </w:tc>
        <w:tc>
          <w:tcPr>
            <w:tcW w:w="1080" w:type="dxa"/>
            <w:vAlign w:val="bottom"/>
          </w:tcPr>
          <w:p w14:paraId="0D957713" w14:textId="255FAB9D"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3A05C787" w14:textId="62477109"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0AC465A8" w14:textId="69C85FA7"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2B7C88D1" w14:textId="470A6D66"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76063FCA" w14:textId="77777777" w:rsidTr="00BE0821">
        <w:tc>
          <w:tcPr>
            <w:tcW w:w="2245" w:type="dxa"/>
            <w:vMerge/>
          </w:tcPr>
          <w:p w14:paraId="1425CAA1" w14:textId="77777777" w:rsidR="00BE0821" w:rsidRPr="00C15C33" w:rsidRDefault="00BE0821" w:rsidP="00EC21FB">
            <w:pPr>
              <w:rPr>
                <w:sz w:val="18"/>
                <w:szCs w:val="18"/>
              </w:rPr>
            </w:pPr>
          </w:p>
        </w:tc>
        <w:tc>
          <w:tcPr>
            <w:tcW w:w="1260" w:type="dxa"/>
          </w:tcPr>
          <w:p w14:paraId="08DB4B9F" w14:textId="5D93EE07" w:rsidR="00BE0821" w:rsidRPr="00C15C33" w:rsidRDefault="00BE0821" w:rsidP="00EC21FB">
            <w:pPr>
              <w:rPr>
                <w:color w:val="000000"/>
                <w:sz w:val="18"/>
                <w:szCs w:val="18"/>
              </w:rPr>
            </w:pPr>
            <w:r w:rsidRPr="00C15C33">
              <w:rPr>
                <w:color w:val="000000"/>
                <w:sz w:val="18"/>
                <w:szCs w:val="18"/>
              </w:rPr>
              <w:t>mtca.au</w:t>
            </w:r>
          </w:p>
        </w:tc>
        <w:tc>
          <w:tcPr>
            <w:tcW w:w="900" w:type="dxa"/>
            <w:vAlign w:val="bottom"/>
          </w:tcPr>
          <w:p w14:paraId="5FF0D107" w14:textId="6C678628" w:rsidR="00BE0821" w:rsidRPr="00C15C33" w:rsidRDefault="00BE0821" w:rsidP="00EC21FB">
            <w:pPr>
              <w:jc w:val="right"/>
              <w:rPr>
                <w:color w:val="000000"/>
                <w:sz w:val="18"/>
                <w:szCs w:val="18"/>
              </w:rPr>
            </w:pPr>
            <w:r w:rsidRPr="00C15C33">
              <w:rPr>
                <w:color w:val="000000"/>
                <w:sz w:val="18"/>
                <w:szCs w:val="18"/>
              </w:rPr>
              <w:t>-31.78</w:t>
            </w:r>
          </w:p>
        </w:tc>
        <w:tc>
          <w:tcPr>
            <w:tcW w:w="1080" w:type="dxa"/>
            <w:vAlign w:val="bottom"/>
          </w:tcPr>
          <w:p w14:paraId="348FD136" w14:textId="5A92950E" w:rsidR="00BE0821" w:rsidRPr="00C15C33" w:rsidRDefault="00BE0821" w:rsidP="00EC21FB">
            <w:pPr>
              <w:jc w:val="right"/>
              <w:rPr>
                <w:color w:val="000000"/>
                <w:sz w:val="18"/>
                <w:szCs w:val="18"/>
              </w:rPr>
            </w:pPr>
            <w:r w:rsidRPr="00C15C33">
              <w:rPr>
                <w:color w:val="000000"/>
                <w:sz w:val="18"/>
                <w:szCs w:val="18"/>
              </w:rPr>
              <w:t>117.61</w:t>
            </w:r>
          </w:p>
        </w:tc>
        <w:tc>
          <w:tcPr>
            <w:tcW w:w="990" w:type="dxa"/>
          </w:tcPr>
          <w:p w14:paraId="3DB4ECA4" w14:textId="204131D1" w:rsidR="00BE0821" w:rsidRPr="00C15C33" w:rsidRDefault="00581754" w:rsidP="00EC21FB">
            <w:pPr>
              <w:jc w:val="right"/>
              <w:rPr>
                <w:color w:val="000000"/>
                <w:sz w:val="18"/>
                <w:szCs w:val="18"/>
              </w:rPr>
            </w:pPr>
            <w:r>
              <w:rPr>
                <w:color w:val="000000"/>
                <w:sz w:val="18"/>
                <w:szCs w:val="18"/>
              </w:rPr>
              <w:t>297</w:t>
            </w:r>
          </w:p>
        </w:tc>
        <w:tc>
          <w:tcPr>
            <w:tcW w:w="630" w:type="dxa"/>
            <w:vAlign w:val="center"/>
          </w:tcPr>
          <w:p w14:paraId="0C59CC07" w14:textId="485D55F4" w:rsidR="00BE0821" w:rsidRPr="00C15C33" w:rsidRDefault="00581754" w:rsidP="00EC21FB">
            <w:pPr>
              <w:jc w:val="right"/>
              <w:rPr>
                <w:color w:val="000000"/>
                <w:sz w:val="18"/>
                <w:szCs w:val="18"/>
              </w:rPr>
            </w:pPr>
            <w:r>
              <w:rPr>
                <w:color w:val="000000"/>
                <w:sz w:val="18"/>
                <w:szCs w:val="18"/>
              </w:rPr>
              <w:t>17.7</w:t>
            </w:r>
          </w:p>
        </w:tc>
        <w:tc>
          <w:tcPr>
            <w:tcW w:w="630" w:type="dxa"/>
            <w:vAlign w:val="center"/>
          </w:tcPr>
          <w:p w14:paraId="6BF4DFFD" w14:textId="428BE0CB" w:rsidR="00BE0821" w:rsidRPr="00C15C33" w:rsidRDefault="00581754" w:rsidP="00EC21FB">
            <w:pPr>
              <w:jc w:val="right"/>
              <w:rPr>
                <w:color w:val="000000"/>
                <w:sz w:val="18"/>
                <w:szCs w:val="18"/>
              </w:rPr>
            </w:pPr>
            <w:r>
              <w:rPr>
                <w:color w:val="000000"/>
                <w:sz w:val="18"/>
                <w:szCs w:val="18"/>
              </w:rPr>
              <w:t>0.24</w:t>
            </w:r>
          </w:p>
        </w:tc>
        <w:tc>
          <w:tcPr>
            <w:tcW w:w="630" w:type="dxa"/>
          </w:tcPr>
          <w:p w14:paraId="2C41D6A3" w14:textId="5EC1D5C3" w:rsidR="00BE0821" w:rsidRPr="00C15C33" w:rsidRDefault="00581754" w:rsidP="00EC21FB">
            <w:pPr>
              <w:jc w:val="right"/>
              <w:rPr>
                <w:color w:val="000000"/>
                <w:sz w:val="18"/>
                <w:szCs w:val="18"/>
              </w:rPr>
            </w:pPr>
            <w:r>
              <w:rPr>
                <w:color w:val="000000"/>
                <w:sz w:val="18"/>
                <w:szCs w:val="18"/>
              </w:rPr>
              <w:t>957</w:t>
            </w:r>
          </w:p>
        </w:tc>
        <w:tc>
          <w:tcPr>
            <w:tcW w:w="1080" w:type="dxa"/>
            <w:vAlign w:val="bottom"/>
          </w:tcPr>
          <w:p w14:paraId="74D3EA14" w14:textId="7613B2D3"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00C7EA52" w14:textId="6CC04182"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1074F23B" w14:textId="269E17FB"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717D7BE0" w14:textId="1A0AC67C"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4B714926" w14:textId="77777777" w:rsidTr="00BE0821">
        <w:tc>
          <w:tcPr>
            <w:tcW w:w="2245" w:type="dxa"/>
            <w:vMerge/>
          </w:tcPr>
          <w:p w14:paraId="68CA10C1" w14:textId="77777777" w:rsidR="00BE0821" w:rsidRPr="00C15C33" w:rsidRDefault="00BE0821" w:rsidP="00EC21FB">
            <w:pPr>
              <w:rPr>
                <w:sz w:val="18"/>
                <w:szCs w:val="18"/>
              </w:rPr>
            </w:pPr>
          </w:p>
        </w:tc>
        <w:tc>
          <w:tcPr>
            <w:tcW w:w="1260" w:type="dxa"/>
          </w:tcPr>
          <w:p w14:paraId="2AF1BD5E" w14:textId="0F1F6DFE" w:rsidR="00BE0821" w:rsidRPr="00C15C33" w:rsidRDefault="00BE0821" w:rsidP="00EC21FB">
            <w:pPr>
              <w:rPr>
                <w:color w:val="000000"/>
                <w:sz w:val="18"/>
                <w:szCs w:val="18"/>
              </w:rPr>
            </w:pPr>
            <w:r w:rsidRPr="00C15C33">
              <w:rPr>
                <w:color w:val="000000"/>
                <w:sz w:val="18"/>
                <w:szCs w:val="18"/>
              </w:rPr>
              <w:t>saline.us</w:t>
            </w:r>
          </w:p>
        </w:tc>
        <w:tc>
          <w:tcPr>
            <w:tcW w:w="900" w:type="dxa"/>
            <w:vAlign w:val="bottom"/>
          </w:tcPr>
          <w:p w14:paraId="16FA7F4A" w14:textId="446D22E9" w:rsidR="00BE0821" w:rsidRPr="00C15C33" w:rsidRDefault="00BE0821" w:rsidP="00EC21FB">
            <w:pPr>
              <w:jc w:val="right"/>
              <w:rPr>
                <w:color w:val="000000"/>
                <w:sz w:val="18"/>
                <w:szCs w:val="18"/>
              </w:rPr>
            </w:pPr>
            <w:r w:rsidRPr="00C15C33">
              <w:rPr>
                <w:color w:val="000000"/>
                <w:sz w:val="18"/>
                <w:szCs w:val="18"/>
              </w:rPr>
              <w:t>39.05</w:t>
            </w:r>
          </w:p>
        </w:tc>
        <w:tc>
          <w:tcPr>
            <w:tcW w:w="1080" w:type="dxa"/>
            <w:vAlign w:val="bottom"/>
          </w:tcPr>
          <w:p w14:paraId="22F1FFF1" w14:textId="29E122E8" w:rsidR="00BE0821" w:rsidRPr="00C15C33" w:rsidRDefault="00BE0821" w:rsidP="00EC21FB">
            <w:pPr>
              <w:jc w:val="right"/>
              <w:rPr>
                <w:color w:val="000000"/>
                <w:sz w:val="18"/>
                <w:szCs w:val="18"/>
              </w:rPr>
            </w:pPr>
            <w:r w:rsidRPr="00C15C33">
              <w:rPr>
                <w:color w:val="000000"/>
                <w:sz w:val="18"/>
                <w:szCs w:val="18"/>
              </w:rPr>
              <w:t>-99.10</w:t>
            </w:r>
          </w:p>
        </w:tc>
        <w:tc>
          <w:tcPr>
            <w:tcW w:w="990" w:type="dxa"/>
          </w:tcPr>
          <w:p w14:paraId="1EE202E8" w14:textId="1DDD99FE" w:rsidR="00BE0821" w:rsidRPr="00C15C33" w:rsidRDefault="00581754" w:rsidP="00EC21FB">
            <w:pPr>
              <w:jc w:val="right"/>
              <w:rPr>
                <w:color w:val="000000"/>
                <w:sz w:val="18"/>
                <w:szCs w:val="18"/>
              </w:rPr>
            </w:pPr>
            <w:r>
              <w:rPr>
                <w:color w:val="000000"/>
                <w:sz w:val="18"/>
                <w:szCs w:val="18"/>
              </w:rPr>
              <w:t>566</w:t>
            </w:r>
          </w:p>
        </w:tc>
        <w:tc>
          <w:tcPr>
            <w:tcW w:w="630" w:type="dxa"/>
            <w:vAlign w:val="center"/>
          </w:tcPr>
          <w:p w14:paraId="38F49406" w14:textId="128BAF4C" w:rsidR="00BE0821" w:rsidRPr="00C15C33" w:rsidRDefault="00581754" w:rsidP="00EC21FB">
            <w:pPr>
              <w:jc w:val="right"/>
              <w:rPr>
                <w:color w:val="000000"/>
                <w:sz w:val="18"/>
                <w:szCs w:val="18"/>
              </w:rPr>
            </w:pPr>
            <w:r>
              <w:rPr>
                <w:color w:val="000000"/>
                <w:sz w:val="18"/>
                <w:szCs w:val="18"/>
              </w:rPr>
              <w:t>14.9</w:t>
            </w:r>
          </w:p>
        </w:tc>
        <w:tc>
          <w:tcPr>
            <w:tcW w:w="630" w:type="dxa"/>
            <w:vAlign w:val="center"/>
          </w:tcPr>
          <w:p w14:paraId="19DF6AFF" w14:textId="1507C703" w:rsidR="00BE0821" w:rsidRPr="00C15C33" w:rsidRDefault="00581754" w:rsidP="00EC21FB">
            <w:pPr>
              <w:jc w:val="right"/>
              <w:rPr>
                <w:color w:val="000000"/>
                <w:sz w:val="18"/>
                <w:szCs w:val="18"/>
              </w:rPr>
            </w:pPr>
            <w:r>
              <w:rPr>
                <w:color w:val="000000"/>
                <w:sz w:val="18"/>
                <w:szCs w:val="18"/>
              </w:rPr>
              <w:t>0.35</w:t>
            </w:r>
          </w:p>
        </w:tc>
        <w:tc>
          <w:tcPr>
            <w:tcW w:w="630" w:type="dxa"/>
          </w:tcPr>
          <w:p w14:paraId="2B1870AF" w14:textId="249A6FCC" w:rsidR="00BE0821" w:rsidRPr="00C15C33" w:rsidRDefault="00581754" w:rsidP="00EC21FB">
            <w:pPr>
              <w:jc w:val="right"/>
              <w:rPr>
                <w:color w:val="000000"/>
                <w:sz w:val="18"/>
                <w:szCs w:val="18"/>
              </w:rPr>
            </w:pPr>
            <w:r>
              <w:rPr>
                <w:color w:val="000000"/>
                <w:sz w:val="18"/>
                <w:szCs w:val="18"/>
              </w:rPr>
              <w:t>858</w:t>
            </w:r>
          </w:p>
        </w:tc>
        <w:tc>
          <w:tcPr>
            <w:tcW w:w="1080" w:type="dxa"/>
            <w:vAlign w:val="bottom"/>
          </w:tcPr>
          <w:p w14:paraId="63A7BE51" w14:textId="2A6D55C5"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353D13FA" w14:textId="3F802E6C"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03341C8A" w14:textId="3381C67E"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01378EE3" w14:textId="14A8A0C6"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63DCF7DF" w14:textId="77777777" w:rsidTr="00BE0821">
        <w:tc>
          <w:tcPr>
            <w:tcW w:w="2245" w:type="dxa"/>
            <w:vMerge/>
          </w:tcPr>
          <w:p w14:paraId="5410077F" w14:textId="77777777" w:rsidR="00BE0821" w:rsidRPr="00C15C33" w:rsidRDefault="00BE0821" w:rsidP="00EC21FB">
            <w:pPr>
              <w:rPr>
                <w:sz w:val="18"/>
                <w:szCs w:val="18"/>
              </w:rPr>
            </w:pPr>
          </w:p>
        </w:tc>
        <w:tc>
          <w:tcPr>
            <w:tcW w:w="1260" w:type="dxa"/>
          </w:tcPr>
          <w:p w14:paraId="05FC71ED" w14:textId="43CB6EE2" w:rsidR="00BE0821" w:rsidRPr="00C15C33" w:rsidRDefault="00BE0821" w:rsidP="00EC21FB">
            <w:pPr>
              <w:rPr>
                <w:color w:val="000000"/>
                <w:sz w:val="18"/>
                <w:szCs w:val="18"/>
              </w:rPr>
            </w:pPr>
            <w:r w:rsidRPr="00C15C33">
              <w:rPr>
                <w:color w:val="000000"/>
                <w:sz w:val="18"/>
                <w:szCs w:val="18"/>
              </w:rPr>
              <w:t>sgs.us</w:t>
            </w:r>
          </w:p>
        </w:tc>
        <w:tc>
          <w:tcPr>
            <w:tcW w:w="900" w:type="dxa"/>
            <w:vAlign w:val="bottom"/>
          </w:tcPr>
          <w:p w14:paraId="40AB3BF5" w14:textId="3D04E517" w:rsidR="00BE0821" w:rsidRPr="00C15C33" w:rsidRDefault="00BE0821" w:rsidP="00EC21FB">
            <w:pPr>
              <w:jc w:val="right"/>
              <w:rPr>
                <w:color w:val="000000"/>
                <w:sz w:val="18"/>
                <w:szCs w:val="18"/>
              </w:rPr>
            </w:pPr>
            <w:r w:rsidRPr="00C15C33">
              <w:rPr>
                <w:color w:val="000000"/>
                <w:sz w:val="18"/>
                <w:szCs w:val="18"/>
              </w:rPr>
              <w:t>40.82</w:t>
            </w:r>
          </w:p>
        </w:tc>
        <w:tc>
          <w:tcPr>
            <w:tcW w:w="1080" w:type="dxa"/>
            <w:vAlign w:val="bottom"/>
          </w:tcPr>
          <w:p w14:paraId="0427FBF3" w14:textId="7FD56FC7" w:rsidR="00BE0821" w:rsidRPr="00C15C33" w:rsidRDefault="00BE0821" w:rsidP="00EC21FB">
            <w:pPr>
              <w:jc w:val="right"/>
              <w:rPr>
                <w:color w:val="000000"/>
                <w:sz w:val="18"/>
                <w:szCs w:val="18"/>
              </w:rPr>
            </w:pPr>
            <w:r w:rsidRPr="00C15C33">
              <w:rPr>
                <w:color w:val="000000"/>
                <w:sz w:val="18"/>
                <w:szCs w:val="18"/>
              </w:rPr>
              <w:t>-104.77</w:t>
            </w:r>
          </w:p>
        </w:tc>
        <w:tc>
          <w:tcPr>
            <w:tcW w:w="990" w:type="dxa"/>
          </w:tcPr>
          <w:p w14:paraId="247D7D6C" w14:textId="4D18A2A9" w:rsidR="00BE0821" w:rsidRPr="00C15C33" w:rsidRDefault="00581754" w:rsidP="00EC21FB">
            <w:pPr>
              <w:jc w:val="right"/>
              <w:rPr>
                <w:color w:val="000000"/>
                <w:sz w:val="18"/>
                <w:szCs w:val="18"/>
              </w:rPr>
            </w:pPr>
            <w:r>
              <w:rPr>
                <w:color w:val="000000"/>
                <w:sz w:val="18"/>
                <w:szCs w:val="18"/>
              </w:rPr>
              <w:t>1654</w:t>
            </w:r>
          </w:p>
        </w:tc>
        <w:tc>
          <w:tcPr>
            <w:tcW w:w="630" w:type="dxa"/>
            <w:vAlign w:val="center"/>
          </w:tcPr>
          <w:p w14:paraId="0CF959DE" w14:textId="4E2B7E2B" w:rsidR="00BE0821" w:rsidRPr="00C15C33" w:rsidRDefault="00581754" w:rsidP="00EC21FB">
            <w:pPr>
              <w:jc w:val="right"/>
              <w:rPr>
                <w:color w:val="000000"/>
                <w:sz w:val="18"/>
                <w:szCs w:val="18"/>
              </w:rPr>
            </w:pPr>
            <w:r>
              <w:rPr>
                <w:color w:val="000000"/>
                <w:sz w:val="18"/>
                <w:szCs w:val="18"/>
              </w:rPr>
              <w:t>11.2</w:t>
            </w:r>
          </w:p>
        </w:tc>
        <w:tc>
          <w:tcPr>
            <w:tcW w:w="630" w:type="dxa"/>
            <w:vAlign w:val="center"/>
          </w:tcPr>
          <w:p w14:paraId="54F96327" w14:textId="7E911EBC" w:rsidR="00BE0821" w:rsidRPr="00C15C33" w:rsidRDefault="00581754" w:rsidP="00EC21FB">
            <w:pPr>
              <w:jc w:val="right"/>
              <w:rPr>
                <w:color w:val="000000"/>
                <w:sz w:val="18"/>
                <w:szCs w:val="18"/>
              </w:rPr>
            </w:pPr>
            <w:r>
              <w:rPr>
                <w:color w:val="000000"/>
                <w:sz w:val="18"/>
                <w:szCs w:val="18"/>
              </w:rPr>
              <w:t>0.22</w:t>
            </w:r>
          </w:p>
        </w:tc>
        <w:tc>
          <w:tcPr>
            <w:tcW w:w="630" w:type="dxa"/>
          </w:tcPr>
          <w:p w14:paraId="7E5DB046" w14:textId="74329D1E" w:rsidR="00BE0821" w:rsidRPr="00C15C33" w:rsidRDefault="00581754" w:rsidP="00EC21FB">
            <w:pPr>
              <w:jc w:val="right"/>
              <w:rPr>
                <w:color w:val="000000"/>
                <w:sz w:val="18"/>
                <w:szCs w:val="18"/>
              </w:rPr>
            </w:pPr>
            <w:r>
              <w:rPr>
                <w:color w:val="000000"/>
                <w:sz w:val="18"/>
                <w:szCs w:val="18"/>
              </w:rPr>
              <w:t>860</w:t>
            </w:r>
          </w:p>
        </w:tc>
        <w:tc>
          <w:tcPr>
            <w:tcW w:w="1080" w:type="dxa"/>
            <w:vAlign w:val="bottom"/>
          </w:tcPr>
          <w:p w14:paraId="6B4056DA" w14:textId="242C8CF8"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1E50D8EA" w14:textId="5C28D30B"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1E9E5C41" w14:textId="25353BBE"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3C45FBE3" w14:textId="0641AD56"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54C08DE4" w14:textId="77777777" w:rsidTr="00BE0821">
        <w:tc>
          <w:tcPr>
            <w:tcW w:w="2245" w:type="dxa"/>
            <w:vMerge/>
          </w:tcPr>
          <w:p w14:paraId="2F1E1FFF" w14:textId="77777777" w:rsidR="00BE0821" w:rsidRPr="00C15C33" w:rsidRDefault="00BE0821" w:rsidP="00EC21FB">
            <w:pPr>
              <w:rPr>
                <w:sz w:val="18"/>
                <w:szCs w:val="18"/>
              </w:rPr>
            </w:pPr>
          </w:p>
        </w:tc>
        <w:tc>
          <w:tcPr>
            <w:tcW w:w="1260" w:type="dxa"/>
          </w:tcPr>
          <w:p w14:paraId="31BE4863" w14:textId="6E69A41F" w:rsidR="00BE0821" w:rsidRPr="00C15C33" w:rsidRDefault="00BE0821" w:rsidP="00EC21FB">
            <w:pPr>
              <w:rPr>
                <w:color w:val="000000"/>
                <w:sz w:val="18"/>
                <w:szCs w:val="18"/>
              </w:rPr>
            </w:pPr>
            <w:r w:rsidRPr="00C15C33">
              <w:rPr>
                <w:color w:val="000000"/>
                <w:sz w:val="18"/>
                <w:szCs w:val="18"/>
              </w:rPr>
              <w:t>shps.us</w:t>
            </w:r>
          </w:p>
        </w:tc>
        <w:tc>
          <w:tcPr>
            <w:tcW w:w="900" w:type="dxa"/>
            <w:vAlign w:val="bottom"/>
          </w:tcPr>
          <w:p w14:paraId="6BEBD421" w14:textId="3A2E2FFC" w:rsidR="00BE0821" w:rsidRPr="00C15C33" w:rsidRDefault="00BE0821" w:rsidP="00EC21FB">
            <w:pPr>
              <w:jc w:val="right"/>
              <w:rPr>
                <w:color w:val="000000"/>
                <w:sz w:val="18"/>
                <w:szCs w:val="18"/>
              </w:rPr>
            </w:pPr>
            <w:r w:rsidRPr="00C15C33">
              <w:rPr>
                <w:color w:val="000000"/>
                <w:sz w:val="18"/>
                <w:szCs w:val="18"/>
              </w:rPr>
              <w:t>44.24</w:t>
            </w:r>
          </w:p>
        </w:tc>
        <w:tc>
          <w:tcPr>
            <w:tcW w:w="1080" w:type="dxa"/>
            <w:vAlign w:val="bottom"/>
          </w:tcPr>
          <w:p w14:paraId="5135F1D8" w14:textId="18F3B8C8" w:rsidR="00BE0821" w:rsidRPr="00C15C33" w:rsidRDefault="00BE0821" w:rsidP="00EC21FB">
            <w:pPr>
              <w:jc w:val="right"/>
              <w:rPr>
                <w:color w:val="000000"/>
                <w:sz w:val="18"/>
                <w:szCs w:val="18"/>
              </w:rPr>
            </w:pPr>
            <w:r w:rsidRPr="00C15C33">
              <w:rPr>
                <w:color w:val="000000"/>
                <w:sz w:val="18"/>
                <w:szCs w:val="18"/>
              </w:rPr>
              <w:t>-112.2</w:t>
            </w:r>
          </w:p>
        </w:tc>
        <w:tc>
          <w:tcPr>
            <w:tcW w:w="990" w:type="dxa"/>
          </w:tcPr>
          <w:p w14:paraId="4D1F157F" w14:textId="32E08C32" w:rsidR="00BE0821" w:rsidRPr="00C15C33" w:rsidRDefault="00581754" w:rsidP="00EC21FB">
            <w:pPr>
              <w:jc w:val="right"/>
              <w:rPr>
                <w:color w:val="000000"/>
                <w:sz w:val="18"/>
                <w:szCs w:val="18"/>
              </w:rPr>
            </w:pPr>
            <w:r>
              <w:rPr>
                <w:color w:val="000000"/>
                <w:sz w:val="18"/>
                <w:szCs w:val="18"/>
              </w:rPr>
              <w:t>1667</w:t>
            </w:r>
          </w:p>
        </w:tc>
        <w:tc>
          <w:tcPr>
            <w:tcW w:w="630" w:type="dxa"/>
            <w:vAlign w:val="center"/>
          </w:tcPr>
          <w:p w14:paraId="1D8BCF0D" w14:textId="0E46462F" w:rsidR="00BE0821" w:rsidRPr="00C15C33" w:rsidRDefault="00581754" w:rsidP="00EC21FB">
            <w:pPr>
              <w:jc w:val="right"/>
              <w:rPr>
                <w:color w:val="000000"/>
                <w:sz w:val="18"/>
                <w:szCs w:val="18"/>
              </w:rPr>
            </w:pPr>
            <w:r>
              <w:rPr>
                <w:color w:val="000000"/>
                <w:sz w:val="18"/>
                <w:szCs w:val="18"/>
              </w:rPr>
              <w:t>12.2</w:t>
            </w:r>
          </w:p>
        </w:tc>
        <w:tc>
          <w:tcPr>
            <w:tcW w:w="630" w:type="dxa"/>
            <w:vAlign w:val="center"/>
          </w:tcPr>
          <w:p w14:paraId="1792E890" w14:textId="5974253B" w:rsidR="00BE0821" w:rsidRPr="00C15C33" w:rsidRDefault="00581754" w:rsidP="00EC21FB">
            <w:pPr>
              <w:jc w:val="right"/>
              <w:rPr>
                <w:color w:val="000000"/>
                <w:sz w:val="18"/>
                <w:szCs w:val="18"/>
              </w:rPr>
            </w:pPr>
            <w:r>
              <w:rPr>
                <w:color w:val="000000"/>
                <w:sz w:val="18"/>
                <w:szCs w:val="18"/>
              </w:rPr>
              <w:t>0.15</w:t>
            </w:r>
          </w:p>
        </w:tc>
        <w:tc>
          <w:tcPr>
            <w:tcW w:w="630" w:type="dxa"/>
          </w:tcPr>
          <w:p w14:paraId="79F090AF" w14:textId="44230C95" w:rsidR="00BE0821" w:rsidRPr="00C15C33" w:rsidRDefault="00581754" w:rsidP="00EC21FB">
            <w:pPr>
              <w:jc w:val="right"/>
              <w:rPr>
                <w:color w:val="000000"/>
                <w:sz w:val="18"/>
                <w:szCs w:val="18"/>
              </w:rPr>
            </w:pPr>
            <w:r>
              <w:rPr>
                <w:color w:val="000000"/>
                <w:sz w:val="18"/>
                <w:szCs w:val="18"/>
              </w:rPr>
              <w:t>963</w:t>
            </w:r>
          </w:p>
        </w:tc>
        <w:tc>
          <w:tcPr>
            <w:tcW w:w="1080" w:type="dxa"/>
            <w:vAlign w:val="bottom"/>
          </w:tcPr>
          <w:p w14:paraId="1CEB8881" w14:textId="20A37065"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12E08B2B" w14:textId="391B965A"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4B479CFA" w14:textId="7263D55B"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155E110B" w14:textId="7AFCFC04"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77982C84" w14:textId="77777777" w:rsidTr="00BE0821">
        <w:tc>
          <w:tcPr>
            <w:tcW w:w="2245" w:type="dxa"/>
            <w:vMerge/>
          </w:tcPr>
          <w:p w14:paraId="7A1034D3" w14:textId="77777777" w:rsidR="00BE0821" w:rsidRPr="00C15C33" w:rsidRDefault="00BE0821" w:rsidP="00EC21FB">
            <w:pPr>
              <w:rPr>
                <w:sz w:val="18"/>
                <w:szCs w:val="18"/>
              </w:rPr>
            </w:pPr>
          </w:p>
        </w:tc>
        <w:tc>
          <w:tcPr>
            <w:tcW w:w="1260" w:type="dxa"/>
          </w:tcPr>
          <w:p w14:paraId="5AC76A0D" w14:textId="65CA392A" w:rsidR="00BE0821" w:rsidRPr="00C15C33" w:rsidRDefault="00BE0821" w:rsidP="00EC21FB">
            <w:pPr>
              <w:rPr>
                <w:color w:val="000000"/>
                <w:sz w:val="18"/>
                <w:szCs w:val="18"/>
              </w:rPr>
            </w:pPr>
            <w:r w:rsidRPr="00C15C33">
              <w:rPr>
                <w:color w:val="000000"/>
                <w:sz w:val="18"/>
                <w:szCs w:val="18"/>
              </w:rPr>
              <w:t>smith.us</w:t>
            </w:r>
          </w:p>
        </w:tc>
        <w:tc>
          <w:tcPr>
            <w:tcW w:w="900" w:type="dxa"/>
            <w:vAlign w:val="bottom"/>
          </w:tcPr>
          <w:p w14:paraId="2F3C680A" w14:textId="59048927" w:rsidR="00BE0821" w:rsidRPr="00C15C33" w:rsidRDefault="00BE0821" w:rsidP="00EC21FB">
            <w:pPr>
              <w:jc w:val="right"/>
              <w:rPr>
                <w:color w:val="000000"/>
                <w:sz w:val="18"/>
                <w:szCs w:val="18"/>
              </w:rPr>
            </w:pPr>
            <w:r w:rsidRPr="00C15C33">
              <w:rPr>
                <w:color w:val="000000"/>
                <w:sz w:val="18"/>
                <w:szCs w:val="18"/>
              </w:rPr>
              <w:t>48.21</w:t>
            </w:r>
          </w:p>
        </w:tc>
        <w:tc>
          <w:tcPr>
            <w:tcW w:w="1080" w:type="dxa"/>
            <w:vAlign w:val="bottom"/>
          </w:tcPr>
          <w:p w14:paraId="3B701004" w14:textId="1E0E755C" w:rsidR="00BE0821" w:rsidRPr="00C15C33" w:rsidRDefault="00BE0821" w:rsidP="00EC21FB">
            <w:pPr>
              <w:jc w:val="right"/>
              <w:rPr>
                <w:color w:val="000000"/>
                <w:sz w:val="18"/>
                <w:szCs w:val="18"/>
              </w:rPr>
            </w:pPr>
            <w:r w:rsidRPr="00C15C33">
              <w:rPr>
                <w:color w:val="000000"/>
                <w:sz w:val="18"/>
                <w:szCs w:val="18"/>
              </w:rPr>
              <w:t>-122.62</w:t>
            </w:r>
          </w:p>
        </w:tc>
        <w:tc>
          <w:tcPr>
            <w:tcW w:w="990" w:type="dxa"/>
          </w:tcPr>
          <w:p w14:paraId="5B97082E" w14:textId="028C2655" w:rsidR="00BE0821" w:rsidRPr="00C15C33" w:rsidRDefault="00581754" w:rsidP="00EC21FB">
            <w:pPr>
              <w:jc w:val="right"/>
              <w:rPr>
                <w:color w:val="000000"/>
                <w:sz w:val="18"/>
                <w:szCs w:val="18"/>
              </w:rPr>
            </w:pPr>
            <w:r>
              <w:rPr>
                <w:color w:val="000000"/>
                <w:sz w:val="18"/>
                <w:szCs w:val="18"/>
              </w:rPr>
              <w:t>56</w:t>
            </w:r>
          </w:p>
        </w:tc>
        <w:tc>
          <w:tcPr>
            <w:tcW w:w="630" w:type="dxa"/>
            <w:vAlign w:val="center"/>
          </w:tcPr>
          <w:p w14:paraId="55232EC3" w14:textId="20B9D69B" w:rsidR="00BE0821" w:rsidRPr="00C15C33" w:rsidRDefault="00581754" w:rsidP="00EC21FB">
            <w:pPr>
              <w:jc w:val="right"/>
              <w:rPr>
                <w:color w:val="000000"/>
                <w:sz w:val="18"/>
                <w:szCs w:val="18"/>
              </w:rPr>
            </w:pPr>
            <w:r>
              <w:rPr>
                <w:color w:val="000000"/>
                <w:sz w:val="18"/>
                <w:szCs w:val="18"/>
              </w:rPr>
              <w:t>10.2</w:t>
            </w:r>
          </w:p>
        </w:tc>
        <w:tc>
          <w:tcPr>
            <w:tcW w:w="630" w:type="dxa"/>
            <w:vAlign w:val="center"/>
          </w:tcPr>
          <w:p w14:paraId="41C5C95A" w14:textId="0A4704B0" w:rsidR="00BE0821" w:rsidRPr="00C15C33" w:rsidRDefault="00581754" w:rsidP="00EC21FB">
            <w:pPr>
              <w:jc w:val="right"/>
              <w:rPr>
                <w:color w:val="000000"/>
                <w:sz w:val="18"/>
                <w:szCs w:val="18"/>
              </w:rPr>
            </w:pPr>
            <w:r>
              <w:rPr>
                <w:color w:val="000000"/>
                <w:sz w:val="18"/>
                <w:szCs w:val="18"/>
              </w:rPr>
              <w:t>1.08</w:t>
            </w:r>
          </w:p>
        </w:tc>
        <w:tc>
          <w:tcPr>
            <w:tcW w:w="630" w:type="dxa"/>
          </w:tcPr>
          <w:p w14:paraId="5BCA6BB8" w14:textId="1B49D452" w:rsidR="00BE0821" w:rsidRPr="00C15C33" w:rsidRDefault="00581754" w:rsidP="00EC21FB">
            <w:pPr>
              <w:jc w:val="right"/>
              <w:rPr>
                <w:color w:val="000000"/>
                <w:sz w:val="18"/>
                <w:szCs w:val="18"/>
              </w:rPr>
            </w:pPr>
            <w:r>
              <w:rPr>
                <w:color w:val="000000"/>
                <w:sz w:val="18"/>
                <w:szCs w:val="18"/>
              </w:rPr>
              <w:t>562</w:t>
            </w:r>
          </w:p>
        </w:tc>
        <w:tc>
          <w:tcPr>
            <w:tcW w:w="1080" w:type="dxa"/>
            <w:vAlign w:val="bottom"/>
          </w:tcPr>
          <w:p w14:paraId="7F934C81" w14:textId="565D1E50"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50EAE8D3" w14:textId="4D60BC74"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5EF2B926" w14:textId="132A7C5E"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20B5C01F" w14:textId="5FF1EDE6"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184725F1" w14:textId="77777777" w:rsidTr="00BE0821">
        <w:tc>
          <w:tcPr>
            <w:tcW w:w="2245" w:type="dxa"/>
            <w:vMerge/>
          </w:tcPr>
          <w:p w14:paraId="23F0BA31" w14:textId="77777777" w:rsidR="00BE0821" w:rsidRPr="00C15C33" w:rsidRDefault="00BE0821" w:rsidP="00EC21FB">
            <w:pPr>
              <w:rPr>
                <w:sz w:val="18"/>
                <w:szCs w:val="18"/>
              </w:rPr>
            </w:pPr>
          </w:p>
        </w:tc>
        <w:tc>
          <w:tcPr>
            <w:tcW w:w="1260" w:type="dxa"/>
          </w:tcPr>
          <w:p w14:paraId="6523B567" w14:textId="19FFDC7F" w:rsidR="00BE0821" w:rsidRPr="00C15C33" w:rsidRDefault="00BE0821" w:rsidP="00EC21FB">
            <w:pPr>
              <w:rPr>
                <w:color w:val="000000"/>
                <w:sz w:val="18"/>
                <w:szCs w:val="18"/>
              </w:rPr>
            </w:pPr>
            <w:r w:rsidRPr="00C15C33">
              <w:rPr>
                <w:color w:val="000000"/>
                <w:sz w:val="18"/>
                <w:szCs w:val="18"/>
              </w:rPr>
              <w:t>summ.za</w:t>
            </w:r>
          </w:p>
        </w:tc>
        <w:tc>
          <w:tcPr>
            <w:tcW w:w="900" w:type="dxa"/>
            <w:vAlign w:val="bottom"/>
          </w:tcPr>
          <w:p w14:paraId="25F314D3" w14:textId="2BB91C3F" w:rsidR="00BE0821" w:rsidRPr="00C15C33" w:rsidRDefault="00BE0821" w:rsidP="00EC21FB">
            <w:pPr>
              <w:jc w:val="right"/>
              <w:rPr>
                <w:color w:val="000000"/>
                <w:sz w:val="18"/>
                <w:szCs w:val="18"/>
              </w:rPr>
            </w:pPr>
            <w:r w:rsidRPr="00C15C33">
              <w:rPr>
                <w:color w:val="000000"/>
                <w:sz w:val="18"/>
                <w:szCs w:val="18"/>
              </w:rPr>
              <w:t>-29.81</w:t>
            </w:r>
          </w:p>
        </w:tc>
        <w:tc>
          <w:tcPr>
            <w:tcW w:w="1080" w:type="dxa"/>
            <w:vAlign w:val="bottom"/>
          </w:tcPr>
          <w:p w14:paraId="7972A569" w14:textId="777D5DD9" w:rsidR="00BE0821" w:rsidRPr="00C15C33" w:rsidRDefault="00BE0821" w:rsidP="00EC21FB">
            <w:pPr>
              <w:jc w:val="right"/>
              <w:rPr>
                <w:color w:val="000000"/>
                <w:sz w:val="18"/>
                <w:szCs w:val="18"/>
              </w:rPr>
            </w:pPr>
            <w:r w:rsidRPr="00C15C33">
              <w:rPr>
                <w:color w:val="000000"/>
                <w:sz w:val="18"/>
                <w:szCs w:val="18"/>
              </w:rPr>
              <w:t>30.72</w:t>
            </w:r>
          </w:p>
        </w:tc>
        <w:tc>
          <w:tcPr>
            <w:tcW w:w="990" w:type="dxa"/>
          </w:tcPr>
          <w:p w14:paraId="461B5190" w14:textId="6CA8EA63" w:rsidR="00BE0821" w:rsidRPr="00C15C33" w:rsidRDefault="00581754" w:rsidP="00EC21FB">
            <w:pPr>
              <w:jc w:val="right"/>
              <w:rPr>
                <w:color w:val="000000"/>
                <w:sz w:val="18"/>
                <w:szCs w:val="18"/>
              </w:rPr>
            </w:pPr>
            <w:r>
              <w:rPr>
                <w:color w:val="000000"/>
                <w:sz w:val="18"/>
                <w:szCs w:val="18"/>
              </w:rPr>
              <w:t>636</w:t>
            </w:r>
          </w:p>
        </w:tc>
        <w:tc>
          <w:tcPr>
            <w:tcW w:w="630" w:type="dxa"/>
            <w:vAlign w:val="center"/>
          </w:tcPr>
          <w:p w14:paraId="3E40A747" w14:textId="6AAA836C" w:rsidR="00BE0821" w:rsidRPr="00C15C33" w:rsidRDefault="00581754" w:rsidP="00EC21FB">
            <w:pPr>
              <w:jc w:val="right"/>
              <w:rPr>
                <w:color w:val="000000"/>
                <w:sz w:val="18"/>
                <w:szCs w:val="18"/>
              </w:rPr>
            </w:pPr>
            <w:r>
              <w:rPr>
                <w:color w:val="000000"/>
                <w:sz w:val="18"/>
                <w:szCs w:val="18"/>
              </w:rPr>
              <w:t>18.2</w:t>
            </w:r>
          </w:p>
        </w:tc>
        <w:tc>
          <w:tcPr>
            <w:tcW w:w="630" w:type="dxa"/>
            <w:vAlign w:val="center"/>
          </w:tcPr>
          <w:p w14:paraId="515E2B7B" w14:textId="2099A4B1" w:rsidR="00BE0821" w:rsidRPr="00C15C33" w:rsidRDefault="00581754" w:rsidP="00EC21FB">
            <w:pPr>
              <w:jc w:val="right"/>
              <w:rPr>
                <w:color w:val="000000"/>
                <w:sz w:val="18"/>
                <w:szCs w:val="18"/>
              </w:rPr>
            </w:pPr>
            <w:r>
              <w:rPr>
                <w:color w:val="000000"/>
                <w:sz w:val="18"/>
                <w:szCs w:val="18"/>
              </w:rPr>
              <w:t>0.59</w:t>
            </w:r>
          </w:p>
        </w:tc>
        <w:tc>
          <w:tcPr>
            <w:tcW w:w="630" w:type="dxa"/>
          </w:tcPr>
          <w:p w14:paraId="24B6DB9C" w14:textId="66418DAA" w:rsidR="00BE0821" w:rsidRPr="00C15C33" w:rsidRDefault="00581754" w:rsidP="00EC21FB">
            <w:pPr>
              <w:jc w:val="right"/>
              <w:rPr>
                <w:color w:val="000000"/>
                <w:sz w:val="18"/>
                <w:szCs w:val="18"/>
              </w:rPr>
            </w:pPr>
            <w:r>
              <w:rPr>
                <w:color w:val="000000"/>
                <w:sz w:val="18"/>
                <w:szCs w:val="18"/>
              </w:rPr>
              <w:t>810</w:t>
            </w:r>
          </w:p>
        </w:tc>
        <w:tc>
          <w:tcPr>
            <w:tcW w:w="1080" w:type="dxa"/>
            <w:vAlign w:val="bottom"/>
          </w:tcPr>
          <w:p w14:paraId="1613C5EB" w14:textId="5F4082E5"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0F9C7E79" w14:textId="48EA6C13"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01ACA0FB" w14:textId="6440E96B"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56A8796D" w14:textId="2947A9E1"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03FC568A" w14:textId="77777777" w:rsidTr="00BE0821">
        <w:tc>
          <w:tcPr>
            <w:tcW w:w="2245" w:type="dxa"/>
            <w:vMerge/>
          </w:tcPr>
          <w:p w14:paraId="7C8742C6" w14:textId="77777777" w:rsidR="00BE0821" w:rsidRPr="00C15C33" w:rsidRDefault="00BE0821" w:rsidP="00EC21FB">
            <w:pPr>
              <w:rPr>
                <w:sz w:val="18"/>
                <w:szCs w:val="18"/>
              </w:rPr>
            </w:pPr>
          </w:p>
        </w:tc>
        <w:tc>
          <w:tcPr>
            <w:tcW w:w="1260" w:type="dxa"/>
          </w:tcPr>
          <w:p w14:paraId="6C1996EB" w14:textId="07BABE9F" w:rsidR="00BE0821" w:rsidRPr="00C15C33" w:rsidRDefault="00BE0821" w:rsidP="00EC21FB">
            <w:pPr>
              <w:rPr>
                <w:color w:val="000000"/>
                <w:sz w:val="18"/>
                <w:szCs w:val="18"/>
              </w:rPr>
            </w:pPr>
            <w:r w:rsidRPr="00C15C33">
              <w:rPr>
                <w:color w:val="000000"/>
                <w:sz w:val="18"/>
                <w:szCs w:val="18"/>
              </w:rPr>
              <w:t>valm.ch</w:t>
            </w:r>
          </w:p>
        </w:tc>
        <w:tc>
          <w:tcPr>
            <w:tcW w:w="900" w:type="dxa"/>
            <w:vAlign w:val="bottom"/>
          </w:tcPr>
          <w:p w14:paraId="2CBFB247" w14:textId="1F863A2E" w:rsidR="00BE0821" w:rsidRPr="00C15C33" w:rsidRDefault="00BE0821" w:rsidP="00EC21FB">
            <w:pPr>
              <w:jc w:val="right"/>
              <w:rPr>
                <w:color w:val="000000"/>
                <w:sz w:val="18"/>
                <w:szCs w:val="18"/>
              </w:rPr>
            </w:pPr>
            <w:r w:rsidRPr="00C15C33">
              <w:rPr>
                <w:color w:val="000000"/>
                <w:sz w:val="18"/>
                <w:szCs w:val="18"/>
              </w:rPr>
              <w:t>46.63</w:t>
            </w:r>
          </w:p>
        </w:tc>
        <w:tc>
          <w:tcPr>
            <w:tcW w:w="1080" w:type="dxa"/>
            <w:vAlign w:val="bottom"/>
          </w:tcPr>
          <w:p w14:paraId="51271FD7" w14:textId="7B72C336" w:rsidR="00BE0821" w:rsidRPr="00C15C33" w:rsidRDefault="00BE0821" w:rsidP="00EC21FB">
            <w:pPr>
              <w:jc w:val="right"/>
              <w:rPr>
                <w:color w:val="000000"/>
                <w:sz w:val="18"/>
                <w:szCs w:val="18"/>
              </w:rPr>
            </w:pPr>
            <w:r w:rsidRPr="00C15C33">
              <w:rPr>
                <w:color w:val="000000"/>
                <w:sz w:val="18"/>
                <w:szCs w:val="18"/>
              </w:rPr>
              <w:t>10.37</w:t>
            </w:r>
          </w:p>
        </w:tc>
        <w:tc>
          <w:tcPr>
            <w:tcW w:w="990" w:type="dxa"/>
          </w:tcPr>
          <w:p w14:paraId="36454E91" w14:textId="09637396" w:rsidR="00BE0821" w:rsidRPr="00C15C33" w:rsidRDefault="00581754" w:rsidP="00EC21FB">
            <w:pPr>
              <w:jc w:val="right"/>
              <w:rPr>
                <w:color w:val="000000"/>
                <w:sz w:val="18"/>
                <w:szCs w:val="18"/>
              </w:rPr>
            </w:pPr>
            <w:r>
              <w:rPr>
                <w:color w:val="000000"/>
                <w:sz w:val="18"/>
                <w:szCs w:val="18"/>
              </w:rPr>
              <w:t>2233</w:t>
            </w:r>
          </w:p>
        </w:tc>
        <w:tc>
          <w:tcPr>
            <w:tcW w:w="630" w:type="dxa"/>
            <w:vAlign w:val="center"/>
          </w:tcPr>
          <w:p w14:paraId="64FD50F9" w14:textId="4152748B" w:rsidR="00BE0821" w:rsidRPr="00C15C33" w:rsidRDefault="00581754" w:rsidP="00EC21FB">
            <w:pPr>
              <w:jc w:val="right"/>
              <w:rPr>
                <w:color w:val="000000"/>
                <w:sz w:val="18"/>
                <w:szCs w:val="18"/>
              </w:rPr>
            </w:pPr>
            <w:r>
              <w:rPr>
                <w:color w:val="000000"/>
                <w:sz w:val="18"/>
                <w:szCs w:val="18"/>
              </w:rPr>
              <w:t>5.5</w:t>
            </w:r>
          </w:p>
        </w:tc>
        <w:tc>
          <w:tcPr>
            <w:tcW w:w="630" w:type="dxa"/>
            <w:vAlign w:val="center"/>
          </w:tcPr>
          <w:p w14:paraId="65184070" w14:textId="6A1EA054" w:rsidR="00BE0821" w:rsidRPr="00C15C33" w:rsidRDefault="00581754" w:rsidP="00EC21FB">
            <w:pPr>
              <w:jc w:val="right"/>
              <w:rPr>
                <w:color w:val="000000"/>
                <w:sz w:val="18"/>
                <w:szCs w:val="18"/>
              </w:rPr>
            </w:pPr>
            <w:r>
              <w:rPr>
                <w:color w:val="000000"/>
                <w:sz w:val="18"/>
                <w:szCs w:val="18"/>
              </w:rPr>
              <w:t>0.80</w:t>
            </w:r>
          </w:p>
        </w:tc>
        <w:tc>
          <w:tcPr>
            <w:tcW w:w="630" w:type="dxa"/>
          </w:tcPr>
          <w:p w14:paraId="6E6CFCAD" w14:textId="4D0908C9" w:rsidR="00BE0821" w:rsidRPr="00C15C33" w:rsidRDefault="00581754" w:rsidP="00EC21FB">
            <w:pPr>
              <w:jc w:val="right"/>
              <w:rPr>
                <w:color w:val="000000"/>
                <w:sz w:val="18"/>
                <w:szCs w:val="18"/>
              </w:rPr>
            </w:pPr>
            <w:r>
              <w:rPr>
                <w:color w:val="000000"/>
                <w:sz w:val="18"/>
                <w:szCs w:val="18"/>
              </w:rPr>
              <w:t>827</w:t>
            </w:r>
          </w:p>
        </w:tc>
        <w:tc>
          <w:tcPr>
            <w:tcW w:w="1080" w:type="dxa"/>
            <w:vAlign w:val="bottom"/>
          </w:tcPr>
          <w:p w14:paraId="66265994" w14:textId="3D4CE7D1"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68476FC9" w14:textId="4A6616EA"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179856E0" w14:textId="4989EE9E"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4A499595" w14:textId="4B93F48C"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2587FEC7" w14:textId="77777777" w:rsidTr="00BE0821">
        <w:sdt>
          <w:sdtPr>
            <w:rPr>
              <w:color w:val="000000"/>
              <w:sz w:val="18"/>
              <w:szCs w:val="18"/>
            </w:rPr>
            <w:tag w:val="MENDELEY_CITATION_v3_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"/>
            <w:id w:val="-892269155"/>
            <w:placeholder>
              <w:docPart w:val="7E0088A692D1DE46B5EAF9F665487962"/>
            </w:placeholder>
          </w:sdtPr>
          <w:sdtContent>
            <w:tc>
              <w:tcPr>
                <w:tcW w:w="2245" w:type="dxa"/>
              </w:tcPr>
              <w:p w14:paraId="0290A4B5" w14:textId="7F348450" w:rsidR="00BE0821" w:rsidRPr="00C15C33" w:rsidRDefault="00E807B5" w:rsidP="00EC21FB">
                <w:pPr>
                  <w:rPr>
                    <w:sz w:val="18"/>
                    <w:szCs w:val="18"/>
                  </w:rPr>
                </w:pPr>
                <w:r w:rsidRPr="00E807B5">
                  <w:rPr>
                    <w:rFonts w:eastAsia="Times New Roman"/>
                    <w:color w:val="000000"/>
                    <w:sz w:val="18"/>
                  </w:rPr>
                  <w:t>(Fornara et al., 2013)</w:t>
                </w:r>
              </w:p>
            </w:tc>
          </w:sdtContent>
        </w:sdt>
        <w:tc>
          <w:tcPr>
            <w:tcW w:w="1260" w:type="dxa"/>
          </w:tcPr>
          <w:p w14:paraId="020B6C8E" w14:textId="0BFC27D0" w:rsidR="00BE0821" w:rsidRPr="00C15C33" w:rsidRDefault="00BE0821" w:rsidP="00EC21FB">
            <w:pPr>
              <w:rPr>
                <w:color w:val="000000"/>
                <w:sz w:val="18"/>
                <w:szCs w:val="18"/>
              </w:rPr>
            </w:pPr>
            <w:proofErr w:type="spellStart"/>
            <w:r w:rsidRPr="00C15C33">
              <w:rPr>
                <w:color w:val="000000"/>
                <w:sz w:val="18"/>
                <w:szCs w:val="18"/>
              </w:rPr>
              <w:t>nash</w:t>
            </w:r>
            <w:proofErr w:type="spellEnd"/>
          </w:p>
        </w:tc>
        <w:tc>
          <w:tcPr>
            <w:tcW w:w="900" w:type="dxa"/>
            <w:vAlign w:val="bottom"/>
          </w:tcPr>
          <w:p w14:paraId="0B502AEE" w14:textId="639015BA" w:rsidR="00BE0821" w:rsidRPr="00C15C33" w:rsidRDefault="00BE0821" w:rsidP="00EC21FB">
            <w:pPr>
              <w:jc w:val="right"/>
              <w:rPr>
                <w:color w:val="000000"/>
                <w:sz w:val="18"/>
                <w:szCs w:val="18"/>
              </w:rPr>
            </w:pPr>
            <w:r w:rsidRPr="00C15C33">
              <w:rPr>
                <w:color w:val="000000"/>
                <w:sz w:val="18"/>
                <w:szCs w:val="18"/>
              </w:rPr>
              <w:t>51.41</w:t>
            </w:r>
          </w:p>
        </w:tc>
        <w:tc>
          <w:tcPr>
            <w:tcW w:w="1080" w:type="dxa"/>
            <w:vAlign w:val="bottom"/>
          </w:tcPr>
          <w:p w14:paraId="1D8B9E70" w14:textId="299E5F22" w:rsidR="00BE0821" w:rsidRPr="00C15C33" w:rsidRDefault="00BE0821" w:rsidP="00EC21FB">
            <w:pPr>
              <w:jc w:val="right"/>
              <w:rPr>
                <w:color w:val="000000"/>
                <w:sz w:val="18"/>
                <w:szCs w:val="18"/>
              </w:rPr>
            </w:pPr>
            <w:r w:rsidRPr="00C15C33">
              <w:rPr>
                <w:color w:val="000000"/>
                <w:sz w:val="18"/>
                <w:szCs w:val="18"/>
              </w:rPr>
              <w:t>-0.64</w:t>
            </w:r>
          </w:p>
        </w:tc>
        <w:tc>
          <w:tcPr>
            <w:tcW w:w="990" w:type="dxa"/>
          </w:tcPr>
          <w:p w14:paraId="11DC594D" w14:textId="4F8F34E5" w:rsidR="00BE0821" w:rsidRPr="00C15C33" w:rsidRDefault="00BE0821" w:rsidP="00EC21FB">
            <w:pPr>
              <w:jc w:val="right"/>
              <w:rPr>
                <w:color w:val="000000"/>
                <w:sz w:val="18"/>
                <w:szCs w:val="18"/>
              </w:rPr>
            </w:pPr>
            <w:r>
              <w:rPr>
                <w:color w:val="000000"/>
                <w:sz w:val="18"/>
                <w:szCs w:val="18"/>
              </w:rPr>
              <w:t>61</w:t>
            </w:r>
          </w:p>
        </w:tc>
        <w:tc>
          <w:tcPr>
            <w:tcW w:w="630" w:type="dxa"/>
            <w:vAlign w:val="center"/>
          </w:tcPr>
          <w:p w14:paraId="1049E076" w14:textId="17E00E22" w:rsidR="00BE0821" w:rsidRPr="00C15C33" w:rsidRDefault="00BE0821" w:rsidP="00EC21FB">
            <w:pPr>
              <w:jc w:val="right"/>
              <w:rPr>
                <w:color w:val="000000"/>
                <w:sz w:val="18"/>
                <w:szCs w:val="18"/>
              </w:rPr>
            </w:pPr>
            <w:r>
              <w:rPr>
                <w:color w:val="000000"/>
                <w:sz w:val="18"/>
                <w:szCs w:val="18"/>
              </w:rPr>
              <w:t>10.2</w:t>
            </w:r>
          </w:p>
        </w:tc>
        <w:tc>
          <w:tcPr>
            <w:tcW w:w="630" w:type="dxa"/>
            <w:vAlign w:val="center"/>
          </w:tcPr>
          <w:p w14:paraId="7D34D1E3" w14:textId="74DB09A9" w:rsidR="00BE0821" w:rsidRPr="00C15C33" w:rsidRDefault="00BE0821" w:rsidP="00EC21FB">
            <w:pPr>
              <w:jc w:val="right"/>
              <w:rPr>
                <w:color w:val="000000"/>
                <w:sz w:val="18"/>
                <w:szCs w:val="18"/>
              </w:rPr>
            </w:pPr>
            <w:r>
              <w:rPr>
                <w:color w:val="000000"/>
                <w:sz w:val="18"/>
                <w:szCs w:val="18"/>
              </w:rPr>
              <w:t>1.25</w:t>
            </w:r>
          </w:p>
        </w:tc>
        <w:tc>
          <w:tcPr>
            <w:tcW w:w="630" w:type="dxa"/>
          </w:tcPr>
          <w:p w14:paraId="6E64F0CE" w14:textId="1F748807" w:rsidR="00BE0821" w:rsidRPr="00C15C33" w:rsidRDefault="00BE0821" w:rsidP="00EC21FB">
            <w:pPr>
              <w:jc w:val="right"/>
              <w:rPr>
                <w:color w:val="000000"/>
                <w:sz w:val="18"/>
                <w:szCs w:val="18"/>
              </w:rPr>
            </w:pPr>
            <w:r>
              <w:rPr>
                <w:color w:val="000000"/>
                <w:sz w:val="18"/>
                <w:szCs w:val="18"/>
              </w:rPr>
              <w:t>478</w:t>
            </w:r>
          </w:p>
        </w:tc>
        <w:tc>
          <w:tcPr>
            <w:tcW w:w="1080" w:type="dxa"/>
            <w:vAlign w:val="bottom"/>
          </w:tcPr>
          <w:p w14:paraId="3176F052" w14:textId="37A52E8D"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3AEE3967" w14:textId="56F7A167" w:rsidR="00BE0821" w:rsidRPr="00EC21FB" w:rsidRDefault="00BE0821" w:rsidP="00EC21FB">
            <w:pPr>
              <w:jc w:val="right"/>
              <w:rPr>
                <w:color w:val="000000"/>
                <w:sz w:val="18"/>
                <w:szCs w:val="18"/>
              </w:rPr>
            </w:pPr>
            <w:r w:rsidRPr="00EC21FB">
              <w:rPr>
                <w:color w:val="000000"/>
                <w:sz w:val="18"/>
                <w:szCs w:val="18"/>
              </w:rPr>
              <w:t>field</w:t>
            </w:r>
          </w:p>
        </w:tc>
        <w:tc>
          <w:tcPr>
            <w:tcW w:w="1080" w:type="dxa"/>
            <w:vAlign w:val="bottom"/>
          </w:tcPr>
          <w:p w14:paraId="601D066C" w14:textId="74F7BF83"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548C4D8D" w14:textId="5F7AEF49" w:rsidR="00BE0821" w:rsidRPr="00EC21FB" w:rsidRDefault="00BE0821" w:rsidP="00EC21FB">
            <w:pPr>
              <w:jc w:val="right"/>
              <w:rPr>
                <w:color w:val="000000"/>
                <w:sz w:val="18"/>
                <w:szCs w:val="18"/>
              </w:rPr>
            </w:pPr>
            <w:r w:rsidRPr="00EC21FB">
              <w:rPr>
                <w:color w:val="000000"/>
                <w:sz w:val="18"/>
                <w:szCs w:val="18"/>
              </w:rPr>
              <w:t>3.5</w:t>
            </w:r>
          </w:p>
        </w:tc>
      </w:tr>
      <w:tr w:rsidR="00BE0821" w:rsidRPr="00380AE9" w14:paraId="4279F78F" w14:textId="77777777" w:rsidTr="00BE0821">
        <w:sdt>
          <w:sdtPr>
            <w:rPr>
              <w:color w:val="000000"/>
              <w:sz w:val="18"/>
              <w:szCs w:val="18"/>
            </w:rPr>
            <w:tag w:val="MENDELEY_CITATION_v3_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"/>
            <w:id w:val="322010088"/>
            <w:placeholder>
              <w:docPart w:val="C8D23F50D3DE6549A46E32984E1978E8"/>
            </w:placeholder>
          </w:sdtPr>
          <w:sdtContent>
            <w:tc>
              <w:tcPr>
                <w:tcW w:w="2245" w:type="dxa"/>
              </w:tcPr>
              <w:p w14:paraId="6D45E8FD" w14:textId="03A5880F" w:rsidR="00BE0821" w:rsidRPr="00C15C33" w:rsidRDefault="00E807B5" w:rsidP="00EC21FB">
                <w:pPr>
                  <w:rPr>
                    <w:sz w:val="18"/>
                    <w:szCs w:val="18"/>
                  </w:rPr>
                </w:pPr>
                <w:r w:rsidRPr="00E807B5">
                  <w:rPr>
                    <w:rFonts w:eastAsia="Times New Roman"/>
                    <w:color w:val="000000"/>
                    <w:sz w:val="18"/>
                  </w:rPr>
                  <w:t>(Friedrich et al., 2012)</w:t>
                </w:r>
              </w:p>
            </w:tc>
          </w:sdtContent>
        </w:sdt>
        <w:tc>
          <w:tcPr>
            <w:tcW w:w="1260" w:type="dxa"/>
          </w:tcPr>
          <w:p w14:paraId="2E0823CD" w14:textId="6BF5E283" w:rsidR="00BE0821" w:rsidRPr="00C15C33" w:rsidRDefault="00BE0821" w:rsidP="00EC21FB">
            <w:pPr>
              <w:rPr>
                <w:color w:val="000000"/>
                <w:sz w:val="18"/>
                <w:szCs w:val="18"/>
              </w:rPr>
            </w:pPr>
            <w:r w:rsidRPr="00C15C33">
              <w:rPr>
                <w:color w:val="000000"/>
                <w:sz w:val="18"/>
                <w:szCs w:val="18"/>
              </w:rPr>
              <w:t>luneberggh2</w:t>
            </w:r>
          </w:p>
        </w:tc>
        <w:tc>
          <w:tcPr>
            <w:tcW w:w="900" w:type="dxa"/>
            <w:vAlign w:val="bottom"/>
          </w:tcPr>
          <w:p w14:paraId="09524CE9" w14:textId="52FFAF6E" w:rsidR="00BE0821" w:rsidRPr="00C15C33" w:rsidRDefault="00BE0821" w:rsidP="00EC21FB">
            <w:pPr>
              <w:jc w:val="right"/>
              <w:rPr>
                <w:color w:val="000000"/>
                <w:sz w:val="18"/>
                <w:szCs w:val="18"/>
              </w:rPr>
            </w:pPr>
            <w:r w:rsidRPr="00C15C33">
              <w:rPr>
                <w:color w:val="000000"/>
                <w:sz w:val="18"/>
                <w:szCs w:val="18"/>
              </w:rPr>
              <w:t>53.25</w:t>
            </w:r>
          </w:p>
        </w:tc>
        <w:tc>
          <w:tcPr>
            <w:tcW w:w="1080" w:type="dxa"/>
            <w:vAlign w:val="bottom"/>
          </w:tcPr>
          <w:p w14:paraId="355D4D87" w14:textId="35F9E1C2" w:rsidR="00BE0821" w:rsidRPr="00C15C33" w:rsidRDefault="00BE0821" w:rsidP="00EC21FB">
            <w:pPr>
              <w:jc w:val="right"/>
              <w:rPr>
                <w:color w:val="000000"/>
                <w:sz w:val="18"/>
                <w:szCs w:val="18"/>
              </w:rPr>
            </w:pPr>
            <w:r w:rsidRPr="00C15C33">
              <w:rPr>
                <w:color w:val="000000"/>
                <w:sz w:val="18"/>
                <w:szCs w:val="18"/>
              </w:rPr>
              <w:t>9.97</w:t>
            </w:r>
          </w:p>
        </w:tc>
        <w:tc>
          <w:tcPr>
            <w:tcW w:w="990" w:type="dxa"/>
          </w:tcPr>
          <w:p w14:paraId="270193D4" w14:textId="2C451B8F" w:rsidR="00BE0821" w:rsidRPr="00C15C33" w:rsidRDefault="00BE0821" w:rsidP="00EC21FB">
            <w:pPr>
              <w:jc w:val="right"/>
              <w:rPr>
                <w:color w:val="000000"/>
                <w:sz w:val="18"/>
                <w:szCs w:val="18"/>
              </w:rPr>
            </w:pPr>
            <w:r>
              <w:rPr>
                <w:color w:val="000000"/>
                <w:sz w:val="18"/>
                <w:szCs w:val="18"/>
              </w:rPr>
              <w:t>NA</w:t>
            </w:r>
          </w:p>
        </w:tc>
        <w:tc>
          <w:tcPr>
            <w:tcW w:w="630" w:type="dxa"/>
            <w:vAlign w:val="center"/>
          </w:tcPr>
          <w:p w14:paraId="57740770" w14:textId="77AAE873" w:rsidR="00BE0821" w:rsidRPr="00C15C33" w:rsidRDefault="00BE0821" w:rsidP="00EC21FB">
            <w:pPr>
              <w:jc w:val="right"/>
              <w:rPr>
                <w:color w:val="000000"/>
                <w:sz w:val="18"/>
                <w:szCs w:val="18"/>
              </w:rPr>
            </w:pPr>
            <w:r>
              <w:rPr>
                <w:color w:val="000000"/>
                <w:sz w:val="18"/>
                <w:szCs w:val="18"/>
              </w:rPr>
              <w:t>NA</w:t>
            </w:r>
          </w:p>
        </w:tc>
        <w:tc>
          <w:tcPr>
            <w:tcW w:w="630" w:type="dxa"/>
            <w:vAlign w:val="center"/>
          </w:tcPr>
          <w:p w14:paraId="194E33E6" w14:textId="2CFD7F35" w:rsidR="00BE0821" w:rsidRPr="00C15C33" w:rsidRDefault="00BE0821" w:rsidP="00EC21FB">
            <w:pPr>
              <w:jc w:val="right"/>
              <w:rPr>
                <w:color w:val="000000"/>
                <w:sz w:val="18"/>
                <w:szCs w:val="18"/>
              </w:rPr>
            </w:pPr>
            <w:r>
              <w:rPr>
                <w:color w:val="000000"/>
                <w:sz w:val="18"/>
                <w:szCs w:val="18"/>
              </w:rPr>
              <w:t>NA</w:t>
            </w:r>
          </w:p>
        </w:tc>
        <w:tc>
          <w:tcPr>
            <w:tcW w:w="630" w:type="dxa"/>
          </w:tcPr>
          <w:p w14:paraId="6829BAB8" w14:textId="402A7BCF" w:rsidR="00BE0821" w:rsidRPr="00C15C33" w:rsidRDefault="00BE0821" w:rsidP="00EC21FB">
            <w:pPr>
              <w:jc w:val="right"/>
              <w:rPr>
                <w:color w:val="000000"/>
                <w:sz w:val="18"/>
                <w:szCs w:val="18"/>
              </w:rPr>
            </w:pPr>
            <w:r>
              <w:rPr>
                <w:color w:val="000000"/>
                <w:sz w:val="18"/>
                <w:szCs w:val="18"/>
              </w:rPr>
              <w:t>NA</w:t>
            </w:r>
          </w:p>
        </w:tc>
        <w:tc>
          <w:tcPr>
            <w:tcW w:w="1080" w:type="dxa"/>
            <w:vAlign w:val="bottom"/>
          </w:tcPr>
          <w:p w14:paraId="23ED1F94" w14:textId="0A3AB68A" w:rsidR="00BE0821" w:rsidRPr="00EC21FB" w:rsidRDefault="00BE0821" w:rsidP="00EC21FB">
            <w:pPr>
              <w:jc w:val="right"/>
              <w:rPr>
                <w:color w:val="000000"/>
                <w:sz w:val="18"/>
                <w:szCs w:val="18"/>
              </w:rPr>
            </w:pPr>
            <w:r w:rsidRPr="00EC21FB">
              <w:rPr>
                <w:color w:val="000000"/>
                <w:sz w:val="18"/>
                <w:szCs w:val="18"/>
              </w:rPr>
              <w:t>NA</w:t>
            </w:r>
          </w:p>
        </w:tc>
        <w:tc>
          <w:tcPr>
            <w:tcW w:w="1170" w:type="dxa"/>
            <w:vAlign w:val="bottom"/>
          </w:tcPr>
          <w:p w14:paraId="5AE13878" w14:textId="097978A5" w:rsidR="00BE0821" w:rsidRPr="00EC21FB" w:rsidRDefault="00BE0821" w:rsidP="00EC21FB">
            <w:pPr>
              <w:jc w:val="right"/>
              <w:rPr>
                <w:color w:val="000000"/>
                <w:sz w:val="18"/>
                <w:szCs w:val="18"/>
              </w:rPr>
            </w:pPr>
            <w:r w:rsidRPr="00EC21FB">
              <w:rPr>
                <w:color w:val="000000"/>
                <w:sz w:val="18"/>
                <w:szCs w:val="18"/>
              </w:rPr>
              <w:t>pot</w:t>
            </w:r>
          </w:p>
        </w:tc>
        <w:tc>
          <w:tcPr>
            <w:tcW w:w="1080" w:type="dxa"/>
            <w:vAlign w:val="bottom"/>
          </w:tcPr>
          <w:p w14:paraId="0D404D48" w14:textId="14160160" w:rsidR="00BE0821" w:rsidRPr="00EC21FB" w:rsidRDefault="00BE0821" w:rsidP="00EC21FB">
            <w:pPr>
              <w:jc w:val="right"/>
              <w:rPr>
                <w:color w:val="000000"/>
                <w:sz w:val="18"/>
                <w:szCs w:val="18"/>
              </w:rPr>
            </w:pPr>
            <w:r w:rsidRPr="00EC21FB">
              <w:rPr>
                <w:color w:val="000000"/>
                <w:sz w:val="18"/>
                <w:szCs w:val="18"/>
              </w:rPr>
              <w:t>4.8</w:t>
            </w:r>
          </w:p>
        </w:tc>
        <w:tc>
          <w:tcPr>
            <w:tcW w:w="1170" w:type="dxa"/>
          </w:tcPr>
          <w:p w14:paraId="76E17608" w14:textId="2B3F7287" w:rsidR="00BE0821" w:rsidRPr="00EC21FB" w:rsidRDefault="00BE0821" w:rsidP="00EC21FB">
            <w:pPr>
              <w:jc w:val="right"/>
              <w:rPr>
                <w:color w:val="000000"/>
                <w:sz w:val="18"/>
                <w:szCs w:val="18"/>
              </w:rPr>
            </w:pPr>
            <w:r w:rsidRPr="00EC21FB">
              <w:rPr>
                <w:color w:val="000000"/>
                <w:sz w:val="18"/>
                <w:szCs w:val="18"/>
              </w:rPr>
              <w:t>0.4</w:t>
            </w:r>
          </w:p>
        </w:tc>
      </w:tr>
      <w:tr w:rsidR="00BE0821" w:rsidRPr="00380AE9" w14:paraId="0E0E7FEA" w14:textId="77777777" w:rsidTr="00BE0821">
        <w:sdt>
          <w:sdtPr>
            <w:rPr>
              <w:color w:val="000000"/>
              <w:sz w:val="18"/>
              <w:szCs w:val="18"/>
            </w:rPr>
            <w:tag w:val="MENDELEY_CITATION_v3_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"/>
            <w:id w:val="-824126350"/>
            <w:placeholder>
              <w:docPart w:val="5695E74E69925D458DF687F93D3D6E10"/>
            </w:placeholder>
          </w:sdtPr>
          <w:sdtContent>
            <w:tc>
              <w:tcPr>
                <w:tcW w:w="2245" w:type="dxa"/>
              </w:tcPr>
              <w:p w14:paraId="5C1AFCF1" w14:textId="0728BC36" w:rsidR="00BE0821" w:rsidRPr="00C15C33" w:rsidRDefault="00E807B5" w:rsidP="00EC21FB">
                <w:pPr>
                  <w:rPr>
                    <w:sz w:val="18"/>
                    <w:szCs w:val="18"/>
                  </w:rPr>
                </w:pPr>
                <w:r w:rsidRPr="00E807B5">
                  <w:rPr>
                    <w:rFonts w:eastAsia="Times New Roman"/>
                    <w:color w:val="000000"/>
                    <w:sz w:val="18"/>
                  </w:rPr>
                  <w:t>(Frost et al., 2009)</w:t>
                </w:r>
              </w:p>
            </w:tc>
          </w:sdtContent>
        </w:sdt>
        <w:tc>
          <w:tcPr>
            <w:tcW w:w="1260" w:type="dxa"/>
          </w:tcPr>
          <w:p w14:paraId="12669B25" w14:textId="2D828429" w:rsidR="00BE0821" w:rsidRPr="00C15C33" w:rsidRDefault="00BE0821" w:rsidP="00EC21FB">
            <w:pPr>
              <w:rPr>
                <w:color w:val="000000"/>
                <w:sz w:val="18"/>
                <w:szCs w:val="18"/>
              </w:rPr>
            </w:pPr>
            <w:r w:rsidRPr="00C15C33">
              <w:rPr>
                <w:color w:val="000000"/>
                <w:sz w:val="18"/>
                <w:szCs w:val="18"/>
              </w:rPr>
              <w:t>hammersmith</w:t>
            </w:r>
          </w:p>
        </w:tc>
        <w:tc>
          <w:tcPr>
            <w:tcW w:w="900" w:type="dxa"/>
            <w:vAlign w:val="bottom"/>
          </w:tcPr>
          <w:p w14:paraId="055A9C02" w14:textId="0314DBCA" w:rsidR="00BE0821" w:rsidRPr="00C15C33" w:rsidRDefault="00BE0821" w:rsidP="00EC21FB">
            <w:pPr>
              <w:jc w:val="right"/>
              <w:rPr>
                <w:color w:val="000000"/>
                <w:sz w:val="18"/>
                <w:szCs w:val="18"/>
              </w:rPr>
            </w:pPr>
            <w:r w:rsidRPr="00C15C33">
              <w:rPr>
                <w:color w:val="000000"/>
                <w:sz w:val="18"/>
                <w:szCs w:val="18"/>
              </w:rPr>
              <w:t>31.30</w:t>
            </w:r>
          </w:p>
        </w:tc>
        <w:tc>
          <w:tcPr>
            <w:tcW w:w="1080" w:type="dxa"/>
            <w:vAlign w:val="bottom"/>
          </w:tcPr>
          <w:p w14:paraId="001FA9BC" w14:textId="52409798" w:rsidR="00BE0821" w:rsidRPr="00C15C33" w:rsidRDefault="00BE0821" w:rsidP="00EC21FB">
            <w:pPr>
              <w:jc w:val="right"/>
              <w:rPr>
                <w:color w:val="000000"/>
                <w:sz w:val="18"/>
                <w:szCs w:val="18"/>
              </w:rPr>
            </w:pPr>
            <w:r w:rsidRPr="00C15C33">
              <w:rPr>
                <w:color w:val="000000"/>
                <w:sz w:val="18"/>
                <w:szCs w:val="18"/>
              </w:rPr>
              <w:t>-81.28</w:t>
            </w:r>
          </w:p>
        </w:tc>
        <w:tc>
          <w:tcPr>
            <w:tcW w:w="990" w:type="dxa"/>
          </w:tcPr>
          <w:p w14:paraId="107DB587" w14:textId="38DC84E6" w:rsidR="00BE0821" w:rsidRPr="00C15C33" w:rsidRDefault="00BE0821" w:rsidP="00EC21FB">
            <w:pPr>
              <w:jc w:val="right"/>
              <w:rPr>
                <w:color w:val="000000"/>
                <w:sz w:val="18"/>
                <w:szCs w:val="18"/>
              </w:rPr>
            </w:pPr>
            <w:r>
              <w:rPr>
                <w:color w:val="000000"/>
                <w:sz w:val="18"/>
                <w:szCs w:val="18"/>
              </w:rPr>
              <w:t>2</w:t>
            </w:r>
          </w:p>
        </w:tc>
        <w:tc>
          <w:tcPr>
            <w:tcW w:w="630" w:type="dxa"/>
            <w:vAlign w:val="center"/>
          </w:tcPr>
          <w:p w14:paraId="59BF3CD4" w14:textId="572687CA" w:rsidR="00BE0821" w:rsidRPr="00C15C33" w:rsidRDefault="00BE0821" w:rsidP="00EC21FB">
            <w:pPr>
              <w:jc w:val="right"/>
              <w:rPr>
                <w:color w:val="000000"/>
                <w:sz w:val="18"/>
                <w:szCs w:val="18"/>
              </w:rPr>
            </w:pPr>
            <w:r>
              <w:rPr>
                <w:color w:val="000000"/>
                <w:sz w:val="18"/>
                <w:szCs w:val="18"/>
              </w:rPr>
              <w:t>19.7</w:t>
            </w:r>
          </w:p>
        </w:tc>
        <w:tc>
          <w:tcPr>
            <w:tcW w:w="630" w:type="dxa"/>
            <w:vAlign w:val="center"/>
          </w:tcPr>
          <w:p w14:paraId="188D7F50" w14:textId="12D6FF9A" w:rsidR="00BE0821" w:rsidRPr="00C15C33" w:rsidRDefault="00BE0821" w:rsidP="00EC21FB">
            <w:pPr>
              <w:jc w:val="right"/>
              <w:rPr>
                <w:color w:val="000000"/>
                <w:sz w:val="18"/>
                <w:szCs w:val="18"/>
              </w:rPr>
            </w:pPr>
            <w:r>
              <w:rPr>
                <w:color w:val="000000"/>
                <w:sz w:val="18"/>
                <w:szCs w:val="18"/>
              </w:rPr>
              <w:t>0.86</w:t>
            </w:r>
          </w:p>
        </w:tc>
        <w:tc>
          <w:tcPr>
            <w:tcW w:w="630" w:type="dxa"/>
          </w:tcPr>
          <w:p w14:paraId="0759F051" w14:textId="26025C46" w:rsidR="00BE0821" w:rsidRPr="00C15C33" w:rsidRDefault="00BE0821" w:rsidP="00EC21FB">
            <w:pPr>
              <w:jc w:val="right"/>
              <w:rPr>
                <w:color w:val="000000"/>
                <w:sz w:val="18"/>
                <w:szCs w:val="18"/>
              </w:rPr>
            </w:pPr>
            <w:r>
              <w:rPr>
                <w:color w:val="000000"/>
                <w:sz w:val="18"/>
                <w:szCs w:val="18"/>
              </w:rPr>
              <w:t>801</w:t>
            </w:r>
          </w:p>
        </w:tc>
        <w:tc>
          <w:tcPr>
            <w:tcW w:w="1080" w:type="dxa"/>
            <w:vAlign w:val="bottom"/>
          </w:tcPr>
          <w:p w14:paraId="2064F525" w14:textId="3C1976CA" w:rsidR="00BE0821" w:rsidRPr="00EC21FB" w:rsidRDefault="00BE0821" w:rsidP="00EC21FB">
            <w:pPr>
              <w:jc w:val="right"/>
              <w:rPr>
                <w:color w:val="000000"/>
                <w:sz w:val="18"/>
                <w:szCs w:val="18"/>
              </w:rPr>
            </w:pPr>
            <w:r w:rsidRPr="00EC21FB">
              <w:rPr>
                <w:color w:val="000000"/>
                <w:sz w:val="18"/>
                <w:szCs w:val="18"/>
              </w:rPr>
              <w:t>wetland</w:t>
            </w:r>
          </w:p>
        </w:tc>
        <w:tc>
          <w:tcPr>
            <w:tcW w:w="1170" w:type="dxa"/>
            <w:vAlign w:val="bottom"/>
          </w:tcPr>
          <w:p w14:paraId="5C1D5C3D" w14:textId="37EF03BE"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6D687B28" w14:textId="676F5A20" w:rsidR="00BE0821" w:rsidRPr="00EC21FB" w:rsidRDefault="00BE0821" w:rsidP="00EC21FB">
            <w:pPr>
              <w:jc w:val="right"/>
              <w:rPr>
                <w:color w:val="000000"/>
                <w:sz w:val="18"/>
                <w:szCs w:val="18"/>
              </w:rPr>
            </w:pPr>
            <w:r w:rsidRPr="00EC21FB">
              <w:rPr>
                <w:color w:val="000000"/>
                <w:sz w:val="18"/>
                <w:szCs w:val="18"/>
              </w:rPr>
              <w:t>50</w:t>
            </w:r>
          </w:p>
        </w:tc>
        <w:tc>
          <w:tcPr>
            <w:tcW w:w="1170" w:type="dxa"/>
          </w:tcPr>
          <w:p w14:paraId="5C49960E" w14:textId="35E1701E"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77C35444" w14:textId="77777777" w:rsidTr="00BE0821">
        <w:sdt>
          <w:sdtPr>
            <w:rPr>
              <w:color w:val="000000"/>
              <w:sz w:val="18"/>
              <w:szCs w:val="18"/>
            </w:rPr>
            <w:tag w:val="MENDELEY_CITATION_v3_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"/>
            <w:id w:val="609779955"/>
            <w:placeholder>
              <w:docPart w:val="F39F8CD5B34B1B4EBA8F28AE94D3799E"/>
            </w:placeholder>
          </w:sdtPr>
          <w:sdtContent>
            <w:tc>
              <w:tcPr>
                <w:tcW w:w="2245" w:type="dxa"/>
              </w:tcPr>
              <w:p w14:paraId="5D4DEBE7" w14:textId="6C301F84" w:rsidR="00BE0821" w:rsidRPr="00C15C33" w:rsidRDefault="00E807B5" w:rsidP="00EC21FB">
                <w:pPr>
                  <w:rPr>
                    <w:sz w:val="18"/>
                    <w:szCs w:val="18"/>
                  </w:rPr>
                </w:pPr>
                <w:r w:rsidRPr="00E807B5">
                  <w:rPr>
                    <w:rFonts w:eastAsia="Times New Roman"/>
                    <w:color w:val="000000"/>
                    <w:sz w:val="18"/>
                  </w:rPr>
                  <w:t>(Gough &amp; Hobbie, 2003)</w:t>
                </w:r>
              </w:p>
            </w:tc>
          </w:sdtContent>
        </w:sdt>
        <w:tc>
          <w:tcPr>
            <w:tcW w:w="1260" w:type="dxa"/>
          </w:tcPr>
          <w:p w14:paraId="115FEA17" w14:textId="4408DF34" w:rsidR="00BE0821" w:rsidRPr="00BE0821" w:rsidRDefault="00BE0821" w:rsidP="00EC21FB">
            <w:pPr>
              <w:rPr>
                <w:color w:val="000000"/>
                <w:sz w:val="15"/>
                <w:szCs w:val="15"/>
              </w:rPr>
            </w:pPr>
            <w:proofErr w:type="spellStart"/>
            <w:r w:rsidRPr="00BE0821">
              <w:rPr>
                <w:color w:val="000000"/>
                <w:sz w:val="15"/>
                <w:szCs w:val="15"/>
              </w:rPr>
              <w:t>toolik_nonacidic</w:t>
            </w:r>
            <w:proofErr w:type="spellEnd"/>
          </w:p>
        </w:tc>
        <w:tc>
          <w:tcPr>
            <w:tcW w:w="900" w:type="dxa"/>
            <w:vAlign w:val="bottom"/>
          </w:tcPr>
          <w:p w14:paraId="27A440C9" w14:textId="2367A7BB" w:rsidR="00BE0821" w:rsidRPr="00C15C33" w:rsidRDefault="00BE0821" w:rsidP="00EC21FB">
            <w:pPr>
              <w:jc w:val="right"/>
              <w:rPr>
                <w:color w:val="000000"/>
                <w:sz w:val="18"/>
                <w:szCs w:val="18"/>
              </w:rPr>
            </w:pPr>
            <w:r w:rsidRPr="00C15C33">
              <w:rPr>
                <w:color w:val="000000"/>
                <w:sz w:val="18"/>
                <w:szCs w:val="18"/>
              </w:rPr>
              <w:t>68.63</w:t>
            </w:r>
          </w:p>
        </w:tc>
        <w:tc>
          <w:tcPr>
            <w:tcW w:w="1080" w:type="dxa"/>
            <w:vAlign w:val="bottom"/>
          </w:tcPr>
          <w:p w14:paraId="63561CFC" w14:textId="5A9A829B" w:rsidR="00BE0821" w:rsidRPr="00C15C33" w:rsidRDefault="00BE0821" w:rsidP="00EC21FB">
            <w:pPr>
              <w:jc w:val="right"/>
              <w:rPr>
                <w:color w:val="000000"/>
                <w:sz w:val="18"/>
                <w:szCs w:val="18"/>
              </w:rPr>
            </w:pPr>
            <w:r w:rsidRPr="00C15C33">
              <w:rPr>
                <w:color w:val="000000"/>
                <w:sz w:val="18"/>
                <w:szCs w:val="18"/>
              </w:rPr>
              <w:t>-149.72</w:t>
            </w:r>
          </w:p>
        </w:tc>
        <w:tc>
          <w:tcPr>
            <w:tcW w:w="990" w:type="dxa"/>
          </w:tcPr>
          <w:p w14:paraId="261B65DB" w14:textId="706AB23F" w:rsidR="00BE0821" w:rsidRPr="00C15C33" w:rsidRDefault="00BE0821" w:rsidP="00EC21FB">
            <w:pPr>
              <w:jc w:val="right"/>
              <w:rPr>
                <w:color w:val="000000"/>
                <w:sz w:val="18"/>
                <w:szCs w:val="18"/>
              </w:rPr>
            </w:pPr>
            <w:r>
              <w:rPr>
                <w:color w:val="000000"/>
                <w:sz w:val="18"/>
                <w:szCs w:val="18"/>
              </w:rPr>
              <w:t>726</w:t>
            </w:r>
          </w:p>
        </w:tc>
        <w:tc>
          <w:tcPr>
            <w:tcW w:w="630" w:type="dxa"/>
            <w:vAlign w:val="center"/>
          </w:tcPr>
          <w:p w14:paraId="79A2D1B3" w14:textId="3D0A750A" w:rsidR="00BE0821" w:rsidRPr="00C15C33" w:rsidRDefault="00BE0821" w:rsidP="00EC21FB">
            <w:pPr>
              <w:jc w:val="right"/>
              <w:rPr>
                <w:color w:val="000000"/>
                <w:sz w:val="18"/>
                <w:szCs w:val="18"/>
              </w:rPr>
            </w:pPr>
            <w:r>
              <w:rPr>
                <w:color w:val="000000"/>
                <w:sz w:val="18"/>
                <w:szCs w:val="18"/>
              </w:rPr>
              <w:t>6.8</w:t>
            </w:r>
          </w:p>
        </w:tc>
        <w:tc>
          <w:tcPr>
            <w:tcW w:w="630" w:type="dxa"/>
            <w:vAlign w:val="center"/>
          </w:tcPr>
          <w:p w14:paraId="7653BE47" w14:textId="221A6790" w:rsidR="00BE0821" w:rsidRPr="00C15C33" w:rsidRDefault="00BE0821" w:rsidP="00EC21FB">
            <w:pPr>
              <w:jc w:val="right"/>
              <w:rPr>
                <w:color w:val="000000"/>
                <w:sz w:val="18"/>
                <w:szCs w:val="18"/>
              </w:rPr>
            </w:pPr>
            <w:r>
              <w:rPr>
                <w:color w:val="000000"/>
                <w:sz w:val="18"/>
                <w:szCs w:val="18"/>
              </w:rPr>
              <w:t>0.52</w:t>
            </w:r>
          </w:p>
        </w:tc>
        <w:tc>
          <w:tcPr>
            <w:tcW w:w="630" w:type="dxa"/>
          </w:tcPr>
          <w:p w14:paraId="05B7AC8C" w14:textId="0EAB7707" w:rsidR="00BE0821" w:rsidRPr="00C15C33" w:rsidRDefault="00BE0821" w:rsidP="00EC21FB">
            <w:pPr>
              <w:jc w:val="right"/>
              <w:rPr>
                <w:color w:val="000000"/>
                <w:sz w:val="18"/>
                <w:szCs w:val="18"/>
              </w:rPr>
            </w:pPr>
            <w:r>
              <w:rPr>
                <w:color w:val="000000"/>
                <w:sz w:val="18"/>
                <w:szCs w:val="18"/>
              </w:rPr>
              <w:t>592</w:t>
            </w:r>
          </w:p>
        </w:tc>
        <w:tc>
          <w:tcPr>
            <w:tcW w:w="1080" w:type="dxa"/>
            <w:vAlign w:val="bottom"/>
          </w:tcPr>
          <w:p w14:paraId="726328FC" w14:textId="2496F75B" w:rsidR="00BE0821" w:rsidRPr="00EC21FB" w:rsidRDefault="00BE0821" w:rsidP="00EC21FB">
            <w:pPr>
              <w:jc w:val="right"/>
              <w:rPr>
                <w:color w:val="000000"/>
                <w:sz w:val="18"/>
                <w:szCs w:val="18"/>
              </w:rPr>
            </w:pPr>
            <w:r w:rsidRPr="00EC21FB">
              <w:rPr>
                <w:color w:val="000000"/>
                <w:sz w:val="18"/>
                <w:szCs w:val="18"/>
              </w:rPr>
              <w:t>tundra</w:t>
            </w:r>
          </w:p>
        </w:tc>
        <w:tc>
          <w:tcPr>
            <w:tcW w:w="1170" w:type="dxa"/>
            <w:vAlign w:val="bottom"/>
          </w:tcPr>
          <w:p w14:paraId="6128393D" w14:textId="4E9C2A56" w:rsidR="00BE0821" w:rsidRPr="00EC21FB" w:rsidRDefault="00BE0821" w:rsidP="00EC21FB">
            <w:pPr>
              <w:jc w:val="right"/>
              <w:rPr>
                <w:color w:val="000000"/>
                <w:sz w:val="18"/>
                <w:szCs w:val="18"/>
              </w:rPr>
            </w:pPr>
            <w:r w:rsidRPr="00EC21FB">
              <w:rPr>
                <w:color w:val="000000"/>
                <w:sz w:val="18"/>
                <w:szCs w:val="18"/>
              </w:rPr>
              <w:t>field</w:t>
            </w:r>
          </w:p>
        </w:tc>
        <w:tc>
          <w:tcPr>
            <w:tcW w:w="1080" w:type="dxa"/>
            <w:vAlign w:val="bottom"/>
          </w:tcPr>
          <w:p w14:paraId="5F28D65D" w14:textId="5810FBA2"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3CB49BA1" w14:textId="1E926041" w:rsidR="00BE0821" w:rsidRPr="00EC21FB" w:rsidRDefault="00BE0821" w:rsidP="00EC21FB">
            <w:pPr>
              <w:jc w:val="right"/>
              <w:rPr>
                <w:color w:val="000000"/>
                <w:sz w:val="18"/>
                <w:szCs w:val="18"/>
              </w:rPr>
            </w:pPr>
            <w:r w:rsidRPr="00EC21FB">
              <w:rPr>
                <w:color w:val="000000"/>
                <w:sz w:val="18"/>
                <w:szCs w:val="18"/>
              </w:rPr>
              <w:t>5</w:t>
            </w:r>
          </w:p>
        </w:tc>
      </w:tr>
      <w:tr w:rsidR="00BE0821" w:rsidRPr="00380AE9" w14:paraId="7A97C95D" w14:textId="77777777" w:rsidTr="00BE0821">
        <w:sdt>
          <w:sdtPr>
            <w:rPr>
              <w:color w:val="000000"/>
              <w:sz w:val="18"/>
              <w:szCs w:val="18"/>
            </w:rPr>
            <w:tag w:val="MENDELEY_CITATION_v3_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"/>
            <w:id w:val="1945114106"/>
            <w:placeholder>
              <w:docPart w:val="B1DC159B3313394086F35CBEF557FBEA"/>
            </w:placeholder>
          </w:sdtPr>
          <w:sdtContent>
            <w:tc>
              <w:tcPr>
                <w:tcW w:w="2245" w:type="dxa"/>
              </w:tcPr>
              <w:p w14:paraId="1B849A4F" w14:textId="09927CA7" w:rsidR="00BE0821" w:rsidRPr="00C15C33" w:rsidRDefault="00E807B5" w:rsidP="00EC21FB">
                <w:pPr>
                  <w:rPr>
                    <w:sz w:val="18"/>
                    <w:szCs w:val="18"/>
                  </w:rPr>
                </w:pPr>
                <w:r w:rsidRPr="00E807B5">
                  <w:rPr>
                    <w:rFonts w:eastAsia="Times New Roman"/>
                    <w:color w:val="000000"/>
                    <w:sz w:val="18"/>
                  </w:rPr>
                  <w:t>(</w:t>
                </w:r>
                <w:proofErr w:type="spellStart"/>
                <w:r w:rsidRPr="00E807B5">
                  <w:rPr>
                    <w:rFonts w:eastAsia="Times New Roman"/>
                    <w:color w:val="000000"/>
                    <w:sz w:val="18"/>
                  </w:rPr>
                  <w:t>Güsewell</w:t>
                </w:r>
                <w:proofErr w:type="spellEnd"/>
                <w:r w:rsidRPr="00E807B5">
                  <w:rPr>
                    <w:rFonts w:eastAsia="Times New Roman"/>
                    <w:color w:val="000000"/>
                    <w:sz w:val="18"/>
                  </w:rPr>
                  <w:t xml:space="preserve"> et al., 2002)</w:t>
                </w:r>
              </w:p>
            </w:tc>
          </w:sdtContent>
        </w:sdt>
        <w:tc>
          <w:tcPr>
            <w:tcW w:w="1260" w:type="dxa"/>
          </w:tcPr>
          <w:p w14:paraId="492087DD" w14:textId="79086B82" w:rsidR="00BE0821" w:rsidRPr="00C15C33" w:rsidRDefault="00BE0821" w:rsidP="00EC21FB">
            <w:pPr>
              <w:rPr>
                <w:color w:val="000000"/>
                <w:sz w:val="18"/>
                <w:szCs w:val="18"/>
              </w:rPr>
            </w:pPr>
            <w:proofErr w:type="spellStart"/>
            <w:r w:rsidRPr="00C15C33">
              <w:rPr>
                <w:color w:val="000000"/>
                <w:sz w:val="18"/>
                <w:szCs w:val="18"/>
              </w:rPr>
              <w:t>vechtplassen</w:t>
            </w:r>
            <w:proofErr w:type="spellEnd"/>
          </w:p>
        </w:tc>
        <w:tc>
          <w:tcPr>
            <w:tcW w:w="900" w:type="dxa"/>
            <w:vAlign w:val="bottom"/>
          </w:tcPr>
          <w:p w14:paraId="000907D9" w14:textId="53114C14" w:rsidR="00BE0821" w:rsidRPr="00C15C33" w:rsidRDefault="00BE0821" w:rsidP="00EC21FB">
            <w:pPr>
              <w:jc w:val="right"/>
              <w:rPr>
                <w:color w:val="000000"/>
                <w:sz w:val="18"/>
                <w:szCs w:val="18"/>
              </w:rPr>
            </w:pPr>
            <w:r w:rsidRPr="00C15C33">
              <w:rPr>
                <w:color w:val="000000"/>
                <w:sz w:val="18"/>
                <w:szCs w:val="18"/>
              </w:rPr>
              <w:t>52.50</w:t>
            </w:r>
          </w:p>
        </w:tc>
        <w:tc>
          <w:tcPr>
            <w:tcW w:w="1080" w:type="dxa"/>
            <w:vAlign w:val="bottom"/>
          </w:tcPr>
          <w:p w14:paraId="757ECC25" w14:textId="59A0886F" w:rsidR="00BE0821" w:rsidRPr="00C15C33" w:rsidRDefault="00BE0821" w:rsidP="00EC21FB">
            <w:pPr>
              <w:jc w:val="right"/>
              <w:rPr>
                <w:color w:val="000000"/>
                <w:sz w:val="18"/>
                <w:szCs w:val="18"/>
              </w:rPr>
            </w:pPr>
            <w:r w:rsidRPr="00C15C33">
              <w:rPr>
                <w:color w:val="000000"/>
                <w:sz w:val="18"/>
                <w:szCs w:val="18"/>
              </w:rPr>
              <w:t>5.70</w:t>
            </w:r>
          </w:p>
        </w:tc>
        <w:tc>
          <w:tcPr>
            <w:tcW w:w="990" w:type="dxa"/>
          </w:tcPr>
          <w:p w14:paraId="3E37941F" w14:textId="5F9A2E62" w:rsidR="00BE0821" w:rsidRPr="00C15C33" w:rsidRDefault="00BE0821" w:rsidP="00EC21FB">
            <w:pPr>
              <w:jc w:val="right"/>
              <w:rPr>
                <w:color w:val="000000"/>
                <w:sz w:val="18"/>
                <w:szCs w:val="18"/>
              </w:rPr>
            </w:pPr>
            <w:r>
              <w:rPr>
                <w:color w:val="000000"/>
                <w:sz w:val="18"/>
                <w:szCs w:val="18"/>
              </w:rPr>
              <w:t>-5</w:t>
            </w:r>
          </w:p>
        </w:tc>
        <w:tc>
          <w:tcPr>
            <w:tcW w:w="630" w:type="dxa"/>
            <w:vAlign w:val="center"/>
          </w:tcPr>
          <w:p w14:paraId="1C6AB01D" w14:textId="27EAB15C" w:rsidR="00BE0821" w:rsidRPr="00C15C33" w:rsidRDefault="00BE0821" w:rsidP="00EC21FB">
            <w:pPr>
              <w:jc w:val="right"/>
              <w:rPr>
                <w:color w:val="000000"/>
                <w:sz w:val="18"/>
                <w:szCs w:val="18"/>
              </w:rPr>
            </w:pPr>
            <w:r>
              <w:rPr>
                <w:color w:val="000000"/>
                <w:sz w:val="18"/>
                <w:szCs w:val="18"/>
              </w:rPr>
              <w:t>9.8</w:t>
            </w:r>
          </w:p>
        </w:tc>
        <w:tc>
          <w:tcPr>
            <w:tcW w:w="630" w:type="dxa"/>
            <w:vAlign w:val="center"/>
          </w:tcPr>
          <w:p w14:paraId="43F315A3" w14:textId="6B11FBF3" w:rsidR="00BE0821" w:rsidRPr="00C15C33" w:rsidRDefault="00BE0821" w:rsidP="00EC21FB">
            <w:pPr>
              <w:jc w:val="right"/>
              <w:rPr>
                <w:color w:val="000000"/>
                <w:sz w:val="18"/>
                <w:szCs w:val="18"/>
              </w:rPr>
            </w:pPr>
            <w:r>
              <w:rPr>
                <w:color w:val="000000"/>
                <w:sz w:val="18"/>
                <w:szCs w:val="18"/>
              </w:rPr>
              <w:t>1.58</w:t>
            </w:r>
          </w:p>
        </w:tc>
        <w:tc>
          <w:tcPr>
            <w:tcW w:w="630" w:type="dxa"/>
          </w:tcPr>
          <w:p w14:paraId="5F91E488" w14:textId="79560D36" w:rsidR="00BE0821" w:rsidRPr="00C15C33" w:rsidRDefault="00C31920" w:rsidP="00EC21FB">
            <w:pPr>
              <w:jc w:val="right"/>
              <w:rPr>
                <w:color w:val="000000"/>
                <w:sz w:val="18"/>
                <w:szCs w:val="18"/>
              </w:rPr>
            </w:pPr>
            <w:r>
              <w:rPr>
                <w:color w:val="000000"/>
                <w:sz w:val="18"/>
                <w:szCs w:val="18"/>
              </w:rPr>
              <w:t>471</w:t>
            </w:r>
          </w:p>
        </w:tc>
        <w:tc>
          <w:tcPr>
            <w:tcW w:w="1080" w:type="dxa"/>
            <w:vAlign w:val="bottom"/>
          </w:tcPr>
          <w:p w14:paraId="7AF918D5" w14:textId="70834E64" w:rsidR="00BE0821" w:rsidRPr="00EC21FB" w:rsidRDefault="00BE0821" w:rsidP="00EC21FB">
            <w:pPr>
              <w:jc w:val="right"/>
              <w:rPr>
                <w:color w:val="000000"/>
                <w:sz w:val="18"/>
                <w:szCs w:val="18"/>
              </w:rPr>
            </w:pPr>
            <w:r w:rsidRPr="00EC21FB">
              <w:rPr>
                <w:color w:val="000000"/>
                <w:sz w:val="18"/>
                <w:szCs w:val="18"/>
              </w:rPr>
              <w:t>wetland</w:t>
            </w:r>
          </w:p>
        </w:tc>
        <w:tc>
          <w:tcPr>
            <w:tcW w:w="1170" w:type="dxa"/>
            <w:vAlign w:val="bottom"/>
          </w:tcPr>
          <w:p w14:paraId="413AA501" w14:textId="786335AE" w:rsidR="00BE0821" w:rsidRPr="00EC21FB" w:rsidRDefault="00BE0821" w:rsidP="00EC21FB">
            <w:pPr>
              <w:jc w:val="right"/>
              <w:rPr>
                <w:color w:val="000000"/>
                <w:sz w:val="18"/>
                <w:szCs w:val="18"/>
              </w:rPr>
            </w:pPr>
            <w:r w:rsidRPr="00EC21FB">
              <w:rPr>
                <w:color w:val="000000"/>
                <w:sz w:val="18"/>
                <w:szCs w:val="18"/>
              </w:rPr>
              <w:t>field</w:t>
            </w:r>
          </w:p>
        </w:tc>
        <w:tc>
          <w:tcPr>
            <w:tcW w:w="1080" w:type="dxa"/>
            <w:vAlign w:val="bottom"/>
          </w:tcPr>
          <w:p w14:paraId="01D8FA59" w14:textId="110F4EDF" w:rsidR="00BE0821" w:rsidRPr="00EC21FB" w:rsidRDefault="00BE0821" w:rsidP="00EC21FB">
            <w:pPr>
              <w:jc w:val="right"/>
              <w:rPr>
                <w:color w:val="000000"/>
                <w:sz w:val="18"/>
                <w:szCs w:val="18"/>
              </w:rPr>
            </w:pPr>
            <w:r w:rsidRPr="00EC21FB">
              <w:rPr>
                <w:color w:val="000000"/>
                <w:sz w:val="18"/>
                <w:szCs w:val="18"/>
              </w:rPr>
              <w:t>20</w:t>
            </w:r>
          </w:p>
        </w:tc>
        <w:tc>
          <w:tcPr>
            <w:tcW w:w="1170" w:type="dxa"/>
          </w:tcPr>
          <w:p w14:paraId="7C08D9C8" w14:textId="135181D4" w:rsidR="00BE0821" w:rsidRPr="00EC21FB" w:rsidRDefault="00BE0821" w:rsidP="00EC21FB">
            <w:pPr>
              <w:jc w:val="right"/>
              <w:rPr>
                <w:color w:val="000000"/>
                <w:sz w:val="18"/>
                <w:szCs w:val="18"/>
              </w:rPr>
            </w:pPr>
            <w:r w:rsidRPr="00EC21FB">
              <w:rPr>
                <w:color w:val="000000"/>
                <w:sz w:val="18"/>
                <w:szCs w:val="18"/>
              </w:rPr>
              <w:t>5</w:t>
            </w:r>
          </w:p>
        </w:tc>
      </w:tr>
      <w:tr w:rsidR="00C31920" w:rsidRPr="00380AE9" w14:paraId="5FBBDE4C" w14:textId="77777777" w:rsidTr="00BE0821">
        <w:sdt>
          <w:sdtPr>
            <w:rPr>
              <w:color w:val="000000"/>
              <w:sz w:val="18"/>
              <w:szCs w:val="18"/>
            </w:rPr>
            <w:tag w:val="MENDELEY_CITATION_v3_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"/>
            <w:id w:val="-577287932"/>
            <w:placeholder>
              <w:docPart w:val="6A534B597EEDE94AA6CD3753C7EB24EF"/>
            </w:placeholder>
          </w:sdtPr>
          <w:sdtContent>
            <w:tc>
              <w:tcPr>
                <w:tcW w:w="2245" w:type="dxa"/>
                <w:vMerge w:val="restart"/>
                <w:vAlign w:val="center"/>
              </w:tcPr>
              <w:p w14:paraId="2C14E15C" w14:textId="02EE3919" w:rsidR="00C31920" w:rsidRPr="00C15C33" w:rsidRDefault="00E807B5" w:rsidP="00EC21FB">
                <w:pPr>
                  <w:rPr>
                    <w:sz w:val="18"/>
                    <w:szCs w:val="18"/>
                  </w:rPr>
                </w:pPr>
                <w:r w:rsidRPr="00E807B5">
                  <w:rPr>
                    <w:rFonts w:eastAsia="Times New Roman"/>
                    <w:color w:val="000000"/>
                    <w:sz w:val="18"/>
                  </w:rPr>
                  <w:t>(</w:t>
                </w:r>
                <w:proofErr w:type="spellStart"/>
                <w:r w:rsidRPr="00E807B5">
                  <w:rPr>
                    <w:rFonts w:eastAsia="Times New Roman"/>
                    <w:color w:val="000000"/>
                    <w:sz w:val="18"/>
                  </w:rPr>
                  <w:t>Güsewell</w:t>
                </w:r>
                <w:proofErr w:type="spellEnd"/>
                <w:r w:rsidRPr="00E807B5">
                  <w:rPr>
                    <w:rFonts w:eastAsia="Times New Roman"/>
                    <w:color w:val="000000"/>
                    <w:sz w:val="18"/>
                  </w:rPr>
                  <w:t xml:space="preserve"> et al., 2003)</w:t>
                </w:r>
              </w:p>
            </w:tc>
          </w:sdtContent>
        </w:sdt>
        <w:tc>
          <w:tcPr>
            <w:tcW w:w="1260" w:type="dxa"/>
            <w:vAlign w:val="bottom"/>
          </w:tcPr>
          <w:p w14:paraId="3816418B" w14:textId="337A794B" w:rsidR="00C31920" w:rsidRPr="00C15C33" w:rsidRDefault="00C31920" w:rsidP="00EC21FB">
            <w:pPr>
              <w:rPr>
                <w:color w:val="000000"/>
                <w:sz w:val="18"/>
                <w:szCs w:val="18"/>
              </w:rPr>
            </w:pPr>
            <w:r w:rsidRPr="00C15C33">
              <w:rPr>
                <w:color w:val="000000"/>
                <w:sz w:val="18"/>
                <w:szCs w:val="18"/>
              </w:rPr>
              <w:t>gusewellS1</w:t>
            </w:r>
          </w:p>
        </w:tc>
        <w:tc>
          <w:tcPr>
            <w:tcW w:w="900" w:type="dxa"/>
            <w:vAlign w:val="bottom"/>
          </w:tcPr>
          <w:p w14:paraId="48DD3109" w14:textId="7C8C05B6" w:rsidR="00C31920" w:rsidRPr="00C15C33" w:rsidRDefault="00C31920" w:rsidP="00EC21FB">
            <w:pPr>
              <w:jc w:val="right"/>
              <w:rPr>
                <w:color w:val="000000"/>
                <w:sz w:val="18"/>
                <w:szCs w:val="18"/>
              </w:rPr>
            </w:pPr>
            <w:r w:rsidRPr="00C15C33">
              <w:rPr>
                <w:color w:val="000000"/>
                <w:sz w:val="18"/>
                <w:szCs w:val="18"/>
              </w:rPr>
              <w:t>51.70</w:t>
            </w:r>
          </w:p>
        </w:tc>
        <w:tc>
          <w:tcPr>
            <w:tcW w:w="1080" w:type="dxa"/>
            <w:vAlign w:val="bottom"/>
          </w:tcPr>
          <w:p w14:paraId="68AF014E" w14:textId="22C424A9" w:rsidR="00C31920" w:rsidRPr="00C15C33" w:rsidRDefault="00C31920" w:rsidP="00EC21FB">
            <w:pPr>
              <w:jc w:val="right"/>
              <w:rPr>
                <w:color w:val="000000"/>
                <w:sz w:val="18"/>
                <w:szCs w:val="18"/>
              </w:rPr>
            </w:pPr>
            <w:r w:rsidRPr="00C15C33">
              <w:rPr>
                <w:color w:val="000000"/>
                <w:sz w:val="18"/>
                <w:szCs w:val="18"/>
              </w:rPr>
              <w:t>3.90</w:t>
            </w:r>
          </w:p>
        </w:tc>
        <w:tc>
          <w:tcPr>
            <w:tcW w:w="990" w:type="dxa"/>
          </w:tcPr>
          <w:p w14:paraId="5569C26C" w14:textId="10ED6B1C" w:rsidR="00C31920" w:rsidRPr="00C15C33" w:rsidRDefault="00C31920" w:rsidP="00EC21FB">
            <w:pPr>
              <w:jc w:val="right"/>
              <w:rPr>
                <w:color w:val="000000"/>
                <w:sz w:val="18"/>
                <w:szCs w:val="18"/>
              </w:rPr>
            </w:pPr>
            <w:r>
              <w:rPr>
                <w:color w:val="000000"/>
                <w:sz w:val="18"/>
                <w:szCs w:val="18"/>
              </w:rPr>
              <w:t>-2</w:t>
            </w:r>
          </w:p>
        </w:tc>
        <w:tc>
          <w:tcPr>
            <w:tcW w:w="630" w:type="dxa"/>
            <w:vAlign w:val="center"/>
          </w:tcPr>
          <w:p w14:paraId="1CD201C7" w14:textId="2A472758" w:rsidR="00C31920" w:rsidRPr="00C15C33" w:rsidRDefault="00C31920" w:rsidP="00EC21FB">
            <w:pPr>
              <w:jc w:val="right"/>
              <w:rPr>
                <w:color w:val="000000"/>
                <w:sz w:val="18"/>
                <w:szCs w:val="18"/>
              </w:rPr>
            </w:pPr>
            <w:r>
              <w:rPr>
                <w:color w:val="000000"/>
                <w:sz w:val="18"/>
                <w:szCs w:val="18"/>
              </w:rPr>
              <w:t>10.2</w:t>
            </w:r>
          </w:p>
        </w:tc>
        <w:tc>
          <w:tcPr>
            <w:tcW w:w="630" w:type="dxa"/>
            <w:vAlign w:val="center"/>
          </w:tcPr>
          <w:p w14:paraId="3F9AED1C" w14:textId="23CF1F2F" w:rsidR="00C31920" w:rsidRPr="00C15C33" w:rsidRDefault="00C31920" w:rsidP="00EC21FB">
            <w:pPr>
              <w:jc w:val="right"/>
              <w:rPr>
                <w:color w:val="000000"/>
                <w:sz w:val="18"/>
                <w:szCs w:val="18"/>
              </w:rPr>
            </w:pPr>
            <w:r>
              <w:rPr>
                <w:color w:val="000000"/>
                <w:sz w:val="18"/>
                <w:szCs w:val="18"/>
              </w:rPr>
              <w:t>1.42</w:t>
            </w:r>
          </w:p>
        </w:tc>
        <w:tc>
          <w:tcPr>
            <w:tcW w:w="630" w:type="dxa"/>
          </w:tcPr>
          <w:p w14:paraId="35871F64" w14:textId="35CA1A07" w:rsidR="00C31920" w:rsidRPr="00C15C33" w:rsidRDefault="00C31920" w:rsidP="00EC21FB">
            <w:pPr>
              <w:jc w:val="right"/>
              <w:rPr>
                <w:color w:val="000000"/>
                <w:sz w:val="18"/>
                <w:szCs w:val="18"/>
              </w:rPr>
            </w:pPr>
            <w:r>
              <w:rPr>
                <w:color w:val="000000"/>
                <w:sz w:val="18"/>
                <w:szCs w:val="18"/>
              </w:rPr>
              <w:t>493</w:t>
            </w:r>
          </w:p>
        </w:tc>
        <w:tc>
          <w:tcPr>
            <w:tcW w:w="1080" w:type="dxa"/>
            <w:vAlign w:val="bottom"/>
          </w:tcPr>
          <w:p w14:paraId="1BCC1F77" w14:textId="38EE5A10"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00DFCD6F" w14:textId="2B01EC8F"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24D8CD74" w14:textId="03DCEE23" w:rsidR="00C31920" w:rsidRPr="00EC21FB" w:rsidRDefault="00C31920" w:rsidP="00EC21FB">
            <w:pPr>
              <w:jc w:val="right"/>
              <w:rPr>
                <w:color w:val="000000"/>
                <w:sz w:val="18"/>
                <w:szCs w:val="18"/>
              </w:rPr>
            </w:pPr>
            <w:r w:rsidRPr="00EC21FB">
              <w:rPr>
                <w:color w:val="000000"/>
                <w:sz w:val="18"/>
                <w:szCs w:val="18"/>
              </w:rPr>
              <w:t>20</w:t>
            </w:r>
          </w:p>
        </w:tc>
        <w:tc>
          <w:tcPr>
            <w:tcW w:w="1170" w:type="dxa"/>
          </w:tcPr>
          <w:p w14:paraId="2C4EA27A" w14:textId="4DA8736E" w:rsidR="00C31920" w:rsidRPr="00EC21FB" w:rsidRDefault="00C31920" w:rsidP="00EC21FB">
            <w:pPr>
              <w:jc w:val="right"/>
              <w:rPr>
                <w:color w:val="000000"/>
                <w:sz w:val="18"/>
                <w:szCs w:val="18"/>
              </w:rPr>
            </w:pPr>
            <w:r w:rsidRPr="00EC21FB">
              <w:rPr>
                <w:color w:val="000000"/>
                <w:sz w:val="18"/>
                <w:szCs w:val="18"/>
              </w:rPr>
              <w:t>5</w:t>
            </w:r>
          </w:p>
        </w:tc>
      </w:tr>
      <w:tr w:rsidR="00C31920" w:rsidRPr="00380AE9" w14:paraId="44076EA2" w14:textId="77777777" w:rsidTr="00BE0821">
        <w:tc>
          <w:tcPr>
            <w:tcW w:w="2245" w:type="dxa"/>
            <w:vMerge/>
          </w:tcPr>
          <w:p w14:paraId="454C061A" w14:textId="77777777" w:rsidR="00C31920" w:rsidRPr="00C15C33" w:rsidRDefault="00C31920" w:rsidP="00C31920">
            <w:pPr>
              <w:rPr>
                <w:sz w:val="18"/>
                <w:szCs w:val="18"/>
              </w:rPr>
            </w:pPr>
          </w:p>
        </w:tc>
        <w:tc>
          <w:tcPr>
            <w:tcW w:w="1260" w:type="dxa"/>
            <w:vAlign w:val="bottom"/>
          </w:tcPr>
          <w:p w14:paraId="1092F8AD" w14:textId="59BF1F84" w:rsidR="00C31920" w:rsidRPr="00C15C33" w:rsidRDefault="00C31920" w:rsidP="00C31920">
            <w:pPr>
              <w:rPr>
                <w:color w:val="000000"/>
                <w:sz w:val="18"/>
                <w:szCs w:val="18"/>
              </w:rPr>
            </w:pPr>
            <w:r w:rsidRPr="00C15C33">
              <w:rPr>
                <w:color w:val="000000"/>
                <w:sz w:val="18"/>
                <w:szCs w:val="18"/>
              </w:rPr>
              <w:t>gusewellS2</w:t>
            </w:r>
          </w:p>
        </w:tc>
        <w:tc>
          <w:tcPr>
            <w:tcW w:w="900" w:type="dxa"/>
            <w:vAlign w:val="bottom"/>
          </w:tcPr>
          <w:p w14:paraId="715AC788" w14:textId="1428E6AB" w:rsidR="00C31920" w:rsidRPr="00C15C33" w:rsidRDefault="00C31920" w:rsidP="00C31920">
            <w:pPr>
              <w:jc w:val="right"/>
              <w:rPr>
                <w:color w:val="000000"/>
                <w:sz w:val="18"/>
                <w:szCs w:val="18"/>
              </w:rPr>
            </w:pPr>
            <w:r w:rsidRPr="00C15C33">
              <w:rPr>
                <w:color w:val="000000"/>
                <w:sz w:val="18"/>
                <w:szCs w:val="18"/>
              </w:rPr>
              <w:t>51.70</w:t>
            </w:r>
          </w:p>
        </w:tc>
        <w:tc>
          <w:tcPr>
            <w:tcW w:w="1080" w:type="dxa"/>
            <w:vAlign w:val="bottom"/>
          </w:tcPr>
          <w:p w14:paraId="42A59F92" w14:textId="0025EE30" w:rsidR="00C31920" w:rsidRPr="00C15C33" w:rsidRDefault="00C31920" w:rsidP="00C31920">
            <w:pPr>
              <w:jc w:val="right"/>
              <w:rPr>
                <w:color w:val="000000"/>
                <w:sz w:val="18"/>
                <w:szCs w:val="18"/>
              </w:rPr>
            </w:pPr>
            <w:r w:rsidRPr="00C15C33">
              <w:rPr>
                <w:color w:val="000000"/>
                <w:sz w:val="18"/>
                <w:szCs w:val="18"/>
              </w:rPr>
              <w:t>3.90</w:t>
            </w:r>
          </w:p>
        </w:tc>
        <w:tc>
          <w:tcPr>
            <w:tcW w:w="990" w:type="dxa"/>
          </w:tcPr>
          <w:p w14:paraId="25608B25" w14:textId="476F615B" w:rsidR="00C31920" w:rsidRPr="00C15C33" w:rsidRDefault="00C31920" w:rsidP="00C31920">
            <w:pPr>
              <w:jc w:val="right"/>
              <w:rPr>
                <w:color w:val="000000"/>
                <w:sz w:val="18"/>
                <w:szCs w:val="18"/>
              </w:rPr>
            </w:pPr>
            <w:r>
              <w:rPr>
                <w:color w:val="000000"/>
                <w:sz w:val="18"/>
                <w:szCs w:val="18"/>
              </w:rPr>
              <w:t>-2</w:t>
            </w:r>
          </w:p>
        </w:tc>
        <w:tc>
          <w:tcPr>
            <w:tcW w:w="630" w:type="dxa"/>
            <w:vAlign w:val="center"/>
          </w:tcPr>
          <w:p w14:paraId="66E784EB" w14:textId="16F6B568" w:rsidR="00C31920" w:rsidRPr="00C15C33" w:rsidRDefault="00C31920" w:rsidP="00C31920">
            <w:pPr>
              <w:jc w:val="right"/>
              <w:rPr>
                <w:color w:val="000000"/>
                <w:sz w:val="18"/>
                <w:szCs w:val="18"/>
              </w:rPr>
            </w:pPr>
            <w:r>
              <w:rPr>
                <w:color w:val="000000"/>
                <w:sz w:val="18"/>
                <w:szCs w:val="18"/>
              </w:rPr>
              <w:t>10.2</w:t>
            </w:r>
          </w:p>
        </w:tc>
        <w:tc>
          <w:tcPr>
            <w:tcW w:w="630" w:type="dxa"/>
            <w:vAlign w:val="center"/>
          </w:tcPr>
          <w:p w14:paraId="5AE32641" w14:textId="119A05FD" w:rsidR="00C31920" w:rsidRPr="00C15C33" w:rsidRDefault="00C31920" w:rsidP="00C31920">
            <w:pPr>
              <w:jc w:val="right"/>
              <w:rPr>
                <w:color w:val="000000"/>
                <w:sz w:val="18"/>
                <w:szCs w:val="18"/>
              </w:rPr>
            </w:pPr>
            <w:r>
              <w:rPr>
                <w:color w:val="000000"/>
                <w:sz w:val="18"/>
                <w:szCs w:val="18"/>
              </w:rPr>
              <w:t>1.42</w:t>
            </w:r>
          </w:p>
        </w:tc>
        <w:tc>
          <w:tcPr>
            <w:tcW w:w="630" w:type="dxa"/>
          </w:tcPr>
          <w:p w14:paraId="573F6141" w14:textId="5CE47F05" w:rsidR="00C31920" w:rsidRPr="00C15C33" w:rsidRDefault="00C31920" w:rsidP="00C31920">
            <w:pPr>
              <w:jc w:val="right"/>
              <w:rPr>
                <w:color w:val="000000"/>
                <w:sz w:val="18"/>
                <w:szCs w:val="18"/>
              </w:rPr>
            </w:pPr>
            <w:r>
              <w:rPr>
                <w:color w:val="000000"/>
                <w:sz w:val="18"/>
                <w:szCs w:val="18"/>
              </w:rPr>
              <w:t>493</w:t>
            </w:r>
          </w:p>
        </w:tc>
        <w:tc>
          <w:tcPr>
            <w:tcW w:w="1080" w:type="dxa"/>
            <w:vAlign w:val="bottom"/>
          </w:tcPr>
          <w:p w14:paraId="3582EC0E" w14:textId="52611E13"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7AA6AF12" w14:textId="72CB93F1"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67974B82" w14:textId="06F78AFA"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3238B1BD" w14:textId="619B470D" w:rsidR="00C31920" w:rsidRPr="00EC21FB" w:rsidRDefault="00C31920" w:rsidP="00C31920">
            <w:pPr>
              <w:jc w:val="right"/>
              <w:rPr>
                <w:color w:val="000000"/>
                <w:sz w:val="18"/>
                <w:szCs w:val="18"/>
              </w:rPr>
            </w:pPr>
            <w:r w:rsidRPr="00EC21FB">
              <w:rPr>
                <w:color w:val="000000"/>
                <w:sz w:val="18"/>
                <w:szCs w:val="18"/>
              </w:rPr>
              <w:t>5</w:t>
            </w:r>
          </w:p>
        </w:tc>
      </w:tr>
      <w:tr w:rsidR="00C31920" w:rsidRPr="00380AE9" w14:paraId="3759D97D" w14:textId="77777777" w:rsidTr="00BE0821">
        <w:tc>
          <w:tcPr>
            <w:tcW w:w="2245" w:type="dxa"/>
            <w:vMerge/>
          </w:tcPr>
          <w:p w14:paraId="2C38B575" w14:textId="77777777" w:rsidR="00C31920" w:rsidRPr="00C15C33" w:rsidRDefault="00C31920" w:rsidP="00C31920">
            <w:pPr>
              <w:rPr>
                <w:sz w:val="18"/>
                <w:szCs w:val="18"/>
              </w:rPr>
            </w:pPr>
          </w:p>
        </w:tc>
        <w:tc>
          <w:tcPr>
            <w:tcW w:w="1260" w:type="dxa"/>
            <w:vAlign w:val="bottom"/>
          </w:tcPr>
          <w:p w14:paraId="16961C61" w14:textId="6AC2E4F3" w:rsidR="00C31920" w:rsidRPr="00C15C33" w:rsidRDefault="00C31920" w:rsidP="00C31920">
            <w:pPr>
              <w:rPr>
                <w:color w:val="000000"/>
                <w:sz w:val="18"/>
                <w:szCs w:val="18"/>
              </w:rPr>
            </w:pPr>
            <w:r>
              <w:rPr>
                <w:color w:val="000000"/>
                <w:sz w:val="18"/>
                <w:szCs w:val="18"/>
              </w:rPr>
              <w:t>gusewellV1</w:t>
            </w:r>
          </w:p>
        </w:tc>
        <w:tc>
          <w:tcPr>
            <w:tcW w:w="900" w:type="dxa"/>
            <w:vAlign w:val="bottom"/>
          </w:tcPr>
          <w:p w14:paraId="17CB64AC" w14:textId="3DD21D42" w:rsidR="00C31920" w:rsidRPr="00C31920" w:rsidRDefault="00C31920" w:rsidP="00C31920">
            <w:pPr>
              <w:jc w:val="right"/>
              <w:rPr>
                <w:color w:val="000000"/>
                <w:sz w:val="18"/>
                <w:szCs w:val="18"/>
              </w:rPr>
            </w:pPr>
            <w:r w:rsidRPr="00C31920">
              <w:rPr>
                <w:color w:val="000000"/>
                <w:sz w:val="18"/>
                <w:szCs w:val="18"/>
              </w:rPr>
              <w:t>51.7</w:t>
            </w:r>
          </w:p>
        </w:tc>
        <w:tc>
          <w:tcPr>
            <w:tcW w:w="1080" w:type="dxa"/>
            <w:vAlign w:val="bottom"/>
          </w:tcPr>
          <w:p w14:paraId="70E1CD22" w14:textId="40B9391B" w:rsidR="00C31920" w:rsidRPr="00C31920" w:rsidRDefault="00C31920" w:rsidP="00C31920">
            <w:pPr>
              <w:jc w:val="right"/>
              <w:rPr>
                <w:color w:val="000000"/>
                <w:sz w:val="18"/>
                <w:szCs w:val="18"/>
              </w:rPr>
            </w:pPr>
            <w:r w:rsidRPr="00C31920">
              <w:rPr>
                <w:color w:val="000000"/>
                <w:sz w:val="18"/>
                <w:szCs w:val="18"/>
              </w:rPr>
              <w:t>3.9</w:t>
            </w:r>
          </w:p>
        </w:tc>
        <w:tc>
          <w:tcPr>
            <w:tcW w:w="990" w:type="dxa"/>
          </w:tcPr>
          <w:p w14:paraId="21878977" w14:textId="44E9C0ED" w:rsidR="00C31920" w:rsidRPr="00C15C33" w:rsidRDefault="00C31920" w:rsidP="00C31920">
            <w:pPr>
              <w:jc w:val="right"/>
              <w:rPr>
                <w:color w:val="000000"/>
                <w:sz w:val="18"/>
                <w:szCs w:val="18"/>
              </w:rPr>
            </w:pPr>
            <w:r>
              <w:rPr>
                <w:color w:val="000000"/>
                <w:sz w:val="18"/>
                <w:szCs w:val="18"/>
              </w:rPr>
              <w:t>-2</w:t>
            </w:r>
          </w:p>
        </w:tc>
        <w:tc>
          <w:tcPr>
            <w:tcW w:w="630" w:type="dxa"/>
            <w:vAlign w:val="center"/>
          </w:tcPr>
          <w:p w14:paraId="67B1544C" w14:textId="569B2355" w:rsidR="00C31920" w:rsidRPr="00C15C33" w:rsidRDefault="00C31920" w:rsidP="00C31920">
            <w:pPr>
              <w:jc w:val="right"/>
              <w:rPr>
                <w:color w:val="000000"/>
                <w:sz w:val="18"/>
                <w:szCs w:val="18"/>
              </w:rPr>
            </w:pPr>
            <w:r>
              <w:rPr>
                <w:color w:val="000000"/>
                <w:sz w:val="18"/>
                <w:szCs w:val="18"/>
              </w:rPr>
              <w:t>10.2</w:t>
            </w:r>
          </w:p>
        </w:tc>
        <w:tc>
          <w:tcPr>
            <w:tcW w:w="630" w:type="dxa"/>
            <w:vAlign w:val="center"/>
          </w:tcPr>
          <w:p w14:paraId="18FBDF0C" w14:textId="18A7488D" w:rsidR="00C31920" w:rsidRPr="00C15C33" w:rsidRDefault="00C31920" w:rsidP="00C31920">
            <w:pPr>
              <w:jc w:val="right"/>
              <w:rPr>
                <w:color w:val="000000"/>
                <w:sz w:val="18"/>
                <w:szCs w:val="18"/>
              </w:rPr>
            </w:pPr>
            <w:r>
              <w:rPr>
                <w:color w:val="000000"/>
                <w:sz w:val="18"/>
                <w:szCs w:val="18"/>
              </w:rPr>
              <w:t>1.42</w:t>
            </w:r>
          </w:p>
        </w:tc>
        <w:tc>
          <w:tcPr>
            <w:tcW w:w="630" w:type="dxa"/>
          </w:tcPr>
          <w:p w14:paraId="11A8975E" w14:textId="64970670" w:rsidR="00C31920" w:rsidRPr="00C15C33" w:rsidRDefault="00C31920" w:rsidP="00C31920">
            <w:pPr>
              <w:jc w:val="right"/>
              <w:rPr>
                <w:color w:val="000000"/>
                <w:sz w:val="18"/>
                <w:szCs w:val="18"/>
              </w:rPr>
            </w:pPr>
            <w:r>
              <w:rPr>
                <w:color w:val="000000"/>
                <w:sz w:val="18"/>
                <w:szCs w:val="18"/>
              </w:rPr>
              <w:t>493</w:t>
            </w:r>
          </w:p>
        </w:tc>
        <w:tc>
          <w:tcPr>
            <w:tcW w:w="1080" w:type="dxa"/>
            <w:vAlign w:val="bottom"/>
          </w:tcPr>
          <w:p w14:paraId="0BC3B9FB" w14:textId="7DC69692"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6EC29AF0" w14:textId="468B68C2"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3ABED157" w14:textId="6D3EAEC5"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4571BC83" w14:textId="18C3A2AC" w:rsidR="00C31920" w:rsidRPr="00EC21FB" w:rsidRDefault="00C31920" w:rsidP="00C31920">
            <w:pPr>
              <w:jc w:val="right"/>
              <w:rPr>
                <w:color w:val="000000"/>
                <w:sz w:val="18"/>
                <w:szCs w:val="18"/>
              </w:rPr>
            </w:pPr>
            <w:r w:rsidRPr="00EC21FB">
              <w:rPr>
                <w:color w:val="000000"/>
                <w:sz w:val="18"/>
                <w:szCs w:val="18"/>
              </w:rPr>
              <w:t>5</w:t>
            </w:r>
          </w:p>
        </w:tc>
      </w:tr>
      <w:tr w:rsidR="00C31920" w:rsidRPr="00380AE9" w14:paraId="175F527D" w14:textId="77777777" w:rsidTr="00BE0821">
        <w:tc>
          <w:tcPr>
            <w:tcW w:w="2245" w:type="dxa"/>
            <w:vMerge/>
          </w:tcPr>
          <w:p w14:paraId="04019323" w14:textId="77777777" w:rsidR="00C31920" w:rsidRPr="00C15C33" w:rsidRDefault="00C31920" w:rsidP="00C31920">
            <w:pPr>
              <w:rPr>
                <w:sz w:val="18"/>
                <w:szCs w:val="18"/>
              </w:rPr>
            </w:pPr>
          </w:p>
        </w:tc>
        <w:tc>
          <w:tcPr>
            <w:tcW w:w="1260" w:type="dxa"/>
            <w:vAlign w:val="bottom"/>
          </w:tcPr>
          <w:p w14:paraId="4B765A50" w14:textId="4573556C" w:rsidR="00C31920" w:rsidRPr="00C15C33" w:rsidRDefault="00C31920" w:rsidP="00C31920">
            <w:pPr>
              <w:rPr>
                <w:color w:val="000000"/>
                <w:sz w:val="18"/>
                <w:szCs w:val="18"/>
              </w:rPr>
            </w:pPr>
            <w:r>
              <w:rPr>
                <w:color w:val="000000"/>
                <w:sz w:val="18"/>
                <w:szCs w:val="18"/>
              </w:rPr>
              <w:t>gusewellV2</w:t>
            </w:r>
          </w:p>
        </w:tc>
        <w:tc>
          <w:tcPr>
            <w:tcW w:w="900" w:type="dxa"/>
            <w:vAlign w:val="bottom"/>
          </w:tcPr>
          <w:p w14:paraId="16739C89" w14:textId="1CD08944" w:rsidR="00C31920" w:rsidRPr="00C31920" w:rsidRDefault="00C31920" w:rsidP="00C31920">
            <w:pPr>
              <w:jc w:val="right"/>
              <w:rPr>
                <w:color w:val="000000"/>
                <w:sz w:val="18"/>
                <w:szCs w:val="18"/>
              </w:rPr>
            </w:pPr>
            <w:r w:rsidRPr="00C31920">
              <w:rPr>
                <w:color w:val="000000"/>
                <w:sz w:val="18"/>
                <w:szCs w:val="18"/>
              </w:rPr>
              <w:t>51.7</w:t>
            </w:r>
          </w:p>
        </w:tc>
        <w:tc>
          <w:tcPr>
            <w:tcW w:w="1080" w:type="dxa"/>
            <w:vAlign w:val="bottom"/>
          </w:tcPr>
          <w:p w14:paraId="6C48F5B4" w14:textId="072EC1FC" w:rsidR="00C31920" w:rsidRPr="00C31920" w:rsidRDefault="00C31920" w:rsidP="00C31920">
            <w:pPr>
              <w:jc w:val="right"/>
              <w:rPr>
                <w:color w:val="000000"/>
                <w:sz w:val="18"/>
                <w:szCs w:val="18"/>
              </w:rPr>
            </w:pPr>
            <w:r w:rsidRPr="00C31920">
              <w:rPr>
                <w:color w:val="000000"/>
                <w:sz w:val="18"/>
                <w:szCs w:val="18"/>
              </w:rPr>
              <w:t>3.9</w:t>
            </w:r>
          </w:p>
        </w:tc>
        <w:tc>
          <w:tcPr>
            <w:tcW w:w="990" w:type="dxa"/>
          </w:tcPr>
          <w:p w14:paraId="4606F499" w14:textId="10DEDFE4" w:rsidR="00C31920" w:rsidRPr="00C15C33" w:rsidRDefault="00C31920" w:rsidP="00C31920">
            <w:pPr>
              <w:jc w:val="right"/>
              <w:rPr>
                <w:color w:val="000000"/>
                <w:sz w:val="18"/>
                <w:szCs w:val="18"/>
              </w:rPr>
            </w:pPr>
            <w:r>
              <w:rPr>
                <w:color w:val="000000"/>
                <w:sz w:val="18"/>
                <w:szCs w:val="18"/>
              </w:rPr>
              <w:t>-2</w:t>
            </w:r>
          </w:p>
        </w:tc>
        <w:tc>
          <w:tcPr>
            <w:tcW w:w="630" w:type="dxa"/>
            <w:vAlign w:val="center"/>
          </w:tcPr>
          <w:p w14:paraId="13E27551" w14:textId="513FE234" w:rsidR="00C31920" w:rsidRPr="00C15C33" w:rsidRDefault="00C31920" w:rsidP="00C31920">
            <w:pPr>
              <w:jc w:val="right"/>
              <w:rPr>
                <w:color w:val="000000"/>
                <w:sz w:val="18"/>
                <w:szCs w:val="18"/>
              </w:rPr>
            </w:pPr>
            <w:r>
              <w:rPr>
                <w:color w:val="000000"/>
                <w:sz w:val="18"/>
                <w:szCs w:val="18"/>
              </w:rPr>
              <w:t>10.2</w:t>
            </w:r>
          </w:p>
        </w:tc>
        <w:tc>
          <w:tcPr>
            <w:tcW w:w="630" w:type="dxa"/>
            <w:vAlign w:val="center"/>
          </w:tcPr>
          <w:p w14:paraId="71BB4ED5" w14:textId="1AD5BD75" w:rsidR="00C31920" w:rsidRPr="00C15C33" w:rsidRDefault="00C31920" w:rsidP="00C31920">
            <w:pPr>
              <w:jc w:val="right"/>
              <w:rPr>
                <w:color w:val="000000"/>
                <w:sz w:val="18"/>
                <w:szCs w:val="18"/>
              </w:rPr>
            </w:pPr>
            <w:r>
              <w:rPr>
                <w:color w:val="000000"/>
                <w:sz w:val="18"/>
                <w:szCs w:val="18"/>
              </w:rPr>
              <w:t>1.42</w:t>
            </w:r>
          </w:p>
        </w:tc>
        <w:tc>
          <w:tcPr>
            <w:tcW w:w="630" w:type="dxa"/>
          </w:tcPr>
          <w:p w14:paraId="39CC3A3D" w14:textId="14D1FFCF" w:rsidR="00C31920" w:rsidRPr="00C15C33" w:rsidRDefault="00C31920" w:rsidP="00C31920">
            <w:pPr>
              <w:jc w:val="right"/>
              <w:rPr>
                <w:color w:val="000000"/>
                <w:sz w:val="18"/>
                <w:szCs w:val="18"/>
              </w:rPr>
            </w:pPr>
            <w:r>
              <w:rPr>
                <w:color w:val="000000"/>
                <w:sz w:val="18"/>
                <w:szCs w:val="18"/>
              </w:rPr>
              <w:t>493</w:t>
            </w:r>
          </w:p>
        </w:tc>
        <w:tc>
          <w:tcPr>
            <w:tcW w:w="1080" w:type="dxa"/>
            <w:vAlign w:val="bottom"/>
          </w:tcPr>
          <w:p w14:paraId="6AE30F8C" w14:textId="24445190"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23D86273" w14:textId="6BF9DA2D"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3F45A188" w14:textId="6B33DA85"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6D52AA62" w14:textId="3F5308FE" w:rsidR="00C31920" w:rsidRPr="00EC21FB" w:rsidRDefault="00C31920" w:rsidP="00C31920">
            <w:pPr>
              <w:jc w:val="right"/>
              <w:rPr>
                <w:color w:val="000000"/>
                <w:sz w:val="18"/>
                <w:szCs w:val="18"/>
              </w:rPr>
            </w:pPr>
            <w:r w:rsidRPr="00EC21FB">
              <w:rPr>
                <w:color w:val="000000"/>
                <w:sz w:val="18"/>
                <w:szCs w:val="18"/>
              </w:rPr>
              <w:t>5</w:t>
            </w:r>
          </w:p>
        </w:tc>
      </w:tr>
      <w:tr w:rsidR="00C31920" w:rsidRPr="00380AE9" w14:paraId="65789CA8" w14:textId="77777777" w:rsidTr="00BE0821">
        <w:tc>
          <w:tcPr>
            <w:tcW w:w="2245" w:type="dxa"/>
            <w:vMerge/>
          </w:tcPr>
          <w:p w14:paraId="03207F90" w14:textId="77777777" w:rsidR="00C31920" w:rsidRPr="00C15C33" w:rsidRDefault="00C31920" w:rsidP="00C31920">
            <w:pPr>
              <w:rPr>
                <w:sz w:val="18"/>
                <w:szCs w:val="18"/>
              </w:rPr>
            </w:pPr>
          </w:p>
        </w:tc>
        <w:tc>
          <w:tcPr>
            <w:tcW w:w="1260" w:type="dxa"/>
            <w:vAlign w:val="bottom"/>
          </w:tcPr>
          <w:p w14:paraId="10CA5F67" w14:textId="4550B79E" w:rsidR="00C31920" w:rsidRPr="00C15C33" w:rsidRDefault="00C31920" w:rsidP="00C31920">
            <w:pPr>
              <w:rPr>
                <w:color w:val="000000"/>
                <w:sz w:val="18"/>
                <w:szCs w:val="18"/>
              </w:rPr>
            </w:pPr>
            <w:r>
              <w:rPr>
                <w:color w:val="000000"/>
                <w:sz w:val="18"/>
                <w:szCs w:val="18"/>
              </w:rPr>
              <w:t>gusewellV3</w:t>
            </w:r>
          </w:p>
        </w:tc>
        <w:tc>
          <w:tcPr>
            <w:tcW w:w="900" w:type="dxa"/>
            <w:vAlign w:val="bottom"/>
          </w:tcPr>
          <w:p w14:paraId="3EBAACB7" w14:textId="27D49094" w:rsidR="00C31920" w:rsidRPr="00C31920" w:rsidRDefault="00C31920" w:rsidP="00C31920">
            <w:pPr>
              <w:jc w:val="right"/>
              <w:rPr>
                <w:color w:val="000000"/>
                <w:sz w:val="18"/>
                <w:szCs w:val="18"/>
              </w:rPr>
            </w:pPr>
            <w:r w:rsidRPr="00C31920">
              <w:rPr>
                <w:color w:val="000000"/>
                <w:sz w:val="18"/>
                <w:szCs w:val="18"/>
              </w:rPr>
              <w:t>51.7</w:t>
            </w:r>
          </w:p>
        </w:tc>
        <w:tc>
          <w:tcPr>
            <w:tcW w:w="1080" w:type="dxa"/>
            <w:vAlign w:val="bottom"/>
          </w:tcPr>
          <w:p w14:paraId="1A80BF1A" w14:textId="20BB41CE" w:rsidR="00C31920" w:rsidRPr="00C31920" w:rsidRDefault="00C31920" w:rsidP="00C31920">
            <w:pPr>
              <w:jc w:val="right"/>
              <w:rPr>
                <w:color w:val="000000"/>
                <w:sz w:val="18"/>
                <w:szCs w:val="18"/>
              </w:rPr>
            </w:pPr>
            <w:r w:rsidRPr="00C31920">
              <w:rPr>
                <w:color w:val="000000"/>
                <w:sz w:val="18"/>
                <w:szCs w:val="18"/>
              </w:rPr>
              <w:t>3.9</w:t>
            </w:r>
          </w:p>
        </w:tc>
        <w:tc>
          <w:tcPr>
            <w:tcW w:w="990" w:type="dxa"/>
          </w:tcPr>
          <w:p w14:paraId="582FFB05" w14:textId="574F548E" w:rsidR="00C31920" w:rsidRPr="00C15C33" w:rsidRDefault="00C31920" w:rsidP="00C31920">
            <w:pPr>
              <w:jc w:val="right"/>
              <w:rPr>
                <w:color w:val="000000"/>
                <w:sz w:val="18"/>
                <w:szCs w:val="18"/>
              </w:rPr>
            </w:pPr>
            <w:r>
              <w:rPr>
                <w:color w:val="000000"/>
                <w:sz w:val="18"/>
                <w:szCs w:val="18"/>
              </w:rPr>
              <w:t>-2</w:t>
            </w:r>
          </w:p>
        </w:tc>
        <w:tc>
          <w:tcPr>
            <w:tcW w:w="630" w:type="dxa"/>
            <w:vAlign w:val="center"/>
          </w:tcPr>
          <w:p w14:paraId="43BDDFF5" w14:textId="196BB9CF" w:rsidR="00C31920" w:rsidRPr="00C15C33" w:rsidRDefault="00C31920" w:rsidP="00C31920">
            <w:pPr>
              <w:jc w:val="right"/>
              <w:rPr>
                <w:color w:val="000000"/>
                <w:sz w:val="18"/>
                <w:szCs w:val="18"/>
              </w:rPr>
            </w:pPr>
            <w:r>
              <w:rPr>
                <w:color w:val="000000"/>
                <w:sz w:val="18"/>
                <w:szCs w:val="18"/>
              </w:rPr>
              <w:t>10.2</w:t>
            </w:r>
          </w:p>
        </w:tc>
        <w:tc>
          <w:tcPr>
            <w:tcW w:w="630" w:type="dxa"/>
            <w:vAlign w:val="center"/>
          </w:tcPr>
          <w:p w14:paraId="66459E7B" w14:textId="54C3F518" w:rsidR="00C31920" w:rsidRPr="00C15C33" w:rsidRDefault="00C31920" w:rsidP="00C31920">
            <w:pPr>
              <w:jc w:val="right"/>
              <w:rPr>
                <w:color w:val="000000"/>
                <w:sz w:val="18"/>
                <w:szCs w:val="18"/>
              </w:rPr>
            </w:pPr>
            <w:r>
              <w:rPr>
                <w:color w:val="000000"/>
                <w:sz w:val="18"/>
                <w:szCs w:val="18"/>
              </w:rPr>
              <w:t>1.42</w:t>
            </w:r>
          </w:p>
        </w:tc>
        <w:tc>
          <w:tcPr>
            <w:tcW w:w="630" w:type="dxa"/>
          </w:tcPr>
          <w:p w14:paraId="17DDC4C7" w14:textId="7C9E6AB6" w:rsidR="00C31920" w:rsidRPr="00C15C33" w:rsidRDefault="00C31920" w:rsidP="00C31920">
            <w:pPr>
              <w:jc w:val="right"/>
              <w:rPr>
                <w:color w:val="000000"/>
                <w:sz w:val="18"/>
                <w:szCs w:val="18"/>
              </w:rPr>
            </w:pPr>
            <w:r>
              <w:rPr>
                <w:color w:val="000000"/>
                <w:sz w:val="18"/>
                <w:szCs w:val="18"/>
              </w:rPr>
              <w:t>493</w:t>
            </w:r>
          </w:p>
        </w:tc>
        <w:tc>
          <w:tcPr>
            <w:tcW w:w="1080" w:type="dxa"/>
            <w:vAlign w:val="bottom"/>
          </w:tcPr>
          <w:p w14:paraId="31D2D5F1" w14:textId="6F8CC8AB"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00665B9E" w14:textId="06FB4482"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71D56070" w14:textId="707FD06B"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21E190B1" w14:textId="726B849D" w:rsidR="00C31920" w:rsidRPr="00EC21FB" w:rsidRDefault="00C31920" w:rsidP="00C31920">
            <w:pPr>
              <w:jc w:val="right"/>
              <w:rPr>
                <w:color w:val="000000"/>
                <w:sz w:val="18"/>
                <w:szCs w:val="18"/>
              </w:rPr>
            </w:pPr>
            <w:r w:rsidRPr="00EC21FB">
              <w:rPr>
                <w:color w:val="000000"/>
                <w:sz w:val="18"/>
                <w:szCs w:val="18"/>
              </w:rPr>
              <w:t>5</w:t>
            </w:r>
          </w:p>
        </w:tc>
      </w:tr>
      <w:tr w:rsidR="00C31920" w:rsidRPr="00380AE9" w14:paraId="282B2F7A" w14:textId="77777777" w:rsidTr="00BE0821">
        <w:tc>
          <w:tcPr>
            <w:tcW w:w="2245" w:type="dxa"/>
            <w:vMerge/>
          </w:tcPr>
          <w:p w14:paraId="5F1EC860" w14:textId="77777777" w:rsidR="00C31920" w:rsidRPr="00C15C33" w:rsidRDefault="00C31920" w:rsidP="00C31920">
            <w:pPr>
              <w:rPr>
                <w:sz w:val="18"/>
                <w:szCs w:val="18"/>
              </w:rPr>
            </w:pPr>
          </w:p>
        </w:tc>
        <w:tc>
          <w:tcPr>
            <w:tcW w:w="1260" w:type="dxa"/>
            <w:vAlign w:val="bottom"/>
          </w:tcPr>
          <w:p w14:paraId="3AF9E191" w14:textId="155C5B10" w:rsidR="00C31920" w:rsidRPr="00C15C33" w:rsidRDefault="00C31920" w:rsidP="00C31920">
            <w:pPr>
              <w:rPr>
                <w:color w:val="000000"/>
                <w:sz w:val="18"/>
                <w:szCs w:val="18"/>
              </w:rPr>
            </w:pPr>
            <w:r>
              <w:rPr>
                <w:color w:val="000000"/>
                <w:sz w:val="18"/>
                <w:szCs w:val="18"/>
              </w:rPr>
              <w:t>gusewellT1</w:t>
            </w:r>
          </w:p>
        </w:tc>
        <w:tc>
          <w:tcPr>
            <w:tcW w:w="900" w:type="dxa"/>
            <w:vAlign w:val="bottom"/>
          </w:tcPr>
          <w:p w14:paraId="1F4F5796" w14:textId="664BAAE2" w:rsidR="00C31920" w:rsidRPr="00C31920" w:rsidRDefault="00C31920" w:rsidP="00C31920">
            <w:pPr>
              <w:jc w:val="right"/>
              <w:rPr>
                <w:color w:val="000000"/>
                <w:sz w:val="18"/>
                <w:szCs w:val="18"/>
              </w:rPr>
            </w:pPr>
            <w:r w:rsidRPr="00C31920">
              <w:rPr>
                <w:color w:val="000000"/>
                <w:sz w:val="18"/>
                <w:szCs w:val="18"/>
              </w:rPr>
              <w:t>52.5</w:t>
            </w:r>
          </w:p>
        </w:tc>
        <w:tc>
          <w:tcPr>
            <w:tcW w:w="1080" w:type="dxa"/>
            <w:vAlign w:val="bottom"/>
          </w:tcPr>
          <w:p w14:paraId="41DFDC26" w14:textId="7FE79D9A" w:rsidR="00C31920" w:rsidRPr="00C31920" w:rsidRDefault="00C31920" w:rsidP="00C31920">
            <w:pPr>
              <w:jc w:val="right"/>
              <w:rPr>
                <w:color w:val="000000"/>
                <w:sz w:val="18"/>
                <w:szCs w:val="18"/>
              </w:rPr>
            </w:pPr>
            <w:r w:rsidRPr="00C31920">
              <w:rPr>
                <w:color w:val="000000"/>
                <w:sz w:val="18"/>
                <w:szCs w:val="18"/>
              </w:rPr>
              <w:t>5.7</w:t>
            </w:r>
          </w:p>
        </w:tc>
        <w:tc>
          <w:tcPr>
            <w:tcW w:w="990" w:type="dxa"/>
          </w:tcPr>
          <w:p w14:paraId="440D82A9" w14:textId="57CA0C0D" w:rsidR="00C31920" w:rsidRPr="00C15C33" w:rsidRDefault="00C31920" w:rsidP="00C31920">
            <w:pPr>
              <w:jc w:val="right"/>
              <w:rPr>
                <w:color w:val="000000"/>
                <w:sz w:val="18"/>
                <w:szCs w:val="18"/>
              </w:rPr>
            </w:pPr>
            <w:r>
              <w:rPr>
                <w:color w:val="000000"/>
                <w:sz w:val="18"/>
                <w:szCs w:val="18"/>
              </w:rPr>
              <w:t>-5</w:t>
            </w:r>
          </w:p>
        </w:tc>
        <w:tc>
          <w:tcPr>
            <w:tcW w:w="630" w:type="dxa"/>
            <w:vAlign w:val="center"/>
          </w:tcPr>
          <w:p w14:paraId="555A539A" w14:textId="13F91D82" w:rsidR="00C31920" w:rsidRPr="00C15C33" w:rsidRDefault="00C31920" w:rsidP="00C31920">
            <w:pPr>
              <w:jc w:val="right"/>
              <w:rPr>
                <w:color w:val="000000"/>
                <w:sz w:val="18"/>
                <w:szCs w:val="18"/>
              </w:rPr>
            </w:pPr>
            <w:r>
              <w:rPr>
                <w:color w:val="000000"/>
                <w:sz w:val="18"/>
                <w:szCs w:val="18"/>
              </w:rPr>
              <w:t>9.8</w:t>
            </w:r>
          </w:p>
        </w:tc>
        <w:tc>
          <w:tcPr>
            <w:tcW w:w="630" w:type="dxa"/>
            <w:vAlign w:val="center"/>
          </w:tcPr>
          <w:p w14:paraId="05461C5B" w14:textId="14CF40C6" w:rsidR="00C31920" w:rsidRPr="00C15C33" w:rsidRDefault="00C31920" w:rsidP="00C31920">
            <w:pPr>
              <w:jc w:val="right"/>
              <w:rPr>
                <w:color w:val="000000"/>
                <w:sz w:val="18"/>
                <w:szCs w:val="18"/>
              </w:rPr>
            </w:pPr>
            <w:r>
              <w:rPr>
                <w:color w:val="000000"/>
                <w:sz w:val="18"/>
                <w:szCs w:val="18"/>
              </w:rPr>
              <w:t>1.58</w:t>
            </w:r>
          </w:p>
        </w:tc>
        <w:tc>
          <w:tcPr>
            <w:tcW w:w="630" w:type="dxa"/>
          </w:tcPr>
          <w:p w14:paraId="6DBA87A1" w14:textId="3EDC28A0" w:rsidR="00C31920" w:rsidRPr="00C15C33" w:rsidRDefault="00C31920" w:rsidP="00C31920">
            <w:pPr>
              <w:jc w:val="right"/>
              <w:rPr>
                <w:color w:val="000000"/>
                <w:sz w:val="18"/>
                <w:szCs w:val="18"/>
              </w:rPr>
            </w:pPr>
            <w:r>
              <w:rPr>
                <w:color w:val="000000"/>
                <w:sz w:val="18"/>
                <w:szCs w:val="18"/>
              </w:rPr>
              <w:t>471</w:t>
            </w:r>
          </w:p>
        </w:tc>
        <w:tc>
          <w:tcPr>
            <w:tcW w:w="1080" w:type="dxa"/>
            <w:vAlign w:val="bottom"/>
          </w:tcPr>
          <w:p w14:paraId="27F20AA6" w14:textId="21CB82E2"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0B8F5002" w14:textId="1768D7B8"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13FD1E11" w14:textId="2C28697D"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707734A2" w14:textId="2563AA5E" w:rsidR="00C31920" w:rsidRPr="00EC21FB" w:rsidRDefault="00C31920" w:rsidP="00C31920">
            <w:pPr>
              <w:jc w:val="right"/>
              <w:rPr>
                <w:color w:val="000000"/>
                <w:sz w:val="18"/>
                <w:szCs w:val="18"/>
              </w:rPr>
            </w:pPr>
            <w:r w:rsidRPr="00EC21FB">
              <w:rPr>
                <w:color w:val="000000"/>
                <w:sz w:val="18"/>
                <w:szCs w:val="18"/>
              </w:rPr>
              <w:t>5</w:t>
            </w:r>
          </w:p>
        </w:tc>
      </w:tr>
      <w:tr w:rsidR="00C31920" w:rsidRPr="00380AE9" w14:paraId="351821A6" w14:textId="77777777" w:rsidTr="00BE0821">
        <w:tc>
          <w:tcPr>
            <w:tcW w:w="2245" w:type="dxa"/>
            <w:vMerge/>
          </w:tcPr>
          <w:p w14:paraId="09A7566A" w14:textId="77777777" w:rsidR="00C31920" w:rsidRPr="00C15C33" w:rsidRDefault="00C31920" w:rsidP="00C31920">
            <w:pPr>
              <w:rPr>
                <w:sz w:val="18"/>
                <w:szCs w:val="18"/>
              </w:rPr>
            </w:pPr>
          </w:p>
        </w:tc>
        <w:tc>
          <w:tcPr>
            <w:tcW w:w="1260" w:type="dxa"/>
            <w:vAlign w:val="bottom"/>
          </w:tcPr>
          <w:p w14:paraId="73AACD76" w14:textId="3F06FB8D" w:rsidR="00C31920" w:rsidRDefault="00C31920" w:rsidP="00C31920">
            <w:pPr>
              <w:rPr>
                <w:color w:val="000000"/>
                <w:sz w:val="18"/>
                <w:szCs w:val="18"/>
              </w:rPr>
            </w:pPr>
            <w:r>
              <w:rPr>
                <w:color w:val="000000"/>
                <w:sz w:val="18"/>
                <w:szCs w:val="18"/>
              </w:rPr>
              <w:t>gusewellT2</w:t>
            </w:r>
          </w:p>
        </w:tc>
        <w:tc>
          <w:tcPr>
            <w:tcW w:w="900" w:type="dxa"/>
            <w:vAlign w:val="bottom"/>
          </w:tcPr>
          <w:p w14:paraId="7A992778" w14:textId="739626A9" w:rsidR="00C31920" w:rsidRPr="00C31920" w:rsidRDefault="00C31920" w:rsidP="00C31920">
            <w:pPr>
              <w:jc w:val="right"/>
              <w:rPr>
                <w:color w:val="000000"/>
                <w:sz w:val="18"/>
                <w:szCs w:val="18"/>
              </w:rPr>
            </w:pPr>
            <w:r w:rsidRPr="00C31920">
              <w:rPr>
                <w:color w:val="000000"/>
                <w:sz w:val="18"/>
                <w:szCs w:val="18"/>
              </w:rPr>
              <w:t>52.5</w:t>
            </w:r>
          </w:p>
        </w:tc>
        <w:tc>
          <w:tcPr>
            <w:tcW w:w="1080" w:type="dxa"/>
            <w:vAlign w:val="bottom"/>
          </w:tcPr>
          <w:p w14:paraId="608C0D52" w14:textId="62561C0D" w:rsidR="00C31920" w:rsidRPr="00C31920" w:rsidRDefault="00C31920" w:rsidP="00C31920">
            <w:pPr>
              <w:jc w:val="right"/>
              <w:rPr>
                <w:color w:val="000000"/>
                <w:sz w:val="18"/>
                <w:szCs w:val="18"/>
              </w:rPr>
            </w:pPr>
            <w:r w:rsidRPr="00C31920">
              <w:rPr>
                <w:color w:val="000000"/>
                <w:sz w:val="18"/>
                <w:szCs w:val="18"/>
              </w:rPr>
              <w:t>5.7</w:t>
            </w:r>
          </w:p>
        </w:tc>
        <w:tc>
          <w:tcPr>
            <w:tcW w:w="990" w:type="dxa"/>
          </w:tcPr>
          <w:p w14:paraId="77E7DDD3" w14:textId="22800AD1" w:rsidR="00C31920" w:rsidRPr="00C15C33" w:rsidRDefault="00C31920" w:rsidP="00C31920">
            <w:pPr>
              <w:jc w:val="right"/>
              <w:rPr>
                <w:color w:val="000000"/>
                <w:sz w:val="18"/>
                <w:szCs w:val="18"/>
              </w:rPr>
            </w:pPr>
            <w:r>
              <w:rPr>
                <w:color w:val="000000"/>
                <w:sz w:val="18"/>
                <w:szCs w:val="18"/>
              </w:rPr>
              <w:t>-5</w:t>
            </w:r>
          </w:p>
        </w:tc>
        <w:tc>
          <w:tcPr>
            <w:tcW w:w="630" w:type="dxa"/>
            <w:vAlign w:val="center"/>
          </w:tcPr>
          <w:p w14:paraId="1535DC18" w14:textId="252BA980" w:rsidR="00C31920" w:rsidRPr="00C15C33" w:rsidRDefault="00C31920" w:rsidP="00C31920">
            <w:pPr>
              <w:jc w:val="right"/>
              <w:rPr>
                <w:color w:val="000000"/>
                <w:sz w:val="18"/>
                <w:szCs w:val="18"/>
              </w:rPr>
            </w:pPr>
            <w:r>
              <w:rPr>
                <w:color w:val="000000"/>
                <w:sz w:val="18"/>
                <w:szCs w:val="18"/>
              </w:rPr>
              <w:t>9.8</w:t>
            </w:r>
          </w:p>
        </w:tc>
        <w:tc>
          <w:tcPr>
            <w:tcW w:w="630" w:type="dxa"/>
            <w:vAlign w:val="center"/>
          </w:tcPr>
          <w:p w14:paraId="4E494289" w14:textId="17126879" w:rsidR="00C31920" w:rsidRPr="00C15C33" w:rsidRDefault="00C31920" w:rsidP="00C31920">
            <w:pPr>
              <w:jc w:val="right"/>
              <w:rPr>
                <w:color w:val="000000"/>
                <w:sz w:val="18"/>
                <w:szCs w:val="18"/>
              </w:rPr>
            </w:pPr>
            <w:r>
              <w:rPr>
                <w:color w:val="000000"/>
                <w:sz w:val="18"/>
                <w:szCs w:val="18"/>
              </w:rPr>
              <w:t>1.58</w:t>
            </w:r>
          </w:p>
        </w:tc>
        <w:tc>
          <w:tcPr>
            <w:tcW w:w="630" w:type="dxa"/>
          </w:tcPr>
          <w:p w14:paraId="6B8A55FD" w14:textId="383E9CAF" w:rsidR="00C31920" w:rsidRPr="00C15C33" w:rsidRDefault="00C31920" w:rsidP="00C31920">
            <w:pPr>
              <w:jc w:val="right"/>
              <w:rPr>
                <w:color w:val="000000"/>
                <w:sz w:val="18"/>
                <w:szCs w:val="18"/>
              </w:rPr>
            </w:pPr>
            <w:r>
              <w:rPr>
                <w:color w:val="000000"/>
                <w:sz w:val="18"/>
                <w:szCs w:val="18"/>
              </w:rPr>
              <w:t>471</w:t>
            </w:r>
          </w:p>
        </w:tc>
        <w:tc>
          <w:tcPr>
            <w:tcW w:w="1080" w:type="dxa"/>
            <w:vAlign w:val="bottom"/>
          </w:tcPr>
          <w:p w14:paraId="3511AB0B" w14:textId="7B8B9656"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01DBA0A3" w14:textId="3513584E"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61AE464F" w14:textId="422F73F0"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75CC2E46" w14:textId="317FA298" w:rsidR="00C31920" w:rsidRPr="00EC21FB" w:rsidRDefault="00C31920" w:rsidP="00C31920">
            <w:pPr>
              <w:jc w:val="right"/>
              <w:rPr>
                <w:color w:val="000000"/>
                <w:sz w:val="18"/>
                <w:szCs w:val="18"/>
              </w:rPr>
            </w:pPr>
            <w:r w:rsidRPr="00EC21FB">
              <w:rPr>
                <w:color w:val="000000"/>
                <w:sz w:val="18"/>
                <w:szCs w:val="18"/>
              </w:rPr>
              <w:t>5</w:t>
            </w:r>
          </w:p>
        </w:tc>
      </w:tr>
    </w:tbl>
    <w:p w14:paraId="56C7E87C" w14:textId="31A5AD0C" w:rsidR="00C15C33" w:rsidRDefault="00C15C33" w:rsidP="00C15C33">
      <w:pPr>
        <w:spacing w:after="0" w:line="360" w:lineRule="auto"/>
        <w:rPr>
          <w:b/>
          <w:bCs/>
        </w:rPr>
      </w:pPr>
      <w:r>
        <w:rPr>
          <w:b/>
          <w:bCs/>
        </w:rPr>
        <w:lastRenderedPageBreak/>
        <w:t>Table S1 (cont.)</w:t>
      </w:r>
    </w:p>
    <w:tbl>
      <w:tblPr>
        <w:tblStyle w:val="TableGrid"/>
        <w:tblW w:w="12865" w:type="dxa"/>
        <w:tblLayout w:type="fixed"/>
        <w:tblLook w:val="04A0" w:firstRow="1" w:lastRow="0" w:firstColumn="1" w:lastColumn="0" w:noHBand="0" w:noVBand="1"/>
      </w:tblPr>
      <w:tblGrid>
        <w:gridCol w:w="2335"/>
        <w:gridCol w:w="1260"/>
        <w:gridCol w:w="810"/>
        <w:gridCol w:w="1080"/>
        <w:gridCol w:w="990"/>
        <w:gridCol w:w="630"/>
        <w:gridCol w:w="630"/>
        <w:gridCol w:w="630"/>
        <w:gridCol w:w="1080"/>
        <w:gridCol w:w="1170"/>
        <w:gridCol w:w="1080"/>
        <w:gridCol w:w="1170"/>
      </w:tblGrid>
      <w:tr w:rsidR="00C31920" w:rsidRPr="00D81D83" w14:paraId="4441DB62" w14:textId="77777777" w:rsidTr="001475DC">
        <w:tc>
          <w:tcPr>
            <w:tcW w:w="2335" w:type="dxa"/>
            <w:vAlign w:val="center"/>
          </w:tcPr>
          <w:p w14:paraId="4E2EAF9E" w14:textId="77777777" w:rsidR="00C31920" w:rsidRPr="00D12150" w:rsidRDefault="00C31920" w:rsidP="001475DC">
            <w:pPr>
              <w:rPr>
                <w:b/>
                <w:bCs w:val="0"/>
                <w:sz w:val="16"/>
                <w:szCs w:val="16"/>
              </w:rPr>
            </w:pPr>
            <w:r w:rsidRPr="00D12150">
              <w:rPr>
                <w:b/>
                <w:sz w:val="16"/>
                <w:szCs w:val="16"/>
              </w:rPr>
              <w:t>Citation</w:t>
            </w:r>
          </w:p>
        </w:tc>
        <w:tc>
          <w:tcPr>
            <w:tcW w:w="1260" w:type="dxa"/>
            <w:vAlign w:val="center"/>
          </w:tcPr>
          <w:p w14:paraId="701420AE" w14:textId="77777777" w:rsidR="00C31920" w:rsidRPr="00D12150" w:rsidRDefault="00C31920" w:rsidP="001475DC">
            <w:pPr>
              <w:rPr>
                <w:b/>
                <w:bCs w:val="0"/>
                <w:sz w:val="16"/>
                <w:szCs w:val="16"/>
              </w:rPr>
            </w:pPr>
            <w:r w:rsidRPr="00D12150">
              <w:rPr>
                <w:b/>
                <w:sz w:val="16"/>
                <w:szCs w:val="16"/>
              </w:rPr>
              <w:t>Site name</w:t>
            </w:r>
          </w:p>
        </w:tc>
        <w:tc>
          <w:tcPr>
            <w:tcW w:w="810" w:type="dxa"/>
            <w:vAlign w:val="center"/>
          </w:tcPr>
          <w:p w14:paraId="4F369CB6" w14:textId="77777777" w:rsidR="00C31920" w:rsidRPr="00D12150" w:rsidRDefault="00C31920" w:rsidP="001475DC">
            <w:pPr>
              <w:rPr>
                <w:b/>
                <w:bCs w:val="0"/>
                <w:sz w:val="16"/>
                <w:szCs w:val="16"/>
              </w:rPr>
            </w:pPr>
            <w:r w:rsidRPr="00D12150">
              <w:rPr>
                <w:b/>
                <w:sz w:val="16"/>
                <w:szCs w:val="16"/>
              </w:rPr>
              <w:t>Latitude</w:t>
            </w:r>
          </w:p>
        </w:tc>
        <w:tc>
          <w:tcPr>
            <w:tcW w:w="1080" w:type="dxa"/>
            <w:vAlign w:val="center"/>
          </w:tcPr>
          <w:p w14:paraId="7D26C25D" w14:textId="77777777" w:rsidR="00C31920" w:rsidRPr="00D12150" w:rsidRDefault="00C31920" w:rsidP="001475DC">
            <w:pPr>
              <w:rPr>
                <w:b/>
                <w:bCs w:val="0"/>
                <w:sz w:val="16"/>
                <w:szCs w:val="16"/>
              </w:rPr>
            </w:pPr>
            <w:r w:rsidRPr="00D12150">
              <w:rPr>
                <w:b/>
                <w:sz w:val="16"/>
                <w:szCs w:val="16"/>
              </w:rPr>
              <w:t>Longitude</w:t>
            </w:r>
          </w:p>
        </w:tc>
        <w:tc>
          <w:tcPr>
            <w:tcW w:w="990" w:type="dxa"/>
            <w:vAlign w:val="center"/>
          </w:tcPr>
          <w:p w14:paraId="36FFF23A" w14:textId="67A9134A" w:rsidR="00C31920" w:rsidRPr="00D12150" w:rsidRDefault="00C31920" w:rsidP="001475DC">
            <w:pPr>
              <w:rPr>
                <w:b/>
                <w:sz w:val="16"/>
                <w:szCs w:val="16"/>
              </w:rPr>
            </w:pPr>
            <w:r w:rsidRPr="00D12150">
              <w:rPr>
                <w:b/>
                <w:sz w:val="16"/>
                <w:szCs w:val="16"/>
              </w:rPr>
              <w:t>Elevation</w:t>
            </w:r>
          </w:p>
        </w:tc>
        <w:tc>
          <w:tcPr>
            <w:tcW w:w="630" w:type="dxa"/>
            <w:vAlign w:val="center"/>
          </w:tcPr>
          <w:p w14:paraId="52FB583B" w14:textId="7DA8277D" w:rsidR="00C31920" w:rsidRPr="00D12150" w:rsidRDefault="00C31920" w:rsidP="001475DC">
            <w:pPr>
              <w:rPr>
                <w:b/>
                <w:bCs w:val="0"/>
                <w:sz w:val="16"/>
                <w:szCs w:val="16"/>
              </w:rPr>
            </w:pPr>
            <w:proofErr w:type="spellStart"/>
            <w:r w:rsidRPr="00D12150">
              <w:rPr>
                <w:b/>
                <w:i/>
                <w:iCs/>
                <w:sz w:val="16"/>
                <w:szCs w:val="16"/>
              </w:rPr>
              <w:t>T</w:t>
            </w:r>
            <w:r w:rsidRPr="00D12150">
              <w:rPr>
                <w:b/>
                <w:sz w:val="16"/>
                <w:szCs w:val="16"/>
                <w:vertAlign w:val="subscript"/>
              </w:rPr>
              <w:t>g</w:t>
            </w:r>
            <w:proofErr w:type="spellEnd"/>
          </w:p>
        </w:tc>
        <w:tc>
          <w:tcPr>
            <w:tcW w:w="630" w:type="dxa"/>
            <w:vAlign w:val="center"/>
          </w:tcPr>
          <w:p w14:paraId="0F749F3C" w14:textId="5B314E84" w:rsidR="00C31920" w:rsidRPr="00D12150" w:rsidRDefault="00C31920" w:rsidP="001475DC">
            <w:pPr>
              <w:rPr>
                <w:b/>
                <w:bCs w:val="0"/>
                <w:sz w:val="16"/>
                <w:szCs w:val="16"/>
              </w:rPr>
            </w:pPr>
            <w:proofErr w:type="spellStart"/>
            <w:r w:rsidRPr="00D12150">
              <w:rPr>
                <w:b/>
                <w:i/>
                <w:iCs/>
                <w:sz w:val="16"/>
                <w:szCs w:val="16"/>
              </w:rPr>
              <w:t>AI</w:t>
            </w:r>
            <w:r w:rsidRPr="00D12150">
              <w:rPr>
                <w:b/>
                <w:sz w:val="16"/>
                <w:szCs w:val="16"/>
                <w:vertAlign w:val="subscript"/>
              </w:rPr>
              <w:t>g</w:t>
            </w:r>
            <w:proofErr w:type="spellEnd"/>
          </w:p>
        </w:tc>
        <w:tc>
          <w:tcPr>
            <w:tcW w:w="630" w:type="dxa"/>
            <w:vAlign w:val="center"/>
          </w:tcPr>
          <w:p w14:paraId="080D856F" w14:textId="000CDA5D" w:rsidR="00C31920" w:rsidRPr="00D12150" w:rsidRDefault="00C31920" w:rsidP="001475DC">
            <w:pPr>
              <w:rPr>
                <w:b/>
                <w:bCs w:val="0"/>
                <w:sz w:val="16"/>
                <w:szCs w:val="16"/>
              </w:rPr>
            </w:pPr>
            <w:proofErr w:type="spellStart"/>
            <w:r w:rsidRPr="00D12150">
              <w:rPr>
                <w:b/>
                <w:bCs w:val="0"/>
                <w:i/>
                <w:iCs/>
                <w:sz w:val="16"/>
                <w:szCs w:val="16"/>
              </w:rPr>
              <w:t>PAR</w:t>
            </w:r>
            <w:r w:rsidRPr="00D12150">
              <w:rPr>
                <w:b/>
                <w:bCs w:val="0"/>
                <w:sz w:val="16"/>
                <w:szCs w:val="16"/>
                <w:vertAlign w:val="subscript"/>
              </w:rPr>
              <w:t>g</w:t>
            </w:r>
            <w:proofErr w:type="spellEnd"/>
          </w:p>
        </w:tc>
        <w:tc>
          <w:tcPr>
            <w:tcW w:w="1080" w:type="dxa"/>
            <w:vAlign w:val="center"/>
          </w:tcPr>
          <w:p w14:paraId="09C4B57D" w14:textId="77777777" w:rsidR="00C31920" w:rsidRPr="00D12150" w:rsidRDefault="00C31920" w:rsidP="001475DC">
            <w:pPr>
              <w:rPr>
                <w:b/>
                <w:bCs w:val="0"/>
                <w:sz w:val="16"/>
                <w:szCs w:val="16"/>
              </w:rPr>
            </w:pPr>
            <w:r w:rsidRPr="00D12150">
              <w:rPr>
                <w:b/>
                <w:sz w:val="16"/>
                <w:szCs w:val="16"/>
              </w:rPr>
              <w:t>Ecosystem type</w:t>
            </w:r>
          </w:p>
        </w:tc>
        <w:tc>
          <w:tcPr>
            <w:tcW w:w="1170" w:type="dxa"/>
            <w:vAlign w:val="center"/>
          </w:tcPr>
          <w:p w14:paraId="5A733ECC" w14:textId="77777777" w:rsidR="00C31920" w:rsidRPr="00D12150" w:rsidRDefault="00C31920" w:rsidP="001475DC">
            <w:pPr>
              <w:rPr>
                <w:b/>
                <w:bCs w:val="0"/>
                <w:sz w:val="16"/>
                <w:szCs w:val="16"/>
              </w:rPr>
            </w:pPr>
            <w:r w:rsidRPr="00D12150">
              <w:rPr>
                <w:b/>
                <w:sz w:val="16"/>
                <w:szCs w:val="16"/>
              </w:rPr>
              <w:t>Experiment type</w:t>
            </w:r>
          </w:p>
        </w:tc>
        <w:tc>
          <w:tcPr>
            <w:tcW w:w="1080" w:type="dxa"/>
            <w:vAlign w:val="center"/>
          </w:tcPr>
          <w:p w14:paraId="123CEF67" w14:textId="77777777" w:rsidR="00C31920" w:rsidRPr="00D12150" w:rsidRDefault="00C31920" w:rsidP="001475DC">
            <w:pPr>
              <w:rPr>
                <w:b/>
                <w:bCs w:val="0"/>
                <w:sz w:val="16"/>
                <w:szCs w:val="16"/>
              </w:rPr>
            </w:pPr>
            <w:proofErr w:type="spellStart"/>
            <w:r w:rsidRPr="00D12150">
              <w:rPr>
                <w:b/>
                <w:sz w:val="16"/>
                <w:szCs w:val="16"/>
              </w:rPr>
              <w:t>N</w:t>
            </w:r>
            <w:proofErr w:type="spellEnd"/>
            <w:r w:rsidRPr="00D12150">
              <w:rPr>
                <w:b/>
                <w:sz w:val="16"/>
                <w:szCs w:val="16"/>
              </w:rPr>
              <w:t xml:space="preserve"> addition rate (g m</w:t>
            </w:r>
            <w:r w:rsidRPr="00D12150">
              <w:rPr>
                <w:b/>
                <w:sz w:val="16"/>
                <w:szCs w:val="16"/>
                <w:vertAlign w:val="superscript"/>
              </w:rPr>
              <w:t>-2</w:t>
            </w:r>
            <w:r w:rsidRPr="00D12150">
              <w:rPr>
                <w:b/>
                <w:sz w:val="16"/>
                <w:szCs w:val="16"/>
              </w:rPr>
              <w:t>)</w:t>
            </w:r>
          </w:p>
        </w:tc>
        <w:tc>
          <w:tcPr>
            <w:tcW w:w="1170" w:type="dxa"/>
            <w:vAlign w:val="center"/>
          </w:tcPr>
          <w:p w14:paraId="46B90D59" w14:textId="77777777" w:rsidR="00C31920" w:rsidRPr="00D12150" w:rsidRDefault="00C31920" w:rsidP="001475DC">
            <w:pPr>
              <w:rPr>
                <w:b/>
                <w:bCs w:val="0"/>
                <w:sz w:val="16"/>
                <w:szCs w:val="16"/>
              </w:rPr>
            </w:pPr>
            <w:r w:rsidRPr="00D12150">
              <w:rPr>
                <w:b/>
                <w:sz w:val="16"/>
                <w:szCs w:val="16"/>
              </w:rPr>
              <w:t>P addition rate (g m</w:t>
            </w:r>
            <w:r w:rsidRPr="00D12150">
              <w:rPr>
                <w:b/>
                <w:sz w:val="16"/>
                <w:szCs w:val="16"/>
                <w:vertAlign w:val="superscript"/>
              </w:rPr>
              <w:t>-2</w:t>
            </w:r>
            <w:r w:rsidRPr="00D12150">
              <w:rPr>
                <w:b/>
                <w:sz w:val="16"/>
                <w:szCs w:val="16"/>
              </w:rPr>
              <w:t>)</w:t>
            </w:r>
          </w:p>
        </w:tc>
      </w:tr>
      <w:tr w:rsidR="00C31920" w:rsidRPr="00D81D83" w14:paraId="27693AAD" w14:textId="77777777" w:rsidTr="00D12150">
        <w:sdt>
          <w:sdtPr>
            <w:rPr>
              <w:color w:val="000000"/>
              <w:sz w:val="18"/>
              <w:szCs w:val="18"/>
            </w:rPr>
            <w:tag w:val="MENDELEY_CITATION_v3_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"/>
            <w:id w:val="-2049984958"/>
            <w:placeholder>
              <w:docPart w:val="B02295D75FCBA74081C93E9E87D13E27"/>
            </w:placeholder>
          </w:sdtPr>
          <w:sdtContent>
            <w:tc>
              <w:tcPr>
                <w:tcW w:w="2335" w:type="dxa"/>
                <w:vMerge w:val="restart"/>
                <w:vAlign w:val="center"/>
              </w:tcPr>
              <w:p w14:paraId="2B827834" w14:textId="1B3F521E" w:rsidR="00C31920" w:rsidRPr="00EC21FB" w:rsidRDefault="00E807B5" w:rsidP="00C31920">
                <w:pPr>
                  <w:rPr>
                    <w:color w:val="000000"/>
                    <w:sz w:val="18"/>
                    <w:szCs w:val="18"/>
                  </w:rPr>
                </w:pPr>
                <w:r w:rsidRPr="00E807B5">
                  <w:rPr>
                    <w:rFonts w:eastAsia="Times New Roman"/>
                    <w:color w:val="000000"/>
                    <w:sz w:val="18"/>
                  </w:rPr>
                  <w:t>(</w:t>
                </w:r>
                <w:proofErr w:type="spellStart"/>
                <w:r w:rsidRPr="00E807B5">
                  <w:rPr>
                    <w:rFonts w:eastAsia="Times New Roman"/>
                    <w:color w:val="000000"/>
                    <w:sz w:val="18"/>
                  </w:rPr>
                  <w:t>Güsewell</w:t>
                </w:r>
                <w:proofErr w:type="spellEnd"/>
                <w:r w:rsidRPr="00E807B5">
                  <w:rPr>
                    <w:rFonts w:eastAsia="Times New Roman"/>
                    <w:color w:val="000000"/>
                    <w:sz w:val="18"/>
                  </w:rPr>
                  <w:t xml:space="preserve"> et al., 2003)</w:t>
                </w:r>
              </w:p>
            </w:tc>
          </w:sdtContent>
        </w:sdt>
        <w:tc>
          <w:tcPr>
            <w:tcW w:w="1260" w:type="dxa"/>
          </w:tcPr>
          <w:p w14:paraId="474A1BD6" w14:textId="18BC8C8D" w:rsidR="00C31920" w:rsidRPr="00EC21FB" w:rsidRDefault="00C31920" w:rsidP="00C31920">
            <w:pPr>
              <w:rPr>
                <w:color w:val="000000"/>
                <w:sz w:val="18"/>
                <w:szCs w:val="18"/>
              </w:rPr>
            </w:pPr>
            <w:r>
              <w:rPr>
                <w:color w:val="000000"/>
                <w:sz w:val="18"/>
                <w:szCs w:val="18"/>
              </w:rPr>
              <w:t>gusewellW1</w:t>
            </w:r>
          </w:p>
        </w:tc>
        <w:tc>
          <w:tcPr>
            <w:tcW w:w="810" w:type="dxa"/>
            <w:vAlign w:val="bottom"/>
          </w:tcPr>
          <w:p w14:paraId="011ABC62" w14:textId="62C0B916" w:rsidR="00C31920" w:rsidRPr="00C31920" w:rsidRDefault="00C31920" w:rsidP="00C31920">
            <w:pPr>
              <w:jc w:val="right"/>
              <w:rPr>
                <w:color w:val="000000"/>
                <w:sz w:val="18"/>
                <w:szCs w:val="18"/>
              </w:rPr>
            </w:pPr>
            <w:r w:rsidRPr="00C31920">
              <w:rPr>
                <w:color w:val="000000"/>
                <w:sz w:val="18"/>
                <w:szCs w:val="18"/>
              </w:rPr>
              <w:t>52.5</w:t>
            </w:r>
          </w:p>
        </w:tc>
        <w:tc>
          <w:tcPr>
            <w:tcW w:w="1080" w:type="dxa"/>
            <w:vAlign w:val="bottom"/>
          </w:tcPr>
          <w:p w14:paraId="79B9B4B2" w14:textId="1689724A" w:rsidR="00C31920" w:rsidRPr="00C31920" w:rsidRDefault="00C31920" w:rsidP="00C31920">
            <w:pPr>
              <w:jc w:val="right"/>
              <w:rPr>
                <w:color w:val="000000"/>
                <w:sz w:val="18"/>
                <w:szCs w:val="18"/>
              </w:rPr>
            </w:pPr>
            <w:r w:rsidRPr="00C31920">
              <w:rPr>
                <w:color w:val="000000"/>
                <w:sz w:val="18"/>
                <w:szCs w:val="18"/>
              </w:rPr>
              <w:t>5.7</w:t>
            </w:r>
          </w:p>
        </w:tc>
        <w:tc>
          <w:tcPr>
            <w:tcW w:w="990" w:type="dxa"/>
          </w:tcPr>
          <w:p w14:paraId="56C7A432" w14:textId="59A4BE11" w:rsidR="00C31920" w:rsidRPr="00C15C33" w:rsidRDefault="00C31920" w:rsidP="00C31920">
            <w:pPr>
              <w:jc w:val="right"/>
              <w:rPr>
                <w:color w:val="000000"/>
                <w:sz w:val="18"/>
                <w:szCs w:val="18"/>
              </w:rPr>
            </w:pPr>
            <w:r>
              <w:rPr>
                <w:color w:val="000000"/>
                <w:sz w:val="18"/>
                <w:szCs w:val="18"/>
              </w:rPr>
              <w:t>-5</w:t>
            </w:r>
          </w:p>
        </w:tc>
        <w:tc>
          <w:tcPr>
            <w:tcW w:w="630" w:type="dxa"/>
            <w:vAlign w:val="center"/>
          </w:tcPr>
          <w:p w14:paraId="6455FA3D" w14:textId="201C66EC" w:rsidR="00C31920" w:rsidRPr="00C15C33" w:rsidRDefault="00C31920" w:rsidP="00C31920">
            <w:pPr>
              <w:jc w:val="right"/>
              <w:rPr>
                <w:color w:val="000000"/>
                <w:sz w:val="18"/>
                <w:szCs w:val="18"/>
              </w:rPr>
            </w:pPr>
            <w:r>
              <w:rPr>
                <w:color w:val="000000"/>
                <w:sz w:val="18"/>
                <w:szCs w:val="18"/>
              </w:rPr>
              <w:t>9.8</w:t>
            </w:r>
          </w:p>
        </w:tc>
        <w:tc>
          <w:tcPr>
            <w:tcW w:w="630" w:type="dxa"/>
            <w:vAlign w:val="center"/>
          </w:tcPr>
          <w:p w14:paraId="516DD8D7" w14:textId="7CA52FEA" w:rsidR="00C31920" w:rsidRPr="00C15C33" w:rsidRDefault="00C31920" w:rsidP="00C31920">
            <w:pPr>
              <w:jc w:val="right"/>
              <w:rPr>
                <w:color w:val="000000"/>
                <w:sz w:val="18"/>
                <w:szCs w:val="18"/>
              </w:rPr>
            </w:pPr>
            <w:r>
              <w:rPr>
                <w:color w:val="000000"/>
                <w:sz w:val="18"/>
                <w:szCs w:val="18"/>
              </w:rPr>
              <w:t>1.58</w:t>
            </w:r>
          </w:p>
        </w:tc>
        <w:tc>
          <w:tcPr>
            <w:tcW w:w="630" w:type="dxa"/>
          </w:tcPr>
          <w:p w14:paraId="7E249268" w14:textId="682C2F72" w:rsidR="00C31920" w:rsidRPr="00C15C33" w:rsidRDefault="00C31920" w:rsidP="00C31920">
            <w:pPr>
              <w:jc w:val="right"/>
              <w:rPr>
                <w:color w:val="000000"/>
                <w:sz w:val="18"/>
                <w:szCs w:val="18"/>
              </w:rPr>
            </w:pPr>
            <w:r>
              <w:rPr>
                <w:color w:val="000000"/>
                <w:sz w:val="18"/>
                <w:szCs w:val="18"/>
              </w:rPr>
              <w:t>471</w:t>
            </w:r>
          </w:p>
        </w:tc>
        <w:tc>
          <w:tcPr>
            <w:tcW w:w="1080" w:type="dxa"/>
            <w:vAlign w:val="bottom"/>
          </w:tcPr>
          <w:p w14:paraId="5C11ABF8" w14:textId="507522EB"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2CFF439A" w14:textId="38C96451"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57D1441C" w14:textId="211A5430"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122EC5DC" w14:textId="0A1C8A56" w:rsidR="00C31920" w:rsidRPr="00EC21FB" w:rsidRDefault="00C31920" w:rsidP="00C31920">
            <w:pPr>
              <w:jc w:val="right"/>
              <w:rPr>
                <w:color w:val="000000"/>
                <w:sz w:val="18"/>
                <w:szCs w:val="18"/>
              </w:rPr>
            </w:pPr>
            <w:r w:rsidRPr="00EC21FB">
              <w:rPr>
                <w:color w:val="000000"/>
                <w:sz w:val="18"/>
                <w:szCs w:val="18"/>
              </w:rPr>
              <w:t>5</w:t>
            </w:r>
          </w:p>
        </w:tc>
      </w:tr>
      <w:tr w:rsidR="00C31920" w:rsidRPr="00D81D83" w14:paraId="49D6AD56" w14:textId="77777777" w:rsidTr="00D12150">
        <w:tc>
          <w:tcPr>
            <w:tcW w:w="2335" w:type="dxa"/>
            <w:vMerge/>
          </w:tcPr>
          <w:p w14:paraId="0AFCC9B4" w14:textId="77777777" w:rsidR="00C31920" w:rsidRPr="00EC21FB" w:rsidRDefault="00C31920" w:rsidP="00C31920">
            <w:pPr>
              <w:rPr>
                <w:color w:val="000000"/>
                <w:sz w:val="18"/>
                <w:szCs w:val="18"/>
              </w:rPr>
            </w:pPr>
          </w:p>
        </w:tc>
        <w:tc>
          <w:tcPr>
            <w:tcW w:w="1260" w:type="dxa"/>
          </w:tcPr>
          <w:p w14:paraId="1ED2C37A" w14:textId="101B31E9" w:rsidR="00C31920" w:rsidRPr="00EC21FB" w:rsidRDefault="00C31920" w:rsidP="00C31920">
            <w:pPr>
              <w:rPr>
                <w:color w:val="000000"/>
                <w:sz w:val="18"/>
                <w:szCs w:val="18"/>
              </w:rPr>
            </w:pPr>
            <w:r>
              <w:rPr>
                <w:color w:val="000000"/>
                <w:sz w:val="18"/>
                <w:szCs w:val="18"/>
              </w:rPr>
              <w:t>gusewellW2</w:t>
            </w:r>
          </w:p>
        </w:tc>
        <w:tc>
          <w:tcPr>
            <w:tcW w:w="810" w:type="dxa"/>
            <w:vAlign w:val="bottom"/>
          </w:tcPr>
          <w:p w14:paraId="16A1E4EE" w14:textId="31F23209" w:rsidR="00C31920" w:rsidRPr="00C31920" w:rsidRDefault="00C31920" w:rsidP="00C31920">
            <w:pPr>
              <w:jc w:val="right"/>
              <w:rPr>
                <w:color w:val="000000"/>
                <w:sz w:val="18"/>
                <w:szCs w:val="18"/>
              </w:rPr>
            </w:pPr>
            <w:r w:rsidRPr="00C31920">
              <w:rPr>
                <w:color w:val="000000"/>
                <w:sz w:val="18"/>
                <w:szCs w:val="18"/>
              </w:rPr>
              <w:t>52.5</w:t>
            </w:r>
          </w:p>
        </w:tc>
        <w:tc>
          <w:tcPr>
            <w:tcW w:w="1080" w:type="dxa"/>
            <w:vAlign w:val="bottom"/>
          </w:tcPr>
          <w:p w14:paraId="5BD84E7C" w14:textId="3376631B" w:rsidR="00C31920" w:rsidRPr="00C31920" w:rsidRDefault="00C31920" w:rsidP="00C31920">
            <w:pPr>
              <w:jc w:val="right"/>
              <w:rPr>
                <w:color w:val="000000"/>
                <w:sz w:val="18"/>
                <w:szCs w:val="18"/>
              </w:rPr>
            </w:pPr>
            <w:r w:rsidRPr="00C31920">
              <w:rPr>
                <w:color w:val="000000"/>
                <w:sz w:val="18"/>
                <w:szCs w:val="18"/>
              </w:rPr>
              <w:t>5.7</w:t>
            </w:r>
          </w:p>
        </w:tc>
        <w:tc>
          <w:tcPr>
            <w:tcW w:w="990" w:type="dxa"/>
          </w:tcPr>
          <w:p w14:paraId="5A8B2611" w14:textId="022529F8" w:rsidR="00C31920" w:rsidRPr="00C15C33" w:rsidRDefault="00C31920" w:rsidP="00C31920">
            <w:pPr>
              <w:jc w:val="right"/>
              <w:rPr>
                <w:color w:val="000000"/>
                <w:sz w:val="18"/>
                <w:szCs w:val="18"/>
              </w:rPr>
            </w:pPr>
            <w:r>
              <w:rPr>
                <w:color w:val="000000"/>
                <w:sz w:val="18"/>
                <w:szCs w:val="18"/>
              </w:rPr>
              <w:t>-5</w:t>
            </w:r>
          </w:p>
        </w:tc>
        <w:tc>
          <w:tcPr>
            <w:tcW w:w="630" w:type="dxa"/>
            <w:vAlign w:val="center"/>
          </w:tcPr>
          <w:p w14:paraId="1447C497" w14:textId="66C7C4BE" w:rsidR="00C31920" w:rsidRPr="00C15C33" w:rsidRDefault="00C31920" w:rsidP="00C31920">
            <w:pPr>
              <w:jc w:val="right"/>
              <w:rPr>
                <w:color w:val="000000"/>
                <w:sz w:val="18"/>
                <w:szCs w:val="18"/>
              </w:rPr>
            </w:pPr>
            <w:r>
              <w:rPr>
                <w:color w:val="000000"/>
                <w:sz w:val="18"/>
                <w:szCs w:val="18"/>
              </w:rPr>
              <w:t>9.8</w:t>
            </w:r>
          </w:p>
        </w:tc>
        <w:tc>
          <w:tcPr>
            <w:tcW w:w="630" w:type="dxa"/>
            <w:vAlign w:val="center"/>
          </w:tcPr>
          <w:p w14:paraId="204D8AA8" w14:textId="18D388F7" w:rsidR="00C31920" w:rsidRPr="00C15C33" w:rsidRDefault="00C31920" w:rsidP="00C31920">
            <w:pPr>
              <w:jc w:val="right"/>
              <w:rPr>
                <w:color w:val="000000"/>
                <w:sz w:val="18"/>
                <w:szCs w:val="18"/>
              </w:rPr>
            </w:pPr>
            <w:r>
              <w:rPr>
                <w:color w:val="000000"/>
                <w:sz w:val="18"/>
                <w:szCs w:val="18"/>
              </w:rPr>
              <w:t>1.58</w:t>
            </w:r>
          </w:p>
        </w:tc>
        <w:tc>
          <w:tcPr>
            <w:tcW w:w="630" w:type="dxa"/>
          </w:tcPr>
          <w:p w14:paraId="59CD128A" w14:textId="063A3158" w:rsidR="00C31920" w:rsidRPr="00C15C33" w:rsidRDefault="00C31920" w:rsidP="00C31920">
            <w:pPr>
              <w:jc w:val="right"/>
              <w:rPr>
                <w:color w:val="000000"/>
                <w:sz w:val="18"/>
                <w:szCs w:val="18"/>
              </w:rPr>
            </w:pPr>
            <w:r>
              <w:rPr>
                <w:color w:val="000000"/>
                <w:sz w:val="18"/>
                <w:szCs w:val="18"/>
              </w:rPr>
              <w:t>471</w:t>
            </w:r>
          </w:p>
        </w:tc>
        <w:tc>
          <w:tcPr>
            <w:tcW w:w="1080" w:type="dxa"/>
            <w:vAlign w:val="bottom"/>
          </w:tcPr>
          <w:p w14:paraId="2B4D2B39" w14:textId="03F3B101"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4A80038C" w14:textId="36DA29D6"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2C14E388" w14:textId="6A83D29A"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3869B1CC" w14:textId="5E33524F" w:rsidR="00C31920" w:rsidRPr="00EC21FB" w:rsidRDefault="00C31920" w:rsidP="00C31920">
            <w:pPr>
              <w:jc w:val="right"/>
              <w:rPr>
                <w:color w:val="000000"/>
                <w:sz w:val="18"/>
                <w:szCs w:val="18"/>
              </w:rPr>
            </w:pPr>
            <w:r w:rsidRPr="00EC21FB">
              <w:rPr>
                <w:color w:val="000000"/>
                <w:sz w:val="18"/>
                <w:szCs w:val="18"/>
              </w:rPr>
              <w:t>5</w:t>
            </w:r>
          </w:p>
        </w:tc>
      </w:tr>
      <w:tr w:rsidR="00C31920" w:rsidRPr="00D81D83" w14:paraId="1B8FF789" w14:textId="77777777" w:rsidTr="00D12150">
        <w:tc>
          <w:tcPr>
            <w:tcW w:w="2335" w:type="dxa"/>
            <w:vMerge/>
          </w:tcPr>
          <w:p w14:paraId="39093F2C" w14:textId="77777777" w:rsidR="00C31920" w:rsidRPr="00EC21FB" w:rsidRDefault="00C31920" w:rsidP="00C31920">
            <w:pPr>
              <w:rPr>
                <w:color w:val="000000"/>
                <w:sz w:val="18"/>
                <w:szCs w:val="18"/>
              </w:rPr>
            </w:pPr>
          </w:p>
        </w:tc>
        <w:tc>
          <w:tcPr>
            <w:tcW w:w="1260" w:type="dxa"/>
          </w:tcPr>
          <w:p w14:paraId="32C955B9" w14:textId="7FBC9930" w:rsidR="00C31920" w:rsidRPr="00EC21FB" w:rsidRDefault="00C31920" w:rsidP="00C31920">
            <w:pPr>
              <w:rPr>
                <w:color w:val="000000"/>
                <w:sz w:val="18"/>
                <w:szCs w:val="18"/>
              </w:rPr>
            </w:pPr>
            <w:r>
              <w:rPr>
                <w:color w:val="000000"/>
                <w:sz w:val="18"/>
                <w:szCs w:val="18"/>
              </w:rPr>
              <w:t>gusewellW3</w:t>
            </w:r>
          </w:p>
        </w:tc>
        <w:tc>
          <w:tcPr>
            <w:tcW w:w="810" w:type="dxa"/>
            <w:vAlign w:val="bottom"/>
          </w:tcPr>
          <w:p w14:paraId="70EA72C5" w14:textId="5FC4C27F" w:rsidR="00C31920" w:rsidRPr="00C31920" w:rsidRDefault="00C31920" w:rsidP="00C31920">
            <w:pPr>
              <w:jc w:val="right"/>
              <w:rPr>
                <w:color w:val="000000"/>
                <w:sz w:val="18"/>
                <w:szCs w:val="18"/>
              </w:rPr>
            </w:pPr>
            <w:r w:rsidRPr="00C31920">
              <w:rPr>
                <w:color w:val="000000"/>
                <w:sz w:val="18"/>
                <w:szCs w:val="18"/>
              </w:rPr>
              <w:t>52.5</w:t>
            </w:r>
          </w:p>
        </w:tc>
        <w:tc>
          <w:tcPr>
            <w:tcW w:w="1080" w:type="dxa"/>
            <w:vAlign w:val="bottom"/>
          </w:tcPr>
          <w:p w14:paraId="6D41E43A" w14:textId="1A666B1D" w:rsidR="00C31920" w:rsidRPr="00C31920" w:rsidRDefault="00C31920" w:rsidP="00C31920">
            <w:pPr>
              <w:jc w:val="right"/>
              <w:rPr>
                <w:color w:val="000000"/>
                <w:sz w:val="18"/>
                <w:szCs w:val="18"/>
              </w:rPr>
            </w:pPr>
            <w:r w:rsidRPr="00C31920">
              <w:rPr>
                <w:color w:val="000000"/>
                <w:sz w:val="18"/>
                <w:szCs w:val="18"/>
              </w:rPr>
              <w:t>5.7</w:t>
            </w:r>
          </w:p>
        </w:tc>
        <w:tc>
          <w:tcPr>
            <w:tcW w:w="990" w:type="dxa"/>
          </w:tcPr>
          <w:p w14:paraId="67517584" w14:textId="0183A6A2" w:rsidR="00C31920" w:rsidRPr="00C15C33" w:rsidRDefault="00C31920" w:rsidP="00C31920">
            <w:pPr>
              <w:jc w:val="right"/>
              <w:rPr>
                <w:color w:val="000000"/>
                <w:sz w:val="18"/>
                <w:szCs w:val="18"/>
              </w:rPr>
            </w:pPr>
            <w:r>
              <w:rPr>
                <w:color w:val="000000"/>
                <w:sz w:val="18"/>
                <w:szCs w:val="18"/>
              </w:rPr>
              <w:t>-5</w:t>
            </w:r>
          </w:p>
        </w:tc>
        <w:tc>
          <w:tcPr>
            <w:tcW w:w="630" w:type="dxa"/>
            <w:vAlign w:val="center"/>
          </w:tcPr>
          <w:p w14:paraId="13DD7E3B" w14:textId="329C4807" w:rsidR="00C31920" w:rsidRPr="00C15C33" w:rsidRDefault="00C31920" w:rsidP="00C31920">
            <w:pPr>
              <w:jc w:val="right"/>
              <w:rPr>
                <w:color w:val="000000"/>
                <w:sz w:val="18"/>
                <w:szCs w:val="18"/>
              </w:rPr>
            </w:pPr>
            <w:r>
              <w:rPr>
                <w:color w:val="000000"/>
                <w:sz w:val="18"/>
                <w:szCs w:val="18"/>
              </w:rPr>
              <w:t>9.8</w:t>
            </w:r>
          </w:p>
        </w:tc>
        <w:tc>
          <w:tcPr>
            <w:tcW w:w="630" w:type="dxa"/>
            <w:vAlign w:val="center"/>
          </w:tcPr>
          <w:p w14:paraId="33406C56" w14:textId="308410B5" w:rsidR="00C31920" w:rsidRPr="00C15C33" w:rsidRDefault="00C31920" w:rsidP="00C31920">
            <w:pPr>
              <w:jc w:val="right"/>
              <w:rPr>
                <w:color w:val="000000"/>
                <w:sz w:val="18"/>
                <w:szCs w:val="18"/>
              </w:rPr>
            </w:pPr>
            <w:r>
              <w:rPr>
                <w:color w:val="000000"/>
                <w:sz w:val="18"/>
                <w:szCs w:val="18"/>
              </w:rPr>
              <w:t>1.58</w:t>
            </w:r>
          </w:p>
        </w:tc>
        <w:tc>
          <w:tcPr>
            <w:tcW w:w="630" w:type="dxa"/>
          </w:tcPr>
          <w:p w14:paraId="4988DCFC" w14:textId="5581BEC4" w:rsidR="00C31920" w:rsidRPr="00C15C33" w:rsidRDefault="00C31920" w:rsidP="00C31920">
            <w:pPr>
              <w:jc w:val="right"/>
              <w:rPr>
                <w:color w:val="000000"/>
                <w:sz w:val="18"/>
                <w:szCs w:val="18"/>
              </w:rPr>
            </w:pPr>
            <w:r>
              <w:rPr>
                <w:color w:val="000000"/>
                <w:sz w:val="18"/>
                <w:szCs w:val="18"/>
              </w:rPr>
              <w:t>471</w:t>
            </w:r>
          </w:p>
        </w:tc>
        <w:tc>
          <w:tcPr>
            <w:tcW w:w="1080" w:type="dxa"/>
            <w:vAlign w:val="bottom"/>
          </w:tcPr>
          <w:p w14:paraId="22927CCD" w14:textId="71E97DE8"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68CA825C" w14:textId="25902BFD"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3BF804F9" w14:textId="26F44262"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34E3A078" w14:textId="03A3694B" w:rsidR="00C31920" w:rsidRPr="00EC21FB" w:rsidRDefault="00C31920" w:rsidP="00C31920">
            <w:pPr>
              <w:jc w:val="right"/>
              <w:rPr>
                <w:color w:val="000000"/>
                <w:sz w:val="18"/>
                <w:szCs w:val="18"/>
              </w:rPr>
            </w:pPr>
            <w:r w:rsidRPr="00EC21FB">
              <w:rPr>
                <w:color w:val="000000"/>
                <w:sz w:val="18"/>
                <w:szCs w:val="18"/>
              </w:rPr>
              <w:t>5</w:t>
            </w:r>
          </w:p>
        </w:tc>
      </w:tr>
      <w:tr w:rsidR="00C31920" w:rsidRPr="00D81D83" w14:paraId="04A0DCCF" w14:textId="77777777" w:rsidTr="00D12150">
        <w:tc>
          <w:tcPr>
            <w:tcW w:w="2335" w:type="dxa"/>
            <w:vMerge/>
          </w:tcPr>
          <w:p w14:paraId="42F4E189" w14:textId="77777777" w:rsidR="00C31920" w:rsidRPr="00EC21FB" w:rsidRDefault="00C31920" w:rsidP="00C31920">
            <w:pPr>
              <w:rPr>
                <w:color w:val="000000"/>
                <w:sz w:val="18"/>
                <w:szCs w:val="18"/>
              </w:rPr>
            </w:pPr>
          </w:p>
        </w:tc>
        <w:tc>
          <w:tcPr>
            <w:tcW w:w="1260" w:type="dxa"/>
          </w:tcPr>
          <w:p w14:paraId="477D19E3" w14:textId="310C10F1" w:rsidR="00C31920" w:rsidRPr="00EC21FB" w:rsidRDefault="00C31920" w:rsidP="00C31920">
            <w:pPr>
              <w:rPr>
                <w:color w:val="000000"/>
                <w:sz w:val="18"/>
                <w:szCs w:val="18"/>
              </w:rPr>
            </w:pPr>
            <w:r>
              <w:rPr>
                <w:color w:val="000000"/>
                <w:sz w:val="18"/>
                <w:szCs w:val="18"/>
              </w:rPr>
              <w:t>gusewellW4</w:t>
            </w:r>
          </w:p>
        </w:tc>
        <w:tc>
          <w:tcPr>
            <w:tcW w:w="810" w:type="dxa"/>
            <w:vAlign w:val="bottom"/>
          </w:tcPr>
          <w:p w14:paraId="2557007E" w14:textId="6627FD5E" w:rsidR="00C31920" w:rsidRPr="00C31920" w:rsidRDefault="00C31920" w:rsidP="00C31920">
            <w:pPr>
              <w:jc w:val="right"/>
              <w:rPr>
                <w:color w:val="000000"/>
                <w:sz w:val="18"/>
                <w:szCs w:val="18"/>
              </w:rPr>
            </w:pPr>
            <w:r w:rsidRPr="00C31920">
              <w:rPr>
                <w:color w:val="000000"/>
                <w:sz w:val="18"/>
                <w:szCs w:val="18"/>
              </w:rPr>
              <w:t>52.5</w:t>
            </w:r>
          </w:p>
        </w:tc>
        <w:tc>
          <w:tcPr>
            <w:tcW w:w="1080" w:type="dxa"/>
            <w:vAlign w:val="bottom"/>
          </w:tcPr>
          <w:p w14:paraId="15BAB240" w14:textId="272FE414" w:rsidR="00C31920" w:rsidRPr="00C31920" w:rsidRDefault="00C31920" w:rsidP="00C31920">
            <w:pPr>
              <w:jc w:val="right"/>
              <w:rPr>
                <w:color w:val="000000"/>
                <w:sz w:val="18"/>
                <w:szCs w:val="18"/>
              </w:rPr>
            </w:pPr>
            <w:r w:rsidRPr="00C31920">
              <w:rPr>
                <w:color w:val="000000"/>
                <w:sz w:val="18"/>
                <w:szCs w:val="18"/>
              </w:rPr>
              <w:t>5.7</w:t>
            </w:r>
          </w:p>
        </w:tc>
        <w:tc>
          <w:tcPr>
            <w:tcW w:w="990" w:type="dxa"/>
          </w:tcPr>
          <w:p w14:paraId="5F6367D3" w14:textId="6D804093" w:rsidR="00C31920" w:rsidRPr="00C15C33" w:rsidRDefault="00C31920" w:rsidP="00C31920">
            <w:pPr>
              <w:jc w:val="right"/>
              <w:rPr>
                <w:color w:val="000000"/>
                <w:sz w:val="18"/>
                <w:szCs w:val="18"/>
              </w:rPr>
            </w:pPr>
            <w:r>
              <w:rPr>
                <w:color w:val="000000"/>
                <w:sz w:val="18"/>
                <w:szCs w:val="18"/>
              </w:rPr>
              <w:t>-5</w:t>
            </w:r>
          </w:p>
        </w:tc>
        <w:tc>
          <w:tcPr>
            <w:tcW w:w="630" w:type="dxa"/>
            <w:vAlign w:val="center"/>
          </w:tcPr>
          <w:p w14:paraId="3654F7E0" w14:textId="6C3A480D" w:rsidR="00C31920" w:rsidRPr="00C15C33" w:rsidRDefault="00C31920" w:rsidP="00C31920">
            <w:pPr>
              <w:jc w:val="right"/>
              <w:rPr>
                <w:color w:val="000000"/>
                <w:sz w:val="18"/>
                <w:szCs w:val="18"/>
              </w:rPr>
            </w:pPr>
            <w:r>
              <w:rPr>
                <w:color w:val="000000"/>
                <w:sz w:val="18"/>
                <w:szCs w:val="18"/>
              </w:rPr>
              <w:t>9.8</w:t>
            </w:r>
          </w:p>
        </w:tc>
        <w:tc>
          <w:tcPr>
            <w:tcW w:w="630" w:type="dxa"/>
            <w:vAlign w:val="center"/>
          </w:tcPr>
          <w:p w14:paraId="74B60FCF" w14:textId="12EB1648" w:rsidR="00C31920" w:rsidRPr="00C15C33" w:rsidRDefault="00C31920" w:rsidP="00C31920">
            <w:pPr>
              <w:jc w:val="right"/>
              <w:rPr>
                <w:color w:val="000000"/>
                <w:sz w:val="18"/>
                <w:szCs w:val="18"/>
              </w:rPr>
            </w:pPr>
            <w:r>
              <w:rPr>
                <w:color w:val="000000"/>
                <w:sz w:val="18"/>
                <w:szCs w:val="18"/>
              </w:rPr>
              <w:t>1.58</w:t>
            </w:r>
          </w:p>
        </w:tc>
        <w:tc>
          <w:tcPr>
            <w:tcW w:w="630" w:type="dxa"/>
          </w:tcPr>
          <w:p w14:paraId="07896453" w14:textId="5FC28FDC" w:rsidR="00C31920" w:rsidRPr="00C15C33" w:rsidRDefault="00C31920" w:rsidP="00C31920">
            <w:pPr>
              <w:jc w:val="right"/>
              <w:rPr>
                <w:color w:val="000000"/>
                <w:sz w:val="18"/>
                <w:szCs w:val="18"/>
              </w:rPr>
            </w:pPr>
            <w:r>
              <w:rPr>
                <w:color w:val="000000"/>
                <w:sz w:val="18"/>
                <w:szCs w:val="18"/>
              </w:rPr>
              <w:t>471</w:t>
            </w:r>
          </w:p>
        </w:tc>
        <w:tc>
          <w:tcPr>
            <w:tcW w:w="1080" w:type="dxa"/>
            <w:vAlign w:val="bottom"/>
          </w:tcPr>
          <w:p w14:paraId="3CDA7BD3" w14:textId="2F0B24DC"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24CD25EB" w14:textId="5991D1C1"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6D348129" w14:textId="4A28BE0B"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124BE51A" w14:textId="180F792D" w:rsidR="00C31920" w:rsidRPr="00EC21FB" w:rsidRDefault="00C31920" w:rsidP="00C31920">
            <w:pPr>
              <w:jc w:val="right"/>
              <w:rPr>
                <w:color w:val="000000"/>
                <w:sz w:val="18"/>
                <w:szCs w:val="18"/>
              </w:rPr>
            </w:pPr>
            <w:r w:rsidRPr="00EC21FB">
              <w:rPr>
                <w:color w:val="000000"/>
                <w:sz w:val="18"/>
                <w:szCs w:val="18"/>
              </w:rPr>
              <w:t>5</w:t>
            </w:r>
          </w:p>
        </w:tc>
      </w:tr>
      <w:tr w:rsidR="00C31920" w:rsidRPr="00D81D83" w14:paraId="0971E062" w14:textId="77777777" w:rsidTr="00D12150">
        <w:sdt>
          <w:sdtPr>
            <w:rPr>
              <w:color w:val="000000"/>
              <w:sz w:val="18"/>
              <w:szCs w:val="18"/>
            </w:rPr>
            <w:tag w:val="MENDELEY_CITATION_v3_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"/>
            <w:id w:val="-1534884375"/>
            <w:placeholder>
              <w:docPart w:val="106ABD80A4962445A216D98C54781467"/>
            </w:placeholder>
          </w:sdtPr>
          <w:sdtContent>
            <w:tc>
              <w:tcPr>
                <w:tcW w:w="2335" w:type="dxa"/>
              </w:tcPr>
              <w:p w14:paraId="354EBD50" w14:textId="22EEBC9D" w:rsidR="00C31920" w:rsidRPr="00EC21FB" w:rsidRDefault="00E807B5" w:rsidP="00C31920">
                <w:pPr>
                  <w:rPr>
                    <w:color w:val="000000"/>
                    <w:sz w:val="18"/>
                    <w:szCs w:val="18"/>
                  </w:rPr>
                </w:pPr>
                <w:r w:rsidRPr="00E807B5">
                  <w:rPr>
                    <w:color w:val="000000"/>
                    <w:sz w:val="18"/>
                    <w:szCs w:val="18"/>
                  </w:rPr>
                  <w:t>(Haag, 1974)</w:t>
                </w:r>
              </w:p>
            </w:tc>
          </w:sdtContent>
        </w:sdt>
        <w:tc>
          <w:tcPr>
            <w:tcW w:w="1260" w:type="dxa"/>
          </w:tcPr>
          <w:p w14:paraId="28C1665A" w14:textId="392B3694" w:rsidR="00C31920" w:rsidRPr="00EC21FB" w:rsidRDefault="00C31920" w:rsidP="00C31920">
            <w:pPr>
              <w:rPr>
                <w:color w:val="000000"/>
                <w:sz w:val="18"/>
                <w:szCs w:val="18"/>
              </w:rPr>
            </w:pPr>
            <w:proofErr w:type="spellStart"/>
            <w:r w:rsidRPr="00C15C33">
              <w:rPr>
                <w:color w:val="000000"/>
                <w:sz w:val="18"/>
                <w:szCs w:val="18"/>
              </w:rPr>
              <w:t>tuktoyaktuk</w:t>
            </w:r>
            <w:proofErr w:type="spellEnd"/>
          </w:p>
        </w:tc>
        <w:tc>
          <w:tcPr>
            <w:tcW w:w="810" w:type="dxa"/>
            <w:vAlign w:val="bottom"/>
          </w:tcPr>
          <w:p w14:paraId="1E805EB1" w14:textId="49D9A00F" w:rsidR="00C31920" w:rsidRPr="00EC21FB" w:rsidRDefault="00C31920" w:rsidP="00C31920">
            <w:pPr>
              <w:jc w:val="right"/>
              <w:rPr>
                <w:color w:val="000000"/>
                <w:sz w:val="18"/>
                <w:szCs w:val="18"/>
              </w:rPr>
            </w:pPr>
            <w:r w:rsidRPr="00C15C33">
              <w:rPr>
                <w:color w:val="000000"/>
                <w:sz w:val="18"/>
                <w:szCs w:val="18"/>
              </w:rPr>
              <w:t>69.43</w:t>
            </w:r>
          </w:p>
        </w:tc>
        <w:tc>
          <w:tcPr>
            <w:tcW w:w="1080" w:type="dxa"/>
            <w:vAlign w:val="bottom"/>
          </w:tcPr>
          <w:p w14:paraId="3DBD7787" w14:textId="3CDE468D" w:rsidR="00C31920" w:rsidRPr="00EC21FB" w:rsidRDefault="00C31920" w:rsidP="00C31920">
            <w:pPr>
              <w:jc w:val="right"/>
              <w:rPr>
                <w:color w:val="000000"/>
                <w:sz w:val="18"/>
                <w:szCs w:val="18"/>
              </w:rPr>
            </w:pPr>
            <w:r w:rsidRPr="00C15C33">
              <w:rPr>
                <w:color w:val="000000"/>
                <w:sz w:val="18"/>
                <w:szCs w:val="18"/>
              </w:rPr>
              <w:t>-133.02</w:t>
            </w:r>
          </w:p>
        </w:tc>
        <w:tc>
          <w:tcPr>
            <w:tcW w:w="990" w:type="dxa"/>
          </w:tcPr>
          <w:p w14:paraId="37CECC2F" w14:textId="426E2B2A" w:rsidR="00C31920" w:rsidRPr="00C15C33" w:rsidRDefault="00D12150" w:rsidP="00C31920">
            <w:pPr>
              <w:jc w:val="right"/>
              <w:rPr>
                <w:color w:val="000000"/>
                <w:sz w:val="18"/>
                <w:szCs w:val="18"/>
              </w:rPr>
            </w:pPr>
            <w:r>
              <w:rPr>
                <w:color w:val="000000"/>
                <w:sz w:val="18"/>
                <w:szCs w:val="18"/>
              </w:rPr>
              <w:t>1</w:t>
            </w:r>
          </w:p>
        </w:tc>
        <w:tc>
          <w:tcPr>
            <w:tcW w:w="630" w:type="dxa"/>
          </w:tcPr>
          <w:p w14:paraId="289F5DF8" w14:textId="19D45EB7" w:rsidR="00C31920" w:rsidRPr="00C15C33" w:rsidRDefault="00D12150" w:rsidP="00C31920">
            <w:pPr>
              <w:jc w:val="right"/>
              <w:rPr>
                <w:color w:val="000000"/>
                <w:sz w:val="18"/>
                <w:szCs w:val="18"/>
              </w:rPr>
            </w:pPr>
            <w:r>
              <w:rPr>
                <w:color w:val="000000"/>
                <w:sz w:val="18"/>
                <w:szCs w:val="18"/>
              </w:rPr>
              <w:t>7.5</w:t>
            </w:r>
          </w:p>
        </w:tc>
        <w:tc>
          <w:tcPr>
            <w:tcW w:w="630" w:type="dxa"/>
            <w:vAlign w:val="center"/>
          </w:tcPr>
          <w:p w14:paraId="04E4CA77" w14:textId="439D67C3" w:rsidR="00C31920" w:rsidRPr="00C15C33" w:rsidRDefault="00D12150" w:rsidP="00C31920">
            <w:pPr>
              <w:jc w:val="right"/>
              <w:rPr>
                <w:color w:val="000000"/>
                <w:sz w:val="18"/>
                <w:szCs w:val="18"/>
              </w:rPr>
            </w:pPr>
            <w:r>
              <w:rPr>
                <w:color w:val="000000"/>
                <w:sz w:val="18"/>
                <w:szCs w:val="18"/>
              </w:rPr>
              <w:t>0.36</w:t>
            </w:r>
          </w:p>
        </w:tc>
        <w:tc>
          <w:tcPr>
            <w:tcW w:w="630" w:type="dxa"/>
            <w:vAlign w:val="center"/>
          </w:tcPr>
          <w:p w14:paraId="5837E2C3" w14:textId="6090F8A5" w:rsidR="00C31920" w:rsidRPr="00C15C33" w:rsidRDefault="00D12150" w:rsidP="00C31920">
            <w:pPr>
              <w:jc w:val="right"/>
              <w:rPr>
                <w:color w:val="000000"/>
                <w:sz w:val="18"/>
                <w:szCs w:val="18"/>
              </w:rPr>
            </w:pPr>
            <w:r>
              <w:rPr>
                <w:color w:val="000000"/>
                <w:sz w:val="18"/>
                <w:szCs w:val="18"/>
              </w:rPr>
              <w:t>712</w:t>
            </w:r>
          </w:p>
        </w:tc>
        <w:tc>
          <w:tcPr>
            <w:tcW w:w="1080" w:type="dxa"/>
            <w:vAlign w:val="bottom"/>
          </w:tcPr>
          <w:p w14:paraId="73034122" w14:textId="72B41380" w:rsidR="00C31920" w:rsidRPr="00EC21FB" w:rsidRDefault="00C31920" w:rsidP="00C31920">
            <w:pPr>
              <w:jc w:val="right"/>
              <w:rPr>
                <w:color w:val="000000"/>
                <w:sz w:val="18"/>
                <w:szCs w:val="18"/>
              </w:rPr>
            </w:pPr>
            <w:r w:rsidRPr="00EC21FB">
              <w:rPr>
                <w:color w:val="000000"/>
                <w:sz w:val="18"/>
                <w:szCs w:val="18"/>
              </w:rPr>
              <w:t>tundra</w:t>
            </w:r>
          </w:p>
        </w:tc>
        <w:tc>
          <w:tcPr>
            <w:tcW w:w="1170" w:type="dxa"/>
            <w:vAlign w:val="bottom"/>
          </w:tcPr>
          <w:p w14:paraId="5EE69D93" w14:textId="6733D8E2"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503803B7" w14:textId="62715750" w:rsidR="00C31920" w:rsidRPr="00EC21FB" w:rsidRDefault="00C31920" w:rsidP="00C31920">
            <w:pPr>
              <w:jc w:val="right"/>
              <w:rPr>
                <w:color w:val="000000"/>
                <w:sz w:val="18"/>
                <w:szCs w:val="18"/>
              </w:rPr>
            </w:pPr>
            <w:r w:rsidRPr="00EC21FB">
              <w:rPr>
                <w:color w:val="000000"/>
                <w:sz w:val="18"/>
                <w:szCs w:val="18"/>
              </w:rPr>
              <w:t>10</w:t>
            </w:r>
          </w:p>
        </w:tc>
        <w:tc>
          <w:tcPr>
            <w:tcW w:w="1170" w:type="dxa"/>
            <w:vAlign w:val="bottom"/>
          </w:tcPr>
          <w:p w14:paraId="0FF3723A" w14:textId="1B079DF0" w:rsidR="00C31920" w:rsidRPr="00EC21FB" w:rsidRDefault="00C31920" w:rsidP="00C31920">
            <w:pPr>
              <w:jc w:val="right"/>
              <w:rPr>
                <w:color w:val="000000"/>
                <w:sz w:val="18"/>
                <w:szCs w:val="18"/>
              </w:rPr>
            </w:pPr>
            <w:r w:rsidRPr="00EC21FB">
              <w:rPr>
                <w:color w:val="000000"/>
                <w:sz w:val="18"/>
                <w:szCs w:val="18"/>
              </w:rPr>
              <w:t>10</w:t>
            </w:r>
          </w:p>
        </w:tc>
      </w:tr>
      <w:tr w:rsidR="00C31920" w:rsidRPr="00D81D83" w14:paraId="40492642" w14:textId="77777777" w:rsidTr="00D12150">
        <w:sdt>
          <w:sdtPr>
            <w:rPr>
              <w:color w:val="000000"/>
              <w:sz w:val="18"/>
              <w:szCs w:val="18"/>
            </w:rPr>
            <w:tag w:val="MENDELEY_CITATION_v3_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"/>
            <w:id w:val="-1699147439"/>
            <w:placeholder>
              <w:docPart w:val="E97E177EA7E13D4DBE0D8913BFF6C69C"/>
            </w:placeholder>
          </w:sdtPr>
          <w:sdtContent>
            <w:tc>
              <w:tcPr>
                <w:tcW w:w="2335" w:type="dxa"/>
              </w:tcPr>
              <w:p w14:paraId="70B9C3C0" w14:textId="69C2E4B0" w:rsidR="00C31920" w:rsidRPr="00EC21FB" w:rsidRDefault="00E807B5" w:rsidP="00C31920">
                <w:pPr>
                  <w:rPr>
                    <w:color w:val="000000"/>
                    <w:sz w:val="18"/>
                    <w:szCs w:val="18"/>
                  </w:rPr>
                </w:pPr>
                <w:r w:rsidRPr="00E807B5">
                  <w:rPr>
                    <w:rFonts w:eastAsia="Times New Roman"/>
                    <w:color w:val="000000"/>
                    <w:sz w:val="18"/>
                  </w:rPr>
                  <w:t>(Han et al., 2011)</w:t>
                </w:r>
              </w:p>
            </w:tc>
          </w:sdtContent>
        </w:sdt>
        <w:tc>
          <w:tcPr>
            <w:tcW w:w="1260" w:type="dxa"/>
          </w:tcPr>
          <w:p w14:paraId="219786C7" w14:textId="291AD476" w:rsidR="00C31920" w:rsidRPr="00EC21FB" w:rsidRDefault="00C31920" w:rsidP="00C31920">
            <w:pPr>
              <w:rPr>
                <w:color w:val="000000"/>
                <w:sz w:val="18"/>
                <w:szCs w:val="18"/>
              </w:rPr>
            </w:pPr>
            <w:proofErr w:type="spellStart"/>
            <w:r w:rsidRPr="00C15C33">
              <w:rPr>
                <w:color w:val="000000"/>
                <w:sz w:val="18"/>
                <w:szCs w:val="18"/>
              </w:rPr>
              <w:t>seefs_sunny</w:t>
            </w:r>
            <w:proofErr w:type="spellEnd"/>
          </w:p>
        </w:tc>
        <w:tc>
          <w:tcPr>
            <w:tcW w:w="810" w:type="dxa"/>
            <w:vAlign w:val="bottom"/>
          </w:tcPr>
          <w:p w14:paraId="4D1A34AB" w14:textId="0555740F" w:rsidR="00C31920" w:rsidRPr="00EC21FB" w:rsidRDefault="00C31920" w:rsidP="00C31920">
            <w:pPr>
              <w:jc w:val="right"/>
              <w:rPr>
                <w:color w:val="000000"/>
                <w:sz w:val="18"/>
                <w:szCs w:val="18"/>
              </w:rPr>
            </w:pPr>
            <w:r w:rsidRPr="00C15C33">
              <w:rPr>
                <w:color w:val="000000"/>
                <w:sz w:val="18"/>
                <w:szCs w:val="18"/>
              </w:rPr>
              <w:t>38.79</w:t>
            </w:r>
          </w:p>
        </w:tc>
        <w:tc>
          <w:tcPr>
            <w:tcW w:w="1080" w:type="dxa"/>
            <w:vAlign w:val="bottom"/>
          </w:tcPr>
          <w:p w14:paraId="01635CB1" w14:textId="3A5217FA" w:rsidR="00C31920" w:rsidRPr="00EC21FB" w:rsidRDefault="00C31920" w:rsidP="00C31920">
            <w:pPr>
              <w:jc w:val="right"/>
              <w:rPr>
                <w:color w:val="000000"/>
                <w:sz w:val="18"/>
                <w:szCs w:val="18"/>
              </w:rPr>
            </w:pPr>
            <w:r w:rsidRPr="00C15C33">
              <w:rPr>
                <w:color w:val="000000"/>
                <w:sz w:val="18"/>
                <w:szCs w:val="18"/>
              </w:rPr>
              <w:t>110.35</w:t>
            </w:r>
          </w:p>
        </w:tc>
        <w:tc>
          <w:tcPr>
            <w:tcW w:w="990" w:type="dxa"/>
          </w:tcPr>
          <w:p w14:paraId="16616C83" w14:textId="3820285F" w:rsidR="00C31920" w:rsidRPr="00C15C33" w:rsidRDefault="00D12150" w:rsidP="00C31920">
            <w:pPr>
              <w:jc w:val="right"/>
              <w:rPr>
                <w:color w:val="000000"/>
                <w:sz w:val="18"/>
                <w:szCs w:val="18"/>
              </w:rPr>
            </w:pPr>
            <w:r>
              <w:rPr>
                <w:color w:val="000000"/>
                <w:sz w:val="18"/>
                <w:szCs w:val="18"/>
              </w:rPr>
              <w:t>1230</w:t>
            </w:r>
          </w:p>
        </w:tc>
        <w:tc>
          <w:tcPr>
            <w:tcW w:w="630" w:type="dxa"/>
          </w:tcPr>
          <w:p w14:paraId="5BE79A3C" w14:textId="5445CAF8" w:rsidR="00C31920" w:rsidRPr="00C15C33" w:rsidRDefault="00D12150" w:rsidP="00C31920">
            <w:pPr>
              <w:jc w:val="right"/>
              <w:rPr>
                <w:color w:val="000000"/>
                <w:sz w:val="18"/>
                <w:szCs w:val="18"/>
              </w:rPr>
            </w:pPr>
            <w:r>
              <w:rPr>
                <w:color w:val="000000"/>
                <w:sz w:val="18"/>
                <w:szCs w:val="18"/>
              </w:rPr>
              <w:t>14.2</w:t>
            </w:r>
          </w:p>
        </w:tc>
        <w:tc>
          <w:tcPr>
            <w:tcW w:w="630" w:type="dxa"/>
            <w:vAlign w:val="center"/>
          </w:tcPr>
          <w:p w14:paraId="5F14E8E1" w14:textId="32781B72" w:rsidR="00C31920" w:rsidRPr="00C15C33" w:rsidRDefault="00D12150" w:rsidP="00C31920">
            <w:pPr>
              <w:jc w:val="right"/>
              <w:rPr>
                <w:color w:val="000000"/>
                <w:sz w:val="18"/>
                <w:szCs w:val="18"/>
              </w:rPr>
            </w:pPr>
            <w:r>
              <w:rPr>
                <w:color w:val="000000"/>
                <w:sz w:val="18"/>
                <w:szCs w:val="18"/>
              </w:rPr>
              <w:t>0.30</w:t>
            </w:r>
          </w:p>
        </w:tc>
        <w:tc>
          <w:tcPr>
            <w:tcW w:w="630" w:type="dxa"/>
            <w:vAlign w:val="center"/>
          </w:tcPr>
          <w:p w14:paraId="4036F96C" w14:textId="69FE4CB6" w:rsidR="00C31920" w:rsidRPr="00C15C33" w:rsidRDefault="00D12150" w:rsidP="00C31920">
            <w:pPr>
              <w:jc w:val="right"/>
              <w:rPr>
                <w:color w:val="000000"/>
                <w:sz w:val="18"/>
                <w:szCs w:val="18"/>
              </w:rPr>
            </w:pPr>
            <w:r>
              <w:rPr>
                <w:color w:val="000000"/>
                <w:sz w:val="18"/>
                <w:szCs w:val="18"/>
              </w:rPr>
              <w:t>948</w:t>
            </w:r>
          </w:p>
        </w:tc>
        <w:tc>
          <w:tcPr>
            <w:tcW w:w="1080" w:type="dxa"/>
            <w:vAlign w:val="bottom"/>
          </w:tcPr>
          <w:p w14:paraId="180B7D7A" w14:textId="312F7965" w:rsidR="00C31920" w:rsidRPr="00EC21FB" w:rsidRDefault="00C31920" w:rsidP="00C31920">
            <w:pPr>
              <w:jc w:val="right"/>
              <w:rPr>
                <w:color w:val="000000"/>
                <w:sz w:val="18"/>
                <w:szCs w:val="18"/>
              </w:rPr>
            </w:pPr>
            <w:r w:rsidRPr="00EC21FB">
              <w:rPr>
                <w:color w:val="000000"/>
                <w:sz w:val="18"/>
                <w:szCs w:val="18"/>
              </w:rPr>
              <w:t>grassland</w:t>
            </w:r>
          </w:p>
        </w:tc>
        <w:tc>
          <w:tcPr>
            <w:tcW w:w="1170" w:type="dxa"/>
            <w:vAlign w:val="bottom"/>
          </w:tcPr>
          <w:p w14:paraId="0BD9719D" w14:textId="0D06E351"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2FE841AB" w14:textId="4E185E30" w:rsidR="00C31920" w:rsidRPr="00EC21FB" w:rsidRDefault="00C31920" w:rsidP="00C31920">
            <w:pPr>
              <w:jc w:val="right"/>
              <w:rPr>
                <w:color w:val="000000"/>
                <w:sz w:val="18"/>
                <w:szCs w:val="18"/>
              </w:rPr>
            </w:pPr>
            <w:r w:rsidRPr="00EC21FB">
              <w:rPr>
                <w:color w:val="000000"/>
                <w:sz w:val="18"/>
                <w:szCs w:val="18"/>
              </w:rPr>
              <w:t>10</w:t>
            </w:r>
          </w:p>
        </w:tc>
        <w:tc>
          <w:tcPr>
            <w:tcW w:w="1170" w:type="dxa"/>
            <w:vAlign w:val="bottom"/>
          </w:tcPr>
          <w:p w14:paraId="7C2C0859" w14:textId="4B343924" w:rsidR="00C31920" w:rsidRPr="00EC21FB" w:rsidRDefault="00C31920" w:rsidP="00C31920">
            <w:pPr>
              <w:jc w:val="right"/>
              <w:rPr>
                <w:color w:val="000000"/>
                <w:sz w:val="18"/>
                <w:szCs w:val="18"/>
              </w:rPr>
            </w:pPr>
            <w:r w:rsidRPr="00EC21FB">
              <w:rPr>
                <w:color w:val="000000"/>
                <w:sz w:val="18"/>
                <w:szCs w:val="18"/>
              </w:rPr>
              <w:t>10</w:t>
            </w:r>
          </w:p>
        </w:tc>
      </w:tr>
      <w:tr w:rsidR="00D12150" w:rsidRPr="00D81D83" w14:paraId="79734DD4" w14:textId="77777777" w:rsidTr="00D12150">
        <w:sdt>
          <w:sdtPr>
            <w:rPr>
              <w:color w:val="000000"/>
              <w:sz w:val="18"/>
              <w:szCs w:val="18"/>
            </w:rPr>
            <w:tag w:val="MENDELEY_CITATION_v3_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"/>
            <w:id w:val="-1796673018"/>
            <w:placeholder>
              <w:docPart w:val="B37BE83EB17F274CADB73296DB2AB06E"/>
            </w:placeholder>
          </w:sdtPr>
          <w:sdtContent>
            <w:tc>
              <w:tcPr>
                <w:tcW w:w="2335" w:type="dxa"/>
                <w:vMerge w:val="restart"/>
                <w:vAlign w:val="center"/>
              </w:tcPr>
              <w:p w14:paraId="615BFA1A" w14:textId="3019466F" w:rsidR="00D12150" w:rsidRPr="00EC21FB" w:rsidRDefault="00E807B5" w:rsidP="00C31920">
                <w:pPr>
                  <w:rPr>
                    <w:color w:val="000000"/>
                    <w:sz w:val="18"/>
                    <w:szCs w:val="18"/>
                  </w:rPr>
                </w:pPr>
                <w:r w:rsidRPr="00E807B5">
                  <w:rPr>
                    <w:rFonts w:eastAsia="Times New Roman"/>
                    <w:color w:val="000000"/>
                    <w:sz w:val="18"/>
                  </w:rPr>
                  <w:t>(Harrington et al., 2001)</w:t>
                </w:r>
              </w:p>
            </w:tc>
          </w:sdtContent>
        </w:sdt>
        <w:tc>
          <w:tcPr>
            <w:tcW w:w="1260" w:type="dxa"/>
          </w:tcPr>
          <w:p w14:paraId="209691F6" w14:textId="6F90F7A9" w:rsidR="00D12150" w:rsidRPr="00EC21FB" w:rsidRDefault="00D12150" w:rsidP="00C31920">
            <w:pPr>
              <w:rPr>
                <w:color w:val="000000"/>
                <w:sz w:val="18"/>
                <w:szCs w:val="18"/>
              </w:rPr>
            </w:pPr>
            <w:proofErr w:type="spellStart"/>
            <w:r w:rsidRPr="00C15C33">
              <w:rPr>
                <w:color w:val="000000"/>
                <w:sz w:val="18"/>
                <w:szCs w:val="18"/>
              </w:rPr>
              <w:t>volcanoNP</w:t>
            </w:r>
            <w:proofErr w:type="spellEnd"/>
          </w:p>
        </w:tc>
        <w:tc>
          <w:tcPr>
            <w:tcW w:w="810" w:type="dxa"/>
            <w:vAlign w:val="bottom"/>
          </w:tcPr>
          <w:p w14:paraId="4B6A4E07" w14:textId="277A1052" w:rsidR="00D12150" w:rsidRPr="00EC21FB" w:rsidRDefault="00D12150" w:rsidP="00C31920">
            <w:pPr>
              <w:jc w:val="right"/>
              <w:rPr>
                <w:color w:val="000000"/>
                <w:sz w:val="18"/>
                <w:szCs w:val="18"/>
              </w:rPr>
            </w:pPr>
            <w:r w:rsidRPr="00C15C33">
              <w:rPr>
                <w:color w:val="000000"/>
                <w:sz w:val="18"/>
                <w:szCs w:val="18"/>
              </w:rPr>
              <w:t>19.10</w:t>
            </w:r>
          </w:p>
        </w:tc>
        <w:tc>
          <w:tcPr>
            <w:tcW w:w="1080" w:type="dxa"/>
            <w:vAlign w:val="bottom"/>
          </w:tcPr>
          <w:p w14:paraId="48403D35" w14:textId="10D0F248" w:rsidR="00D12150" w:rsidRPr="00EC21FB" w:rsidRDefault="00D12150" w:rsidP="00C31920">
            <w:pPr>
              <w:jc w:val="right"/>
              <w:rPr>
                <w:color w:val="000000"/>
                <w:sz w:val="18"/>
                <w:szCs w:val="18"/>
              </w:rPr>
            </w:pPr>
            <w:r w:rsidRPr="00C15C33">
              <w:rPr>
                <w:color w:val="000000"/>
                <w:sz w:val="18"/>
                <w:szCs w:val="18"/>
              </w:rPr>
              <w:t>-155.55</w:t>
            </w:r>
          </w:p>
        </w:tc>
        <w:tc>
          <w:tcPr>
            <w:tcW w:w="990" w:type="dxa"/>
          </w:tcPr>
          <w:p w14:paraId="568640C2" w14:textId="5F592542" w:rsidR="00D12150" w:rsidRPr="00C15C33" w:rsidRDefault="00D12150" w:rsidP="00C31920">
            <w:pPr>
              <w:jc w:val="right"/>
              <w:rPr>
                <w:color w:val="000000"/>
                <w:sz w:val="18"/>
                <w:szCs w:val="18"/>
              </w:rPr>
            </w:pPr>
            <w:r>
              <w:rPr>
                <w:color w:val="000000"/>
                <w:sz w:val="18"/>
                <w:szCs w:val="18"/>
              </w:rPr>
              <w:t>148</w:t>
            </w:r>
          </w:p>
        </w:tc>
        <w:tc>
          <w:tcPr>
            <w:tcW w:w="630" w:type="dxa"/>
          </w:tcPr>
          <w:p w14:paraId="6378EBD9" w14:textId="11995238" w:rsidR="00D12150" w:rsidRPr="00C15C33" w:rsidRDefault="00D12150" w:rsidP="00C31920">
            <w:pPr>
              <w:jc w:val="right"/>
              <w:rPr>
                <w:color w:val="000000"/>
                <w:sz w:val="18"/>
                <w:szCs w:val="18"/>
              </w:rPr>
            </w:pPr>
            <w:r>
              <w:rPr>
                <w:color w:val="000000"/>
                <w:sz w:val="18"/>
                <w:szCs w:val="18"/>
              </w:rPr>
              <w:t>22.8</w:t>
            </w:r>
          </w:p>
        </w:tc>
        <w:tc>
          <w:tcPr>
            <w:tcW w:w="630" w:type="dxa"/>
            <w:vAlign w:val="center"/>
          </w:tcPr>
          <w:p w14:paraId="30FCDC9E" w14:textId="1EDBD390" w:rsidR="00D12150" w:rsidRPr="00C15C33" w:rsidRDefault="00D12150" w:rsidP="00C31920">
            <w:pPr>
              <w:jc w:val="right"/>
              <w:rPr>
                <w:color w:val="000000"/>
                <w:sz w:val="18"/>
                <w:szCs w:val="18"/>
              </w:rPr>
            </w:pPr>
            <w:r>
              <w:rPr>
                <w:color w:val="000000"/>
                <w:sz w:val="18"/>
                <w:szCs w:val="18"/>
              </w:rPr>
              <w:t>0.95</w:t>
            </w:r>
          </w:p>
        </w:tc>
        <w:tc>
          <w:tcPr>
            <w:tcW w:w="630" w:type="dxa"/>
            <w:vAlign w:val="center"/>
          </w:tcPr>
          <w:p w14:paraId="6FA86BBE" w14:textId="795965A2" w:rsidR="00D12150" w:rsidRPr="00C15C33" w:rsidRDefault="00D12150" w:rsidP="00C31920">
            <w:pPr>
              <w:jc w:val="right"/>
              <w:rPr>
                <w:color w:val="000000"/>
                <w:sz w:val="18"/>
                <w:szCs w:val="18"/>
              </w:rPr>
            </w:pPr>
            <w:r>
              <w:rPr>
                <w:color w:val="000000"/>
                <w:sz w:val="18"/>
                <w:szCs w:val="18"/>
              </w:rPr>
              <w:t>860</w:t>
            </w:r>
          </w:p>
        </w:tc>
        <w:tc>
          <w:tcPr>
            <w:tcW w:w="1080" w:type="dxa"/>
            <w:vAlign w:val="bottom"/>
          </w:tcPr>
          <w:p w14:paraId="2B3A49C4" w14:textId="17E22E82" w:rsidR="00D12150" w:rsidRPr="00EC21FB" w:rsidRDefault="00D12150" w:rsidP="00C31920">
            <w:pPr>
              <w:jc w:val="right"/>
              <w:rPr>
                <w:color w:val="000000"/>
                <w:sz w:val="18"/>
                <w:szCs w:val="18"/>
              </w:rPr>
            </w:pPr>
            <w:r w:rsidRPr="00EC21FB">
              <w:rPr>
                <w:color w:val="000000"/>
                <w:sz w:val="18"/>
                <w:szCs w:val="18"/>
              </w:rPr>
              <w:t>forest</w:t>
            </w:r>
          </w:p>
        </w:tc>
        <w:tc>
          <w:tcPr>
            <w:tcW w:w="1170" w:type="dxa"/>
            <w:vAlign w:val="bottom"/>
          </w:tcPr>
          <w:p w14:paraId="762CB3B3" w14:textId="4B9A5AAA" w:rsidR="00D12150" w:rsidRPr="00EC21FB" w:rsidRDefault="00D12150" w:rsidP="00C31920">
            <w:pPr>
              <w:jc w:val="right"/>
              <w:rPr>
                <w:color w:val="000000"/>
                <w:sz w:val="18"/>
                <w:szCs w:val="18"/>
              </w:rPr>
            </w:pPr>
            <w:r w:rsidRPr="00EC21FB">
              <w:rPr>
                <w:color w:val="000000"/>
                <w:sz w:val="18"/>
                <w:szCs w:val="18"/>
              </w:rPr>
              <w:t>field</w:t>
            </w:r>
          </w:p>
        </w:tc>
        <w:tc>
          <w:tcPr>
            <w:tcW w:w="1080" w:type="dxa"/>
            <w:vAlign w:val="bottom"/>
          </w:tcPr>
          <w:p w14:paraId="2BF6CF84" w14:textId="20F2FA03" w:rsidR="00D12150" w:rsidRPr="00EC21FB" w:rsidRDefault="00D12150" w:rsidP="00C31920">
            <w:pPr>
              <w:jc w:val="right"/>
              <w:rPr>
                <w:color w:val="000000"/>
                <w:sz w:val="18"/>
                <w:szCs w:val="18"/>
              </w:rPr>
            </w:pPr>
            <w:r w:rsidRPr="00EC21FB">
              <w:rPr>
                <w:color w:val="000000"/>
                <w:sz w:val="18"/>
                <w:szCs w:val="18"/>
              </w:rPr>
              <w:t>10</w:t>
            </w:r>
          </w:p>
        </w:tc>
        <w:tc>
          <w:tcPr>
            <w:tcW w:w="1170" w:type="dxa"/>
            <w:vAlign w:val="bottom"/>
          </w:tcPr>
          <w:p w14:paraId="3683CD9A" w14:textId="06ED2219" w:rsidR="00D12150" w:rsidRPr="00EC21FB" w:rsidRDefault="00D12150" w:rsidP="00C31920">
            <w:pPr>
              <w:jc w:val="right"/>
              <w:rPr>
                <w:color w:val="000000"/>
                <w:sz w:val="18"/>
                <w:szCs w:val="18"/>
              </w:rPr>
            </w:pPr>
            <w:r w:rsidRPr="00EC21FB">
              <w:rPr>
                <w:color w:val="000000"/>
                <w:sz w:val="18"/>
                <w:szCs w:val="18"/>
              </w:rPr>
              <w:t>10</w:t>
            </w:r>
          </w:p>
        </w:tc>
      </w:tr>
      <w:tr w:rsidR="00D12150" w:rsidRPr="00D81D83" w14:paraId="6BEAC065" w14:textId="77777777" w:rsidTr="00D12150">
        <w:tc>
          <w:tcPr>
            <w:tcW w:w="2335" w:type="dxa"/>
            <w:vMerge/>
            <w:vAlign w:val="center"/>
          </w:tcPr>
          <w:p w14:paraId="1A6C2381" w14:textId="77777777" w:rsidR="00D12150" w:rsidRPr="00C15C33" w:rsidRDefault="00D12150" w:rsidP="00D12150">
            <w:pPr>
              <w:rPr>
                <w:color w:val="000000"/>
                <w:sz w:val="18"/>
                <w:szCs w:val="18"/>
              </w:rPr>
            </w:pPr>
          </w:p>
        </w:tc>
        <w:tc>
          <w:tcPr>
            <w:tcW w:w="1260" w:type="dxa"/>
          </w:tcPr>
          <w:p w14:paraId="419AD452" w14:textId="5862FF9D" w:rsidR="00D12150" w:rsidRPr="00C15C33" w:rsidRDefault="00D12150" w:rsidP="00D12150">
            <w:pPr>
              <w:rPr>
                <w:color w:val="000000"/>
                <w:sz w:val="18"/>
                <w:szCs w:val="18"/>
              </w:rPr>
            </w:pPr>
            <w:proofErr w:type="spellStart"/>
            <w:r w:rsidRPr="00EC21FB">
              <w:rPr>
                <w:color w:val="000000"/>
                <w:sz w:val="18"/>
                <w:szCs w:val="18"/>
              </w:rPr>
              <w:t>naPaliKona</w:t>
            </w:r>
            <w:proofErr w:type="spellEnd"/>
          </w:p>
        </w:tc>
        <w:tc>
          <w:tcPr>
            <w:tcW w:w="810" w:type="dxa"/>
            <w:vAlign w:val="bottom"/>
          </w:tcPr>
          <w:p w14:paraId="6BD01A10" w14:textId="0D1CE06B" w:rsidR="00D12150" w:rsidRPr="00D12150" w:rsidRDefault="00D12150" w:rsidP="00D12150">
            <w:pPr>
              <w:jc w:val="right"/>
              <w:rPr>
                <w:color w:val="000000"/>
                <w:sz w:val="18"/>
                <w:szCs w:val="18"/>
              </w:rPr>
            </w:pPr>
            <w:r w:rsidRPr="00D12150">
              <w:rPr>
                <w:color w:val="000000"/>
                <w:sz w:val="18"/>
                <w:szCs w:val="18"/>
              </w:rPr>
              <w:t>22.13</w:t>
            </w:r>
          </w:p>
        </w:tc>
        <w:tc>
          <w:tcPr>
            <w:tcW w:w="1080" w:type="dxa"/>
            <w:vAlign w:val="bottom"/>
          </w:tcPr>
          <w:p w14:paraId="2984D492" w14:textId="27DA24AA" w:rsidR="00D12150" w:rsidRPr="00D12150" w:rsidRDefault="00D12150" w:rsidP="00D12150">
            <w:pPr>
              <w:jc w:val="right"/>
              <w:rPr>
                <w:color w:val="000000"/>
                <w:sz w:val="18"/>
                <w:szCs w:val="18"/>
              </w:rPr>
            </w:pPr>
            <w:r w:rsidRPr="00D12150">
              <w:rPr>
                <w:color w:val="000000"/>
                <w:sz w:val="18"/>
                <w:szCs w:val="18"/>
              </w:rPr>
              <w:t>-159.63</w:t>
            </w:r>
          </w:p>
        </w:tc>
        <w:tc>
          <w:tcPr>
            <w:tcW w:w="990" w:type="dxa"/>
            <w:vAlign w:val="bottom"/>
          </w:tcPr>
          <w:p w14:paraId="67DBA926" w14:textId="76BD65A5" w:rsidR="00D12150" w:rsidRPr="00D12150" w:rsidRDefault="00D12150" w:rsidP="00D12150">
            <w:pPr>
              <w:jc w:val="right"/>
              <w:rPr>
                <w:color w:val="000000"/>
                <w:sz w:val="18"/>
                <w:szCs w:val="18"/>
              </w:rPr>
            </w:pPr>
            <w:r w:rsidRPr="00D12150">
              <w:rPr>
                <w:color w:val="000000"/>
                <w:sz w:val="18"/>
                <w:szCs w:val="18"/>
              </w:rPr>
              <w:t>1056</w:t>
            </w:r>
          </w:p>
        </w:tc>
        <w:tc>
          <w:tcPr>
            <w:tcW w:w="630" w:type="dxa"/>
          </w:tcPr>
          <w:p w14:paraId="70F4F4E9" w14:textId="7238E4FC" w:rsidR="00D12150" w:rsidRDefault="00D12150" w:rsidP="00D12150">
            <w:pPr>
              <w:jc w:val="right"/>
              <w:rPr>
                <w:color w:val="000000"/>
                <w:sz w:val="18"/>
                <w:szCs w:val="18"/>
              </w:rPr>
            </w:pPr>
            <w:r>
              <w:rPr>
                <w:color w:val="000000"/>
                <w:sz w:val="18"/>
                <w:szCs w:val="18"/>
              </w:rPr>
              <w:t>15.7</w:t>
            </w:r>
          </w:p>
        </w:tc>
        <w:tc>
          <w:tcPr>
            <w:tcW w:w="630" w:type="dxa"/>
            <w:vAlign w:val="center"/>
          </w:tcPr>
          <w:p w14:paraId="0064943F" w14:textId="24522FAC" w:rsidR="00D12150" w:rsidRDefault="00D12150" w:rsidP="00D12150">
            <w:pPr>
              <w:jc w:val="right"/>
              <w:rPr>
                <w:color w:val="000000"/>
                <w:sz w:val="18"/>
                <w:szCs w:val="18"/>
              </w:rPr>
            </w:pPr>
            <w:r>
              <w:rPr>
                <w:color w:val="000000"/>
                <w:sz w:val="18"/>
                <w:szCs w:val="18"/>
              </w:rPr>
              <w:t>1.27</w:t>
            </w:r>
          </w:p>
        </w:tc>
        <w:tc>
          <w:tcPr>
            <w:tcW w:w="630" w:type="dxa"/>
            <w:vAlign w:val="center"/>
          </w:tcPr>
          <w:p w14:paraId="2D97E345" w14:textId="2BFA9367" w:rsidR="00D12150" w:rsidRDefault="00D12150" w:rsidP="00D12150">
            <w:pPr>
              <w:jc w:val="right"/>
              <w:rPr>
                <w:color w:val="000000"/>
                <w:sz w:val="18"/>
                <w:szCs w:val="18"/>
              </w:rPr>
            </w:pPr>
            <w:r>
              <w:rPr>
                <w:color w:val="000000"/>
                <w:sz w:val="18"/>
                <w:szCs w:val="18"/>
              </w:rPr>
              <w:t>879</w:t>
            </w:r>
          </w:p>
        </w:tc>
        <w:tc>
          <w:tcPr>
            <w:tcW w:w="1080" w:type="dxa"/>
            <w:vAlign w:val="bottom"/>
          </w:tcPr>
          <w:p w14:paraId="36F69241" w14:textId="5906A58A" w:rsidR="00D12150" w:rsidRPr="00EC21FB" w:rsidRDefault="00D12150" w:rsidP="00D12150">
            <w:pPr>
              <w:jc w:val="right"/>
              <w:rPr>
                <w:color w:val="000000"/>
                <w:sz w:val="18"/>
                <w:szCs w:val="18"/>
              </w:rPr>
            </w:pPr>
            <w:r w:rsidRPr="00EC21FB">
              <w:rPr>
                <w:color w:val="000000"/>
                <w:sz w:val="18"/>
                <w:szCs w:val="18"/>
              </w:rPr>
              <w:t>forest</w:t>
            </w:r>
          </w:p>
        </w:tc>
        <w:tc>
          <w:tcPr>
            <w:tcW w:w="1170" w:type="dxa"/>
            <w:vAlign w:val="bottom"/>
          </w:tcPr>
          <w:p w14:paraId="2C5594B7" w14:textId="6F097BAB" w:rsidR="00D12150" w:rsidRPr="00EC21FB" w:rsidRDefault="00D12150" w:rsidP="00D12150">
            <w:pPr>
              <w:jc w:val="right"/>
              <w:rPr>
                <w:color w:val="000000"/>
                <w:sz w:val="18"/>
                <w:szCs w:val="18"/>
              </w:rPr>
            </w:pPr>
            <w:r w:rsidRPr="00EC21FB">
              <w:rPr>
                <w:color w:val="000000"/>
                <w:sz w:val="18"/>
                <w:szCs w:val="18"/>
              </w:rPr>
              <w:t>field</w:t>
            </w:r>
          </w:p>
        </w:tc>
        <w:tc>
          <w:tcPr>
            <w:tcW w:w="1080" w:type="dxa"/>
            <w:vAlign w:val="bottom"/>
          </w:tcPr>
          <w:p w14:paraId="6A3706CC" w14:textId="59DA3579" w:rsidR="00D12150" w:rsidRPr="00EC21FB" w:rsidRDefault="00D12150" w:rsidP="00D12150">
            <w:pPr>
              <w:jc w:val="right"/>
              <w:rPr>
                <w:color w:val="000000"/>
                <w:sz w:val="18"/>
                <w:szCs w:val="18"/>
              </w:rPr>
            </w:pPr>
            <w:r w:rsidRPr="00EC21FB">
              <w:rPr>
                <w:color w:val="000000"/>
                <w:sz w:val="18"/>
                <w:szCs w:val="18"/>
              </w:rPr>
              <w:t>10</w:t>
            </w:r>
          </w:p>
        </w:tc>
        <w:tc>
          <w:tcPr>
            <w:tcW w:w="1170" w:type="dxa"/>
            <w:vAlign w:val="bottom"/>
          </w:tcPr>
          <w:p w14:paraId="5C0CA38A" w14:textId="23424172" w:rsidR="00D12150" w:rsidRPr="00EC21FB" w:rsidRDefault="00D12150" w:rsidP="00D12150">
            <w:pPr>
              <w:jc w:val="right"/>
              <w:rPr>
                <w:color w:val="000000"/>
                <w:sz w:val="18"/>
                <w:szCs w:val="18"/>
              </w:rPr>
            </w:pPr>
            <w:r w:rsidRPr="00EC21FB">
              <w:rPr>
                <w:color w:val="000000"/>
                <w:sz w:val="18"/>
                <w:szCs w:val="18"/>
              </w:rPr>
              <w:t>10</w:t>
            </w:r>
          </w:p>
        </w:tc>
      </w:tr>
      <w:tr w:rsidR="00C31920" w:rsidRPr="00D81D83" w14:paraId="10712538" w14:textId="77777777" w:rsidTr="00D12150">
        <w:sdt>
          <w:sdtPr>
            <w:rPr>
              <w:color w:val="000000"/>
              <w:sz w:val="16"/>
              <w:szCs w:val="18"/>
            </w:rPr>
            <w:tag w:val="MENDELEY_CITATION_v3_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"/>
            <w:id w:val="-795523033"/>
            <w:placeholder>
              <w:docPart w:val="B8F23271AC623947AC9949D14ADAEBDC"/>
            </w:placeholder>
          </w:sdtPr>
          <w:sdtContent>
            <w:tc>
              <w:tcPr>
                <w:tcW w:w="2335" w:type="dxa"/>
              </w:tcPr>
              <w:p w14:paraId="2D8A2674" w14:textId="0A70654D" w:rsidR="00C31920" w:rsidRPr="00EC21FB" w:rsidRDefault="00E807B5" w:rsidP="00EC21FB">
                <w:pPr>
                  <w:rPr>
                    <w:sz w:val="18"/>
                    <w:szCs w:val="18"/>
                  </w:rPr>
                </w:pPr>
                <w:r w:rsidRPr="00E807B5">
                  <w:rPr>
                    <w:rFonts w:eastAsia="Times New Roman"/>
                    <w:color w:val="000000"/>
                    <w:sz w:val="16"/>
                  </w:rPr>
                  <w:t>(</w:t>
                </w:r>
                <w:proofErr w:type="spellStart"/>
                <w:r w:rsidRPr="00E807B5">
                  <w:rPr>
                    <w:rFonts w:eastAsia="Times New Roman"/>
                    <w:color w:val="000000"/>
                    <w:sz w:val="16"/>
                  </w:rPr>
                  <w:t>Haubensak</w:t>
                </w:r>
                <w:proofErr w:type="spellEnd"/>
                <w:r w:rsidRPr="00E807B5">
                  <w:rPr>
                    <w:rFonts w:eastAsia="Times New Roman"/>
                    <w:color w:val="000000"/>
                    <w:sz w:val="16"/>
                  </w:rPr>
                  <w:t xml:space="preserve"> &amp; D’Antonio, 2011)</w:t>
                </w:r>
              </w:p>
            </w:tc>
          </w:sdtContent>
        </w:sdt>
        <w:tc>
          <w:tcPr>
            <w:tcW w:w="1260" w:type="dxa"/>
          </w:tcPr>
          <w:p w14:paraId="27F2008A" w14:textId="498BDF5B" w:rsidR="00C31920" w:rsidRPr="00EC21FB" w:rsidRDefault="00C31920" w:rsidP="00EC21FB">
            <w:pPr>
              <w:rPr>
                <w:color w:val="000000"/>
                <w:sz w:val="18"/>
                <w:szCs w:val="18"/>
              </w:rPr>
            </w:pPr>
            <w:proofErr w:type="spellStart"/>
            <w:r w:rsidRPr="00EC21FB">
              <w:rPr>
                <w:color w:val="000000"/>
                <w:sz w:val="18"/>
                <w:szCs w:val="18"/>
              </w:rPr>
              <w:t>ggnra</w:t>
            </w:r>
            <w:proofErr w:type="spellEnd"/>
          </w:p>
        </w:tc>
        <w:tc>
          <w:tcPr>
            <w:tcW w:w="810" w:type="dxa"/>
            <w:vAlign w:val="bottom"/>
          </w:tcPr>
          <w:p w14:paraId="0A0B8427" w14:textId="16048106" w:rsidR="00C31920" w:rsidRPr="00EC21FB" w:rsidRDefault="00C31920" w:rsidP="00EC21FB">
            <w:pPr>
              <w:jc w:val="right"/>
              <w:rPr>
                <w:color w:val="000000"/>
                <w:sz w:val="18"/>
                <w:szCs w:val="18"/>
              </w:rPr>
            </w:pPr>
            <w:r w:rsidRPr="00EC21FB">
              <w:rPr>
                <w:color w:val="000000"/>
                <w:sz w:val="18"/>
                <w:szCs w:val="18"/>
              </w:rPr>
              <w:t>37.87</w:t>
            </w:r>
          </w:p>
        </w:tc>
        <w:tc>
          <w:tcPr>
            <w:tcW w:w="1080" w:type="dxa"/>
            <w:vAlign w:val="bottom"/>
          </w:tcPr>
          <w:p w14:paraId="76D993B9" w14:textId="45D68A49" w:rsidR="00C31920" w:rsidRPr="00EC21FB" w:rsidRDefault="00C31920" w:rsidP="00EC21FB">
            <w:pPr>
              <w:jc w:val="right"/>
              <w:rPr>
                <w:color w:val="000000"/>
                <w:sz w:val="18"/>
                <w:szCs w:val="18"/>
              </w:rPr>
            </w:pPr>
            <w:r w:rsidRPr="00EC21FB">
              <w:rPr>
                <w:color w:val="000000"/>
                <w:sz w:val="18"/>
                <w:szCs w:val="18"/>
              </w:rPr>
              <w:t>-122.52</w:t>
            </w:r>
          </w:p>
        </w:tc>
        <w:tc>
          <w:tcPr>
            <w:tcW w:w="990" w:type="dxa"/>
          </w:tcPr>
          <w:p w14:paraId="0284C8C1" w14:textId="20A2247C" w:rsidR="00C31920" w:rsidRPr="00C15C33" w:rsidRDefault="00D12150" w:rsidP="00EC21FB">
            <w:pPr>
              <w:jc w:val="right"/>
              <w:rPr>
                <w:color w:val="000000"/>
                <w:sz w:val="18"/>
                <w:szCs w:val="18"/>
              </w:rPr>
            </w:pPr>
            <w:r>
              <w:rPr>
                <w:color w:val="000000"/>
                <w:sz w:val="18"/>
                <w:szCs w:val="18"/>
              </w:rPr>
              <w:t>87</w:t>
            </w:r>
          </w:p>
        </w:tc>
        <w:tc>
          <w:tcPr>
            <w:tcW w:w="630" w:type="dxa"/>
            <w:vAlign w:val="center"/>
          </w:tcPr>
          <w:p w14:paraId="14050BF5" w14:textId="44F89288" w:rsidR="00C31920" w:rsidRPr="00C15C33" w:rsidRDefault="00D12150" w:rsidP="00EC21FB">
            <w:pPr>
              <w:jc w:val="right"/>
              <w:rPr>
                <w:color w:val="000000"/>
                <w:sz w:val="18"/>
                <w:szCs w:val="18"/>
              </w:rPr>
            </w:pPr>
            <w:r>
              <w:rPr>
                <w:color w:val="000000"/>
                <w:sz w:val="18"/>
                <w:szCs w:val="18"/>
              </w:rPr>
              <w:t>14.1</w:t>
            </w:r>
          </w:p>
        </w:tc>
        <w:tc>
          <w:tcPr>
            <w:tcW w:w="630" w:type="dxa"/>
            <w:vAlign w:val="center"/>
          </w:tcPr>
          <w:p w14:paraId="20A87120" w14:textId="51BDD03F" w:rsidR="00C31920" w:rsidRPr="00C15C33" w:rsidRDefault="00D12150" w:rsidP="00EC21FB">
            <w:pPr>
              <w:jc w:val="right"/>
              <w:rPr>
                <w:color w:val="000000"/>
                <w:sz w:val="18"/>
                <w:szCs w:val="18"/>
              </w:rPr>
            </w:pPr>
            <w:r>
              <w:rPr>
                <w:color w:val="000000"/>
                <w:sz w:val="18"/>
                <w:szCs w:val="18"/>
              </w:rPr>
              <w:t>1.18</w:t>
            </w:r>
          </w:p>
        </w:tc>
        <w:tc>
          <w:tcPr>
            <w:tcW w:w="630" w:type="dxa"/>
          </w:tcPr>
          <w:p w14:paraId="79089829" w14:textId="74F3B11F" w:rsidR="00C31920" w:rsidRPr="00C15C33" w:rsidRDefault="00D12150" w:rsidP="00EC21FB">
            <w:pPr>
              <w:jc w:val="right"/>
              <w:rPr>
                <w:color w:val="000000"/>
                <w:sz w:val="18"/>
                <w:szCs w:val="18"/>
              </w:rPr>
            </w:pPr>
            <w:r>
              <w:rPr>
                <w:color w:val="000000"/>
                <w:sz w:val="18"/>
                <w:szCs w:val="18"/>
              </w:rPr>
              <w:t>793</w:t>
            </w:r>
          </w:p>
        </w:tc>
        <w:tc>
          <w:tcPr>
            <w:tcW w:w="1080" w:type="dxa"/>
            <w:vAlign w:val="bottom"/>
          </w:tcPr>
          <w:p w14:paraId="59C25E4B" w14:textId="73ED7A47"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10A857C3" w14:textId="7878F4A5"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253B98A0" w14:textId="534E4BB6"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7A5B0238" w14:textId="7DBB6300" w:rsidR="00C31920" w:rsidRPr="00EC21FB" w:rsidRDefault="00C31920" w:rsidP="00EC21FB">
            <w:pPr>
              <w:jc w:val="right"/>
              <w:rPr>
                <w:color w:val="000000"/>
                <w:sz w:val="18"/>
                <w:szCs w:val="18"/>
              </w:rPr>
            </w:pPr>
            <w:r w:rsidRPr="00EC21FB">
              <w:rPr>
                <w:color w:val="000000"/>
                <w:sz w:val="18"/>
                <w:szCs w:val="18"/>
              </w:rPr>
              <w:t>10</w:t>
            </w:r>
          </w:p>
        </w:tc>
      </w:tr>
      <w:tr w:rsidR="00C31920" w:rsidRPr="00D81D83" w14:paraId="75687016" w14:textId="77777777" w:rsidTr="00D12150">
        <w:sdt>
          <w:sdtPr>
            <w:rPr>
              <w:color w:val="000000"/>
              <w:sz w:val="18"/>
              <w:szCs w:val="18"/>
            </w:rPr>
            <w:tag w:val="MENDELEY_CITATION_v3_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"/>
            <w:id w:val="1495370957"/>
            <w:placeholder>
              <w:docPart w:val="525A3EF633DF71419C7C70E508826945"/>
            </w:placeholder>
          </w:sdtPr>
          <w:sdtContent>
            <w:tc>
              <w:tcPr>
                <w:tcW w:w="2335" w:type="dxa"/>
              </w:tcPr>
              <w:p w14:paraId="5FAD8705" w14:textId="7E4B0938" w:rsidR="00C31920" w:rsidRPr="00EC21FB" w:rsidRDefault="00E807B5" w:rsidP="00EC21FB">
                <w:pPr>
                  <w:rPr>
                    <w:color w:val="000000"/>
                    <w:sz w:val="18"/>
                    <w:szCs w:val="18"/>
                  </w:rPr>
                </w:pPr>
                <w:r w:rsidRPr="00E807B5">
                  <w:rPr>
                    <w:rFonts w:eastAsia="Times New Roman"/>
                    <w:color w:val="000000"/>
                    <w:sz w:val="18"/>
                  </w:rPr>
                  <w:t>(He et al., 2016)</w:t>
                </w:r>
              </w:p>
            </w:tc>
          </w:sdtContent>
        </w:sdt>
        <w:tc>
          <w:tcPr>
            <w:tcW w:w="1260" w:type="dxa"/>
          </w:tcPr>
          <w:p w14:paraId="1F21B511" w14:textId="1D118221" w:rsidR="00C31920" w:rsidRPr="00EC21FB" w:rsidRDefault="00C31920" w:rsidP="00EC21FB">
            <w:pPr>
              <w:rPr>
                <w:color w:val="000000"/>
                <w:sz w:val="18"/>
                <w:szCs w:val="18"/>
              </w:rPr>
            </w:pPr>
            <w:proofErr w:type="spellStart"/>
            <w:r w:rsidRPr="00EC21FB">
              <w:rPr>
                <w:color w:val="000000"/>
                <w:sz w:val="18"/>
                <w:szCs w:val="18"/>
              </w:rPr>
              <w:t>haibei</w:t>
            </w:r>
            <w:proofErr w:type="spellEnd"/>
          </w:p>
        </w:tc>
        <w:tc>
          <w:tcPr>
            <w:tcW w:w="810" w:type="dxa"/>
            <w:vAlign w:val="bottom"/>
          </w:tcPr>
          <w:p w14:paraId="6B2C1661" w14:textId="43B9E1C9" w:rsidR="00C31920" w:rsidRPr="00EC21FB" w:rsidRDefault="00C31920" w:rsidP="00EC21FB">
            <w:pPr>
              <w:jc w:val="right"/>
              <w:rPr>
                <w:color w:val="000000"/>
                <w:sz w:val="18"/>
                <w:szCs w:val="18"/>
              </w:rPr>
            </w:pPr>
            <w:r w:rsidRPr="00EC21FB">
              <w:rPr>
                <w:color w:val="000000"/>
                <w:sz w:val="18"/>
                <w:szCs w:val="18"/>
              </w:rPr>
              <w:t>37.62</w:t>
            </w:r>
          </w:p>
        </w:tc>
        <w:tc>
          <w:tcPr>
            <w:tcW w:w="1080" w:type="dxa"/>
            <w:vAlign w:val="bottom"/>
          </w:tcPr>
          <w:p w14:paraId="156372D7" w14:textId="4D17C5E5" w:rsidR="00C31920" w:rsidRPr="00EC21FB" w:rsidRDefault="00C31920" w:rsidP="00EC21FB">
            <w:pPr>
              <w:jc w:val="right"/>
              <w:rPr>
                <w:color w:val="000000"/>
                <w:sz w:val="18"/>
                <w:szCs w:val="18"/>
              </w:rPr>
            </w:pPr>
            <w:r w:rsidRPr="00EC21FB">
              <w:rPr>
                <w:color w:val="000000"/>
                <w:sz w:val="18"/>
                <w:szCs w:val="18"/>
              </w:rPr>
              <w:t>101.2</w:t>
            </w:r>
          </w:p>
        </w:tc>
        <w:tc>
          <w:tcPr>
            <w:tcW w:w="990" w:type="dxa"/>
          </w:tcPr>
          <w:p w14:paraId="5DBD2072" w14:textId="68BD0AA2" w:rsidR="00C31920" w:rsidRPr="00C15C33" w:rsidRDefault="00D12150" w:rsidP="00EC21FB">
            <w:pPr>
              <w:jc w:val="right"/>
              <w:rPr>
                <w:color w:val="000000"/>
                <w:sz w:val="18"/>
                <w:szCs w:val="18"/>
              </w:rPr>
            </w:pPr>
            <w:r>
              <w:rPr>
                <w:color w:val="000000"/>
                <w:sz w:val="18"/>
                <w:szCs w:val="18"/>
              </w:rPr>
              <w:t>3157</w:t>
            </w:r>
          </w:p>
        </w:tc>
        <w:tc>
          <w:tcPr>
            <w:tcW w:w="630" w:type="dxa"/>
            <w:vAlign w:val="center"/>
          </w:tcPr>
          <w:p w14:paraId="23394F4A" w14:textId="41E995A6" w:rsidR="00C31920" w:rsidRPr="00C15C33" w:rsidRDefault="00D12150" w:rsidP="00EC21FB">
            <w:pPr>
              <w:jc w:val="right"/>
              <w:rPr>
                <w:color w:val="000000"/>
                <w:sz w:val="18"/>
                <w:szCs w:val="18"/>
              </w:rPr>
            </w:pPr>
            <w:r>
              <w:rPr>
                <w:color w:val="000000"/>
                <w:sz w:val="18"/>
                <w:szCs w:val="18"/>
              </w:rPr>
              <w:t>6.2</w:t>
            </w:r>
          </w:p>
        </w:tc>
        <w:tc>
          <w:tcPr>
            <w:tcW w:w="630" w:type="dxa"/>
            <w:vAlign w:val="center"/>
          </w:tcPr>
          <w:p w14:paraId="68A391A9" w14:textId="46D43113" w:rsidR="00C31920" w:rsidRPr="00C15C33" w:rsidRDefault="00D12150" w:rsidP="00EC21FB">
            <w:pPr>
              <w:jc w:val="right"/>
              <w:rPr>
                <w:color w:val="000000"/>
                <w:sz w:val="18"/>
                <w:szCs w:val="18"/>
              </w:rPr>
            </w:pPr>
            <w:r>
              <w:rPr>
                <w:color w:val="000000"/>
                <w:sz w:val="18"/>
                <w:szCs w:val="18"/>
              </w:rPr>
              <w:t>0.52</w:t>
            </w:r>
          </w:p>
        </w:tc>
        <w:tc>
          <w:tcPr>
            <w:tcW w:w="630" w:type="dxa"/>
          </w:tcPr>
          <w:p w14:paraId="6618010B" w14:textId="21AED363" w:rsidR="00C31920" w:rsidRPr="00C15C33" w:rsidRDefault="00D12150" w:rsidP="00EC21FB">
            <w:pPr>
              <w:jc w:val="right"/>
              <w:rPr>
                <w:color w:val="000000"/>
                <w:sz w:val="18"/>
                <w:szCs w:val="18"/>
              </w:rPr>
            </w:pPr>
            <w:r>
              <w:rPr>
                <w:color w:val="000000"/>
                <w:sz w:val="18"/>
                <w:szCs w:val="18"/>
              </w:rPr>
              <w:t>930</w:t>
            </w:r>
          </w:p>
        </w:tc>
        <w:tc>
          <w:tcPr>
            <w:tcW w:w="1080" w:type="dxa"/>
            <w:vAlign w:val="bottom"/>
          </w:tcPr>
          <w:p w14:paraId="41ECFE7A" w14:textId="18D1E7B2"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3BEB7559" w14:textId="47B25255"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5301A7CE" w14:textId="1F0D6956"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018F66D3" w14:textId="608ED5A4" w:rsidR="00C31920" w:rsidRPr="00EC21FB" w:rsidRDefault="00C31920" w:rsidP="00EC21FB">
            <w:pPr>
              <w:jc w:val="right"/>
              <w:rPr>
                <w:color w:val="000000"/>
                <w:sz w:val="18"/>
                <w:szCs w:val="18"/>
              </w:rPr>
            </w:pPr>
            <w:r w:rsidRPr="00EC21FB">
              <w:rPr>
                <w:color w:val="000000"/>
                <w:sz w:val="18"/>
                <w:szCs w:val="18"/>
              </w:rPr>
              <w:t>5</w:t>
            </w:r>
          </w:p>
        </w:tc>
      </w:tr>
      <w:tr w:rsidR="00D12150" w:rsidRPr="006A7EA7" w14:paraId="0033ED7E" w14:textId="77777777" w:rsidTr="00D12150">
        <w:sdt>
          <w:sdtPr>
            <w:rPr>
              <w:color w:val="000000"/>
              <w:sz w:val="18"/>
              <w:szCs w:val="18"/>
            </w:rPr>
            <w:tag w:val="MENDELEY_CITATION_v3_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"/>
            <w:id w:val="-332987506"/>
            <w:placeholder>
              <w:docPart w:val="EF8854514B17054795217C82F6789CE0"/>
            </w:placeholder>
          </w:sdtPr>
          <w:sdtContent>
            <w:tc>
              <w:tcPr>
                <w:tcW w:w="2335" w:type="dxa"/>
              </w:tcPr>
              <w:p w14:paraId="42A0E81D" w14:textId="149158CC" w:rsidR="00D12150" w:rsidRPr="00EC21FB" w:rsidRDefault="00E807B5" w:rsidP="00D12150">
                <w:pPr>
                  <w:rPr>
                    <w:sz w:val="18"/>
                    <w:szCs w:val="18"/>
                  </w:rPr>
                </w:pPr>
                <w:r w:rsidRPr="00E807B5">
                  <w:rPr>
                    <w:rFonts w:eastAsia="Times New Roman"/>
                    <w:color w:val="000000"/>
                    <w:sz w:val="18"/>
                  </w:rPr>
                  <w:t>(Herbert &amp; Fownes, 1995)</w:t>
                </w:r>
              </w:p>
            </w:tc>
          </w:sdtContent>
        </w:sdt>
        <w:tc>
          <w:tcPr>
            <w:tcW w:w="1260" w:type="dxa"/>
          </w:tcPr>
          <w:p w14:paraId="31F589F6" w14:textId="27392A0B" w:rsidR="00D12150" w:rsidRPr="00EC21FB" w:rsidRDefault="00D12150" w:rsidP="00D12150">
            <w:pPr>
              <w:rPr>
                <w:color w:val="000000"/>
                <w:sz w:val="18"/>
                <w:szCs w:val="18"/>
              </w:rPr>
            </w:pPr>
            <w:proofErr w:type="spellStart"/>
            <w:r w:rsidRPr="00EC21FB">
              <w:rPr>
                <w:color w:val="000000"/>
                <w:sz w:val="18"/>
                <w:szCs w:val="18"/>
              </w:rPr>
              <w:t>naPaliKona</w:t>
            </w:r>
            <w:proofErr w:type="spellEnd"/>
          </w:p>
        </w:tc>
        <w:tc>
          <w:tcPr>
            <w:tcW w:w="810" w:type="dxa"/>
            <w:vAlign w:val="bottom"/>
          </w:tcPr>
          <w:p w14:paraId="33BA6BA6" w14:textId="570EC1FC" w:rsidR="00D12150" w:rsidRPr="00EC21FB" w:rsidRDefault="00D12150" w:rsidP="00D12150">
            <w:pPr>
              <w:jc w:val="right"/>
              <w:rPr>
                <w:color w:val="000000"/>
                <w:sz w:val="18"/>
                <w:szCs w:val="18"/>
              </w:rPr>
            </w:pPr>
            <w:r w:rsidRPr="00EC21FB">
              <w:rPr>
                <w:color w:val="000000"/>
                <w:sz w:val="18"/>
                <w:szCs w:val="18"/>
              </w:rPr>
              <w:t>22.13</w:t>
            </w:r>
          </w:p>
        </w:tc>
        <w:tc>
          <w:tcPr>
            <w:tcW w:w="1080" w:type="dxa"/>
            <w:vAlign w:val="bottom"/>
          </w:tcPr>
          <w:p w14:paraId="11C08B83" w14:textId="6C34CBA8" w:rsidR="00D12150" w:rsidRPr="00EC21FB" w:rsidRDefault="00D12150" w:rsidP="00D12150">
            <w:pPr>
              <w:jc w:val="right"/>
              <w:rPr>
                <w:color w:val="000000"/>
                <w:sz w:val="18"/>
                <w:szCs w:val="18"/>
              </w:rPr>
            </w:pPr>
            <w:r w:rsidRPr="00EC21FB">
              <w:rPr>
                <w:color w:val="000000"/>
                <w:sz w:val="18"/>
                <w:szCs w:val="18"/>
              </w:rPr>
              <w:t>-159.63</w:t>
            </w:r>
          </w:p>
        </w:tc>
        <w:tc>
          <w:tcPr>
            <w:tcW w:w="990" w:type="dxa"/>
            <w:vAlign w:val="bottom"/>
          </w:tcPr>
          <w:p w14:paraId="03F57B1A" w14:textId="77EC1F07" w:rsidR="00D12150" w:rsidRPr="00C15C33" w:rsidRDefault="00D12150" w:rsidP="00D12150">
            <w:pPr>
              <w:jc w:val="right"/>
              <w:rPr>
                <w:color w:val="000000"/>
                <w:sz w:val="18"/>
                <w:szCs w:val="18"/>
              </w:rPr>
            </w:pPr>
            <w:r w:rsidRPr="00D12150">
              <w:rPr>
                <w:color w:val="000000"/>
                <w:sz w:val="18"/>
                <w:szCs w:val="18"/>
              </w:rPr>
              <w:t>1056</w:t>
            </w:r>
          </w:p>
        </w:tc>
        <w:tc>
          <w:tcPr>
            <w:tcW w:w="630" w:type="dxa"/>
          </w:tcPr>
          <w:p w14:paraId="22B4C9A7" w14:textId="386F5092" w:rsidR="00D12150" w:rsidRPr="00C15C33" w:rsidRDefault="00D12150" w:rsidP="00D12150">
            <w:pPr>
              <w:jc w:val="right"/>
              <w:rPr>
                <w:color w:val="000000"/>
                <w:sz w:val="18"/>
                <w:szCs w:val="18"/>
              </w:rPr>
            </w:pPr>
            <w:r>
              <w:rPr>
                <w:color w:val="000000"/>
                <w:sz w:val="18"/>
                <w:szCs w:val="18"/>
              </w:rPr>
              <w:t>15.7</w:t>
            </w:r>
          </w:p>
        </w:tc>
        <w:tc>
          <w:tcPr>
            <w:tcW w:w="630" w:type="dxa"/>
            <w:vAlign w:val="center"/>
          </w:tcPr>
          <w:p w14:paraId="0CA8D3D4" w14:textId="2172C2A3" w:rsidR="00D12150" w:rsidRPr="00C15C33" w:rsidRDefault="00D12150" w:rsidP="00D12150">
            <w:pPr>
              <w:jc w:val="right"/>
              <w:rPr>
                <w:color w:val="000000"/>
                <w:sz w:val="18"/>
                <w:szCs w:val="18"/>
              </w:rPr>
            </w:pPr>
            <w:r>
              <w:rPr>
                <w:color w:val="000000"/>
                <w:sz w:val="18"/>
                <w:szCs w:val="18"/>
              </w:rPr>
              <w:t>1.27</w:t>
            </w:r>
          </w:p>
        </w:tc>
        <w:tc>
          <w:tcPr>
            <w:tcW w:w="630" w:type="dxa"/>
            <w:vAlign w:val="center"/>
          </w:tcPr>
          <w:p w14:paraId="43D31C6B" w14:textId="4AA1B9A3" w:rsidR="00D12150" w:rsidRPr="00C15C33" w:rsidRDefault="00D12150" w:rsidP="00D12150">
            <w:pPr>
              <w:jc w:val="right"/>
              <w:rPr>
                <w:color w:val="000000"/>
                <w:sz w:val="18"/>
                <w:szCs w:val="18"/>
              </w:rPr>
            </w:pPr>
            <w:r>
              <w:rPr>
                <w:color w:val="000000"/>
                <w:sz w:val="18"/>
                <w:szCs w:val="18"/>
              </w:rPr>
              <w:t>879</w:t>
            </w:r>
          </w:p>
        </w:tc>
        <w:tc>
          <w:tcPr>
            <w:tcW w:w="1080" w:type="dxa"/>
            <w:vAlign w:val="bottom"/>
          </w:tcPr>
          <w:p w14:paraId="14F61BC0" w14:textId="62A6E6C4" w:rsidR="00D12150" w:rsidRPr="00EC21FB" w:rsidRDefault="00D12150" w:rsidP="00D12150">
            <w:pPr>
              <w:jc w:val="right"/>
              <w:rPr>
                <w:color w:val="000000"/>
                <w:sz w:val="18"/>
                <w:szCs w:val="18"/>
              </w:rPr>
            </w:pPr>
            <w:r w:rsidRPr="00EC21FB">
              <w:rPr>
                <w:color w:val="000000"/>
                <w:sz w:val="18"/>
                <w:szCs w:val="18"/>
              </w:rPr>
              <w:t>forest</w:t>
            </w:r>
          </w:p>
        </w:tc>
        <w:tc>
          <w:tcPr>
            <w:tcW w:w="1170" w:type="dxa"/>
            <w:vAlign w:val="bottom"/>
          </w:tcPr>
          <w:p w14:paraId="40935749" w14:textId="37EFE683" w:rsidR="00D12150" w:rsidRPr="00EC21FB" w:rsidRDefault="00D12150" w:rsidP="00D12150">
            <w:pPr>
              <w:jc w:val="right"/>
              <w:rPr>
                <w:color w:val="000000"/>
                <w:sz w:val="18"/>
                <w:szCs w:val="18"/>
              </w:rPr>
            </w:pPr>
            <w:r w:rsidRPr="00EC21FB">
              <w:rPr>
                <w:color w:val="000000"/>
                <w:sz w:val="18"/>
                <w:szCs w:val="18"/>
              </w:rPr>
              <w:t>field</w:t>
            </w:r>
          </w:p>
        </w:tc>
        <w:tc>
          <w:tcPr>
            <w:tcW w:w="1080" w:type="dxa"/>
            <w:vAlign w:val="bottom"/>
          </w:tcPr>
          <w:p w14:paraId="6F8870BF" w14:textId="096B0C5B" w:rsidR="00D12150" w:rsidRPr="00EC21FB" w:rsidRDefault="00D12150" w:rsidP="00D12150">
            <w:pPr>
              <w:jc w:val="right"/>
              <w:rPr>
                <w:color w:val="000000"/>
                <w:sz w:val="18"/>
                <w:szCs w:val="18"/>
              </w:rPr>
            </w:pPr>
            <w:r w:rsidRPr="00EC21FB">
              <w:rPr>
                <w:color w:val="000000"/>
                <w:sz w:val="18"/>
                <w:szCs w:val="18"/>
              </w:rPr>
              <w:t>10</w:t>
            </w:r>
          </w:p>
        </w:tc>
        <w:tc>
          <w:tcPr>
            <w:tcW w:w="1170" w:type="dxa"/>
          </w:tcPr>
          <w:p w14:paraId="605A386F" w14:textId="6AC5AD96" w:rsidR="00D12150" w:rsidRPr="00EC21FB" w:rsidRDefault="00D12150" w:rsidP="00D12150">
            <w:pPr>
              <w:jc w:val="right"/>
              <w:rPr>
                <w:color w:val="000000"/>
                <w:sz w:val="18"/>
                <w:szCs w:val="18"/>
              </w:rPr>
            </w:pPr>
            <w:r w:rsidRPr="00EC21FB">
              <w:rPr>
                <w:color w:val="000000"/>
                <w:sz w:val="18"/>
                <w:szCs w:val="18"/>
              </w:rPr>
              <w:t>10</w:t>
            </w:r>
          </w:p>
        </w:tc>
      </w:tr>
      <w:tr w:rsidR="00C31920" w:rsidRPr="006A7EA7" w14:paraId="1E87E863" w14:textId="77777777" w:rsidTr="00D12150">
        <w:sdt>
          <w:sdtPr>
            <w:rPr>
              <w:color w:val="000000"/>
              <w:sz w:val="18"/>
              <w:szCs w:val="18"/>
            </w:rPr>
            <w:tag w:val="MENDELEY_CITATION_v3_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"/>
            <w:id w:val="841900032"/>
            <w:placeholder>
              <w:docPart w:val="3E43BF73E1AFFE40AAC25A152DA20F67"/>
            </w:placeholder>
          </w:sdtPr>
          <w:sdtContent>
            <w:tc>
              <w:tcPr>
                <w:tcW w:w="2335" w:type="dxa"/>
                <w:vMerge w:val="restart"/>
                <w:vAlign w:val="center"/>
              </w:tcPr>
              <w:p w14:paraId="632AB537" w14:textId="21346D80" w:rsidR="00C31920" w:rsidRPr="00EC21FB" w:rsidRDefault="00E807B5" w:rsidP="00EC21FB">
                <w:pPr>
                  <w:rPr>
                    <w:sz w:val="18"/>
                    <w:szCs w:val="18"/>
                  </w:rPr>
                </w:pPr>
                <w:r w:rsidRPr="00E807B5">
                  <w:rPr>
                    <w:rFonts w:eastAsia="Times New Roman"/>
                    <w:color w:val="000000"/>
                    <w:sz w:val="18"/>
                  </w:rPr>
                  <w:t>(Hersch-Green et al., 2024)</w:t>
                </w:r>
              </w:p>
            </w:tc>
          </w:sdtContent>
        </w:sdt>
        <w:tc>
          <w:tcPr>
            <w:tcW w:w="1260" w:type="dxa"/>
          </w:tcPr>
          <w:p w14:paraId="7876F2E5" w14:textId="7AF62CAF" w:rsidR="00C31920" w:rsidRPr="00EC21FB" w:rsidRDefault="00C31920" w:rsidP="00EC21FB">
            <w:pPr>
              <w:rPr>
                <w:color w:val="000000"/>
                <w:sz w:val="18"/>
                <w:szCs w:val="18"/>
              </w:rPr>
            </w:pPr>
            <w:r w:rsidRPr="00EC21FB">
              <w:rPr>
                <w:color w:val="000000"/>
                <w:sz w:val="18"/>
                <w:szCs w:val="18"/>
              </w:rPr>
              <w:t>kbs.us</w:t>
            </w:r>
          </w:p>
        </w:tc>
        <w:tc>
          <w:tcPr>
            <w:tcW w:w="810" w:type="dxa"/>
            <w:vAlign w:val="bottom"/>
          </w:tcPr>
          <w:p w14:paraId="06512358" w14:textId="511D2B5C" w:rsidR="00C31920" w:rsidRPr="00EC21FB" w:rsidRDefault="00C31920" w:rsidP="00EC21FB">
            <w:pPr>
              <w:jc w:val="right"/>
              <w:rPr>
                <w:color w:val="000000"/>
                <w:sz w:val="18"/>
                <w:szCs w:val="18"/>
              </w:rPr>
            </w:pPr>
            <w:r w:rsidRPr="00EC21FB">
              <w:rPr>
                <w:color w:val="000000"/>
                <w:sz w:val="18"/>
                <w:szCs w:val="18"/>
              </w:rPr>
              <w:t>42.41</w:t>
            </w:r>
          </w:p>
        </w:tc>
        <w:tc>
          <w:tcPr>
            <w:tcW w:w="1080" w:type="dxa"/>
            <w:vAlign w:val="bottom"/>
          </w:tcPr>
          <w:p w14:paraId="71C5ACE0" w14:textId="671556F0" w:rsidR="00C31920" w:rsidRPr="00EC21FB" w:rsidRDefault="00C31920" w:rsidP="00EC21FB">
            <w:pPr>
              <w:jc w:val="right"/>
              <w:rPr>
                <w:color w:val="000000"/>
                <w:sz w:val="18"/>
                <w:szCs w:val="18"/>
              </w:rPr>
            </w:pPr>
            <w:r w:rsidRPr="00EC21FB">
              <w:rPr>
                <w:color w:val="000000"/>
                <w:sz w:val="18"/>
                <w:szCs w:val="18"/>
              </w:rPr>
              <w:t>-85.39</w:t>
            </w:r>
          </w:p>
        </w:tc>
        <w:tc>
          <w:tcPr>
            <w:tcW w:w="990" w:type="dxa"/>
          </w:tcPr>
          <w:p w14:paraId="05DABD50" w14:textId="712D8005" w:rsidR="00C31920" w:rsidRPr="00C15C33" w:rsidRDefault="00D73409" w:rsidP="00EC21FB">
            <w:pPr>
              <w:jc w:val="right"/>
              <w:rPr>
                <w:color w:val="000000"/>
                <w:sz w:val="18"/>
                <w:szCs w:val="18"/>
              </w:rPr>
            </w:pPr>
            <w:r>
              <w:rPr>
                <w:color w:val="000000"/>
                <w:sz w:val="18"/>
                <w:szCs w:val="18"/>
              </w:rPr>
              <w:t>289</w:t>
            </w:r>
          </w:p>
        </w:tc>
        <w:tc>
          <w:tcPr>
            <w:tcW w:w="630" w:type="dxa"/>
            <w:vAlign w:val="center"/>
          </w:tcPr>
          <w:p w14:paraId="4785F946" w14:textId="1C481BB1" w:rsidR="00C31920" w:rsidRPr="00C15C33" w:rsidRDefault="00D73409" w:rsidP="00EC21FB">
            <w:pPr>
              <w:jc w:val="right"/>
              <w:rPr>
                <w:color w:val="000000"/>
                <w:sz w:val="18"/>
                <w:szCs w:val="18"/>
              </w:rPr>
            </w:pPr>
            <w:r>
              <w:rPr>
                <w:color w:val="000000"/>
                <w:sz w:val="18"/>
                <w:szCs w:val="18"/>
              </w:rPr>
              <w:t>13.0</w:t>
            </w:r>
          </w:p>
        </w:tc>
        <w:tc>
          <w:tcPr>
            <w:tcW w:w="630" w:type="dxa"/>
            <w:vAlign w:val="center"/>
          </w:tcPr>
          <w:p w14:paraId="79B8BB7B" w14:textId="3174B237" w:rsidR="00C31920" w:rsidRPr="00C15C33" w:rsidRDefault="00D73409" w:rsidP="00EC21FB">
            <w:pPr>
              <w:jc w:val="right"/>
              <w:rPr>
                <w:color w:val="000000"/>
                <w:sz w:val="18"/>
                <w:szCs w:val="18"/>
              </w:rPr>
            </w:pPr>
            <w:r>
              <w:rPr>
                <w:color w:val="000000"/>
                <w:sz w:val="18"/>
                <w:szCs w:val="18"/>
              </w:rPr>
              <w:t>0.86</w:t>
            </w:r>
          </w:p>
        </w:tc>
        <w:tc>
          <w:tcPr>
            <w:tcW w:w="630" w:type="dxa"/>
          </w:tcPr>
          <w:p w14:paraId="3EFD61B5" w14:textId="054DD2B4" w:rsidR="00C31920" w:rsidRPr="00C15C33" w:rsidRDefault="00D73409" w:rsidP="00EC21FB">
            <w:pPr>
              <w:jc w:val="right"/>
              <w:rPr>
                <w:color w:val="000000"/>
                <w:sz w:val="18"/>
                <w:szCs w:val="18"/>
              </w:rPr>
            </w:pPr>
            <w:r>
              <w:rPr>
                <w:color w:val="000000"/>
                <w:sz w:val="18"/>
                <w:szCs w:val="18"/>
              </w:rPr>
              <w:t>739</w:t>
            </w:r>
          </w:p>
        </w:tc>
        <w:tc>
          <w:tcPr>
            <w:tcW w:w="1080" w:type="dxa"/>
            <w:vAlign w:val="bottom"/>
          </w:tcPr>
          <w:p w14:paraId="199A388B" w14:textId="3CA14BFA"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4C77F387" w14:textId="12EC92A9"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30C66360" w14:textId="18C312E5"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45DF31D7" w14:textId="0EB8A932" w:rsidR="00C31920" w:rsidRPr="00EC21FB" w:rsidRDefault="00C31920" w:rsidP="00EC21FB">
            <w:pPr>
              <w:jc w:val="right"/>
              <w:rPr>
                <w:color w:val="000000"/>
                <w:sz w:val="18"/>
                <w:szCs w:val="18"/>
              </w:rPr>
            </w:pPr>
            <w:r w:rsidRPr="00EC21FB">
              <w:rPr>
                <w:color w:val="000000"/>
                <w:sz w:val="18"/>
                <w:szCs w:val="18"/>
              </w:rPr>
              <w:t>10</w:t>
            </w:r>
          </w:p>
        </w:tc>
      </w:tr>
      <w:tr w:rsidR="00C31920" w:rsidRPr="006A7EA7" w14:paraId="31E7F1EE" w14:textId="77777777" w:rsidTr="00D12150">
        <w:tc>
          <w:tcPr>
            <w:tcW w:w="2335" w:type="dxa"/>
            <w:vMerge/>
          </w:tcPr>
          <w:p w14:paraId="5EEAEB4A" w14:textId="3711CCB4" w:rsidR="00C31920" w:rsidRPr="00EC21FB" w:rsidRDefault="00C31920" w:rsidP="00EC21FB">
            <w:pPr>
              <w:rPr>
                <w:sz w:val="18"/>
                <w:szCs w:val="18"/>
              </w:rPr>
            </w:pPr>
          </w:p>
        </w:tc>
        <w:tc>
          <w:tcPr>
            <w:tcW w:w="1260" w:type="dxa"/>
          </w:tcPr>
          <w:p w14:paraId="7551611A" w14:textId="38B53252" w:rsidR="00C31920" w:rsidRPr="00EC21FB" w:rsidRDefault="00C31920" w:rsidP="00EC21FB">
            <w:pPr>
              <w:rPr>
                <w:color w:val="000000"/>
                <w:sz w:val="18"/>
                <w:szCs w:val="18"/>
              </w:rPr>
            </w:pPr>
            <w:r w:rsidRPr="00EC21FB">
              <w:rPr>
                <w:color w:val="000000"/>
                <w:sz w:val="18"/>
                <w:szCs w:val="18"/>
              </w:rPr>
              <w:t>konz.us</w:t>
            </w:r>
          </w:p>
        </w:tc>
        <w:tc>
          <w:tcPr>
            <w:tcW w:w="810" w:type="dxa"/>
            <w:vAlign w:val="bottom"/>
          </w:tcPr>
          <w:p w14:paraId="4E071FE0" w14:textId="1A58344E" w:rsidR="00C31920" w:rsidRPr="00EC21FB" w:rsidRDefault="00C31920" w:rsidP="00EC21FB">
            <w:pPr>
              <w:jc w:val="right"/>
              <w:rPr>
                <w:color w:val="000000"/>
                <w:sz w:val="18"/>
                <w:szCs w:val="18"/>
              </w:rPr>
            </w:pPr>
            <w:r w:rsidRPr="00EC21FB">
              <w:rPr>
                <w:color w:val="000000"/>
                <w:sz w:val="18"/>
                <w:szCs w:val="18"/>
              </w:rPr>
              <w:t>39.07</w:t>
            </w:r>
          </w:p>
        </w:tc>
        <w:tc>
          <w:tcPr>
            <w:tcW w:w="1080" w:type="dxa"/>
            <w:vAlign w:val="bottom"/>
          </w:tcPr>
          <w:p w14:paraId="025EB0C4" w14:textId="44DB56DF" w:rsidR="00C31920" w:rsidRPr="00EC21FB" w:rsidRDefault="00C31920" w:rsidP="00EC21FB">
            <w:pPr>
              <w:jc w:val="right"/>
              <w:rPr>
                <w:color w:val="000000"/>
                <w:sz w:val="18"/>
                <w:szCs w:val="18"/>
              </w:rPr>
            </w:pPr>
            <w:r w:rsidRPr="00EC21FB">
              <w:rPr>
                <w:color w:val="000000"/>
                <w:sz w:val="18"/>
                <w:szCs w:val="18"/>
              </w:rPr>
              <w:t>-96.58</w:t>
            </w:r>
          </w:p>
        </w:tc>
        <w:tc>
          <w:tcPr>
            <w:tcW w:w="990" w:type="dxa"/>
          </w:tcPr>
          <w:p w14:paraId="357860B4" w14:textId="13E2A7D0" w:rsidR="00C31920" w:rsidRPr="00C15C33" w:rsidRDefault="00D73409" w:rsidP="00EC21FB">
            <w:pPr>
              <w:jc w:val="right"/>
              <w:rPr>
                <w:color w:val="000000"/>
                <w:sz w:val="18"/>
                <w:szCs w:val="18"/>
              </w:rPr>
            </w:pPr>
            <w:r>
              <w:rPr>
                <w:color w:val="000000"/>
                <w:sz w:val="18"/>
                <w:szCs w:val="18"/>
              </w:rPr>
              <w:t>421</w:t>
            </w:r>
          </w:p>
        </w:tc>
        <w:tc>
          <w:tcPr>
            <w:tcW w:w="630" w:type="dxa"/>
            <w:vAlign w:val="center"/>
          </w:tcPr>
          <w:p w14:paraId="05B00142" w14:textId="33E623F4" w:rsidR="00C31920" w:rsidRPr="00C15C33" w:rsidRDefault="00D73409" w:rsidP="00EC21FB">
            <w:pPr>
              <w:jc w:val="right"/>
              <w:rPr>
                <w:color w:val="000000"/>
                <w:sz w:val="18"/>
                <w:szCs w:val="18"/>
              </w:rPr>
            </w:pPr>
            <w:r>
              <w:rPr>
                <w:color w:val="000000"/>
                <w:sz w:val="18"/>
                <w:szCs w:val="18"/>
              </w:rPr>
              <w:t>15.0</w:t>
            </w:r>
          </w:p>
        </w:tc>
        <w:tc>
          <w:tcPr>
            <w:tcW w:w="630" w:type="dxa"/>
            <w:vAlign w:val="center"/>
          </w:tcPr>
          <w:p w14:paraId="4C2D0158" w14:textId="7E004D9E" w:rsidR="00C31920" w:rsidRPr="00C15C33" w:rsidRDefault="00D73409" w:rsidP="00EC21FB">
            <w:pPr>
              <w:jc w:val="right"/>
              <w:rPr>
                <w:color w:val="000000"/>
                <w:sz w:val="18"/>
                <w:szCs w:val="18"/>
              </w:rPr>
            </w:pPr>
            <w:r>
              <w:rPr>
                <w:color w:val="000000"/>
                <w:sz w:val="18"/>
                <w:szCs w:val="18"/>
              </w:rPr>
              <w:t>0.58</w:t>
            </w:r>
          </w:p>
        </w:tc>
        <w:tc>
          <w:tcPr>
            <w:tcW w:w="630" w:type="dxa"/>
          </w:tcPr>
          <w:p w14:paraId="75995890" w14:textId="5B689302" w:rsidR="00C31920" w:rsidRPr="00C15C33" w:rsidRDefault="00D73409" w:rsidP="00EC21FB">
            <w:pPr>
              <w:jc w:val="right"/>
              <w:rPr>
                <w:color w:val="000000"/>
                <w:sz w:val="18"/>
                <w:szCs w:val="18"/>
              </w:rPr>
            </w:pPr>
            <w:r>
              <w:rPr>
                <w:color w:val="000000"/>
                <w:sz w:val="18"/>
                <w:szCs w:val="18"/>
              </w:rPr>
              <w:t>817</w:t>
            </w:r>
          </w:p>
        </w:tc>
        <w:tc>
          <w:tcPr>
            <w:tcW w:w="1080" w:type="dxa"/>
            <w:vAlign w:val="bottom"/>
          </w:tcPr>
          <w:p w14:paraId="16E78F71" w14:textId="5D3F9A03"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4C769095" w14:textId="6C043D6E"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7B95763F" w14:textId="79B584B7"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2FE65216" w14:textId="43B165EE" w:rsidR="00C31920" w:rsidRPr="00EC21FB" w:rsidRDefault="00C31920" w:rsidP="00EC21FB">
            <w:pPr>
              <w:jc w:val="right"/>
              <w:rPr>
                <w:color w:val="000000"/>
                <w:sz w:val="18"/>
                <w:szCs w:val="18"/>
              </w:rPr>
            </w:pPr>
            <w:r w:rsidRPr="00EC21FB">
              <w:rPr>
                <w:color w:val="000000"/>
                <w:sz w:val="18"/>
                <w:szCs w:val="18"/>
              </w:rPr>
              <w:t>10</w:t>
            </w:r>
          </w:p>
        </w:tc>
      </w:tr>
      <w:tr w:rsidR="00C31920" w:rsidRPr="006A7EA7" w14:paraId="663654DB" w14:textId="77777777" w:rsidTr="00D12150">
        <w:tc>
          <w:tcPr>
            <w:tcW w:w="2335" w:type="dxa"/>
            <w:vMerge/>
          </w:tcPr>
          <w:p w14:paraId="2A390C6E" w14:textId="77777777" w:rsidR="00C31920" w:rsidRPr="00EC21FB" w:rsidRDefault="00C31920" w:rsidP="00EC21FB">
            <w:pPr>
              <w:rPr>
                <w:sz w:val="18"/>
                <w:szCs w:val="18"/>
              </w:rPr>
            </w:pPr>
          </w:p>
        </w:tc>
        <w:tc>
          <w:tcPr>
            <w:tcW w:w="1260" w:type="dxa"/>
          </w:tcPr>
          <w:p w14:paraId="699EB10C" w14:textId="2DA08E3E" w:rsidR="00C31920" w:rsidRPr="00EC21FB" w:rsidRDefault="00C31920" w:rsidP="00EC21FB">
            <w:pPr>
              <w:rPr>
                <w:color w:val="000000"/>
                <w:sz w:val="18"/>
                <w:szCs w:val="18"/>
              </w:rPr>
            </w:pPr>
            <w:r w:rsidRPr="00EC21FB">
              <w:rPr>
                <w:color w:val="000000"/>
                <w:sz w:val="18"/>
                <w:szCs w:val="18"/>
              </w:rPr>
              <w:t>spin.us</w:t>
            </w:r>
          </w:p>
        </w:tc>
        <w:tc>
          <w:tcPr>
            <w:tcW w:w="810" w:type="dxa"/>
            <w:vAlign w:val="bottom"/>
          </w:tcPr>
          <w:p w14:paraId="07FB1871" w14:textId="037DA337" w:rsidR="00C31920" w:rsidRPr="00EC21FB" w:rsidRDefault="00C31920" w:rsidP="00EC21FB">
            <w:pPr>
              <w:jc w:val="right"/>
              <w:rPr>
                <w:color w:val="000000"/>
                <w:sz w:val="18"/>
                <w:szCs w:val="18"/>
              </w:rPr>
            </w:pPr>
            <w:r w:rsidRPr="00EC21FB">
              <w:rPr>
                <w:color w:val="000000"/>
                <w:sz w:val="18"/>
                <w:szCs w:val="18"/>
              </w:rPr>
              <w:t>38.14</w:t>
            </w:r>
          </w:p>
        </w:tc>
        <w:tc>
          <w:tcPr>
            <w:tcW w:w="1080" w:type="dxa"/>
            <w:vAlign w:val="bottom"/>
          </w:tcPr>
          <w:p w14:paraId="46E55CED" w14:textId="05EB1B6C" w:rsidR="00C31920" w:rsidRPr="00EC21FB" w:rsidRDefault="00C31920" w:rsidP="00EC21FB">
            <w:pPr>
              <w:jc w:val="right"/>
              <w:rPr>
                <w:color w:val="000000"/>
                <w:sz w:val="18"/>
                <w:szCs w:val="18"/>
              </w:rPr>
            </w:pPr>
            <w:r w:rsidRPr="00EC21FB">
              <w:rPr>
                <w:color w:val="000000"/>
                <w:sz w:val="18"/>
                <w:szCs w:val="18"/>
              </w:rPr>
              <w:t>-84.50</w:t>
            </w:r>
          </w:p>
        </w:tc>
        <w:tc>
          <w:tcPr>
            <w:tcW w:w="990" w:type="dxa"/>
          </w:tcPr>
          <w:p w14:paraId="5B84F8A4" w14:textId="7098F224" w:rsidR="00C31920" w:rsidRPr="00C15C33" w:rsidRDefault="00D73409" w:rsidP="00EC21FB">
            <w:pPr>
              <w:jc w:val="right"/>
              <w:rPr>
                <w:color w:val="000000"/>
                <w:sz w:val="18"/>
                <w:szCs w:val="18"/>
              </w:rPr>
            </w:pPr>
            <w:r>
              <w:rPr>
                <w:color w:val="000000"/>
                <w:sz w:val="18"/>
                <w:szCs w:val="18"/>
              </w:rPr>
              <w:t>284</w:t>
            </w:r>
          </w:p>
        </w:tc>
        <w:tc>
          <w:tcPr>
            <w:tcW w:w="630" w:type="dxa"/>
            <w:vAlign w:val="center"/>
          </w:tcPr>
          <w:p w14:paraId="682ABA93" w14:textId="5F517A29" w:rsidR="00C31920" w:rsidRPr="00C15C33" w:rsidRDefault="00D73409" w:rsidP="00EC21FB">
            <w:pPr>
              <w:jc w:val="right"/>
              <w:rPr>
                <w:color w:val="000000"/>
                <w:sz w:val="18"/>
                <w:szCs w:val="18"/>
              </w:rPr>
            </w:pPr>
            <w:r>
              <w:rPr>
                <w:color w:val="000000"/>
                <w:sz w:val="18"/>
                <w:szCs w:val="18"/>
              </w:rPr>
              <w:t>13.6</w:t>
            </w:r>
          </w:p>
        </w:tc>
        <w:tc>
          <w:tcPr>
            <w:tcW w:w="630" w:type="dxa"/>
            <w:vAlign w:val="center"/>
          </w:tcPr>
          <w:p w14:paraId="4A44885F" w14:textId="7C66E0C3" w:rsidR="00C31920" w:rsidRPr="00C15C33" w:rsidRDefault="00D73409" w:rsidP="00EC21FB">
            <w:pPr>
              <w:jc w:val="right"/>
              <w:rPr>
                <w:color w:val="000000"/>
                <w:sz w:val="18"/>
                <w:szCs w:val="18"/>
              </w:rPr>
            </w:pPr>
            <w:r>
              <w:rPr>
                <w:color w:val="000000"/>
                <w:sz w:val="18"/>
                <w:szCs w:val="18"/>
              </w:rPr>
              <w:t>1.07</w:t>
            </w:r>
          </w:p>
        </w:tc>
        <w:tc>
          <w:tcPr>
            <w:tcW w:w="630" w:type="dxa"/>
          </w:tcPr>
          <w:p w14:paraId="42307EBA" w14:textId="28D61C7F" w:rsidR="00C31920" w:rsidRPr="00C15C33" w:rsidRDefault="00D73409" w:rsidP="00EC21FB">
            <w:pPr>
              <w:jc w:val="right"/>
              <w:rPr>
                <w:color w:val="000000"/>
                <w:sz w:val="18"/>
                <w:szCs w:val="18"/>
              </w:rPr>
            </w:pPr>
            <w:r>
              <w:rPr>
                <w:color w:val="000000"/>
                <w:sz w:val="18"/>
                <w:szCs w:val="18"/>
              </w:rPr>
              <w:t>718</w:t>
            </w:r>
          </w:p>
        </w:tc>
        <w:tc>
          <w:tcPr>
            <w:tcW w:w="1080" w:type="dxa"/>
            <w:vAlign w:val="bottom"/>
          </w:tcPr>
          <w:p w14:paraId="597A73B8" w14:textId="07A02246"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49B644FE" w14:textId="254F7D7F"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7081945F" w14:textId="758E2F19"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3625E105" w14:textId="6AB1DA99" w:rsidR="00C31920" w:rsidRPr="00EC21FB" w:rsidRDefault="00C31920" w:rsidP="00EC21FB">
            <w:pPr>
              <w:jc w:val="right"/>
              <w:rPr>
                <w:color w:val="000000"/>
                <w:sz w:val="18"/>
                <w:szCs w:val="18"/>
              </w:rPr>
            </w:pPr>
            <w:r w:rsidRPr="00EC21FB">
              <w:rPr>
                <w:color w:val="000000"/>
                <w:sz w:val="18"/>
                <w:szCs w:val="18"/>
              </w:rPr>
              <w:t>10</w:t>
            </w:r>
          </w:p>
        </w:tc>
      </w:tr>
      <w:tr w:rsidR="00C31920" w:rsidRPr="006A7EA7" w14:paraId="5FB12F93" w14:textId="77777777" w:rsidTr="00D12150">
        <w:sdt>
          <w:sdtPr>
            <w:rPr>
              <w:color w:val="000000"/>
              <w:sz w:val="18"/>
              <w:szCs w:val="18"/>
            </w:rPr>
            <w:tag w:val="MENDELEY_CITATION_v3_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"/>
            <w:id w:val="1848138059"/>
            <w:placeholder>
              <w:docPart w:val="895C090C84E8D74E918C3A29B492D23E"/>
            </w:placeholder>
          </w:sdtPr>
          <w:sdtContent>
            <w:tc>
              <w:tcPr>
                <w:tcW w:w="2335" w:type="dxa"/>
              </w:tcPr>
              <w:p w14:paraId="4D623FCE" w14:textId="6340D383" w:rsidR="00C31920" w:rsidRPr="00EC21FB" w:rsidRDefault="00E807B5" w:rsidP="00EC21FB">
                <w:pPr>
                  <w:rPr>
                    <w:sz w:val="18"/>
                    <w:szCs w:val="18"/>
                  </w:rPr>
                </w:pPr>
                <w:r w:rsidRPr="00E807B5">
                  <w:rPr>
                    <w:rFonts w:eastAsia="Times New Roman"/>
                    <w:color w:val="000000"/>
                    <w:sz w:val="18"/>
                  </w:rPr>
                  <w:t>(Huff et al., 2015)</w:t>
                </w:r>
              </w:p>
            </w:tc>
          </w:sdtContent>
        </w:sdt>
        <w:tc>
          <w:tcPr>
            <w:tcW w:w="1260" w:type="dxa"/>
          </w:tcPr>
          <w:p w14:paraId="4D36B167" w14:textId="3CB24622" w:rsidR="00C31920" w:rsidRPr="00EC21FB" w:rsidRDefault="00C31920" w:rsidP="00EC21FB">
            <w:pPr>
              <w:rPr>
                <w:color w:val="000000"/>
                <w:sz w:val="18"/>
                <w:szCs w:val="18"/>
              </w:rPr>
            </w:pPr>
            <w:proofErr w:type="spellStart"/>
            <w:r w:rsidRPr="00EC21FB">
              <w:rPr>
                <w:color w:val="000000"/>
                <w:sz w:val="18"/>
                <w:szCs w:val="18"/>
              </w:rPr>
              <w:t>tifft</w:t>
            </w:r>
            <w:proofErr w:type="spellEnd"/>
          </w:p>
        </w:tc>
        <w:tc>
          <w:tcPr>
            <w:tcW w:w="810" w:type="dxa"/>
            <w:vAlign w:val="bottom"/>
          </w:tcPr>
          <w:p w14:paraId="4640A804" w14:textId="1E394F09" w:rsidR="00C31920" w:rsidRPr="00EC21FB" w:rsidRDefault="00C31920" w:rsidP="00EC21FB">
            <w:pPr>
              <w:jc w:val="right"/>
              <w:rPr>
                <w:color w:val="000000"/>
                <w:sz w:val="18"/>
                <w:szCs w:val="18"/>
              </w:rPr>
            </w:pPr>
            <w:r w:rsidRPr="00EC21FB">
              <w:rPr>
                <w:color w:val="000000"/>
                <w:sz w:val="18"/>
                <w:szCs w:val="18"/>
              </w:rPr>
              <w:t>42.87</w:t>
            </w:r>
          </w:p>
        </w:tc>
        <w:tc>
          <w:tcPr>
            <w:tcW w:w="1080" w:type="dxa"/>
            <w:vAlign w:val="bottom"/>
          </w:tcPr>
          <w:p w14:paraId="397A7500" w14:textId="1799C717" w:rsidR="00C31920" w:rsidRPr="00EC21FB" w:rsidRDefault="00C31920" w:rsidP="00EC21FB">
            <w:pPr>
              <w:jc w:val="right"/>
              <w:rPr>
                <w:color w:val="000000"/>
                <w:sz w:val="18"/>
                <w:szCs w:val="18"/>
              </w:rPr>
            </w:pPr>
            <w:r w:rsidRPr="00EC21FB">
              <w:rPr>
                <w:color w:val="000000"/>
                <w:sz w:val="18"/>
                <w:szCs w:val="18"/>
              </w:rPr>
              <w:t>-78.87</w:t>
            </w:r>
          </w:p>
        </w:tc>
        <w:tc>
          <w:tcPr>
            <w:tcW w:w="990" w:type="dxa"/>
          </w:tcPr>
          <w:p w14:paraId="14D5265F" w14:textId="6B5727B8" w:rsidR="00C31920" w:rsidRPr="00C15C33" w:rsidRDefault="00D12150" w:rsidP="00EC21FB">
            <w:pPr>
              <w:jc w:val="right"/>
              <w:rPr>
                <w:color w:val="000000"/>
                <w:sz w:val="18"/>
                <w:szCs w:val="18"/>
              </w:rPr>
            </w:pPr>
            <w:r>
              <w:rPr>
                <w:color w:val="000000"/>
                <w:sz w:val="18"/>
                <w:szCs w:val="18"/>
              </w:rPr>
              <w:t>178</w:t>
            </w:r>
          </w:p>
        </w:tc>
        <w:tc>
          <w:tcPr>
            <w:tcW w:w="630" w:type="dxa"/>
            <w:vAlign w:val="center"/>
          </w:tcPr>
          <w:p w14:paraId="29E748C8" w14:textId="23FED5E0" w:rsidR="00C31920" w:rsidRPr="00C15C33" w:rsidRDefault="00D12150" w:rsidP="00EC21FB">
            <w:pPr>
              <w:jc w:val="right"/>
              <w:rPr>
                <w:color w:val="000000"/>
                <w:sz w:val="18"/>
                <w:szCs w:val="18"/>
              </w:rPr>
            </w:pPr>
            <w:r>
              <w:rPr>
                <w:color w:val="000000"/>
                <w:sz w:val="18"/>
                <w:szCs w:val="18"/>
              </w:rPr>
              <w:t>12.5</w:t>
            </w:r>
          </w:p>
        </w:tc>
        <w:tc>
          <w:tcPr>
            <w:tcW w:w="630" w:type="dxa"/>
            <w:vAlign w:val="center"/>
          </w:tcPr>
          <w:p w14:paraId="28DFFAF2" w14:textId="5C0C0522" w:rsidR="00C31920" w:rsidRPr="00C15C33" w:rsidRDefault="00D12150" w:rsidP="00EC21FB">
            <w:pPr>
              <w:jc w:val="right"/>
              <w:rPr>
                <w:color w:val="000000"/>
                <w:sz w:val="18"/>
                <w:szCs w:val="18"/>
              </w:rPr>
            </w:pPr>
            <w:r>
              <w:rPr>
                <w:color w:val="000000"/>
                <w:sz w:val="18"/>
                <w:szCs w:val="18"/>
              </w:rPr>
              <w:t>0.97</w:t>
            </w:r>
          </w:p>
        </w:tc>
        <w:tc>
          <w:tcPr>
            <w:tcW w:w="630" w:type="dxa"/>
          </w:tcPr>
          <w:p w14:paraId="33AAEB09" w14:textId="783F8518" w:rsidR="00C31920" w:rsidRPr="00C15C33" w:rsidRDefault="00D12150" w:rsidP="00EC21FB">
            <w:pPr>
              <w:jc w:val="right"/>
              <w:rPr>
                <w:color w:val="000000"/>
                <w:sz w:val="18"/>
                <w:szCs w:val="18"/>
              </w:rPr>
            </w:pPr>
            <w:r>
              <w:rPr>
                <w:color w:val="000000"/>
                <w:sz w:val="18"/>
                <w:szCs w:val="18"/>
              </w:rPr>
              <w:t>729</w:t>
            </w:r>
          </w:p>
        </w:tc>
        <w:tc>
          <w:tcPr>
            <w:tcW w:w="1080" w:type="dxa"/>
            <w:vAlign w:val="bottom"/>
          </w:tcPr>
          <w:p w14:paraId="3F0778EF" w14:textId="441C1DD6"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1CB7394D" w14:textId="05B1770F"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3C1DF599" w14:textId="04312589"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6463B204" w14:textId="6C79BD40" w:rsidR="00C31920" w:rsidRPr="00EC21FB" w:rsidRDefault="00C31920" w:rsidP="00EC21FB">
            <w:pPr>
              <w:jc w:val="right"/>
              <w:rPr>
                <w:color w:val="000000"/>
                <w:sz w:val="18"/>
                <w:szCs w:val="18"/>
              </w:rPr>
            </w:pPr>
            <w:r w:rsidRPr="00EC21FB">
              <w:rPr>
                <w:color w:val="000000"/>
                <w:sz w:val="18"/>
                <w:szCs w:val="18"/>
              </w:rPr>
              <w:t>8.6</w:t>
            </w:r>
          </w:p>
        </w:tc>
      </w:tr>
      <w:tr w:rsidR="00C31920" w:rsidRPr="006A7EA7" w14:paraId="7C3955AA" w14:textId="77777777" w:rsidTr="00D12150">
        <w:sdt>
          <w:sdtPr>
            <w:rPr>
              <w:color w:val="000000"/>
              <w:sz w:val="18"/>
              <w:szCs w:val="18"/>
            </w:rPr>
            <w:tag w:val="MENDELEY_CITATION_v3_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"/>
            <w:id w:val="-628244817"/>
            <w:placeholder>
              <w:docPart w:val="3C5285FF6DC9DA46BC9AEFF3F346623A"/>
            </w:placeholder>
          </w:sdtPr>
          <w:sdtContent>
            <w:tc>
              <w:tcPr>
                <w:tcW w:w="2335" w:type="dxa"/>
                <w:vMerge w:val="restart"/>
                <w:vAlign w:val="center"/>
              </w:tcPr>
              <w:p w14:paraId="2B7AF85D" w14:textId="3ADE51CB" w:rsidR="00C31920" w:rsidRPr="00EC21FB" w:rsidRDefault="00E807B5" w:rsidP="00EC21FB">
                <w:pPr>
                  <w:rPr>
                    <w:sz w:val="18"/>
                    <w:szCs w:val="18"/>
                  </w:rPr>
                </w:pPr>
                <w:r w:rsidRPr="00E807B5">
                  <w:rPr>
                    <w:rFonts w:eastAsia="Times New Roman"/>
                    <w:color w:val="000000"/>
                    <w:sz w:val="18"/>
                  </w:rPr>
                  <w:t>(Iversen et al., 2010)</w:t>
                </w:r>
              </w:p>
            </w:tc>
          </w:sdtContent>
        </w:sdt>
        <w:tc>
          <w:tcPr>
            <w:tcW w:w="1260" w:type="dxa"/>
          </w:tcPr>
          <w:p w14:paraId="2796D916" w14:textId="0BF0C149" w:rsidR="00C31920" w:rsidRPr="00EC21FB" w:rsidRDefault="00C31920" w:rsidP="00EC21FB">
            <w:pPr>
              <w:rPr>
                <w:color w:val="000000"/>
                <w:sz w:val="18"/>
                <w:szCs w:val="18"/>
              </w:rPr>
            </w:pPr>
            <w:proofErr w:type="spellStart"/>
            <w:r w:rsidRPr="00EC21FB">
              <w:rPr>
                <w:color w:val="000000"/>
                <w:sz w:val="18"/>
                <w:szCs w:val="18"/>
              </w:rPr>
              <w:t>undercBog</w:t>
            </w:r>
            <w:proofErr w:type="spellEnd"/>
          </w:p>
        </w:tc>
        <w:tc>
          <w:tcPr>
            <w:tcW w:w="810" w:type="dxa"/>
            <w:vAlign w:val="bottom"/>
          </w:tcPr>
          <w:p w14:paraId="6112D78A" w14:textId="2E33D4C7" w:rsidR="00C31920" w:rsidRPr="00EC21FB" w:rsidRDefault="00C31920" w:rsidP="00EC21FB">
            <w:pPr>
              <w:jc w:val="right"/>
              <w:rPr>
                <w:color w:val="000000"/>
                <w:sz w:val="18"/>
                <w:szCs w:val="18"/>
              </w:rPr>
            </w:pPr>
            <w:r w:rsidRPr="00EC21FB">
              <w:rPr>
                <w:color w:val="000000"/>
                <w:sz w:val="18"/>
                <w:szCs w:val="18"/>
              </w:rPr>
              <w:t>46</w:t>
            </w:r>
          </w:p>
        </w:tc>
        <w:tc>
          <w:tcPr>
            <w:tcW w:w="1080" w:type="dxa"/>
            <w:vAlign w:val="bottom"/>
          </w:tcPr>
          <w:p w14:paraId="2AE3ABF7" w14:textId="1576A62B" w:rsidR="00C31920" w:rsidRPr="00EC21FB" w:rsidRDefault="00C31920" w:rsidP="00EC21FB">
            <w:pPr>
              <w:jc w:val="right"/>
              <w:rPr>
                <w:color w:val="000000"/>
                <w:sz w:val="18"/>
                <w:szCs w:val="18"/>
              </w:rPr>
            </w:pPr>
            <w:r w:rsidRPr="00EC21FB">
              <w:rPr>
                <w:color w:val="000000"/>
                <w:sz w:val="18"/>
                <w:szCs w:val="18"/>
              </w:rPr>
              <w:t>-89</w:t>
            </w:r>
          </w:p>
        </w:tc>
        <w:tc>
          <w:tcPr>
            <w:tcW w:w="990" w:type="dxa"/>
          </w:tcPr>
          <w:p w14:paraId="09D7F6CE" w14:textId="59FEF718" w:rsidR="00C31920" w:rsidRPr="00C15C33" w:rsidRDefault="00B7167A" w:rsidP="00EC21FB">
            <w:pPr>
              <w:jc w:val="right"/>
              <w:rPr>
                <w:color w:val="000000"/>
                <w:sz w:val="18"/>
                <w:szCs w:val="18"/>
              </w:rPr>
            </w:pPr>
            <w:r>
              <w:rPr>
                <w:color w:val="000000"/>
                <w:sz w:val="18"/>
                <w:szCs w:val="18"/>
              </w:rPr>
              <w:t>523</w:t>
            </w:r>
          </w:p>
        </w:tc>
        <w:tc>
          <w:tcPr>
            <w:tcW w:w="630" w:type="dxa"/>
            <w:vAlign w:val="center"/>
          </w:tcPr>
          <w:p w14:paraId="7B48EC9B" w14:textId="3A143E4E" w:rsidR="00C31920" w:rsidRPr="00C15C33" w:rsidRDefault="00B7167A" w:rsidP="00EC21FB">
            <w:pPr>
              <w:jc w:val="right"/>
              <w:rPr>
                <w:color w:val="000000"/>
                <w:sz w:val="18"/>
                <w:szCs w:val="18"/>
              </w:rPr>
            </w:pPr>
            <w:r>
              <w:rPr>
                <w:color w:val="000000"/>
                <w:sz w:val="18"/>
                <w:szCs w:val="18"/>
              </w:rPr>
              <w:t>12.1</w:t>
            </w:r>
          </w:p>
        </w:tc>
        <w:tc>
          <w:tcPr>
            <w:tcW w:w="630" w:type="dxa"/>
            <w:vAlign w:val="center"/>
          </w:tcPr>
          <w:p w14:paraId="37A9FA42" w14:textId="0ED05F73" w:rsidR="00C31920" w:rsidRPr="00C15C33" w:rsidRDefault="00B7167A" w:rsidP="00EC21FB">
            <w:pPr>
              <w:jc w:val="right"/>
              <w:rPr>
                <w:color w:val="000000"/>
                <w:sz w:val="18"/>
                <w:szCs w:val="18"/>
              </w:rPr>
            </w:pPr>
            <w:r>
              <w:rPr>
                <w:color w:val="000000"/>
                <w:sz w:val="18"/>
                <w:szCs w:val="18"/>
              </w:rPr>
              <w:t>0.85</w:t>
            </w:r>
          </w:p>
        </w:tc>
        <w:tc>
          <w:tcPr>
            <w:tcW w:w="630" w:type="dxa"/>
          </w:tcPr>
          <w:p w14:paraId="0EF28AE0" w14:textId="5B710142" w:rsidR="00C31920" w:rsidRPr="00C15C33" w:rsidRDefault="00B7167A" w:rsidP="00EC21FB">
            <w:pPr>
              <w:jc w:val="right"/>
              <w:rPr>
                <w:color w:val="000000"/>
                <w:sz w:val="18"/>
                <w:szCs w:val="18"/>
              </w:rPr>
            </w:pPr>
            <w:r>
              <w:rPr>
                <w:color w:val="000000"/>
                <w:sz w:val="18"/>
                <w:szCs w:val="18"/>
              </w:rPr>
              <w:t>799</w:t>
            </w:r>
          </w:p>
        </w:tc>
        <w:tc>
          <w:tcPr>
            <w:tcW w:w="1080" w:type="dxa"/>
            <w:vAlign w:val="bottom"/>
          </w:tcPr>
          <w:p w14:paraId="09C65F23" w14:textId="155E4134"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1A3C7831" w14:textId="5BF83298"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1CDBA54D" w14:textId="5BB9CEBA" w:rsidR="00C31920" w:rsidRPr="00EC21FB" w:rsidRDefault="00C31920" w:rsidP="00EC21FB">
            <w:pPr>
              <w:jc w:val="right"/>
              <w:rPr>
                <w:color w:val="000000"/>
                <w:sz w:val="18"/>
                <w:szCs w:val="18"/>
              </w:rPr>
            </w:pPr>
            <w:r w:rsidRPr="00EC21FB">
              <w:rPr>
                <w:color w:val="000000"/>
                <w:sz w:val="18"/>
                <w:szCs w:val="18"/>
              </w:rPr>
              <w:t>6</w:t>
            </w:r>
          </w:p>
        </w:tc>
        <w:tc>
          <w:tcPr>
            <w:tcW w:w="1170" w:type="dxa"/>
          </w:tcPr>
          <w:p w14:paraId="316148F9" w14:textId="023CA9CA" w:rsidR="00C31920" w:rsidRPr="00EC21FB" w:rsidRDefault="00C31920" w:rsidP="00EC21FB">
            <w:pPr>
              <w:jc w:val="right"/>
              <w:rPr>
                <w:color w:val="000000"/>
                <w:sz w:val="18"/>
                <w:szCs w:val="18"/>
              </w:rPr>
            </w:pPr>
            <w:r w:rsidRPr="00EC21FB">
              <w:rPr>
                <w:color w:val="000000"/>
                <w:sz w:val="18"/>
                <w:szCs w:val="18"/>
              </w:rPr>
              <w:t>2</w:t>
            </w:r>
          </w:p>
        </w:tc>
      </w:tr>
      <w:tr w:rsidR="00C31920" w:rsidRPr="004F689E" w14:paraId="342D865D" w14:textId="77777777" w:rsidTr="00D12150">
        <w:tc>
          <w:tcPr>
            <w:tcW w:w="2335" w:type="dxa"/>
            <w:vMerge/>
          </w:tcPr>
          <w:p w14:paraId="3E985976" w14:textId="727F6BE4" w:rsidR="00C31920" w:rsidRPr="00EC21FB" w:rsidRDefault="00C31920" w:rsidP="00EC21FB">
            <w:pPr>
              <w:rPr>
                <w:color w:val="000000"/>
                <w:sz w:val="18"/>
                <w:szCs w:val="18"/>
              </w:rPr>
            </w:pPr>
          </w:p>
        </w:tc>
        <w:tc>
          <w:tcPr>
            <w:tcW w:w="1260" w:type="dxa"/>
          </w:tcPr>
          <w:p w14:paraId="75ACE3B3" w14:textId="03D18B3A" w:rsidR="00C31920" w:rsidRPr="00D12150" w:rsidRDefault="00C31920" w:rsidP="00EC21FB">
            <w:pPr>
              <w:rPr>
                <w:color w:val="000000"/>
                <w:sz w:val="16"/>
                <w:szCs w:val="16"/>
              </w:rPr>
            </w:pPr>
            <w:proofErr w:type="spellStart"/>
            <w:r w:rsidRPr="00D12150">
              <w:rPr>
                <w:color w:val="000000"/>
                <w:sz w:val="16"/>
                <w:szCs w:val="16"/>
              </w:rPr>
              <w:t>undercRichFen</w:t>
            </w:r>
            <w:proofErr w:type="spellEnd"/>
          </w:p>
        </w:tc>
        <w:tc>
          <w:tcPr>
            <w:tcW w:w="810" w:type="dxa"/>
            <w:vAlign w:val="bottom"/>
          </w:tcPr>
          <w:p w14:paraId="04A83015" w14:textId="18D6EE1D" w:rsidR="00C31920" w:rsidRPr="00EC21FB" w:rsidRDefault="00C31920" w:rsidP="00EC21FB">
            <w:pPr>
              <w:jc w:val="right"/>
              <w:rPr>
                <w:color w:val="000000"/>
                <w:sz w:val="18"/>
                <w:szCs w:val="18"/>
              </w:rPr>
            </w:pPr>
            <w:r w:rsidRPr="00EC21FB">
              <w:rPr>
                <w:color w:val="000000"/>
                <w:sz w:val="18"/>
                <w:szCs w:val="18"/>
              </w:rPr>
              <w:t>46</w:t>
            </w:r>
          </w:p>
        </w:tc>
        <w:tc>
          <w:tcPr>
            <w:tcW w:w="1080" w:type="dxa"/>
            <w:vAlign w:val="bottom"/>
          </w:tcPr>
          <w:p w14:paraId="4349583E" w14:textId="0879914D" w:rsidR="00C31920" w:rsidRPr="00EC21FB" w:rsidRDefault="00C31920" w:rsidP="00EC21FB">
            <w:pPr>
              <w:jc w:val="right"/>
              <w:rPr>
                <w:color w:val="000000"/>
                <w:sz w:val="18"/>
                <w:szCs w:val="18"/>
              </w:rPr>
            </w:pPr>
            <w:r w:rsidRPr="00EC21FB">
              <w:rPr>
                <w:color w:val="000000"/>
                <w:sz w:val="18"/>
                <w:szCs w:val="18"/>
              </w:rPr>
              <w:t>-89</w:t>
            </w:r>
          </w:p>
        </w:tc>
        <w:tc>
          <w:tcPr>
            <w:tcW w:w="990" w:type="dxa"/>
          </w:tcPr>
          <w:p w14:paraId="268D8153" w14:textId="0F787E16" w:rsidR="00C31920" w:rsidRPr="00C15C33" w:rsidRDefault="00B7167A" w:rsidP="00EC21FB">
            <w:pPr>
              <w:jc w:val="right"/>
              <w:rPr>
                <w:color w:val="000000"/>
                <w:sz w:val="18"/>
                <w:szCs w:val="18"/>
              </w:rPr>
            </w:pPr>
            <w:r>
              <w:rPr>
                <w:color w:val="000000"/>
                <w:sz w:val="18"/>
                <w:szCs w:val="18"/>
              </w:rPr>
              <w:t>523</w:t>
            </w:r>
          </w:p>
        </w:tc>
        <w:tc>
          <w:tcPr>
            <w:tcW w:w="630" w:type="dxa"/>
            <w:vAlign w:val="center"/>
          </w:tcPr>
          <w:p w14:paraId="6FCB085B" w14:textId="5959B680" w:rsidR="00C31920" w:rsidRPr="00C15C33" w:rsidRDefault="00B7167A" w:rsidP="00EC21FB">
            <w:pPr>
              <w:jc w:val="right"/>
              <w:rPr>
                <w:color w:val="000000"/>
                <w:sz w:val="18"/>
                <w:szCs w:val="18"/>
              </w:rPr>
            </w:pPr>
            <w:r>
              <w:rPr>
                <w:color w:val="000000"/>
                <w:sz w:val="18"/>
                <w:szCs w:val="18"/>
              </w:rPr>
              <w:t>12.1</w:t>
            </w:r>
          </w:p>
        </w:tc>
        <w:tc>
          <w:tcPr>
            <w:tcW w:w="630" w:type="dxa"/>
            <w:vAlign w:val="center"/>
          </w:tcPr>
          <w:p w14:paraId="5B0C6FFC" w14:textId="3F61548E" w:rsidR="00C31920" w:rsidRPr="00C15C33" w:rsidRDefault="00B7167A" w:rsidP="00EC21FB">
            <w:pPr>
              <w:jc w:val="right"/>
              <w:rPr>
                <w:color w:val="000000"/>
                <w:sz w:val="18"/>
                <w:szCs w:val="18"/>
              </w:rPr>
            </w:pPr>
            <w:r>
              <w:rPr>
                <w:color w:val="000000"/>
                <w:sz w:val="18"/>
                <w:szCs w:val="18"/>
              </w:rPr>
              <w:t>0.85</w:t>
            </w:r>
          </w:p>
        </w:tc>
        <w:tc>
          <w:tcPr>
            <w:tcW w:w="630" w:type="dxa"/>
          </w:tcPr>
          <w:p w14:paraId="07310A2A" w14:textId="5EBE9012" w:rsidR="00C31920" w:rsidRPr="00C15C33" w:rsidRDefault="00B7167A" w:rsidP="00EC21FB">
            <w:pPr>
              <w:jc w:val="right"/>
              <w:rPr>
                <w:color w:val="000000"/>
                <w:sz w:val="18"/>
                <w:szCs w:val="18"/>
              </w:rPr>
            </w:pPr>
            <w:r>
              <w:rPr>
                <w:color w:val="000000"/>
                <w:sz w:val="18"/>
                <w:szCs w:val="18"/>
              </w:rPr>
              <w:t>799</w:t>
            </w:r>
          </w:p>
        </w:tc>
        <w:tc>
          <w:tcPr>
            <w:tcW w:w="1080" w:type="dxa"/>
            <w:vAlign w:val="bottom"/>
          </w:tcPr>
          <w:p w14:paraId="7F5FAB25" w14:textId="6C4A534B"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1435ABFF" w14:textId="7A6A44D4"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6A140B5C" w14:textId="59DF6F07" w:rsidR="00C31920" w:rsidRPr="00EC21FB" w:rsidRDefault="00C31920" w:rsidP="00EC21FB">
            <w:pPr>
              <w:jc w:val="right"/>
              <w:rPr>
                <w:color w:val="000000"/>
                <w:sz w:val="18"/>
                <w:szCs w:val="18"/>
              </w:rPr>
            </w:pPr>
            <w:r w:rsidRPr="00EC21FB">
              <w:rPr>
                <w:color w:val="000000"/>
                <w:sz w:val="18"/>
                <w:szCs w:val="18"/>
              </w:rPr>
              <w:t>6</w:t>
            </w:r>
          </w:p>
        </w:tc>
        <w:tc>
          <w:tcPr>
            <w:tcW w:w="1170" w:type="dxa"/>
          </w:tcPr>
          <w:p w14:paraId="1E04AB54" w14:textId="6BB33CAD" w:rsidR="00C31920" w:rsidRPr="00EC21FB" w:rsidRDefault="00C31920" w:rsidP="00EC21FB">
            <w:pPr>
              <w:jc w:val="right"/>
              <w:rPr>
                <w:color w:val="000000"/>
                <w:sz w:val="18"/>
                <w:szCs w:val="18"/>
              </w:rPr>
            </w:pPr>
            <w:r w:rsidRPr="00EC21FB">
              <w:rPr>
                <w:color w:val="000000"/>
                <w:sz w:val="18"/>
                <w:szCs w:val="18"/>
              </w:rPr>
              <w:t>2</w:t>
            </w:r>
          </w:p>
        </w:tc>
      </w:tr>
      <w:tr w:rsidR="00C31920" w:rsidRPr="004F689E" w14:paraId="7E8726E3" w14:textId="77777777" w:rsidTr="00D12150">
        <w:sdt>
          <w:sdtPr>
            <w:rPr>
              <w:color w:val="000000"/>
              <w:sz w:val="18"/>
              <w:szCs w:val="18"/>
            </w:rPr>
            <w:tag w:val="MENDELEY_CITATION_v3_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"/>
            <w:id w:val="1519037159"/>
            <w:placeholder>
              <w:docPart w:val="A79E1028F3DF6148BB68ABA81FAA50D8"/>
            </w:placeholder>
          </w:sdtPr>
          <w:sdtContent>
            <w:tc>
              <w:tcPr>
                <w:tcW w:w="2335" w:type="dxa"/>
              </w:tcPr>
              <w:p w14:paraId="51887740" w14:textId="73CBD44B" w:rsidR="00C31920" w:rsidRPr="00EC21FB" w:rsidRDefault="00E807B5" w:rsidP="00EC21FB">
                <w:pPr>
                  <w:rPr>
                    <w:color w:val="000000"/>
                    <w:sz w:val="18"/>
                    <w:szCs w:val="18"/>
                  </w:rPr>
                </w:pPr>
                <w:r w:rsidRPr="00E807B5">
                  <w:rPr>
                    <w:rFonts w:eastAsia="Times New Roman"/>
                    <w:color w:val="000000"/>
                    <w:sz w:val="18"/>
                  </w:rPr>
                  <w:t>(Jing et al., 2016)</w:t>
                </w:r>
              </w:p>
            </w:tc>
          </w:sdtContent>
        </w:sdt>
        <w:tc>
          <w:tcPr>
            <w:tcW w:w="1260" w:type="dxa"/>
          </w:tcPr>
          <w:p w14:paraId="7B53A771" w14:textId="3E367382" w:rsidR="00C31920" w:rsidRPr="00EC21FB" w:rsidRDefault="00C31920" w:rsidP="00EC21FB">
            <w:pPr>
              <w:rPr>
                <w:color w:val="000000"/>
                <w:sz w:val="18"/>
                <w:szCs w:val="18"/>
              </w:rPr>
            </w:pPr>
            <w:proofErr w:type="spellStart"/>
            <w:r w:rsidRPr="00EC21FB">
              <w:rPr>
                <w:color w:val="000000"/>
                <w:sz w:val="18"/>
                <w:szCs w:val="18"/>
              </w:rPr>
              <w:t>haibeiAGERS</w:t>
            </w:r>
            <w:proofErr w:type="spellEnd"/>
          </w:p>
        </w:tc>
        <w:tc>
          <w:tcPr>
            <w:tcW w:w="810" w:type="dxa"/>
            <w:vAlign w:val="bottom"/>
          </w:tcPr>
          <w:p w14:paraId="534B880B" w14:textId="49FA1446" w:rsidR="00C31920" w:rsidRPr="00EC21FB" w:rsidRDefault="00C31920" w:rsidP="00EC21FB">
            <w:pPr>
              <w:jc w:val="right"/>
              <w:rPr>
                <w:color w:val="000000"/>
                <w:sz w:val="18"/>
                <w:szCs w:val="18"/>
              </w:rPr>
            </w:pPr>
            <w:r w:rsidRPr="00EC21FB">
              <w:rPr>
                <w:color w:val="000000"/>
                <w:sz w:val="18"/>
                <w:szCs w:val="18"/>
              </w:rPr>
              <w:t>37.6</w:t>
            </w:r>
          </w:p>
        </w:tc>
        <w:tc>
          <w:tcPr>
            <w:tcW w:w="1080" w:type="dxa"/>
            <w:vAlign w:val="bottom"/>
          </w:tcPr>
          <w:p w14:paraId="13AF00B7" w14:textId="19E8974D" w:rsidR="00C31920" w:rsidRPr="00EC21FB" w:rsidRDefault="00C31920" w:rsidP="00EC21FB">
            <w:pPr>
              <w:jc w:val="right"/>
              <w:rPr>
                <w:color w:val="000000"/>
                <w:sz w:val="18"/>
                <w:szCs w:val="18"/>
              </w:rPr>
            </w:pPr>
            <w:r w:rsidRPr="00EC21FB">
              <w:rPr>
                <w:color w:val="000000"/>
                <w:sz w:val="18"/>
                <w:szCs w:val="18"/>
              </w:rPr>
              <w:t>101.32</w:t>
            </w:r>
          </w:p>
        </w:tc>
        <w:tc>
          <w:tcPr>
            <w:tcW w:w="990" w:type="dxa"/>
          </w:tcPr>
          <w:p w14:paraId="2B99291C" w14:textId="29579E87" w:rsidR="00C31920" w:rsidRPr="00C15C33" w:rsidRDefault="00B7167A" w:rsidP="00EC21FB">
            <w:pPr>
              <w:jc w:val="right"/>
              <w:rPr>
                <w:color w:val="000000"/>
                <w:sz w:val="18"/>
                <w:szCs w:val="18"/>
              </w:rPr>
            </w:pPr>
            <w:r>
              <w:rPr>
                <w:color w:val="000000"/>
                <w:sz w:val="18"/>
                <w:szCs w:val="18"/>
              </w:rPr>
              <w:t>3311</w:t>
            </w:r>
          </w:p>
        </w:tc>
        <w:tc>
          <w:tcPr>
            <w:tcW w:w="630" w:type="dxa"/>
            <w:vAlign w:val="center"/>
          </w:tcPr>
          <w:p w14:paraId="3BBB237A" w14:textId="78434C35" w:rsidR="00C31920" w:rsidRPr="00C15C33" w:rsidRDefault="00B7167A" w:rsidP="00EC21FB">
            <w:pPr>
              <w:jc w:val="right"/>
              <w:rPr>
                <w:color w:val="000000"/>
                <w:sz w:val="18"/>
                <w:szCs w:val="18"/>
              </w:rPr>
            </w:pPr>
            <w:r>
              <w:rPr>
                <w:color w:val="000000"/>
                <w:sz w:val="18"/>
                <w:szCs w:val="18"/>
              </w:rPr>
              <w:t>5.6</w:t>
            </w:r>
          </w:p>
        </w:tc>
        <w:tc>
          <w:tcPr>
            <w:tcW w:w="630" w:type="dxa"/>
            <w:vAlign w:val="center"/>
          </w:tcPr>
          <w:p w14:paraId="154CE59A" w14:textId="7BBCD25C" w:rsidR="00C31920" w:rsidRPr="00C15C33" w:rsidRDefault="00B7167A" w:rsidP="00EC21FB">
            <w:pPr>
              <w:jc w:val="right"/>
              <w:rPr>
                <w:color w:val="000000"/>
                <w:sz w:val="18"/>
                <w:szCs w:val="18"/>
              </w:rPr>
            </w:pPr>
            <w:r>
              <w:rPr>
                <w:color w:val="000000"/>
                <w:sz w:val="18"/>
                <w:szCs w:val="18"/>
              </w:rPr>
              <w:t>0.54</w:t>
            </w:r>
          </w:p>
        </w:tc>
        <w:tc>
          <w:tcPr>
            <w:tcW w:w="630" w:type="dxa"/>
          </w:tcPr>
          <w:p w14:paraId="4210F619" w14:textId="3D56DE2C" w:rsidR="00C31920" w:rsidRPr="00C15C33" w:rsidRDefault="00B7167A" w:rsidP="00EC21FB">
            <w:pPr>
              <w:jc w:val="right"/>
              <w:rPr>
                <w:color w:val="000000"/>
                <w:sz w:val="18"/>
                <w:szCs w:val="18"/>
              </w:rPr>
            </w:pPr>
            <w:r>
              <w:rPr>
                <w:color w:val="000000"/>
                <w:sz w:val="18"/>
                <w:szCs w:val="18"/>
              </w:rPr>
              <w:t>927</w:t>
            </w:r>
          </w:p>
        </w:tc>
        <w:tc>
          <w:tcPr>
            <w:tcW w:w="1080" w:type="dxa"/>
            <w:vAlign w:val="bottom"/>
          </w:tcPr>
          <w:p w14:paraId="1FBDFCEB" w14:textId="562BB095"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569C830F" w14:textId="65222802"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4D5CBF6C" w14:textId="6A65B36F"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7A287E6D" w14:textId="5AA199F1" w:rsidR="00C31920" w:rsidRPr="00EC21FB" w:rsidRDefault="00C31920" w:rsidP="00EC21FB">
            <w:pPr>
              <w:jc w:val="right"/>
              <w:rPr>
                <w:color w:val="000000"/>
                <w:sz w:val="18"/>
                <w:szCs w:val="18"/>
              </w:rPr>
            </w:pPr>
            <w:r w:rsidRPr="00EC21FB">
              <w:rPr>
                <w:color w:val="000000"/>
                <w:sz w:val="18"/>
                <w:szCs w:val="18"/>
              </w:rPr>
              <w:t>5</w:t>
            </w:r>
          </w:p>
        </w:tc>
      </w:tr>
      <w:tr w:rsidR="00C31920" w:rsidRPr="004F689E" w14:paraId="7CBD22B6" w14:textId="77777777" w:rsidTr="00D12150">
        <w:sdt>
          <w:sdtPr>
            <w:rPr>
              <w:color w:val="000000"/>
              <w:sz w:val="18"/>
              <w:szCs w:val="18"/>
            </w:rPr>
            <w:tag w:val="MENDELEY_CITATION_v3_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"/>
            <w:id w:val="-1846235638"/>
            <w:placeholder>
              <w:docPart w:val="C2E9AA455AC1484A9C9175DD1BB270A0"/>
            </w:placeholder>
          </w:sdtPr>
          <w:sdtContent>
            <w:tc>
              <w:tcPr>
                <w:tcW w:w="2335" w:type="dxa"/>
              </w:tcPr>
              <w:p w14:paraId="21EBC615" w14:textId="7D32ED02" w:rsidR="00C31920" w:rsidRPr="00EC21FB" w:rsidRDefault="00E807B5" w:rsidP="00EC21FB">
                <w:pPr>
                  <w:rPr>
                    <w:sz w:val="18"/>
                    <w:szCs w:val="18"/>
                  </w:rPr>
                </w:pPr>
                <w:r w:rsidRPr="00E807B5">
                  <w:rPr>
                    <w:rFonts w:eastAsia="Times New Roman"/>
                    <w:color w:val="000000"/>
                    <w:sz w:val="18"/>
                  </w:rPr>
                  <w:t>(Ket et al., 2011)</w:t>
                </w:r>
              </w:p>
            </w:tc>
          </w:sdtContent>
        </w:sdt>
        <w:tc>
          <w:tcPr>
            <w:tcW w:w="1260" w:type="dxa"/>
          </w:tcPr>
          <w:p w14:paraId="6D1AD198" w14:textId="2826B4F7" w:rsidR="00C31920" w:rsidRPr="00EC21FB" w:rsidRDefault="00C31920" w:rsidP="00EC21FB">
            <w:pPr>
              <w:rPr>
                <w:color w:val="000000"/>
                <w:sz w:val="18"/>
                <w:szCs w:val="18"/>
              </w:rPr>
            </w:pPr>
            <w:proofErr w:type="spellStart"/>
            <w:r w:rsidRPr="00EC21FB">
              <w:rPr>
                <w:color w:val="000000"/>
                <w:sz w:val="18"/>
                <w:szCs w:val="18"/>
              </w:rPr>
              <w:t>altamaha</w:t>
            </w:r>
            <w:proofErr w:type="spellEnd"/>
          </w:p>
        </w:tc>
        <w:tc>
          <w:tcPr>
            <w:tcW w:w="810" w:type="dxa"/>
            <w:vAlign w:val="bottom"/>
          </w:tcPr>
          <w:p w14:paraId="38E79660" w14:textId="6FF93DAC" w:rsidR="00C31920" w:rsidRPr="00EC21FB" w:rsidRDefault="00C31920" w:rsidP="00EC21FB">
            <w:pPr>
              <w:jc w:val="right"/>
              <w:rPr>
                <w:color w:val="000000"/>
                <w:sz w:val="18"/>
                <w:szCs w:val="18"/>
              </w:rPr>
            </w:pPr>
            <w:r w:rsidRPr="00EC21FB">
              <w:rPr>
                <w:color w:val="000000"/>
                <w:sz w:val="18"/>
                <w:szCs w:val="18"/>
              </w:rPr>
              <w:t>31.33</w:t>
            </w:r>
          </w:p>
        </w:tc>
        <w:tc>
          <w:tcPr>
            <w:tcW w:w="1080" w:type="dxa"/>
            <w:vAlign w:val="bottom"/>
          </w:tcPr>
          <w:p w14:paraId="2780B8C5" w14:textId="47BFD670" w:rsidR="00C31920" w:rsidRPr="00EC21FB" w:rsidRDefault="00C31920" w:rsidP="00EC21FB">
            <w:pPr>
              <w:jc w:val="right"/>
              <w:rPr>
                <w:color w:val="000000"/>
                <w:sz w:val="18"/>
                <w:szCs w:val="18"/>
              </w:rPr>
            </w:pPr>
            <w:r w:rsidRPr="00EC21FB">
              <w:rPr>
                <w:color w:val="000000"/>
                <w:sz w:val="18"/>
                <w:szCs w:val="18"/>
              </w:rPr>
              <w:t>-81.47</w:t>
            </w:r>
          </w:p>
        </w:tc>
        <w:tc>
          <w:tcPr>
            <w:tcW w:w="990" w:type="dxa"/>
          </w:tcPr>
          <w:p w14:paraId="5A7EF4F0" w14:textId="48960AC9" w:rsidR="00C31920" w:rsidRPr="00B7167A" w:rsidRDefault="00B7167A" w:rsidP="00EC21FB">
            <w:pPr>
              <w:jc w:val="right"/>
              <w:rPr>
                <w:color w:val="000000"/>
                <w:sz w:val="18"/>
                <w:szCs w:val="18"/>
              </w:rPr>
            </w:pPr>
            <w:r w:rsidRPr="00B7167A">
              <w:rPr>
                <w:color w:val="000000"/>
                <w:sz w:val="18"/>
                <w:szCs w:val="18"/>
              </w:rPr>
              <w:t>6</w:t>
            </w:r>
          </w:p>
        </w:tc>
        <w:tc>
          <w:tcPr>
            <w:tcW w:w="630" w:type="dxa"/>
          </w:tcPr>
          <w:p w14:paraId="103D1385" w14:textId="710144C0" w:rsidR="00C31920" w:rsidRPr="00B7167A" w:rsidRDefault="00B7167A" w:rsidP="00EC21FB">
            <w:pPr>
              <w:jc w:val="right"/>
              <w:rPr>
                <w:color w:val="000000"/>
                <w:sz w:val="18"/>
                <w:szCs w:val="18"/>
              </w:rPr>
            </w:pPr>
            <w:r w:rsidRPr="00B7167A">
              <w:rPr>
                <w:color w:val="000000"/>
                <w:sz w:val="18"/>
                <w:szCs w:val="18"/>
              </w:rPr>
              <w:t>19.6</w:t>
            </w:r>
          </w:p>
        </w:tc>
        <w:tc>
          <w:tcPr>
            <w:tcW w:w="630" w:type="dxa"/>
          </w:tcPr>
          <w:p w14:paraId="12228067" w14:textId="7EC0974C" w:rsidR="00C31920" w:rsidRPr="00B7167A" w:rsidRDefault="00B7167A" w:rsidP="00EC21FB">
            <w:pPr>
              <w:jc w:val="right"/>
              <w:rPr>
                <w:color w:val="000000"/>
                <w:sz w:val="18"/>
                <w:szCs w:val="18"/>
              </w:rPr>
            </w:pPr>
            <w:r w:rsidRPr="00B7167A">
              <w:rPr>
                <w:color w:val="000000"/>
                <w:sz w:val="18"/>
                <w:szCs w:val="18"/>
              </w:rPr>
              <w:t>0.85</w:t>
            </w:r>
          </w:p>
        </w:tc>
        <w:tc>
          <w:tcPr>
            <w:tcW w:w="630" w:type="dxa"/>
          </w:tcPr>
          <w:p w14:paraId="50A4B3E7" w14:textId="55ABE41C" w:rsidR="00B7167A" w:rsidRPr="00C15C33" w:rsidRDefault="00B7167A" w:rsidP="00B7167A">
            <w:pPr>
              <w:jc w:val="right"/>
              <w:rPr>
                <w:color w:val="000000"/>
                <w:sz w:val="18"/>
                <w:szCs w:val="18"/>
              </w:rPr>
            </w:pPr>
            <w:r>
              <w:rPr>
                <w:color w:val="000000"/>
                <w:sz w:val="18"/>
                <w:szCs w:val="18"/>
              </w:rPr>
              <w:t>795</w:t>
            </w:r>
          </w:p>
        </w:tc>
        <w:tc>
          <w:tcPr>
            <w:tcW w:w="1080" w:type="dxa"/>
            <w:vAlign w:val="bottom"/>
          </w:tcPr>
          <w:p w14:paraId="59967F81" w14:textId="049B8C9E"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7DA668DA" w14:textId="5E6E499C"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74117019" w14:textId="480AD910" w:rsidR="00C31920" w:rsidRPr="00EC21FB" w:rsidRDefault="00C31920" w:rsidP="00EC21FB">
            <w:pPr>
              <w:jc w:val="right"/>
              <w:rPr>
                <w:color w:val="000000"/>
                <w:sz w:val="18"/>
                <w:szCs w:val="18"/>
              </w:rPr>
            </w:pPr>
            <w:r w:rsidRPr="00EC21FB">
              <w:rPr>
                <w:color w:val="000000"/>
                <w:sz w:val="18"/>
                <w:szCs w:val="18"/>
              </w:rPr>
              <w:t>50</w:t>
            </w:r>
          </w:p>
        </w:tc>
        <w:tc>
          <w:tcPr>
            <w:tcW w:w="1170" w:type="dxa"/>
          </w:tcPr>
          <w:p w14:paraId="5C06677E" w14:textId="63360A29" w:rsidR="00C31920" w:rsidRPr="00EC21FB" w:rsidRDefault="00C31920" w:rsidP="00EC21FB">
            <w:pPr>
              <w:jc w:val="right"/>
              <w:rPr>
                <w:color w:val="000000"/>
                <w:sz w:val="18"/>
                <w:szCs w:val="18"/>
              </w:rPr>
            </w:pPr>
            <w:r w:rsidRPr="00EC21FB">
              <w:rPr>
                <w:color w:val="000000"/>
                <w:sz w:val="18"/>
                <w:szCs w:val="18"/>
              </w:rPr>
              <w:t>10</w:t>
            </w:r>
          </w:p>
        </w:tc>
      </w:tr>
      <w:tr w:rsidR="00C31920" w:rsidRPr="004F689E" w14:paraId="58761833" w14:textId="77777777" w:rsidTr="00D12150">
        <w:sdt>
          <w:sdtPr>
            <w:rPr>
              <w:color w:val="000000"/>
              <w:sz w:val="18"/>
              <w:szCs w:val="18"/>
            </w:rPr>
            <w:tag w:val="MENDELEY_CITATION_v3_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"/>
            <w:id w:val="-1167330771"/>
            <w:placeholder>
              <w:docPart w:val="386CF127FFCEDD4F9732338CD9D963C0"/>
            </w:placeholder>
          </w:sdtPr>
          <w:sdtContent>
            <w:tc>
              <w:tcPr>
                <w:tcW w:w="2335" w:type="dxa"/>
              </w:tcPr>
              <w:p w14:paraId="7EE9AD6E" w14:textId="3C114745" w:rsidR="00C31920" w:rsidRPr="00EC21FB" w:rsidRDefault="00E807B5" w:rsidP="00EC21FB">
                <w:pPr>
                  <w:rPr>
                    <w:color w:val="000000"/>
                    <w:sz w:val="18"/>
                    <w:szCs w:val="18"/>
                  </w:rPr>
                </w:pPr>
                <w:r w:rsidRPr="00E807B5">
                  <w:rPr>
                    <w:color w:val="000000"/>
                    <w:sz w:val="18"/>
                    <w:szCs w:val="18"/>
                  </w:rPr>
                  <w:t>(Lawrence, 2001)</w:t>
                </w:r>
              </w:p>
            </w:tc>
          </w:sdtContent>
        </w:sdt>
        <w:tc>
          <w:tcPr>
            <w:tcW w:w="1260" w:type="dxa"/>
          </w:tcPr>
          <w:p w14:paraId="65AF44D4" w14:textId="129C7614" w:rsidR="00C31920" w:rsidRPr="00EC21FB" w:rsidRDefault="00C31920" w:rsidP="00EC21FB">
            <w:pPr>
              <w:rPr>
                <w:color w:val="000000"/>
                <w:sz w:val="18"/>
                <w:szCs w:val="18"/>
              </w:rPr>
            </w:pPr>
            <w:proofErr w:type="spellStart"/>
            <w:r w:rsidRPr="00EC21FB">
              <w:rPr>
                <w:color w:val="000000"/>
                <w:sz w:val="18"/>
                <w:szCs w:val="18"/>
              </w:rPr>
              <w:t>kembera</w:t>
            </w:r>
            <w:proofErr w:type="spellEnd"/>
          </w:p>
        </w:tc>
        <w:tc>
          <w:tcPr>
            <w:tcW w:w="810" w:type="dxa"/>
            <w:vAlign w:val="bottom"/>
          </w:tcPr>
          <w:p w14:paraId="0FF05A33" w14:textId="176AA5B9" w:rsidR="00C31920" w:rsidRPr="00EC21FB" w:rsidRDefault="00C31920" w:rsidP="00EC21FB">
            <w:pPr>
              <w:jc w:val="right"/>
              <w:rPr>
                <w:color w:val="000000"/>
                <w:sz w:val="18"/>
                <w:szCs w:val="18"/>
              </w:rPr>
            </w:pPr>
            <w:r w:rsidRPr="00EC21FB">
              <w:rPr>
                <w:color w:val="000000"/>
                <w:sz w:val="18"/>
                <w:szCs w:val="18"/>
              </w:rPr>
              <w:t>0.12</w:t>
            </w:r>
          </w:p>
        </w:tc>
        <w:tc>
          <w:tcPr>
            <w:tcW w:w="1080" w:type="dxa"/>
            <w:vAlign w:val="bottom"/>
          </w:tcPr>
          <w:p w14:paraId="12C1208F" w14:textId="7164767B" w:rsidR="00C31920" w:rsidRPr="00EC21FB" w:rsidRDefault="00C31920" w:rsidP="00EC21FB">
            <w:pPr>
              <w:jc w:val="right"/>
              <w:rPr>
                <w:color w:val="000000"/>
                <w:sz w:val="18"/>
                <w:szCs w:val="18"/>
              </w:rPr>
            </w:pPr>
            <w:r w:rsidRPr="00EC21FB">
              <w:rPr>
                <w:color w:val="000000"/>
                <w:sz w:val="18"/>
                <w:szCs w:val="18"/>
              </w:rPr>
              <w:t>110.5</w:t>
            </w:r>
          </w:p>
        </w:tc>
        <w:tc>
          <w:tcPr>
            <w:tcW w:w="990" w:type="dxa"/>
          </w:tcPr>
          <w:p w14:paraId="0FD21182" w14:textId="7BA4B549" w:rsidR="00C31920" w:rsidRPr="00C15C33" w:rsidRDefault="00B7167A" w:rsidP="00EC21FB">
            <w:pPr>
              <w:jc w:val="right"/>
              <w:rPr>
                <w:color w:val="000000"/>
                <w:sz w:val="18"/>
                <w:szCs w:val="18"/>
              </w:rPr>
            </w:pPr>
            <w:r>
              <w:rPr>
                <w:color w:val="000000"/>
                <w:sz w:val="18"/>
                <w:szCs w:val="18"/>
              </w:rPr>
              <w:t>133</w:t>
            </w:r>
          </w:p>
        </w:tc>
        <w:tc>
          <w:tcPr>
            <w:tcW w:w="630" w:type="dxa"/>
            <w:vAlign w:val="bottom"/>
          </w:tcPr>
          <w:p w14:paraId="160AD31C" w14:textId="5C7E0E03" w:rsidR="00C31920" w:rsidRPr="00C15C33" w:rsidRDefault="00B7167A" w:rsidP="00EC21FB">
            <w:pPr>
              <w:jc w:val="right"/>
              <w:rPr>
                <w:color w:val="000000"/>
                <w:sz w:val="18"/>
                <w:szCs w:val="18"/>
              </w:rPr>
            </w:pPr>
            <w:r>
              <w:rPr>
                <w:color w:val="000000"/>
                <w:sz w:val="18"/>
                <w:szCs w:val="18"/>
              </w:rPr>
              <w:t>26.4</w:t>
            </w:r>
          </w:p>
        </w:tc>
        <w:tc>
          <w:tcPr>
            <w:tcW w:w="630" w:type="dxa"/>
            <w:vAlign w:val="bottom"/>
          </w:tcPr>
          <w:p w14:paraId="3851A5C0" w14:textId="72926CDD" w:rsidR="00C31920" w:rsidRPr="00C15C33" w:rsidRDefault="00B7167A" w:rsidP="00EC21FB">
            <w:pPr>
              <w:jc w:val="right"/>
              <w:rPr>
                <w:color w:val="000000"/>
                <w:sz w:val="18"/>
                <w:szCs w:val="18"/>
              </w:rPr>
            </w:pPr>
            <w:r>
              <w:rPr>
                <w:color w:val="000000"/>
                <w:sz w:val="18"/>
                <w:szCs w:val="18"/>
              </w:rPr>
              <w:t>2.15</w:t>
            </w:r>
          </w:p>
        </w:tc>
        <w:tc>
          <w:tcPr>
            <w:tcW w:w="630" w:type="dxa"/>
          </w:tcPr>
          <w:p w14:paraId="2F5082A7" w14:textId="7F99673C" w:rsidR="00C31920" w:rsidRPr="00C15C33" w:rsidRDefault="00B7167A" w:rsidP="00EC21FB">
            <w:pPr>
              <w:jc w:val="right"/>
              <w:rPr>
                <w:color w:val="000000"/>
                <w:sz w:val="18"/>
                <w:szCs w:val="18"/>
              </w:rPr>
            </w:pPr>
            <w:r>
              <w:rPr>
                <w:color w:val="000000"/>
                <w:sz w:val="18"/>
                <w:szCs w:val="18"/>
              </w:rPr>
              <w:t>773</w:t>
            </w:r>
          </w:p>
        </w:tc>
        <w:tc>
          <w:tcPr>
            <w:tcW w:w="1080" w:type="dxa"/>
            <w:vAlign w:val="bottom"/>
          </w:tcPr>
          <w:p w14:paraId="3EB11A95" w14:textId="2B30AE72" w:rsidR="00C31920" w:rsidRPr="00EC21FB" w:rsidRDefault="00C31920" w:rsidP="00EC21FB">
            <w:pPr>
              <w:jc w:val="right"/>
              <w:rPr>
                <w:color w:val="000000"/>
                <w:sz w:val="18"/>
                <w:szCs w:val="18"/>
              </w:rPr>
            </w:pPr>
            <w:r w:rsidRPr="00EC21FB">
              <w:rPr>
                <w:color w:val="000000"/>
                <w:sz w:val="18"/>
                <w:szCs w:val="18"/>
              </w:rPr>
              <w:t>forest</w:t>
            </w:r>
          </w:p>
        </w:tc>
        <w:tc>
          <w:tcPr>
            <w:tcW w:w="1170" w:type="dxa"/>
            <w:vAlign w:val="bottom"/>
          </w:tcPr>
          <w:p w14:paraId="2B559EC5" w14:textId="05A1264E"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0EB8C0D7" w14:textId="12473E7A" w:rsidR="00C31920" w:rsidRPr="00EC21FB" w:rsidRDefault="00C31920" w:rsidP="00EC21FB">
            <w:pPr>
              <w:jc w:val="right"/>
              <w:rPr>
                <w:color w:val="000000"/>
                <w:sz w:val="18"/>
                <w:szCs w:val="18"/>
              </w:rPr>
            </w:pPr>
            <w:r w:rsidRPr="00EC21FB">
              <w:rPr>
                <w:color w:val="000000"/>
                <w:sz w:val="18"/>
                <w:szCs w:val="18"/>
              </w:rPr>
              <w:t>54</w:t>
            </w:r>
          </w:p>
        </w:tc>
        <w:tc>
          <w:tcPr>
            <w:tcW w:w="1170" w:type="dxa"/>
          </w:tcPr>
          <w:p w14:paraId="60CAA057" w14:textId="52349461" w:rsidR="00C31920" w:rsidRPr="00EC21FB" w:rsidRDefault="00C31920" w:rsidP="00EC21FB">
            <w:pPr>
              <w:jc w:val="right"/>
              <w:rPr>
                <w:color w:val="000000"/>
                <w:sz w:val="18"/>
                <w:szCs w:val="18"/>
              </w:rPr>
            </w:pPr>
            <w:r w:rsidRPr="00EC21FB">
              <w:rPr>
                <w:color w:val="000000"/>
                <w:sz w:val="18"/>
                <w:szCs w:val="18"/>
              </w:rPr>
              <w:t>60</w:t>
            </w:r>
          </w:p>
        </w:tc>
      </w:tr>
      <w:tr w:rsidR="00C31920" w:rsidRPr="00877723" w14:paraId="434662DA" w14:textId="77777777" w:rsidTr="00D12150">
        <w:sdt>
          <w:sdtPr>
            <w:rPr>
              <w:color w:val="000000"/>
              <w:sz w:val="18"/>
              <w:szCs w:val="18"/>
            </w:rPr>
            <w:tag w:val="MENDELEY_CITATION_v3_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"/>
            <w:id w:val="-345250185"/>
            <w:placeholder>
              <w:docPart w:val="1F95A04D20B50047A246E13CD6D7CBD6"/>
            </w:placeholder>
          </w:sdtPr>
          <w:sdtContent>
            <w:tc>
              <w:tcPr>
                <w:tcW w:w="2335" w:type="dxa"/>
              </w:tcPr>
              <w:p w14:paraId="458B3A43" w14:textId="4A2833C9" w:rsidR="00C31920" w:rsidRPr="00EC21FB" w:rsidRDefault="00E807B5" w:rsidP="00EC21FB">
                <w:pPr>
                  <w:rPr>
                    <w:sz w:val="18"/>
                    <w:szCs w:val="18"/>
                  </w:rPr>
                </w:pPr>
                <w:r w:rsidRPr="00E807B5">
                  <w:rPr>
                    <w:rFonts w:eastAsia="Times New Roman"/>
                    <w:color w:val="000000"/>
                    <w:sz w:val="18"/>
                  </w:rPr>
                  <w:t>(L. J. Li et al., 2011)</w:t>
                </w:r>
              </w:p>
            </w:tc>
          </w:sdtContent>
        </w:sdt>
        <w:tc>
          <w:tcPr>
            <w:tcW w:w="1260" w:type="dxa"/>
          </w:tcPr>
          <w:p w14:paraId="0946FF19" w14:textId="241A1B23" w:rsidR="00C31920" w:rsidRPr="00EC21FB" w:rsidRDefault="00C31920" w:rsidP="00EC21FB">
            <w:pPr>
              <w:rPr>
                <w:color w:val="000000"/>
                <w:sz w:val="18"/>
                <w:szCs w:val="18"/>
              </w:rPr>
            </w:pPr>
            <w:proofErr w:type="spellStart"/>
            <w:r w:rsidRPr="00EC21FB">
              <w:rPr>
                <w:color w:val="000000"/>
                <w:sz w:val="18"/>
                <w:szCs w:val="18"/>
              </w:rPr>
              <w:t>daqinggou</w:t>
            </w:r>
            <w:proofErr w:type="spellEnd"/>
          </w:p>
        </w:tc>
        <w:tc>
          <w:tcPr>
            <w:tcW w:w="810" w:type="dxa"/>
            <w:vAlign w:val="bottom"/>
          </w:tcPr>
          <w:p w14:paraId="03B524FF" w14:textId="188FD593" w:rsidR="00C31920" w:rsidRPr="00EC21FB" w:rsidRDefault="00C31920" w:rsidP="00EC21FB">
            <w:pPr>
              <w:jc w:val="right"/>
              <w:rPr>
                <w:color w:val="000000"/>
                <w:sz w:val="18"/>
                <w:szCs w:val="18"/>
              </w:rPr>
            </w:pPr>
            <w:r w:rsidRPr="00EC21FB">
              <w:rPr>
                <w:color w:val="000000"/>
                <w:sz w:val="18"/>
                <w:szCs w:val="18"/>
              </w:rPr>
              <w:t>42.97</w:t>
            </w:r>
          </w:p>
        </w:tc>
        <w:tc>
          <w:tcPr>
            <w:tcW w:w="1080" w:type="dxa"/>
            <w:vAlign w:val="bottom"/>
          </w:tcPr>
          <w:p w14:paraId="575905FB" w14:textId="6101234B" w:rsidR="00C31920" w:rsidRPr="00EC21FB" w:rsidRDefault="00C31920" w:rsidP="00EC21FB">
            <w:pPr>
              <w:jc w:val="right"/>
              <w:rPr>
                <w:color w:val="000000"/>
                <w:sz w:val="18"/>
                <w:szCs w:val="18"/>
              </w:rPr>
            </w:pPr>
            <w:r w:rsidRPr="00EC21FB">
              <w:rPr>
                <w:color w:val="000000"/>
                <w:sz w:val="18"/>
                <w:szCs w:val="18"/>
              </w:rPr>
              <w:t>122.35</w:t>
            </w:r>
          </w:p>
        </w:tc>
        <w:tc>
          <w:tcPr>
            <w:tcW w:w="990" w:type="dxa"/>
          </w:tcPr>
          <w:p w14:paraId="719E323A" w14:textId="688DACD7" w:rsidR="00C31920" w:rsidRPr="00C15C33" w:rsidRDefault="00B7167A" w:rsidP="00EC21FB">
            <w:pPr>
              <w:jc w:val="right"/>
              <w:rPr>
                <w:color w:val="000000"/>
                <w:sz w:val="18"/>
                <w:szCs w:val="18"/>
              </w:rPr>
            </w:pPr>
            <w:r>
              <w:rPr>
                <w:color w:val="000000"/>
                <w:sz w:val="18"/>
                <w:szCs w:val="18"/>
              </w:rPr>
              <w:t>249</w:t>
            </w:r>
          </w:p>
        </w:tc>
        <w:tc>
          <w:tcPr>
            <w:tcW w:w="630" w:type="dxa"/>
          </w:tcPr>
          <w:p w14:paraId="0D4742A2" w14:textId="5FC367A6" w:rsidR="00C31920" w:rsidRPr="00C15C33" w:rsidRDefault="00B7167A" w:rsidP="00EC21FB">
            <w:pPr>
              <w:jc w:val="right"/>
              <w:rPr>
                <w:color w:val="000000"/>
                <w:sz w:val="18"/>
                <w:szCs w:val="18"/>
              </w:rPr>
            </w:pPr>
            <w:r>
              <w:rPr>
                <w:color w:val="000000"/>
                <w:sz w:val="18"/>
                <w:szCs w:val="18"/>
              </w:rPr>
              <w:t>16.8</w:t>
            </w:r>
          </w:p>
        </w:tc>
        <w:tc>
          <w:tcPr>
            <w:tcW w:w="630" w:type="dxa"/>
          </w:tcPr>
          <w:p w14:paraId="01D3E92B" w14:textId="491106AB" w:rsidR="00C31920" w:rsidRPr="00C15C33" w:rsidRDefault="00B7167A" w:rsidP="00EC21FB">
            <w:pPr>
              <w:jc w:val="right"/>
              <w:rPr>
                <w:color w:val="000000"/>
                <w:sz w:val="18"/>
                <w:szCs w:val="18"/>
              </w:rPr>
            </w:pPr>
            <w:r>
              <w:rPr>
                <w:color w:val="000000"/>
                <w:sz w:val="18"/>
                <w:szCs w:val="18"/>
              </w:rPr>
              <w:t>0.41</w:t>
            </w:r>
          </w:p>
        </w:tc>
        <w:tc>
          <w:tcPr>
            <w:tcW w:w="630" w:type="dxa"/>
          </w:tcPr>
          <w:p w14:paraId="39A4BF75" w14:textId="6BEB8C2A" w:rsidR="00C31920" w:rsidRPr="00C15C33" w:rsidRDefault="00B7167A" w:rsidP="00EC21FB">
            <w:pPr>
              <w:jc w:val="right"/>
              <w:rPr>
                <w:color w:val="000000"/>
                <w:sz w:val="18"/>
                <w:szCs w:val="18"/>
              </w:rPr>
            </w:pPr>
            <w:r>
              <w:rPr>
                <w:color w:val="000000"/>
                <w:sz w:val="18"/>
                <w:szCs w:val="18"/>
              </w:rPr>
              <w:t>912</w:t>
            </w:r>
          </w:p>
        </w:tc>
        <w:tc>
          <w:tcPr>
            <w:tcW w:w="1080" w:type="dxa"/>
            <w:vAlign w:val="bottom"/>
          </w:tcPr>
          <w:p w14:paraId="0051C520" w14:textId="462D20B5"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5C040A08" w14:textId="4C4CA6EE"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2201B199" w14:textId="33ACD6DF" w:rsidR="00C31920" w:rsidRPr="00EC21FB" w:rsidRDefault="00C31920" w:rsidP="00EC21FB">
            <w:pPr>
              <w:jc w:val="right"/>
              <w:rPr>
                <w:color w:val="000000"/>
                <w:sz w:val="18"/>
                <w:szCs w:val="18"/>
              </w:rPr>
            </w:pPr>
            <w:r w:rsidRPr="00EC21FB">
              <w:rPr>
                <w:color w:val="000000"/>
                <w:sz w:val="18"/>
                <w:szCs w:val="18"/>
              </w:rPr>
              <w:t>20</w:t>
            </w:r>
          </w:p>
        </w:tc>
        <w:tc>
          <w:tcPr>
            <w:tcW w:w="1170" w:type="dxa"/>
          </w:tcPr>
          <w:p w14:paraId="3606F088" w14:textId="08BBFDC2" w:rsidR="00C31920" w:rsidRPr="00EC21FB" w:rsidRDefault="00C31920" w:rsidP="00EC21FB">
            <w:pPr>
              <w:jc w:val="right"/>
              <w:rPr>
                <w:color w:val="000000"/>
                <w:sz w:val="18"/>
                <w:szCs w:val="18"/>
              </w:rPr>
            </w:pPr>
            <w:r w:rsidRPr="00EC21FB">
              <w:rPr>
                <w:color w:val="000000"/>
                <w:sz w:val="18"/>
                <w:szCs w:val="18"/>
              </w:rPr>
              <w:t>10</w:t>
            </w:r>
          </w:p>
        </w:tc>
      </w:tr>
      <w:tr w:rsidR="00C31920" w:rsidRPr="00D81D83" w14:paraId="49441300" w14:textId="77777777" w:rsidTr="00D12150">
        <w:sdt>
          <w:sdtPr>
            <w:rPr>
              <w:color w:val="000000"/>
              <w:sz w:val="18"/>
              <w:szCs w:val="18"/>
            </w:rPr>
            <w:tag w:val="MENDELEY_CITATION_v3_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"/>
            <w:id w:val="626135041"/>
            <w:placeholder>
              <w:docPart w:val="18DA27012DD2E147B6C62026908EF6D7"/>
            </w:placeholder>
          </w:sdtPr>
          <w:sdtContent>
            <w:tc>
              <w:tcPr>
                <w:tcW w:w="2335" w:type="dxa"/>
              </w:tcPr>
              <w:p w14:paraId="7E4B300A" w14:textId="681BA1D8" w:rsidR="00C31920" w:rsidRPr="00EC21FB" w:rsidRDefault="00E807B5" w:rsidP="00EC21FB">
                <w:pPr>
                  <w:rPr>
                    <w:sz w:val="18"/>
                    <w:szCs w:val="18"/>
                  </w:rPr>
                </w:pPr>
                <w:r w:rsidRPr="00E807B5">
                  <w:rPr>
                    <w:rFonts w:eastAsia="Times New Roman"/>
                    <w:color w:val="000000"/>
                    <w:sz w:val="18"/>
                  </w:rPr>
                  <w:t>(J. H. Li et al., 2014)</w:t>
                </w:r>
              </w:p>
            </w:tc>
          </w:sdtContent>
        </w:sdt>
        <w:tc>
          <w:tcPr>
            <w:tcW w:w="1260" w:type="dxa"/>
          </w:tcPr>
          <w:p w14:paraId="257EF096" w14:textId="7D65007B" w:rsidR="00C31920" w:rsidRPr="00EC21FB" w:rsidRDefault="00C31920" w:rsidP="00EC21FB">
            <w:pPr>
              <w:rPr>
                <w:color w:val="000000"/>
                <w:sz w:val="18"/>
                <w:szCs w:val="18"/>
              </w:rPr>
            </w:pPr>
            <w:proofErr w:type="spellStart"/>
            <w:r w:rsidRPr="00EC21FB">
              <w:rPr>
                <w:color w:val="000000"/>
                <w:sz w:val="18"/>
                <w:szCs w:val="18"/>
              </w:rPr>
              <w:t>amwelu</w:t>
            </w:r>
            <w:proofErr w:type="spellEnd"/>
          </w:p>
        </w:tc>
        <w:tc>
          <w:tcPr>
            <w:tcW w:w="810" w:type="dxa"/>
            <w:vAlign w:val="bottom"/>
          </w:tcPr>
          <w:p w14:paraId="11E07533" w14:textId="26D05CE8" w:rsidR="00C31920" w:rsidRPr="00EC21FB" w:rsidRDefault="00C31920" w:rsidP="00EC21FB">
            <w:pPr>
              <w:jc w:val="right"/>
              <w:rPr>
                <w:color w:val="000000"/>
                <w:sz w:val="18"/>
                <w:szCs w:val="18"/>
              </w:rPr>
            </w:pPr>
            <w:r w:rsidRPr="00EC21FB">
              <w:rPr>
                <w:color w:val="000000"/>
                <w:sz w:val="18"/>
                <w:szCs w:val="18"/>
              </w:rPr>
              <w:t>34.92</w:t>
            </w:r>
          </w:p>
        </w:tc>
        <w:tc>
          <w:tcPr>
            <w:tcW w:w="1080" w:type="dxa"/>
            <w:vAlign w:val="bottom"/>
          </w:tcPr>
          <w:p w14:paraId="6AFCDCAC" w14:textId="2288EB40" w:rsidR="00C31920" w:rsidRPr="00EC21FB" w:rsidRDefault="00C31920" w:rsidP="00EC21FB">
            <w:pPr>
              <w:jc w:val="right"/>
              <w:rPr>
                <w:color w:val="000000"/>
                <w:sz w:val="18"/>
                <w:szCs w:val="18"/>
              </w:rPr>
            </w:pPr>
            <w:r w:rsidRPr="00EC21FB">
              <w:rPr>
                <w:color w:val="000000"/>
                <w:sz w:val="18"/>
                <w:szCs w:val="18"/>
              </w:rPr>
              <w:t>102.88</w:t>
            </w:r>
          </w:p>
        </w:tc>
        <w:tc>
          <w:tcPr>
            <w:tcW w:w="990" w:type="dxa"/>
          </w:tcPr>
          <w:p w14:paraId="77CE24A4" w14:textId="199185AC" w:rsidR="00C31920" w:rsidRPr="00C15C33" w:rsidRDefault="00B7167A" w:rsidP="00EC21FB">
            <w:pPr>
              <w:jc w:val="right"/>
              <w:rPr>
                <w:color w:val="000000"/>
                <w:sz w:val="18"/>
                <w:szCs w:val="18"/>
              </w:rPr>
            </w:pPr>
            <w:r>
              <w:rPr>
                <w:color w:val="000000"/>
                <w:sz w:val="18"/>
                <w:szCs w:val="18"/>
              </w:rPr>
              <w:t>3213</w:t>
            </w:r>
          </w:p>
        </w:tc>
        <w:tc>
          <w:tcPr>
            <w:tcW w:w="630" w:type="dxa"/>
            <w:vAlign w:val="bottom"/>
          </w:tcPr>
          <w:p w14:paraId="01AAA6B4" w14:textId="16035D49" w:rsidR="00C31920" w:rsidRPr="00C15C33" w:rsidRDefault="00B7167A" w:rsidP="00EC21FB">
            <w:pPr>
              <w:jc w:val="right"/>
              <w:rPr>
                <w:color w:val="000000"/>
                <w:sz w:val="18"/>
                <w:szCs w:val="18"/>
              </w:rPr>
            </w:pPr>
            <w:r>
              <w:rPr>
                <w:color w:val="000000"/>
                <w:sz w:val="18"/>
                <w:szCs w:val="18"/>
              </w:rPr>
              <w:t>7.5</w:t>
            </w:r>
          </w:p>
        </w:tc>
        <w:tc>
          <w:tcPr>
            <w:tcW w:w="630" w:type="dxa"/>
            <w:vAlign w:val="bottom"/>
          </w:tcPr>
          <w:p w14:paraId="0AC9F061" w14:textId="332958AD" w:rsidR="00C31920" w:rsidRPr="00C15C33" w:rsidRDefault="00B7167A" w:rsidP="00EC21FB">
            <w:pPr>
              <w:jc w:val="right"/>
              <w:rPr>
                <w:color w:val="000000"/>
                <w:sz w:val="18"/>
                <w:szCs w:val="18"/>
              </w:rPr>
            </w:pPr>
            <w:r>
              <w:rPr>
                <w:color w:val="000000"/>
                <w:sz w:val="18"/>
                <w:szCs w:val="18"/>
              </w:rPr>
              <w:t>0.76</w:t>
            </w:r>
          </w:p>
        </w:tc>
        <w:tc>
          <w:tcPr>
            <w:tcW w:w="630" w:type="dxa"/>
          </w:tcPr>
          <w:p w14:paraId="00177A6F" w14:textId="5A4378A4" w:rsidR="00C31920" w:rsidRPr="00C15C33" w:rsidRDefault="00B7167A" w:rsidP="00EC21FB">
            <w:pPr>
              <w:jc w:val="right"/>
              <w:rPr>
                <w:color w:val="000000"/>
                <w:sz w:val="18"/>
                <w:szCs w:val="18"/>
              </w:rPr>
            </w:pPr>
            <w:r>
              <w:rPr>
                <w:color w:val="000000"/>
                <w:sz w:val="18"/>
                <w:szCs w:val="18"/>
              </w:rPr>
              <w:t>822</w:t>
            </w:r>
          </w:p>
        </w:tc>
        <w:tc>
          <w:tcPr>
            <w:tcW w:w="1080" w:type="dxa"/>
            <w:vAlign w:val="bottom"/>
          </w:tcPr>
          <w:p w14:paraId="1FC0997B" w14:textId="2F02BFAA"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3ACCD1DD" w14:textId="177F9B7A"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5E9BE51F" w14:textId="157C4C13"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1DB1CE4D" w14:textId="5C7F2395" w:rsidR="00C31920" w:rsidRPr="00EC21FB" w:rsidRDefault="00C31920" w:rsidP="00EC21FB">
            <w:pPr>
              <w:jc w:val="right"/>
              <w:rPr>
                <w:color w:val="000000"/>
                <w:sz w:val="18"/>
                <w:szCs w:val="18"/>
              </w:rPr>
            </w:pPr>
            <w:r w:rsidRPr="00EC21FB">
              <w:rPr>
                <w:color w:val="000000"/>
                <w:sz w:val="18"/>
                <w:szCs w:val="18"/>
              </w:rPr>
              <w:t>10</w:t>
            </w:r>
          </w:p>
        </w:tc>
      </w:tr>
      <w:tr w:rsidR="00C31920" w:rsidRPr="00D81D83" w14:paraId="674D3B3F" w14:textId="77777777" w:rsidTr="00D12150">
        <w:sdt>
          <w:sdtPr>
            <w:rPr>
              <w:color w:val="000000"/>
              <w:sz w:val="18"/>
              <w:szCs w:val="18"/>
            </w:rPr>
            <w:tag w:val="MENDELEY_CITATION_v3_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"/>
            <w:id w:val="-1684434824"/>
            <w:placeholder>
              <w:docPart w:val="A06EF2DBC838E94D80A749ECB826DF93"/>
            </w:placeholder>
          </w:sdtPr>
          <w:sdtContent>
            <w:tc>
              <w:tcPr>
                <w:tcW w:w="2335" w:type="dxa"/>
              </w:tcPr>
              <w:p w14:paraId="5399B539" w14:textId="11200D29" w:rsidR="00C31920" w:rsidRPr="00EC21FB" w:rsidRDefault="00E807B5" w:rsidP="00EC21FB">
                <w:pPr>
                  <w:rPr>
                    <w:color w:val="000000"/>
                    <w:sz w:val="18"/>
                    <w:szCs w:val="18"/>
                  </w:rPr>
                </w:pPr>
                <w:r w:rsidRPr="00E807B5">
                  <w:rPr>
                    <w:rFonts w:eastAsia="Times New Roman"/>
                    <w:color w:val="000000"/>
                    <w:sz w:val="18"/>
                  </w:rPr>
                  <w:t>(Ludwig et al., 2001)</w:t>
                </w:r>
              </w:p>
            </w:tc>
          </w:sdtContent>
        </w:sdt>
        <w:tc>
          <w:tcPr>
            <w:tcW w:w="1260" w:type="dxa"/>
          </w:tcPr>
          <w:p w14:paraId="4ACA3DD3" w14:textId="1FBCADEB" w:rsidR="00C31920" w:rsidRPr="00EC21FB" w:rsidRDefault="00C31920" w:rsidP="00EC21FB">
            <w:pPr>
              <w:rPr>
                <w:color w:val="000000"/>
                <w:sz w:val="18"/>
                <w:szCs w:val="18"/>
              </w:rPr>
            </w:pPr>
            <w:proofErr w:type="spellStart"/>
            <w:r w:rsidRPr="00EC21FB">
              <w:rPr>
                <w:color w:val="000000"/>
                <w:sz w:val="18"/>
                <w:szCs w:val="18"/>
              </w:rPr>
              <w:t>tarangire</w:t>
            </w:r>
            <w:proofErr w:type="spellEnd"/>
          </w:p>
        </w:tc>
        <w:tc>
          <w:tcPr>
            <w:tcW w:w="810" w:type="dxa"/>
            <w:vAlign w:val="bottom"/>
          </w:tcPr>
          <w:p w14:paraId="4BB293A1" w14:textId="2468C74C" w:rsidR="00C31920" w:rsidRPr="00EC21FB" w:rsidRDefault="00C31920" w:rsidP="00EC21FB">
            <w:pPr>
              <w:jc w:val="right"/>
              <w:rPr>
                <w:color w:val="000000"/>
                <w:sz w:val="18"/>
                <w:szCs w:val="18"/>
              </w:rPr>
            </w:pPr>
            <w:r w:rsidRPr="00EC21FB">
              <w:rPr>
                <w:color w:val="000000"/>
                <w:sz w:val="18"/>
                <w:szCs w:val="18"/>
              </w:rPr>
              <w:t>-3.5</w:t>
            </w:r>
          </w:p>
        </w:tc>
        <w:tc>
          <w:tcPr>
            <w:tcW w:w="1080" w:type="dxa"/>
            <w:vAlign w:val="bottom"/>
          </w:tcPr>
          <w:p w14:paraId="1CD6685F" w14:textId="62B2678E" w:rsidR="00C31920" w:rsidRPr="00EC21FB" w:rsidRDefault="00C31920" w:rsidP="00EC21FB">
            <w:pPr>
              <w:jc w:val="right"/>
              <w:rPr>
                <w:color w:val="000000"/>
                <w:sz w:val="18"/>
                <w:szCs w:val="18"/>
              </w:rPr>
            </w:pPr>
            <w:r w:rsidRPr="00EC21FB">
              <w:rPr>
                <w:color w:val="000000"/>
                <w:sz w:val="18"/>
                <w:szCs w:val="18"/>
              </w:rPr>
              <w:t>36</w:t>
            </w:r>
          </w:p>
        </w:tc>
        <w:tc>
          <w:tcPr>
            <w:tcW w:w="990" w:type="dxa"/>
          </w:tcPr>
          <w:p w14:paraId="266DF3B9" w14:textId="36AFEF85" w:rsidR="00C31920" w:rsidRPr="00C15C33" w:rsidRDefault="00B7167A" w:rsidP="00EC21FB">
            <w:pPr>
              <w:jc w:val="right"/>
              <w:rPr>
                <w:color w:val="000000"/>
                <w:sz w:val="18"/>
                <w:szCs w:val="18"/>
              </w:rPr>
            </w:pPr>
            <w:r>
              <w:rPr>
                <w:color w:val="000000"/>
                <w:sz w:val="18"/>
                <w:szCs w:val="18"/>
              </w:rPr>
              <w:t>1045</w:t>
            </w:r>
          </w:p>
        </w:tc>
        <w:tc>
          <w:tcPr>
            <w:tcW w:w="630" w:type="dxa"/>
            <w:vAlign w:val="bottom"/>
          </w:tcPr>
          <w:p w14:paraId="686ED907" w14:textId="3909B4CD" w:rsidR="00C31920" w:rsidRPr="00C15C33" w:rsidRDefault="00B7167A" w:rsidP="00EC21FB">
            <w:pPr>
              <w:jc w:val="right"/>
              <w:rPr>
                <w:color w:val="000000"/>
                <w:sz w:val="18"/>
                <w:szCs w:val="18"/>
              </w:rPr>
            </w:pPr>
            <w:r>
              <w:rPr>
                <w:color w:val="000000"/>
                <w:sz w:val="18"/>
                <w:szCs w:val="18"/>
              </w:rPr>
              <w:t>22.0</w:t>
            </w:r>
          </w:p>
        </w:tc>
        <w:tc>
          <w:tcPr>
            <w:tcW w:w="630" w:type="dxa"/>
            <w:vAlign w:val="bottom"/>
          </w:tcPr>
          <w:p w14:paraId="7F88DD8C" w14:textId="2B6C4A5A" w:rsidR="00C31920" w:rsidRPr="00C15C33" w:rsidRDefault="00B7167A" w:rsidP="00EC21FB">
            <w:pPr>
              <w:jc w:val="right"/>
              <w:rPr>
                <w:color w:val="000000"/>
                <w:sz w:val="18"/>
                <w:szCs w:val="18"/>
              </w:rPr>
            </w:pPr>
            <w:r>
              <w:rPr>
                <w:color w:val="000000"/>
                <w:sz w:val="18"/>
                <w:szCs w:val="18"/>
              </w:rPr>
              <w:t>0.40</w:t>
            </w:r>
          </w:p>
        </w:tc>
        <w:tc>
          <w:tcPr>
            <w:tcW w:w="630" w:type="dxa"/>
          </w:tcPr>
          <w:p w14:paraId="40A8354D" w14:textId="3D8A1571" w:rsidR="00C31920" w:rsidRPr="00C15C33" w:rsidRDefault="00B7167A" w:rsidP="00EC21FB">
            <w:pPr>
              <w:jc w:val="right"/>
              <w:rPr>
                <w:color w:val="000000"/>
                <w:sz w:val="18"/>
                <w:szCs w:val="18"/>
              </w:rPr>
            </w:pPr>
            <w:r>
              <w:rPr>
                <w:color w:val="000000"/>
                <w:sz w:val="18"/>
                <w:szCs w:val="18"/>
              </w:rPr>
              <w:t>792</w:t>
            </w:r>
          </w:p>
        </w:tc>
        <w:tc>
          <w:tcPr>
            <w:tcW w:w="1080" w:type="dxa"/>
            <w:vAlign w:val="bottom"/>
          </w:tcPr>
          <w:p w14:paraId="1011A4F7" w14:textId="1484EB31"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0FF250FB" w14:textId="4A3F6508"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5E1957F7" w14:textId="7D13C084" w:rsidR="00C31920" w:rsidRPr="00EC21FB" w:rsidRDefault="00C31920" w:rsidP="00EC21FB">
            <w:pPr>
              <w:jc w:val="right"/>
              <w:rPr>
                <w:color w:val="000000"/>
                <w:sz w:val="18"/>
                <w:szCs w:val="18"/>
              </w:rPr>
            </w:pPr>
            <w:r w:rsidRPr="00EC21FB">
              <w:rPr>
                <w:color w:val="000000"/>
                <w:sz w:val="18"/>
                <w:szCs w:val="18"/>
              </w:rPr>
              <w:t>20</w:t>
            </w:r>
          </w:p>
        </w:tc>
        <w:tc>
          <w:tcPr>
            <w:tcW w:w="1170" w:type="dxa"/>
          </w:tcPr>
          <w:p w14:paraId="0D509412" w14:textId="79CD7545" w:rsidR="00C31920" w:rsidRPr="00EC21FB" w:rsidRDefault="00C31920" w:rsidP="00EC21FB">
            <w:pPr>
              <w:jc w:val="right"/>
              <w:rPr>
                <w:color w:val="000000"/>
                <w:sz w:val="18"/>
                <w:szCs w:val="18"/>
              </w:rPr>
            </w:pPr>
            <w:r w:rsidRPr="00EC21FB">
              <w:rPr>
                <w:color w:val="000000"/>
                <w:sz w:val="18"/>
                <w:szCs w:val="18"/>
              </w:rPr>
              <w:t>8</w:t>
            </w:r>
          </w:p>
        </w:tc>
      </w:tr>
      <w:tr w:rsidR="00C31920" w:rsidRPr="00D81D83" w14:paraId="1BCBFCBE" w14:textId="77777777" w:rsidTr="00D12150">
        <w:sdt>
          <w:sdtPr>
            <w:rPr>
              <w:color w:val="000000"/>
              <w:sz w:val="18"/>
              <w:szCs w:val="18"/>
            </w:rPr>
            <w:tag w:val="MENDELEY_CITATION_v3_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"/>
            <w:id w:val="408581977"/>
            <w:placeholder>
              <w:docPart w:val="51EB36AA2244154AAD012BE3332B19F6"/>
            </w:placeholder>
          </w:sdtPr>
          <w:sdtContent>
            <w:tc>
              <w:tcPr>
                <w:tcW w:w="2335" w:type="dxa"/>
              </w:tcPr>
              <w:p w14:paraId="18E6CF62" w14:textId="64056FEB" w:rsidR="00C31920" w:rsidRPr="00EC21FB" w:rsidRDefault="00E807B5" w:rsidP="00EC21FB">
                <w:pPr>
                  <w:rPr>
                    <w:color w:val="000000"/>
                    <w:sz w:val="18"/>
                    <w:szCs w:val="18"/>
                  </w:rPr>
                </w:pPr>
                <w:r w:rsidRPr="00E807B5">
                  <w:rPr>
                    <w:rFonts w:eastAsia="Times New Roman"/>
                    <w:color w:val="000000"/>
                    <w:sz w:val="18"/>
                  </w:rPr>
                  <w:t>(Lund et al., 2009)</w:t>
                </w:r>
              </w:p>
            </w:tc>
          </w:sdtContent>
        </w:sdt>
        <w:tc>
          <w:tcPr>
            <w:tcW w:w="1260" w:type="dxa"/>
          </w:tcPr>
          <w:p w14:paraId="69AEA0DD" w14:textId="4CE3B2B1" w:rsidR="00C31920" w:rsidRPr="00EC21FB" w:rsidRDefault="00C31920" w:rsidP="00EC21FB">
            <w:pPr>
              <w:rPr>
                <w:color w:val="000000"/>
                <w:sz w:val="18"/>
                <w:szCs w:val="18"/>
              </w:rPr>
            </w:pPr>
            <w:proofErr w:type="spellStart"/>
            <w:r w:rsidRPr="00EC21FB">
              <w:rPr>
                <w:color w:val="000000"/>
                <w:sz w:val="18"/>
                <w:szCs w:val="18"/>
              </w:rPr>
              <w:t>fajemyr</w:t>
            </w:r>
            <w:proofErr w:type="spellEnd"/>
          </w:p>
        </w:tc>
        <w:tc>
          <w:tcPr>
            <w:tcW w:w="810" w:type="dxa"/>
            <w:vAlign w:val="bottom"/>
          </w:tcPr>
          <w:p w14:paraId="6B5E3C50" w14:textId="564B05B8" w:rsidR="00C31920" w:rsidRPr="00EC21FB" w:rsidRDefault="00C31920" w:rsidP="00EC21FB">
            <w:pPr>
              <w:jc w:val="right"/>
              <w:rPr>
                <w:color w:val="000000"/>
                <w:sz w:val="18"/>
                <w:szCs w:val="18"/>
              </w:rPr>
            </w:pPr>
            <w:r w:rsidRPr="00EC21FB">
              <w:rPr>
                <w:color w:val="000000"/>
                <w:sz w:val="18"/>
                <w:szCs w:val="18"/>
              </w:rPr>
              <w:t>56.25</w:t>
            </w:r>
          </w:p>
        </w:tc>
        <w:tc>
          <w:tcPr>
            <w:tcW w:w="1080" w:type="dxa"/>
            <w:vAlign w:val="bottom"/>
          </w:tcPr>
          <w:p w14:paraId="193CB6D6" w14:textId="17274062" w:rsidR="00C31920" w:rsidRPr="00EC21FB" w:rsidRDefault="00C31920" w:rsidP="00EC21FB">
            <w:pPr>
              <w:jc w:val="right"/>
              <w:rPr>
                <w:color w:val="000000"/>
                <w:sz w:val="18"/>
                <w:szCs w:val="18"/>
              </w:rPr>
            </w:pPr>
            <w:r w:rsidRPr="00EC21FB">
              <w:rPr>
                <w:color w:val="000000"/>
                <w:sz w:val="18"/>
                <w:szCs w:val="18"/>
              </w:rPr>
              <w:t>13.55</w:t>
            </w:r>
          </w:p>
        </w:tc>
        <w:tc>
          <w:tcPr>
            <w:tcW w:w="990" w:type="dxa"/>
          </w:tcPr>
          <w:p w14:paraId="1FEF22DC" w14:textId="121BE7EA" w:rsidR="00C31920" w:rsidRPr="00C15C33" w:rsidRDefault="00B7167A" w:rsidP="00EC21FB">
            <w:pPr>
              <w:jc w:val="right"/>
              <w:rPr>
                <w:color w:val="000000"/>
                <w:sz w:val="18"/>
                <w:szCs w:val="18"/>
              </w:rPr>
            </w:pPr>
            <w:r>
              <w:rPr>
                <w:color w:val="000000"/>
                <w:sz w:val="18"/>
                <w:szCs w:val="18"/>
              </w:rPr>
              <w:t>141</w:t>
            </w:r>
          </w:p>
        </w:tc>
        <w:tc>
          <w:tcPr>
            <w:tcW w:w="630" w:type="dxa"/>
            <w:vAlign w:val="bottom"/>
          </w:tcPr>
          <w:p w14:paraId="493EE744" w14:textId="105C3ACA" w:rsidR="00C31920" w:rsidRPr="00C15C33" w:rsidRDefault="00B7167A" w:rsidP="00EC21FB">
            <w:pPr>
              <w:jc w:val="right"/>
              <w:rPr>
                <w:color w:val="000000"/>
                <w:sz w:val="18"/>
                <w:szCs w:val="18"/>
              </w:rPr>
            </w:pPr>
            <w:r>
              <w:rPr>
                <w:color w:val="000000"/>
                <w:sz w:val="18"/>
                <w:szCs w:val="18"/>
              </w:rPr>
              <w:t>8.3</w:t>
            </w:r>
          </w:p>
        </w:tc>
        <w:tc>
          <w:tcPr>
            <w:tcW w:w="630" w:type="dxa"/>
            <w:vAlign w:val="bottom"/>
          </w:tcPr>
          <w:p w14:paraId="0D3AE609" w14:textId="0849483E" w:rsidR="00C31920" w:rsidRPr="00C15C33" w:rsidRDefault="00B7167A" w:rsidP="00EC21FB">
            <w:pPr>
              <w:jc w:val="right"/>
              <w:rPr>
                <w:color w:val="000000"/>
                <w:sz w:val="18"/>
                <w:szCs w:val="18"/>
              </w:rPr>
            </w:pPr>
            <w:r>
              <w:rPr>
                <w:color w:val="000000"/>
                <w:sz w:val="18"/>
                <w:szCs w:val="18"/>
              </w:rPr>
              <w:t>2.22</w:t>
            </w:r>
          </w:p>
        </w:tc>
        <w:tc>
          <w:tcPr>
            <w:tcW w:w="630" w:type="dxa"/>
          </w:tcPr>
          <w:p w14:paraId="2797A1F1" w14:textId="7EB4011F" w:rsidR="00C31920" w:rsidRPr="00C15C33" w:rsidRDefault="00B7167A" w:rsidP="00EC21FB">
            <w:pPr>
              <w:jc w:val="right"/>
              <w:rPr>
                <w:color w:val="000000"/>
                <w:sz w:val="18"/>
                <w:szCs w:val="18"/>
              </w:rPr>
            </w:pPr>
            <w:r>
              <w:rPr>
                <w:color w:val="000000"/>
                <w:sz w:val="18"/>
                <w:szCs w:val="18"/>
              </w:rPr>
              <w:t>544</w:t>
            </w:r>
          </w:p>
        </w:tc>
        <w:tc>
          <w:tcPr>
            <w:tcW w:w="1080" w:type="dxa"/>
            <w:vAlign w:val="bottom"/>
          </w:tcPr>
          <w:p w14:paraId="7F2C56A4" w14:textId="5A18D8DE"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6304C557" w14:textId="06449FC8"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49138CDF" w14:textId="11B27B0C" w:rsidR="00C31920" w:rsidRPr="00EC21FB" w:rsidRDefault="00C31920" w:rsidP="00EC21FB">
            <w:pPr>
              <w:jc w:val="right"/>
              <w:rPr>
                <w:color w:val="000000"/>
                <w:sz w:val="18"/>
                <w:szCs w:val="18"/>
              </w:rPr>
            </w:pPr>
            <w:r w:rsidRPr="00EC21FB">
              <w:rPr>
                <w:color w:val="000000"/>
                <w:sz w:val="18"/>
                <w:szCs w:val="18"/>
              </w:rPr>
              <w:t>4</w:t>
            </w:r>
          </w:p>
        </w:tc>
        <w:tc>
          <w:tcPr>
            <w:tcW w:w="1170" w:type="dxa"/>
          </w:tcPr>
          <w:p w14:paraId="0E1020EE" w14:textId="07274877" w:rsidR="00C31920" w:rsidRPr="00EC21FB" w:rsidRDefault="00C31920" w:rsidP="00EC21FB">
            <w:pPr>
              <w:jc w:val="right"/>
              <w:rPr>
                <w:color w:val="000000"/>
                <w:sz w:val="18"/>
                <w:szCs w:val="18"/>
              </w:rPr>
            </w:pPr>
            <w:r w:rsidRPr="00EC21FB">
              <w:rPr>
                <w:color w:val="000000"/>
                <w:sz w:val="18"/>
                <w:szCs w:val="18"/>
              </w:rPr>
              <w:t>0.4</w:t>
            </w:r>
          </w:p>
        </w:tc>
      </w:tr>
      <w:tr w:rsidR="00C31920" w:rsidRPr="00380AE9" w14:paraId="2E8629F9" w14:textId="77777777" w:rsidTr="00D12150">
        <w:sdt>
          <w:sdtPr>
            <w:rPr>
              <w:color w:val="000000"/>
              <w:sz w:val="18"/>
              <w:szCs w:val="18"/>
            </w:rPr>
            <w:tag w:val="MENDELEY_CITATION_v3_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"/>
            <w:id w:val="-383411870"/>
            <w:placeholder>
              <w:docPart w:val="311A6A98FEE082438FB4691D646987E2"/>
            </w:placeholder>
          </w:sdtPr>
          <w:sdtContent>
            <w:tc>
              <w:tcPr>
                <w:tcW w:w="2335" w:type="dxa"/>
              </w:tcPr>
              <w:p w14:paraId="7BABB3ED" w14:textId="22A472F1" w:rsidR="00C31920" w:rsidRPr="00EC21FB" w:rsidRDefault="00E807B5" w:rsidP="00EC21FB">
                <w:pPr>
                  <w:rPr>
                    <w:sz w:val="18"/>
                    <w:szCs w:val="18"/>
                  </w:rPr>
                </w:pPr>
                <w:r w:rsidRPr="00E807B5">
                  <w:rPr>
                    <w:rFonts w:eastAsia="Times New Roman"/>
                    <w:color w:val="000000"/>
                    <w:sz w:val="18"/>
                  </w:rPr>
                  <w:t>(Mayor et al., 2014)</w:t>
                </w:r>
              </w:p>
            </w:tc>
          </w:sdtContent>
        </w:sdt>
        <w:tc>
          <w:tcPr>
            <w:tcW w:w="1260" w:type="dxa"/>
          </w:tcPr>
          <w:p w14:paraId="05228011" w14:textId="75CAFA38" w:rsidR="00C31920" w:rsidRPr="00EC21FB" w:rsidRDefault="00C31920" w:rsidP="00EC21FB">
            <w:pPr>
              <w:rPr>
                <w:color w:val="000000"/>
                <w:sz w:val="18"/>
                <w:szCs w:val="18"/>
              </w:rPr>
            </w:pPr>
            <w:proofErr w:type="spellStart"/>
            <w:r w:rsidRPr="00EC21FB">
              <w:rPr>
                <w:color w:val="000000"/>
                <w:sz w:val="18"/>
                <w:szCs w:val="18"/>
              </w:rPr>
              <w:t>gigante</w:t>
            </w:r>
            <w:proofErr w:type="spellEnd"/>
          </w:p>
        </w:tc>
        <w:tc>
          <w:tcPr>
            <w:tcW w:w="810" w:type="dxa"/>
            <w:vAlign w:val="bottom"/>
          </w:tcPr>
          <w:p w14:paraId="1797AE1F" w14:textId="06EE1A27" w:rsidR="00C31920" w:rsidRPr="00EC21FB" w:rsidRDefault="00C31920" w:rsidP="00EC21FB">
            <w:pPr>
              <w:jc w:val="right"/>
              <w:rPr>
                <w:color w:val="000000"/>
                <w:sz w:val="18"/>
                <w:szCs w:val="18"/>
              </w:rPr>
            </w:pPr>
            <w:r w:rsidRPr="00EC21FB">
              <w:rPr>
                <w:color w:val="000000"/>
                <w:sz w:val="18"/>
                <w:szCs w:val="18"/>
              </w:rPr>
              <w:t>9.11</w:t>
            </w:r>
          </w:p>
        </w:tc>
        <w:tc>
          <w:tcPr>
            <w:tcW w:w="1080" w:type="dxa"/>
            <w:vAlign w:val="bottom"/>
          </w:tcPr>
          <w:p w14:paraId="30FF999A" w14:textId="776DFB8B" w:rsidR="00C31920" w:rsidRPr="00EC21FB" w:rsidRDefault="00C31920" w:rsidP="00EC21FB">
            <w:pPr>
              <w:jc w:val="right"/>
              <w:rPr>
                <w:color w:val="000000"/>
                <w:sz w:val="18"/>
                <w:szCs w:val="18"/>
              </w:rPr>
            </w:pPr>
            <w:r w:rsidRPr="00EC21FB">
              <w:rPr>
                <w:color w:val="000000"/>
                <w:sz w:val="18"/>
                <w:szCs w:val="18"/>
              </w:rPr>
              <w:t>-79.84</w:t>
            </w:r>
          </w:p>
        </w:tc>
        <w:tc>
          <w:tcPr>
            <w:tcW w:w="990" w:type="dxa"/>
          </w:tcPr>
          <w:p w14:paraId="401EBE26" w14:textId="0BDC6A97" w:rsidR="00C31920" w:rsidRPr="00C15C33" w:rsidRDefault="00462F71" w:rsidP="00EC21FB">
            <w:pPr>
              <w:jc w:val="right"/>
              <w:rPr>
                <w:color w:val="000000"/>
                <w:sz w:val="18"/>
                <w:szCs w:val="18"/>
              </w:rPr>
            </w:pPr>
            <w:r>
              <w:rPr>
                <w:color w:val="000000"/>
                <w:sz w:val="18"/>
                <w:szCs w:val="18"/>
              </w:rPr>
              <w:t>83</w:t>
            </w:r>
          </w:p>
        </w:tc>
        <w:tc>
          <w:tcPr>
            <w:tcW w:w="630" w:type="dxa"/>
            <w:vAlign w:val="center"/>
          </w:tcPr>
          <w:p w14:paraId="58B48794" w14:textId="72417891" w:rsidR="00C31920" w:rsidRPr="00C15C33" w:rsidRDefault="00462F71" w:rsidP="00EC21FB">
            <w:pPr>
              <w:jc w:val="right"/>
              <w:rPr>
                <w:color w:val="000000"/>
                <w:sz w:val="18"/>
                <w:szCs w:val="18"/>
              </w:rPr>
            </w:pPr>
            <w:r>
              <w:rPr>
                <w:color w:val="000000"/>
                <w:sz w:val="18"/>
                <w:szCs w:val="18"/>
              </w:rPr>
              <w:t>26.4</w:t>
            </w:r>
          </w:p>
        </w:tc>
        <w:tc>
          <w:tcPr>
            <w:tcW w:w="630" w:type="dxa"/>
            <w:vAlign w:val="center"/>
          </w:tcPr>
          <w:p w14:paraId="20C2226B" w14:textId="6CF5B11E" w:rsidR="00C31920" w:rsidRPr="00C15C33" w:rsidRDefault="00462F71" w:rsidP="00EC21FB">
            <w:pPr>
              <w:jc w:val="right"/>
              <w:rPr>
                <w:color w:val="000000"/>
                <w:sz w:val="18"/>
                <w:szCs w:val="18"/>
              </w:rPr>
            </w:pPr>
            <w:r>
              <w:rPr>
                <w:color w:val="000000"/>
                <w:sz w:val="18"/>
                <w:szCs w:val="18"/>
              </w:rPr>
              <w:t>1.38</w:t>
            </w:r>
          </w:p>
        </w:tc>
        <w:tc>
          <w:tcPr>
            <w:tcW w:w="630" w:type="dxa"/>
          </w:tcPr>
          <w:p w14:paraId="52AF1AB1" w14:textId="520D1EBC" w:rsidR="00C31920" w:rsidRPr="00C15C33" w:rsidRDefault="00462F71" w:rsidP="00EC21FB">
            <w:pPr>
              <w:jc w:val="right"/>
              <w:rPr>
                <w:color w:val="000000"/>
                <w:sz w:val="18"/>
                <w:szCs w:val="18"/>
              </w:rPr>
            </w:pPr>
            <w:r>
              <w:rPr>
                <w:color w:val="000000"/>
                <w:sz w:val="18"/>
                <w:szCs w:val="18"/>
              </w:rPr>
              <w:t>939</w:t>
            </w:r>
          </w:p>
        </w:tc>
        <w:tc>
          <w:tcPr>
            <w:tcW w:w="1080" w:type="dxa"/>
            <w:vAlign w:val="bottom"/>
          </w:tcPr>
          <w:p w14:paraId="229FDE81" w14:textId="0913AD30" w:rsidR="00C31920" w:rsidRPr="00EC21FB" w:rsidRDefault="00C31920" w:rsidP="00EC21FB">
            <w:pPr>
              <w:jc w:val="right"/>
              <w:rPr>
                <w:color w:val="000000"/>
                <w:sz w:val="18"/>
                <w:szCs w:val="18"/>
              </w:rPr>
            </w:pPr>
            <w:r w:rsidRPr="00EC21FB">
              <w:rPr>
                <w:color w:val="000000"/>
                <w:sz w:val="18"/>
                <w:szCs w:val="18"/>
              </w:rPr>
              <w:t>forest</w:t>
            </w:r>
          </w:p>
        </w:tc>
        <w:tc>
          <w:tcPr>
            <w:tcW w:w="1170" w:type="dxa"/>
            <w:vAlign w:val="bottom"/>
          </w:tcPr>
          <w:p w14:paraId="6A27CB69" w14:textId="52E7C781"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13B35F1A" w14:textId="20DD7B21" w:rsidR="00C31920" w:rsidRPr="00EC21FB" w:rsidRDefault="00C31920" w:rsidP="00EC21FB">
            <w:pPr>
              <w:jc w:val="right"/>
              <w:rPr>
                <w:color w:val="000000"/>
                <w:sz w:val="18"/>
                <w:szCs w:val="18"/>
              </w:rPr>
            </w:pPr>
            <w:r w:rsidRPr="00EC21FB">
              <w:rPr>
                <w:color w:val="000000"/>
                <w:sz w:val="18"/>
                <w:szCs w:val="18"/>
              </w:rPr>
              <w:t>12.5</w:t>
            </w:r>
          </w:p>
        </w:tc>
        <w:tc>
          <w:tcPr>
            <w:tcW w:w="1170" w:type="dxa"/>
          </w:tcPr>
          <w:p w14:paraId="635427C2" w14:textId="6BC95D9A" w:rsidR="00C31920" w:rsidRPr="00EC21FB" w:rsidRDefault="00C31920" w:rsidP="00EC21FB">
            <w:pPr>
              <w:jc w:val="right"/>
              <w:rPr>
                <w:color w:val="000000"/>
                <w:sz w:val="18"/>
                <w:szCs w:val="18"/>
              </w:rPr>
            </w:pPr>
            <w:r w:rsidRPr="00EC21FB">
              <w:rPr>
                <w:color w:val="000000"/>
                <w:sz w:val="18"/>
                <w:szCs w:val="18"/>
              </w:rPr>
              <w:t>5</w:t>
            </w:r>
          </w:p>
        </w:tc>
      </w:tr>
      <w:tr w:rsidR="00C31920" w:rsidRPr="00380AE9" w14:paraId="6B6EE1C3" w14:textId="77777777" w:rsidTr="00D12150">
        <w:sdt>
          <w:sdtPr>
            <w:rPr>
              <w:color w:val="000000"/>
              <w:sz w:val="18"/>
              <w:szCs w:val="18"/>
            </w:rPr>
            <w:tag w:val="MENDELEY_CITATION_v3_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"/>
            <w:id w:val="1019825235"/>
            <w:placeholder>
              <w:docPart w:val="C1C126DDC7C1354F84AFF9B31BC3C55B"/>
            </w:placeholder>
          </w:sdtPr>
          <w:sdtContent>
            <w:tc>
              <w:tcPr>
                <w:tcW w:w="2335" w:type="dxa"/>
              </w:tcPr>
              <w:p w14:paraId="6C050FE5" w14:textId="02A0047B" w:rsidR="00C31920" w:rsidRPr="00EC21FB" w:rsidRDefault="00E807B5" w:rsidP="00EC21FB">
                <w:pPr>
                  <w:rPr>
                    <w:sz w:val="18"/>
                    <w:szCs w:val="18"/>
                  </w:rPr>
                </w:pPr>
                <w:r w:rsidRPr="00E807B5">
                  <w:rPr>
                    <w:rFonts w:eastAsia="Times New Roman"/>
                    <w:color w:val="000000"/>
                    <w:sz w:val="18"/>
                  </w:rPr>
                  <w:t>(McMaster et al., 1982)</w:t>
                </w:r>
              </w:p>
            </w:tc>
          </w:sdtContent>
        </w:sdt>
        <w:tc>
          <w:tcPr>
            <w:tcW w:w="1260" w:type="dxa"/>
          </w:tcPr>
          <w:p w14:paraId="193FA740" w14:textId="2449029B" w:rsidR="00C31920" w:rsidRPr="00EC21FB" w:rsidRDefault="00C31920" w:rsidP="00EC21FB">
            <w:pPr>
              <w:rPr>
                <w:color w:val="000000"/>
                <w:sz w:val="18"/>
                <w:szCs w:val="18"/>
              </w:rPr>
            </w:pPr>
            <w:proofErr w:type="spellStart"/>
            <w:r w:rsidRPr="00EC21FB">
              <w:rPr>
                <w:color w:val="000000"/>
                <w:sz w:val="18"/>
                <w:szCs w:val="18"/>
              </w:rPr>
              <w:t>echoValley</w:t>
            </w:r>
            <w:proofErr w:type="spellEnd"/>
          </w:p>
        </w:tc>
        <w:tc>
          <w:tcPr>
            <w:tcW w:w="810" w:type="dxa"/>
            <w:vAlign w:val="bottom"/>
          </w:tcPr>
          <w:p w14:paraId="39FFFAAC" w14:textId="1FF5B50D" w:rsidR="00C31920" w:rsidRPr="00EC21FB" w:rsidRDefault="00C31920" w:rsidP="00EC21FB">
            <w:pPr>
              <w:jc w:val="right"/>
              <w:rPr>
                <w:color w:val="000000"/>
                <w:sz w:val="18"/>
                <w:szCs w:val="18"/>
              </w:rPr>
            </w:pPr>
            <w:r w:rsidRPr="00EC21FB">
              <w:rPr>
                <w:color w:val="000000"/>
                <w:sz w:val="18"/>
                <w:szCs w:val="18"/>
              </w:rPr>
              <w:t>32.9</w:t>
            </w:r>
          </w:p>
        </w:tc>
        <w:tc>
          <w:tcPr>
            <w:tcW w:w="1080" w:type="dxa"/>
            <w:vAlign w:val="bottom"/>
          </w:tcPr>
          <w:p w14:paraId="2C4069B5" w14:textId="302F64CD" w:rsidR="00C31920" w:rsidRPr="00EC21FB" w:rsidRDefault="00C31920" w:rsidP="00EC21FB">
            <w:pPr>
              <w:jc w:val="right"/>
              <w:rPr>
                <w:color w:val="000000"/>
                <w:sz w:val="18"/>
                <w:szCs w:val="18"/>
              </w:rPr>
            </w:pPr>
            <w:r w:rsidRPr="00EC21FB">
              <w:rPr>
                <w:color w:val="000000"/>
                <w:sz w:val="18"/>
                <w:szCs w:val="18"/>
              </w:rPr>
              <w:t>70</w:t>
            </w:r>
          </w:p>
        </w:tc>
        <w:tc>
          <w:tcPr>
            <w:tcW w:w="990" w:type="dxa"/>
          </w:tcPr>
          <w:p w14:paraId="7C40EBE1" w14:textId="21DFC0B8" w:rsidR="00C31920" w:rsidRPr="00C15C33" w:rsidRDefault="00B7167A" w:rsidP="00EC21FB">
            <w:pPr>
              <w:jc w:val="right"/>
              <w:rPr>
                <w:color w:val="000000"/>
                <w:sz w:val="18"/>
                <w:szCs w:val="18"/>
              </w:rPr>
            </w:pPr>
            <w:r>
              <w:rPr>
                <w:color w:val="000000"/>
                <w:sz w:val="18"/>
                <w:szCs w:val="18"/>
              </w:rPr>
              <w:t>1472</w:t>
            </w:r>
          </w:p>
        </w:tc>
        <w:tc>
          <w:tcPr>
            <w:tcW w:w="630" w:type="dxa"/>
            <w:vAlign w:val="center"/>
          </w:tcPr>
          <w:p w14:paraId="3E241AB2" w14:textId="78D86D71" w:rsidR="00C31920" w:rsidRPr="00C15C33" w:rsidRDefault="00B7167A" w:rsidP="00EC21FB">
            <w:pPr>
              <w:jc w:val="right"/>
              <w:rPr>
                <w:color w:val="000000"/>
                <w:sz w:val="18"/>
                <w:szCs w:val="18"/>
              </w:rPr>
            </w:pPr>
            <w:r>
              <w:rPr>
                <w:color w:val="000000"/>
                <w:sz w:val="18"/>
                <w:szCs w:val="18"/>
              </w:rPr>
              <w:t>17.2</w:t>
            </w:r>
          </w:p>
        </w:tc>
        <w:tc>
          <w:tcPr>
            <w:tcW w:w="630" w:type="dxa"/>
            <w:vAlign w:val="center"/>
          </w:tcPr>
          <w:p w14:paraId="0A21059F" w14:textId="2F467D0E" w:rsidR="00C31920" w:rsidRPr="00C15C33" w:rsidRDefault="00B7167A" w:rsidP="00EC21FB">
            <w:pPr>
              <w:jc w:val="right"/>
              <w:rPr>
                <w:color w:val="000000"/>
                <w:sz w:val="18"/>
                <w:szCs w:val="18"/>
              </w:rPr>
            </w:pPr>
            <w:r>
              <w:rPr>
                <w:color w:val="000000"/>
                <w:sz w:val="18"/>
                <w:szCs w:val="18"/>
              </w:rPr>
              <w:t>0.31</w:t>
            </w:r>
          </w:p>
        </w:tc>
        <w:tc>
          <w:tcPr>
            <w:tcW w:w="630" w:type="dxa"/>
          </w:tcPr>
          <w:p w14:paraId="2FE147E8" w14:textId="222CDCD6" w:rsidR="00C31920" w:rsidRPr="00C15C33" w:rsidRDefault="00B7167A" w:rsidP="00EC21FB">
            <w:pPr>
              <w:jc w:val="right"/>
              <w:rPr>
                <w:color w:val="000000"/>
                <w:sz w:val="18"/>
                <w:szCs w:val="18"/>
              </w:rPr>
            </w:pPr>
            <w:r>
              <w:rPr>
                <w:color w:val="000000"/>
                <w:sz w:val="18"/>
                <w:szCs w:val="18"/>
              </w:rPr>
              <w:t>874</w:t>
            </w:r>
          </w:p>
        </w:tc>
        <w:tc>
          <w:tcPr>
            <w:tcW w:w="1080" w:type="dxa"/>
            <w:vAlign w:val="bottom"/>
          </w:tcPr>
          <w:p w14:paraId="70904A06" w14:textId="574517DD" w:rsidR="00C31920" w:rsidRPr="00EC21FB" w:rsidRDefault="00C31920" w:rsidP="00EC21FB">
            <w:pPr>
              <w:jc w:val="right"/>
              <w:rPr>
                <w:color w:val="000000"/>
                <w:sz w:val="18"/>
                <w:szCs w:val="18"/>
              </w:rPr>
            </w:pPr>
            <w:r w:rsidRPr="00EC21FB">
              <w:rPr>
                <w:color w:val="000000"/>
                <w:sz w:val="18"/>
                <w:szCs w:val="18"/>
              </w:rPr>
              <w:t>shrubland</w:t>
            </w:r>
          </w:p>
        </w:tc>
        <w:tc>
          <w:tcPr>
            <w:tcW w:w="1170" w:type="dxa"/>
            <w:vAlign w:val="bottom"/>
          </w:tcPr>
          <w:p w14:paraId="6A74B19A" w14:textId="10B1602A"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19CE50AB" w14:textId="7FC2EDCA" w:rsidR="00C31920" w:rsidRPr="00EC21FB" w:rsidRDefault="00C31920" w:rsidP="00EC21FB">
            <w:pPr>
              <w:jc w:val="right"/>
              <w:rPr>
                <w:color w:val="000000"/>
                <w:sz w:val="18"/>
                <w:szCs w:val="18"/>
              </w:rPr>
            </w:pPr>
            <w:r w:rsidRPr="00EC21FB">
              <w:rPr>
                <w:color w:val="000000"/>
                <w:sz w:val="18"/>
                <w:szCs w:val="18"/>
              </w:rPr>
              <w:t>4</w:t>
            </w:r>
          </w:p>
        </w:tc>
        <w:tc>
          <w:tcPr>
            <w:tcW w:w="1170" w:type="dxa"/>
          </w:tcPr>
          <w:p w14:paraId="1AF95CEE" w14:textId="742969F9" w:rsidR="00C31920" w:rsidRPr="00EC21FB" w:rsidRDefault="00C31920" w:rsidP="00EC21FB">
            <w:pPr>
              <w:jc w:val="right"/>
              <w:rPr>
                <w:color w:val="000000"/>
                <w:sz w:val="18"/>
                <w:szCs w:val="18"/>
              </w:rPr>
            </w:pPr>
            <w:r w:rsidRPr="00EC21FB">
              <w:rPr>
                <w:color w:val="000000"/>
                <w:sz w:val="18"/>
                <w:szCs w:val="18"/>
              </w:rPr>
              <w:t>2</w:t>
            </w:r>
          </w:p>
        </w:tc>
      </w:tr>
      <w:tr w:rsidR="00C31920" w:rsidRPr="00380AE9" w14:paraId="2850F00B" w14:textId="77777777" w:rsidTr="00D12150">
        <w:sdt>
          <w:sdtPr>
            <w:rPr>
              <w:color w:val="000000"/>
              <w:sz w:val="18"/>
              <w:szCs w:val="18"/>
            </w:rPr>
            <w:tag w:val="MENDELEY_CITATION_v3_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"/>
            <w:id w:val="-434374570"/>
            <w:placeholder>
              <w:docPart w:val="3016D8C0483E02429DA62EEC04A29D09"/>
            </w:placeholder>
          </w:sdtPr>
          <w:sdtContent>
            <w:tc>
              <w:tcPr>
                <w:tcW w:w="2335" w:type="dxa"/>
              </w:tcPr>
              <w:p w14:paraId="17D7E4BD" w14:textId="6517DEB2" w:rsidR="00C31920" w:rsidRPr="00EC21FB" w:rsidRDefault="00E807B5" w:rsidP="00EC21FB">
                <w:pPr>
                  <w:rPr>
                    <w:sz w:val="18"/>
                    <w:szCs w:val="18"/>
                  </w:rPr>
                </w:pPr>
                <w:r w:rsidRPr="00E807B5">
                  <w:rPr>
                    <w:rFonts w:eastAsia="Times New Roman"/>
                    <w:color w:val="000000"/>
                    <w:sz w:val="18"/>
                  </w:rPr>
                  <w:t>(Mo et al., 2019)</w:t>
                </w:r>
              </w:p>
            </w:tc>
          </w:sdtContent>
        </w:sdt>
        <w:tc>
          <w:tcPr>
            <w:tcW w:w="1260" w:type="dxa"/>
          </w:tcPr>
          <w:p w14:paraId="506ED38B" w14:textId="7C4E2C91" w:rsidR="00C31920" w:rsidRPr="00EC21FB" w:rsidRDefault="00C31920" w:rsidP="00EC21FB">
            <w:pPr>
              <w:rPr>
                <w:color w:val="000000"/>
                <w:sz w:val="18"/>
                <w:szCs w:val="18"/>
              </w:rPr>
            </w:pPr>
            <w:proofErr w:type="spellStart"/>
            <w:r w:rsidRPr="00EC21FB">
              <w:rPr>
                <w:color w:val="000000"/>
                <w:sz w:val="18"/>
                <w:szCs w:val="18"/>
              </w:rPr>
              <w:t>xiaolongRS</w:t>
            </w:r>
            <w:proofErr w:type="spellEnd"/>
          </w:p>
        </w:tc>
        <w:tc>
          <w:tcPr>
            <w:tcW w:w="810" w:type="dxa"/>
            <w:vAlign w:val="bottom"/>
          </w:tcPr>
          <w:p w14:paraId="46B64DC4" w14:textId="5E10ABCA" w:rsidR="00C31920" w:rsidRPr="00EC21FB" w:rsidRDefault="00C31920" w:rsidP="00EC21FB">
            <w:pPr>
              <w:jc w:val="right"/>
              <w:rPr>
                <w:color w:val="000000"/>
                <w:sz w:val="18"/>
                <w:szCs w:val="18"/>
              </w:rPr>
            </w:pPr>
            <w:r w:rsidRPr="00EC21FB">
              <w:rPr>
                <w:color w:val="000000"/>
                <w:sz w:val="18"/>
                <w:szCs w:val="18"/>
              </w:rPr>
              <w:t>21.45</w:t>
            </w:r>
          </w:p>
        </w:tc>
        <w:tc>
          <w:tcPr>
            <w:tcW w:w="1080" w:type="dxa"/>
            <w:vAlign w:val="bottom"/>
          </w:tcPr>
          <w:p w14:paraId="5AD242FA" w14:textId="409B3AA0" w:rsidR="00C31920" w:rsidRPr="00EC21FB" w:rsidRDefault="00C31920" w:rsidP="00EC21FB">
            <w:pPr>
              <w:jc w:val="right"/>
              <w:rPr>
                <w:color w:val="000000"/>
                <w:sz w:val="18"/>
                <w:szCs w:val="18"/>
              </w:rPr>
            </w:pPr>
            <w:r w:rsidRPr="00EC21FB">
              <w:rPr>
                <w:color w:val="000000"/>
                <w:sz w:val="18"/>
                <w:szCs w:val="18"/>
              </w:rPr>
              <w:t>110.9</w:t>
            </w:r>
          </w:p>
        </w:tc>
        <w:tc>
          <w:tcPr>
            <w:tcW w:w="990" w:type="dxa"/>
          </w:tcPr>
          <w:p w14:paraId="3BC52D8F" w14:textId="3516A3A3" w:rsidR="00C31920" w:rsidRPr="00C15C33" w:rsidRDefault="00CF35B0" w:rsidP="00EC21FB">
            <w:pPr>
              <w:jc w:val="right"/>
              <w:rPr>
                <w:color w:val="000000"/>
                <w:sz w:val="18"/>
                <w:szCs w:val="18"/>
              </w:rPr>
            </w:pPr>
            <w:r>
              <w:rPr>
                <w:color w:val="000000"/>
                <w:sz w:val="18"/>
                <w:szCs w:val="18"/>
              </w:rPr>
              <w:t>27</w:t>
            </w:r>
          </w:p>
        </w:tc>
        <w:tc>
          <w:tcPr>
            <w:tcW w:w="630" w:type="dxa"/>
            <w:vAlign w:val="center"/>
          </w:tcPr>
          <w:p w14:paraId="4F604471" w14:textId="19AD6B8E" w:rsidR="00C31920" w:rsidRPr="00C15C33" w:rsidRDefault="00CF35B0" w:rsidP="00EC21FB">
            <w:pPr>
              <w:jc w:val="right"/>
              <w:rPr>
                <w:color w:val="000000"/>
                <w:sz w:val="18"/>
                <w:szCs w:val="18"/>
              </w:rPr>
            </w:pPr>
            <w:r>
              <w:rPr>
                <w:color w:val="000000"/>
                <w:sz w:val="18"/>
                <w:szCs w:val="18"/>
              </w:rPr>
              <w:t>23.3</w:t>
            </w:r>
          </w:p>
        </w:tc>
        <w:tc>
          <w:tcPr>
            <w:tcW w:w="630" w:type="dxa"/>
            <w:vAlign w:val="center"/>
          </w:tcPr>
          <w:p w14:paraId="3B2E71CD" w14:textId="105A5306" w:rsidR="00C31920" w:rsidRPr="00C15C33" w:rsidRDefault="00CF35B0" w:rsidP="00EC21FB">
            <w:pPr>
              <w:jc w:val="right"/>
              <w:rPr>
                <w:color w:val="000000"/>
                <w:sz w:val="18"/>
                <w:szCs w:val="18"/>
              </w:rPr>
            </w:pPr>
            <w:r>
              <w:rPr>
                <w:color w:val="000000"/>
                <w:sz w:val="18"/>
                <w:szCs w:val="18"/>
              </w:rPr>
              <w:t>1.11</w:t>
            </w:r>
          </w:p>
        </w:tc>
        <w:tc>
          <w:tcPr>
            <w:tcW w:w="630" w:type="dxa"/>
          </w:tcPr>
          <w:p w14:paraId="7FD09BA3" w14:textId="3885B026" w:rsidR="00C31920" w:rsidRPr="00C15C33" w:rsidRDefault="00CF35B0" w:rsidP="00EC21FB">
            <w:pPr>
              <w:jc w:val="right"/>
              <w:rPr>
                <w:color w:val="000000"/>
                <w:sz w:val="18"/>
                <w:szCs w:val="18"/>
              </w:rPr>
            </w:pPr>
            <w:r>
              <w:rPr>
                <w:color w:val="000000"/>
                <w:sz w:val="18"/>
                <w:szCs w:val="18"/>
              </w:rPr>
              <w:t>794</w:t>
            </w:r>
          </w:p>
        </w:tc>
        <w:tc>
          <w:tcPr>
            <w:tcW w:w="1080" w:type="dxa"/>
            <w:vAlign w:val="bottom"/>
          </w:tcPr>
          <w:p w14:paraId="00EFB813" w14:textId="73D35E94" w:rsidR="00C31920" w:rsidRPr="00EC21FB" w:rsidRDefault="00C31920" w:rsidP="00EC21FB">
            <w:pPr>
              <w:jc w:val="right"/>
              <w:rPr>
                <w:color w:val="000000"/>
                <w:sz w:val="18"/>
                <w:szCs w:val="18"/>
              </w:rPr>
            </w:pPr>
            <w:r w:rsidRPr="00EC21FB">
              <w:rPr>
                <w:color w:val="000000"/>
                <w:sz w:val="18"/>
                <w:szCs w:val="18"/>
              </w:rPr>
              <w:t>forest</w:t>
            </w:r>
          </w:p>
        </w:tc>
        <w:tc>
          <w:tcPr>
            <w:tcW w:w="1170" w:type="dxa"/>
            <w:vAlign w:val="bottom"/>
          </w:tcPr>
          <w:p w14:paraId="07756E1F" w14:textId="0EE04DFA"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3F0E5E19" w14:textId="4E1C2D30"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253CCB53" w14:textId="29FE5B36" w:rsidR="00C31920" w:rsidRPr="00EC21FB" w:rsidRDefault="00C31920" w:rsidP="00EC21FB">
            <w:pPr>
              <w:jc w:val="right"/>
              <w:rPr>
                <w:color w:val="000000"/>
                <w:sz w:val="18"/>
                <w:szCs w:val="18"/>
              </w:rPr>
            </w:pPr>
            <w:r w:rsidRPr="00EC21FB">
              <w:rPr>
                <w:color w:val="000000"/>
                <w:sz w:val="18"/>
                <w:szCs w:val="18"/>
              </w:rPr>
              <w:t>10</w:t>
            </w:r>
          </w:p>
        </w:tc>
      </w:tr>
      <w:tr w:rsidR="00CF35B0" w:rsidRPr="00380AE9" w14:paraId="3BB447DA" w14:textId="77777777" w:rsidTr="00D12150">
        <w:sdt>
          <w:sdtPr>
            <w:rPr>
              <w:color w:val="000000"/>
              <w:sz w:val="18"/>
              <w:szCs w:val="18"/>
            </w:rPr>
            <w:tag w:val="MENDELEY_CITATION_v3_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"/>
            <w:id w:val="540104730"/>
            <w:placeholder>
              <w:docPart w:val="5FA3E2F210E70B42A5EC4C0B2871BD29"/>
            </w:placeholder>
          </w:sdtPr>
          <w:sdtContent>
            <w:tc>
              <w:tcPr>
                <w:tcW w:w="2335" w:type="dxa"/>
              </w:tcPr>
              <w:p w14:paraId="44159503" w14:textId="3B30A3FD" w:rsidR="00CF35B0" w:rsidRPr="00EC21FB" w:rsidRDefault="00E807B5" w:rsidP="00CF35B0">
                <w:pPr>
                  <w:rPr>
                    <w:sz w:val="18"/>
                    <w:szCs w:val="18"/>
                  </w:rPr>
                </w:pPr>
                <w:r w:rsidRPr="00E807B5">
                  <w:rPr>
                    <w:rFonts w:eastAsia="Times New Roman"/>
                    <w:color w:val="000000"/>
                    <w:sz w:val="18"/>
                  </w:rPr>
                  <w:t>(Mo et al., 2021)</w:t>
                </w:r>
              </w:p>
            </w:tc>
          </w:sdtContent>
        </w:sdt>
        <w:tc>
          <w:tcPr>
            <w:tcW w:w="1260" w:type="dxa"/>
          </w:tcPr>
          <w:p w14:paraId="0B0264B7" w14:textId="37BC3D5C" w:rsidR="00CF35B0" w:rsidRPr="00EC21FB" w:rsidRDefault="00CF35B0" w:rsidP="00CF35B0">
            <w:pPr>
              <w:rPr>
                <w:color w:val="000000"/>
                <w:sz w:val="18"/>
                <w:szCs w:val="18"/>
              </w:rPr>
            </w:pPr>
            <w:proofErr w:type="spellStart"/>
            <w:r w:rsidRPr="00EC21FB">
              <w:rPr>
                <w:color w:val="000000"/>
                <w:sz w:val="18"/>
                <w:szCs w:val="18"/>
              </w:rPr>
              <w:t>xiaoliangRS</w:t>
            </w:r>
            <w:proofErr w:type="spellEnd"/>
          </w:p>
        </w:tc>
        <w:tc>
          <w:tcPr>
            <w:tcW w:w="810" w:type="dxa"/>
            <w:vAlign w:val="bottom"/>
          </w:tcPr>
          <w:p w14:paraId="75DE8509" w14:textId="4B8AD327" w:rsidR="00CF35B0" w:rsidRPr="00EC21FB" w:rsidRDefault="00CF35B0" w:rsidP="00CF35B0">
            <w:pPr>
              <w:jc w:val="right"/>
              <w:rPr>
                <w:color w:val="000000"/>
                <w:sz w:val="18"/>
                <w:szCs w:val="18"/>
              </w:rPr>
            </w:pPr>
            <w:r w:rsidRPr="00EC21FB">
              <w:rPr>
                <w:color w:val="000000"/>
                <w:sz w:val="18"/>
                <w:szCs w:val="18"/>
              </w:rPr>
              <w:t>21.45</w:t>
            </w:r>
          </w:p>
        </w:tc>
        <w:tc>
          <w:tcPr>
            <w:tcW w:w="1080" w:type="dxa"/>
            <w:vAlign w:val="bottom"/>
          </w:tcPr>
          <w:p w14:paraId="74A2B230" w14:textId="27D36C1E" w:rsidR="00CF35B0" w:rsidRPr="00EC21FB" w:rsidRDefault="00CF35B0" w:rsidP="00CF35B0">
            <w:pPr>
              <w:jc w:val="right"/>
              <w:rPr>
                <w:color w:val="000000"/>
                <w:sz w:val="18"/>
                <w:szCs w:val="18"/>
              </w:rPr>
            </w:pPr>
            <w:r w:rsidRPr="00EC21FB">
              <w:rPr>
                <w:color w:val="000000"/>
                <w:sz w:val="18"/>
                <w:szCs w:val="18"/>
              </w:rPr>
              <w:t>110.9</w:t>
            </w:r>
          </w:p>
        </w:tc>
        <w:tc>
          <w:tcPr>
            <w:tcW w:w="990" w:type="dxa"/>
          </w:tcPr>
          <w:p w14:paraId="1CA8BFCB" w14:textId="2B4498B6" w:rsidR="00CF35B0" w:rsidRPr="00C15C33" w:rsidRDefault="00CF35B0" w:rsidP="00CF35B0">
            <w:pPr>
              <w:jc w:val="right"/>
              <w:rPr>
                <w:color w:val="000000"/>
                <w:sz w:val="18"/>
                <w:szCs w:val="18"/>
              </w:rPr>
            </w:pPr>
            <w:r>
              <w:rPr>
                <w:color w:val="000000"/>
                <w:sz w:val="18"/>
                <w:szCs w:val="18"/>
              </w:rPr>
              <w:t>27</w:t>
            </w:r>
          </w:p>
        </w:tc>
        <w:tc>
          <w:tcPr>
            <w:tcW w:w="630" w:type="dxa"/>
            <w:vAlign w:val="center"/>
          </w:tcPr>
          <w:p w14:paraId="209AC850" w14:textId="01A33F29" w:rsidR="00CF35B0" w:rsidRPr="00C15C33" w:rsidRDefault="00CF35B0" w:rsidP="00CF35B0">
            <w:pPr>
              <w:jc w:val="right"/>
              <w:rPr>
                <w:color w:val="000000"/>
                <w:sz w:val="18"/>
                <w:szCs w:val="18"/>
              </w:rPr>
            </w:pPr>
            <w:r>
              <w:rPr>
                <w:color w:val="000000"/>
                <w:sz w:val="18"/>
                <w:szCs w:val="18"/>
              </w:rPr>
              <w:t>23.3</w:t>
            </w:r>
          </w:p>
        </w:tc>
        <w:tc>
          <w:tcPr>
            <w:tcW w:w="630" w:type="dxa"/>
            <w:vAlign w:val="center"/>
          </w:tcPr>
          <w:p w14:paraId="6D0355B0" w14:textId="6EBAAE7B" w:rsidR="00CF35B0" w:rsidRPr="00C15C33" w:rsidRDefault="00CF35B0" w:rsidP="00CF35B0">
            <w:pPr>
              <w:jc w:val="right"/>
              <w:rPr>
                <w:color w:val="000000"/>
                <w:sz w:val="18"/>
                <w:szCs w:val="18"/>
              </w:rPr>
            </w:pPr>
            <w:r>
              <w:rPr>
                <w:color w:val="000000"/>
                <w:sz w:val="18"/>
                <w:szCs w:val="18"/>
              </w:rPr>
              <w:t>1.11</w:t>
            </w:r>
          </w:p>
        </w:tc>
        <w:tc>
          <w:tcPr>
            <w:tcW w:w="630" w:type="dxa"/>
          </w:tcPr>
          <w:p w14:paraId="33FB3CB8" w14:textId="0AC4936F" w:rsidR="00CF35B0" w:rsidRPr="00C15C33" w:rsidRDefault="00CF35B0" w:rsidP="00CF35B0">
            <w:pPr>
              <w:jc w:val="right"/>
              <w:rPr>
                <w:color w:val="000000"/>
                <w:sz w:val="18"/>
                <w:szCs w:val="18"/>
              </w:rPr>
            </w:pPr>
            <w:r>
              <w:rPr>
                <w:color w:val="000000"/>
                <w:sz w:val="18"/>
                <w:szCs w:val="18"/>
              </w:rPr>
              <w:t>794</w:t>
            </w:r>
          </w:p>
        </w:tc>
        <w:tc>
          <w:tcPr>
            <w:tcW w:w="1080" w:type="dxa"/>
            <w:vAlign w:val="bottom"/>
          </w:tcPr>
          <w:p w14:paraId="48553B61" w14:textId="1DFDF91E" w:rsidR="00CF35B0" w:rsidRPr="00EC21FB" w:rsidRDefault="00CF35B0" w:rsidP="00CF35B0">
            <w:pPr>
              <w:jc w:val="right"/>
              <w:rPr>
                <w:color w:val="000000"/>
                <w:sz w:val="18"/>
                <w:szCs w:val="18"/>
              </w:rPr>
            </w:pPr>
            <w:r w:rsidRPr="00EC21FB">
              <w:rPr>
                <w:color w:val="000000"/>
                <w:sz w:val="18"/>
                <w:szCs w:val="18"/>
              </w:rPr>
              <w:t>forest</w:t>
            </w:r>
          </w:p>
        </w:tc>
        <w:tc>
          <w:tcPr>
            <w:tcW w:w="1170" w:type="dxa"/>
            <w:vAlign w:val="bottom"/>
          </w:tcPr>
          <w:p w14:paraId="08D3DE98" w14:textId="334AA6DA" w:rsidR="00CF35B0" w:rsidRPr="00EC21FB" w:rsidRDefault="00CF35B0" w:rsidP="00CF35B0">
            <w:pPr>
              <w:jc w:val="right"/>
              <w:rPr>
                <w:color w:val="000000"/>
                <w:sz w:val="18"/>
                <w:szCs w:val="18"/>
              </w:rPr>
            </w:pPr>
            <w:r w:rsidRPr="00EC21FB">
              <w:rPr>
                <w:color w:val="000000"/>
                <w:sz w:val="18"/>
                <w:szCs w:val="18"/>
              </w:rPr>
              <w:t>field</w:t>
            </w:r>
          </w:p>
        </w:tc>
        <w:tc>
          <w:tcPr>
            <w:tcW w:w="1080" w:type="dxa"/>
          </w:tcPr>
          <w:p w14:paraId="430F2557" w14:textId="51EFC074" w:rsidR="00CF35B0" w:rsidRPr="00EC21FB" w:rsidRDefault="00CF35B0" w:rsidP="00CF35B0">
            <w:pPr>
              <w:jc w:val="right"/>
              <w:rPr>
                <w:color w:val="000000"/>
                <w:sz w:val="18"/>
                <w:szCs w:val="18"/>
              </w:rPr>
            </w:pPr>
            <w:r w:rsidRPr="00EC21FB">
              <w:rPr>
                <w:color w:val="000000"/>
                <w:sz w:val="18"/>
                <w:szCs w:val="18"/>
              </w:rPr>
              <w:t>10</w:t>
            </w:r>
          </w:p>
        </w:tc>
        <w:tc>
          <w:tcPr>
            <w:tcW w:w="1170" w:type="dxa"/>
          </w:tcPr>
          <w:p w14:paraId="37185652" w14:textId="75B6F203" w:rsidR="00CF35B0" w:rsidRPr="00EC21FB" w:rsidRDefault="00CF35B0" w:rsidP="00CF35B0">
            <w:pPr>
              <w:jc w:val="right"/>
              <w:rPr>
                <w:color w:val="000000"/>
                <w:sz w:val="18"/>
                <w:szCs w:val="18"/>
              </w:rPr>
            </w:pPr>
            <w:r w:rsidRPr="00EC21FB">
              <w:rPr>
                <w:color w:val="000000"/>
                <w:sz w:val="18"/>
                <w:szCs w:val="18"/>
              </w:rPr>
              <w:t>10</w:t>
            </w:r>
          </w:p>
        </w:tc>
      </w:tr>
      <w:tr w:rsidR="00C31920" w:rsidRPr="00380AE9" w14:paraId="3D6AEB3F" w14:textId="77777777" w:rsidTr="00D12150">
        <w:sdt>
          <w:sdtPr>
            <w:rPr>
              <w:color w:val="000000"/>
              <w:sz w:val="18"/>
              <w:szCs w:val="18"/>
            </w:rPr>
            <w:tag w:val="MENDELEY_CITATION_v3_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"/>
            <w:id w:val="1050117780"/>
            <w:placeholder>
              <w:docPart w:val="5ACF09582475564EA634A05755174068"/>
            </w:placeholder>
          </w:sdtPr>
          <w:sdtContent>
            <w:tc>
              <w:tcPr>
                <w:tcW w:w="2335" w:type="dxa"/>
              </w:tcPr>
              <w:p w14:paraId="0E355BA7" w14:textId="49FD8A50" w:rsidR="00C31920" w:rsidRPr="00EC21FB" w:rsidRDefault="00E807B5" w:rsidP="00EC21FB">
                <w:pPr>
                  <w:rPr>
                    <w:sz w:val="18"/>
                    <w:szCs w:val="18"/>
                  </w:rPr>
                </w:pPr>
                <w:r w:rsidRPr="00E807B5">
                  <w:rPr>
                    <w:rFonts w:eastAsia="Times New Roman"/>
                    <w:color w:val="000000"/>
                    <w:sz w:val="18"/>
                  </w:rPr>
                  <w:t>(Ngai &amp; Jefferies, 2004)</w:t>
                </w:r>
              </w:p>
            </w:tc>
          </w:sdtContent>
        </w:sdt>
        <w:tc>
          <w:tcPr>
            <w:tcW w:w="1260" w:type="dxa"/>
            <w:vAlign w:val="bottom"/>
          </w:tcPr>
          <w:p w14:paraId="3009C6E6" w14:textId="314DE39F" w:rsidR="00C31920" w:rsidRPr="00EC21FB" w:rsidRDefault="00C31920" w:rsidP="00EC21FB">
            <w:pPr>
              <w:rPr>
                <w:color w:val="000000"/>
                <w:sz w:val="18"/>
                <w:szCs w:val="18"/>
              </w:rPr>
            </w:pPr>
            <w:proofErr w:type="spellStart"/>
            <w:r w:rsidRPr="00EC21FB">
              <w:rPr>
                <w:color w:val="000000"/>
                <w:sz w:val="18"/>
                <w:szCs w:val="18"/>
              </w:rPr>
              <w:t>laPerouse</w:t>
            </w:r>
            <w:proofErr w:type="spellEnd"/>
          </w:p>
        </w:tc>
        <w:tc>
          <w:tcPr>
            <w:tcW w:w="810" w:type="dxa"/>
            <w:vAlign w:val="bottom"/>
          </w:tcPr>
          <w:p w14:paraId="022025FF" w14:textId="249B2A59" w:rsidR="00C31920" w:rsidRPr="00EC21FB" w:rsidRDefault="005E2591" w:rsidP="00EC21FB">
            <w:pPr>
              <w:jc w:val="right"/>
              <w:rPr>
                <w:color w:val="000000"/>
                <w:sz w:val="18"/>
                <w:szCs w:val="18"/>
              </w:rPr>
            </w:pPr>
            <w:r>
              <w:rPr>
                <w:color w:val="000000"/>
                <w:sz w:val="18"/>
                <w:szCs w:val="18"/>
              </w:rPr>
              <w:t>58.744</w:t>
            </w:r>
          </w:p>
        </w:tc>
        <w:tc>
          <w:tcPr>
            <w:tcW w:w="1080" w:type="dxa"/>
            <w:vAlign w:val="bottom"/>
          </w:tcPr>
          <w:p w14:paraId="265E6335" w14:textId="2E7CBD97" w:rsidR="00C31920" w:rsidRPr="00EC21FB" w:rsidRDefault="005E2591" w:rsidP="00EC21FB">
            <w:pPr>
              <w:jc w:val="right"/>
              <w:rPr>
                <w:color w:val="000000"/>
                <w:sz w:val="18"/>
                <w:szCs w:val="18"/>
              </w:rPr>
            </w:pPr>
            <w:r>
              <w:rPr>
                <w:color w:val="000000"/>
                <w:sz w:val="18"/>
                <w:szCs w:val="18"/>
              </w:rPr>
              <w:t>-93.601</w:t>
            </w:r>
          </w:p>
        </w:tc>
        <w:tc>
          <w:tcPr>
            <w:tcW w:w="990" w:type="dxa"/>
          </w:tcPr>
          <w:p w14:paraId="7B9A7FAC" w14:textId="0D1DCCE3" w:rsidR="00C31920" w:rsidRPr="00C15C33" w:rsidRDefault="005E2591" w:rsidP="00EC21FB">
            <w:pPr>
              <w:jc w:val="right"/>
              <w:rPr>
                <w:color w:val="000000"/>
                <w:sz w:val="18"/>
                <w:szCs w:val="18"/>
              </w:rPr>
            </w:pPr>
            <w:r>
              <w:rPr>
                <w:color w:val="000000"/>
                <w:sz w:val="18"/>
                <w:szCs w:val="18"/>
              </w:rPr>
              <w:t>6</w:t>
            </w:r>
          </w:p>
        </w:tc>
        <w:tc>
          <w:tcPr>
            <w:tcW w:w="630" w:type="dxa"/>
            <w:vAlign w:val="center"/>
          </w:tcPr>
          <w:p w14:paraId="0E10AB3F" w14:textId="57E092F8" w:rsidR="00C31920" w:rsidRPr="00C15C33" w:rsidRDefault="005E2591" w:rsidP="00EC21FB">
            <w:pPr>
              <w:jc w:val="right"/>
              <w:rPr>
                <w:color w:val="000000"/>
                <w:sz w:val="18"/>
                <w:szCs w:val="18"/>
              </w:rPr>
            </w:pPr>
            <w:r>
              <w:rPr>
                <w:color w:val="000000"/>
                <w:sz w:val="18"/>
                <w:szCs w:val="18"/>
              </w:rPr>
              <w:t>9.8</w:t>
            </w:r>
          </w:p>
        </w:tc>
        <w:tc>
          <w:tcPr>
            <w:tcW w:w="630" w:type="dxa"/>
            <w:vAlign w:val="center"/>
          </w:tcPr>
          <w:p w14:paraId="308642D7" w14:textId="51CB898B" w:rsidR="00C31920" w:rsidRPr="00C15C33" w:rsidRDefault="005E2591" w:rsidP="00EC21FB">
            <w:pPr>
              <w:jc w:val="right"/>
              <w:rPr>
                <w:color w:val="000000"/>
                <w:sz w:val="18"/>
                <w:szCs w:val="18"/>
              </w:rPr>
            </w:pPr>
            <w:r>
              <w:rPr>
                <w:color w:val="000000"/>
                <w:sz w:val="18"/>
                <w:szCs w:val="18"/>
              </w:rPr>
              <w:t>0.69</w:t>
            </w:r>
          </w:p>
        </w:tc>
        <w:tc>
          <w:tcPr>
            <w:tcW w:w="630" w:type="dxa"/>
          </w:tcPr>
          <w:p w14:paraId="29BEF95D" w14:textId="613E858C" w:rsidR="00C31920" w:rsidRPr="00C15C33" w:rsidRDefault="005E2591" w:rsidP="00EC21FB">
            <w:pPr>
              <w:jc w:val="right"/>
              <w:rPr>
                <w:color w:val="000000"/>
                <w:sz w:val="18"/>
                <w:szCs w:val="18"/>
              </w:rPr>
            </w:pPr>
            <w:r>
              <w:rPr>
                <w:color w:val="000000"/>
                <w:sz w:val="18"/>
                <w:szCs w:val="18"/>
              </w:rPr>
              <w:t>799</w:t>
            </w:r>
          </w:p>
        </w:tc>
        <w:tc>
          <w:tcPr>
            <w:tcW w:w="1080" w:type="dxa"/>
            <w:vAlign w:val="bottom"/>
          </w:tcPr>
          <w:p w14:paraId="1E7134A9" w14:textId="066F4F0F"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77FE02FE" w14:textId="7738B090"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66C5D50A" w14:textId="54DA7467" w:rsidR="00C31920" w:rsidRPr="00EC21FB" w:rsidRDefault="00C31920" w:rsidP="00EC21FB">
            <w:pPr>
              <w:jc w:val="right"/>
              <w:rPr>
                <w:color w:val="000000"/>
                <w:sz w:val="18"/>
                <w:szCs w:val="18"/>
              </w:rPr>
            </w:pPr>
            <w:r w:rsidRPr="00EC21FB">
              <w:rPr>
                <w:color w:val="000000"/>
                <w:sz w:val="18"/>
                <w:szCs w:val="18"/>
              </w:rPr>
              <w:t>17</w:t>
            </w:r>
          </w:p>
        </w:tc>
        <w:tc>
          <w:tcPr>
            <w:tcW w:w="1170" w:type="dxa"/>
          </w:tcPr>
          <w:p w14:paraId="4E8AC9C2" w14:textId="5BB0896E" w:rsidR="00C31920" w:rsidRPr="00EC21FB" w:rsidRDefault="00C31920" w:rsidP="00EC21FB">
            <w:pPr>
              <w:jc w:val="right"/>
              <w:rPr>
                <w:color w:val="000000"/>
                <w:sz w:val="18"/>
                <w:szCs w:val="18"/>
              </w:rPr>
            </w:pPr>
            <w:r w:rsidRPr="00EC21FB">
              <w:rPr>
                <w:color w:val="000000"/>
                <w:sz w:val="18"/>
                <w:szCs w:val="18"/>
              </w:rPr>
              <w:t>12</w:t>
            </w:r>
          </w:p>
        </w:tc>
      </w:tr>
      <w:tr w:rsidR="00C31920" w:rsidRPr="00380AE9" w14:paraId="01B31B4B" w14:textId="77777777" w:rsidTr="00D12150">
        <w:sdt>
          <w:sdtPr>
            <w:rPr>
              <w:color w:val="000000"/>
              <w:sz w:val="18"/>
              <w:szCs w:val="18"/>
            </w:rPr>
            <w:tag w:val="MENDELEY_CITATION_v3_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"/>
            <w:id w:val="100542136"/>
            <w:placeholder>
              <w:docPart w:val="882BC6A1950EF146A46AF912648DAC2A"/>
            </w:placeholder>
          </w:sdtPr>
          <w:sdtContent>
            <w:tc>
              <w:tcPr>
                <w:tcW w:w="2335" w:type="dxa"/>
              </w:tcPr>
              <w:p w14:paraId="49CFAC93" w14:textId="14AAEA6C" w:rsidR="00C31920" w:rsidRPr="00EC21FB" w:rsidRDefault="00E807B5" w:rsidP="00EC21FB">
                <w:pPr>
                  <w:rPr>
                    <w:sz w:val="18"/>
                    <w:szCs w:val="18"/>
                  </w:rPr>
                </w:pPr>
                <w:r w:rsidRPr="00E807B5">
                  <w:rPr>
                    <w:rFonts w:eastAsia="Times New Roman"/>
                    <w:color w:val="000000"/>
                    <w:sz w:val="18"/>
                  </w:rPr>
                  <w:t>(Ngatia et al., 2015)</w:t>
                </w:r>
              </w:p>
            </w:tc>
          </w:sdtContent>
        </w:sdt>
        <w:tc>
          <w:tcPr>
            <w:tcW w:w="1260" w:type="dxa"/>
            <w:vAlign w:val="bottom"/>
          </w:tcPr>
          <w:p w14:paraId="3F1C5154" w14:textId="342EA4AA" w:rsidR="00C31920" w:rsidRPr="00EC21FB" w:rsidRDefault="00C31920" w:rsidP="00EC21FB">
            <w:pPr>
              <w:rPr>
                <w:color w:val="000000"/>
                <w:sz w:val="18"/>
                <w:szCs w:val="18"/>
              </w:rPr>
            </w:pPr>
            <w:proofErr w:type="spellStart"/>
            <w:r w:rsidRPr="00EC21FB">
              <w:rPr>
                <w:color w:val="000000"/>
                <w:sz w:val="18"/>
                <w:szCs w:val="18"/>
              </w:rPr>
              <w:t>mpala</w:t>
            </w:r>
            <w:proofErr w:type="spellEnd"/>
          </w:p>
        </w:tc>
        <w:tc>
          <w:tcPr>
            <w:tcW w:w="810" w:type="dxa"/>
            <w:vAlign w:val="bottom"/>
          </w:tcPr>
          <w:p w14:paraId="3C68D9C2" w14:textId="7C6FCB7F" w:rsidR="00C31920" w:rsidRPr="00EC21FB" w:rsidRDefault="00C31920" w:rsidP="00EC21FB">
            <w:pPr>
              <w:jc w:val="right"/>
              <w:rPr>
                <w:color w:val="000000"/>
                <w:sz w:val="18"/>
                <w:szCs w:val="18"/>
              </w:rPr>
            </w:pPr>
            <w:r w:rsidRPr="00EC21FB">
              <w:rPr>
                <w:color w:val="000000"/>
                <w:sz w:val="18"/>
                <w:szCs w:val="18"/>
              </w:rPr>
              <w:t>0</w:t>
            </w:r>
          </w:p>
        </w:tc>
        <w:tc>
          <w:tcPr>
            <w:tcW w:w="1080" w:type="dxa"/>
            <w:vAlign w:val="bottom"/>
          </w:tcPr>
          <w:p w14:paraId="1D76C3F1" w14:textId="67DEBAC0" w:rsidR="00C31920" w:rsidRPr="00EC21FB" w:rsidRDefault="00C31920" w:rsidP="00EC21FB">
            <w:pPr>
              <w:jc w:val="right"/>
              <w:rPr>
                <w:color w:val="000000"/>
                <w:sz w:val="18"/>
                <w:szCs w:val="18"/>
              </w:rPr>
            </w:pPr>
            <w:r w:rsidRPr="00EC21FB">
              <w:rPr>
                <w:color w:val="000000"/>
                <w:sz w:val="18"/>
                <w:szCs w:val="18"/>
              </w:rPr>
              <w:t>37</w:t>
            </w:r>
          </w:p>
        </w:tc>
        <w:tc>
          <w:tcPr>
            <w:tcW w:w="990" w:type="dxa"/>
          </w:tcPr>
          <w:p w14:paraId="1419D47D" w14:textId="4BCB8625" w:rsidR="00C31920" w:rsidRPr="00C15C33" w:rsidRDefault="00B7167A" w:rsidP="00EC21FB">
            <w:pPr>
              <w:jc w:val="right"/>
              <w:rPr>
                <w:color w:val="000000"/>
                <w:sz w:val="18"/>
                <w:szCs w:val="18"/>
              </w:rPr>
            </w:pPr>
            <w:r>
              <w:rPr>
                <w:color w:val="000000"/>
                <w:sz w:val="18"/>
                <w:szCs w:val="18"/>
              </w:rPr>
              <w:t>1852</w:t>
            </w:r>
          </w:p>
        </w:tc>
        <w:tc>
          <w:tcPr>
            <w:tcW w:w="630" w:type="dxa"/>
            <w:vAlign w:val="center"/>
          </w:tcPr>
          <w:p w14:paraId="7047AD92" w14:textId="2EB284A3" w:rsidR="00C31920" w:rsidRPr="00C15C33" w:rsidRDefault="00B7167A" w:rsidP="00EC21FB">
            <w:pPr>
              <w:jc w:val="right"/>
              <w:rPr>
                <w:color w:val="000000"/>
                <w:sz w:val="18"/>
                <w:szCs w:val="18"/>
              </w:rPr>
            </w:pPr>
            <w:r>
              <w:rPr>
                <w:color w:val="000000"/>
                <w:sz w:val="18"/>
                <w:szCs w:val="18"/>
              </w:rPr>
              <w:t>16.5</w:t>
            </w:r>
          </w:p>
        </w:tc>
        <w:tc>
          <w:tcPr>
            <w:tcW w:w="630" w:type="dxa"/>
            <w:vAlign w:val="center"/>
          </w:tcPr>
          <w:p w14:paraId="08DA9CA6" w14:textId="10A2EA4E" w:rsidR="00C31920" w:rsidRPr="00C15C33" w:rsidRDefault="00B7167A" w:rsidP="00EC21FB">
            <w:pPr>
              <w:jc w:val="right"/>
              <w:rPr>
                <w:color w:val="000000"/>
                <w:sz w:val="18"/>
                <w:szCs w:val="18"/>
              </w:rPr>
            </w:pPr>
            <w:r>
              <w:rPr>
                <w:color w:val="000000"/>
                <w:sz w:val="18"/>
                <w:szCs w:val="18"/>
              </w:rPr>
              <w:t>0.52</w:t>
            </w:r>
          </w:p>
        </w:tc>
        <w:tc>
          <w:tcPr>
            <w:tcW w:w="630" w:type="dxa"/>
          </w:tcPr>
          <w:p w14:paraId="45B84147" w14:textId="64822B68" w:rsidR="00C31920" w:rsidRPr="00C15C33" w:rsidRDefault="00B7167A" w:rsidP="00EC21FB">
            <w:pPr>
              <w:jc w:val="right"/>
              <w:rPr>
                <w:color w:val="000000"/>
                <w:sz w:val="18"/>
                <w:szCs w:val="18"/>
              </w:rPr>
            </w:pPr>
            <w:r>
              <w:rPr>
                <w:color w:val="000000"/>
                <w:sz w:val="18"/>
                <w:szCs w:val="18"/>
              </w:rPr>
              <w:t>852</w:t>
            </w:r>
          </w:p>
        </w:tc>
        <w:tc>
          <w:tcPr>
            <w:tcW w:w="1080" w:type="dxa"/>
            <w:vAlign w:val="bottom"/>
          </w:tcPr>
          <w:p w14:paraId="48AD2ABE" w14:textId="1E951E06"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364D8EB8" w14:textId="59AD9695"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5868FE90" w14:textId="7376BA20"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4EFAAC5C" w14:textId="2CCF6253" w:rsidR="00C31920" w:rsidRPr="00EC21FB" w:rsidRDefault="00C31920" w:rsidP="00EC21FB">
            <w:pPr>
              <w:jc w:val="right"/>
              <w:rPr>
                <w:color w:val="000000"/>
                <w:sz w:val="18"/>
                <w:szCs w:val="18"/>
              </w:rPr>
            </w:pPr>
            <w:r w:rsidRPr="00EC21FB">
              <w:rPr>
                <w:color w:val="000000"/>
                <w:sz w:val="18"/>
                <w:szCs w:val="18"/>
              </w:rPr>
              <w:t>5</w:t>
            </w:r>
          </w:p>
        </w:tc>
      </w:tr>
      <w:tr w:rsidR="00C31920" w:rsidRPr="00380AE9" w14:paraId="041F9056" w14:textId="77777777" w:rsidTr="00D12150">
        <w:sdt>
          <w:sdtPr>
            <w:rPr>
              <w:color w:val="000000"/>
              <w:sz w:val="18"/>
              <w:szCs w:val="18"/>
            </w:rPr>
            <w:tag w:val="MENDELEY_CITATION_v3_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"/>
            <w:id w:val="1838805210"/>
            <w:placeholder>
              <w:docPart w:val="C63CDCC8732348449465B0F20DF4D5BC"/>
            </w:placeholder>
          </w:sdtPr>
          <w:sdtContent>
            <w:tc>
              <w:tcPr>
                <w:tcW w:w="2335" w:type="dxa"/>
              </w:tcPr>
              <w:p w14:paraId="4F2AC5DE" w14:textId="45B28E24" w:rsidR="00C31920" w:rsidRPr="00EC21FB" w:rsidRDefault="00E807B5" w:rsidP="00EC21FB">
                <w:pPr>
                  <w:rPr>
                    <w:sz w:val="18"/>
                    <w:szCs w:val="18"/>
                  </w:rPr>
                </w:pPr>
                <w:r w:rsidRPr="00E807B5">
                  <w:rPr>
                    <w:rFonts w:eastAsia="Times New Roman"/>
                    <w:color w:val="000000"/>
                    <w:sz w:val="18"/>
                  </w:rPr>
                  <w:t>(Nielsen et al., 2009)</w:t>
                </w:r>
              </w:p>
            </w:tc>
          </w:sdtContent>
        </w:sdt>
        <w:tc>
          <w:tcPr>
            <w:tcW w:w="1260" w:type="dxa"/>
            <w:vAlign w:val="bottom"/>
          </w:tcPr>
          <w:p w14:paraId="36F5A347" w14:textId="52A3BA71" w:rsidR="00C31920" w:rsidRPr="00EC21FB" w:rsidRDefault="00C31920" w:rsidP="00EC21FB">
            <w:pPr>
              <w:rPr>
                <w:color w:val="000000"/>
                <w:sz w:val="18"/>
                <w:szCs w:val="18"/>
              </w:rPr>
            </w:pPr>
            <w:proofErr w:type="spellStart"/>
            <w:r w:rsidRPr="00EC21FB">
              <w:rPr>
                <w:color w:val="000000"/>
                <w:sz w:val="18"/>
                <w:szCs w:val="18"/>
              </w:rPr>
              <w:t>brandbjerg</w:t>
            </w:r>
            <w:proofErr w:type="spellEnd"/>
          </w:p>
        </w:tc>
        <w:tc>
          <w:tcPr>
            <w:tcW w:w="810" w:type="dxa"/>
            <w:vAlign w:val="bottom"/>
          </w:tcPr>
          <w:p w14:paraId="0885AC2B" w14:textId="6E347197" w:rsidR="00C31920" w:rsidRPr="00EC21FB" w:rsidRDefault="00C31920" w:rsidP="00EC21FB">
            <w:pPr>
              <w:jc w:val="right"/>
              <w:rPr>
                <w:color w:val="000000"/>
                <w:sz w:val="18"/>
                <w:szCs w:val="18"/>
              </w:rPr>
            </w:pPr>
            <w:r w:rsidRPr="00EC21FB">
              <w:rPr>
                <w:color w:val="000000"/>
                <w:sz w:val="18"/>
                <w:szCs w:val="18"/>
              </w:rPr>
              <w:t>55.88</w:t>
            </w:r>
          </w:p>
        </w:tc>
        <w:tc>
          <w:tcPr>
            <w:tcW w:w="1080" w:type="dxa"/>
            <w:vAlign w:val="bottom"/>
          </w:tcPr>
          <w:p w14:paraId="0B2AAB24" w14:textId="6CF6A750" w:rsidR="00C31920" w:rsidRPr="00EC21FB" w:rsidRDefault="00C31920" w:rsidP="00EC21FB">
            <w:pPr>
              <w:jc w:val="right"/>
              <w:rPr>
                <w:color w:val="000000"/>
                <w:sz w:val="18"/>
                <w:szCs w:val="18"/>
              </w:rPr>
            </w:pPr>
            <w:r w:rsidRPr="00EC21FB">
              <w:rPr>
                <w:color w:val="000000"/>
                <w:sz w:val="18"/>
                <w:szCs w:val="18"/>
              </w:rPr>
              <w:t>11.97</w:t>
            </w:r>
          </w:p>
        </w:tc>
        <w:tc>
          <w:tcPr>
            <w:tcW w:w="990" w:type="dxa"/>
          </w:tcPr>
          <w:p w14:paraId="2499CD12" w14:textId="70C83249" w:rsidR="00C31920" w:rsidRPr="00C15C33" w:rsidRDefault="00B7167A" w:rsidP="00EC21FB">
            <w:pPr>
              <w:jc w:val="right"/>
              <w:rPr>
                <w:color w:val="000000"/>
                <w:sz w:val="18"/>
                <w:szCs w:val="18"/>
              </w:rPr>
            </w:pPr>
            <w:r>
              <w:rPr>
                <w:color w:val="000000"/>
                <w:sz w:val="18"/>
                <w:szCs w:val="18"/>
              </w:rPr>
              <w:t>9</w:t>
            </w:r>
          </w:p>
        </w:tc>
        <w:tc>
          <w:tcPr>
            <w:tcW w:w="630" w:type="dxa"/>
            <w:vAlign w:val="center"/>
          </w:tcPr>
          <w:p w14:paraId="7EF43C6C" w14:textId="7873DD38" w:rsidR="00C31920" w:rsidRPr="00C15C33" w:rsidRDefault="00B7167A" w:rsidP="00EC21FB">
            <w:pPr>
              <w:jc w:val="right"/>
              <w:rPr>
                <w:color w:val="000000"/>
                <w:sz w:val="18"/>
                <w:szCs w:val="18"/>
              </w:rPr>
            </w:pPr>
            <w:r>
              <w:rPr>
                <w:color w:val="000000"/>
                <w:sz w:val="18"/>
                <w:szCs w:val="18"/>
              </w:rPr>
              <w:t>9.7</w:t>
            </w:r>
          </w:p>
        </w:tc>
        <w:tc>
          <w:tcPr>
            <w:tcW w:w="630" w:type="dxa"/>
            <w:vAlign w:val="center"/>
          </w:tcPr>
          <w:p w14:paraId="7ABEEBD9" w14:textId="1CC862BD" w:rsidR="00C31920" w:rsidRPr="00C15C33" w:rsidRDefault="00B7167A" w:rsidP="00EC21FB">
            <w:pPr>
              <w:jc w:val="right"/>
              <w:rPr>
                <w:color w:val="000000"/>
                <w:sz w:val="18"/>
                <w:szCs w:val="18"/>
              </w:rPr>
            </w:pPr>
            <w:r>
              <w:rPr>
                <w:color w:val="000000"/>
                <w:sz w:val="18"/>
                <w:szCs w:val="18"/>
              </w:rPr>
              <w:t>1.67</w:t>
            </w:r>
          </w:p>
        </w:tc>
        <w:tc>
          <w:tcPr>
            <w:tcW w:w="630" w:type="dxa"/>
          </w:tcPr>
          <w:p w14:paraId="096AE456" w14:textId="00FE9C65" w:rsidR="00C31920" w:rsidRPr="00C15C33" w:rsidRDefault="00B7167A" w:rsidP="00EC21FB">
            <w:pPr>
              <w:jc w:val="right"/>
              <w:rPr>
                <w:color w:val="000000"/>
                <w:sz w:val="18"/>
                <w:szCs w:val="18"/>
              </w:rPr>
            </w:pPr>
            <w:r>
              <w:rPr>
                <w:color w:val="000000"/>
                <w:sz w:val="18"/>
                <w:szCs w:val="18"/>
              </w:rPr>
              <w:t>551</w:t>
            </w:r>
          </w:p>
        </w:tc>
        <w:tc>
          <w:tcPr>
            <w:tcW w:w="1080" w:type="dxa"/>
            <w:vAlign w:val="bottom"/>
          </w:tcPr>
          <w:p w14:paraId="64C67E7F" w14:textId="2AFBD801"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2DEFC460" w14:textId="1A9A6DA4"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624D627A" w14:textId="316CE6CC" w:rsidR="00C31920" w:rsidRPr="00EC21FB" w:rsidRDefault="00C31920" w:rsidP="00EC21FB">
            <w:pPr>
              <w:jc w:val="right"/>
              <w:rPr>
                <w:color w:val="000000"/>
                <w:sz w:val="18"/>
                <w:szCs w:val="18"/>
              </w:rPr>
            </w:pPr>
            <w:r w:rsidRPr="00EC21FB">
              <w:rPr>
                <w:color w:val="000000"/>
                <w:sz w:val="18"/>
                <w:szCs w:val="18"/>
              </w:rPr>
              <w:t>7.5</w:t>
            </w:r>
          </w:p>
        </w:tc>
        <w:tc>
          <w:tcPr>
            <w:tcW w:w="1170" w:type="dxa"/>
          </w:tcPr>
          <w:p w14:paraId="4DC7C6B9" w14:textId="39DEFF1F" w:rsidR="00C31920" w:rsidRPr="00EC21FB" w:rsidRDefault="00C31920" w:rsidP="00EC21FB">
            <w:pPr>
              <w:jc w:val="right"/>
              <w:rPr>
                <w:color w:val="000000"/>
                <w:sz w:val="18"/>
                <w:szCs w:val="18"/>
              </w:rPr>
            </w:pPr>
            <w:r w:rsidRPr="00EC21FB">
              <w:rPr>
                <w:color w:val="000000"/>
                <w:sz w:val="18"/>
                <w:szCs w:val="18"/>
              </w:rPr>
              <w:t>1</w:t>
            </w:r>
          </w:p>
        </w:tc>
      </w:tr>
      <w:tr w:rsidR="00C31920" w:rsidRPr="00380AE9" w14:paraId="5BD8391D" w14:textId="77777777" w:rsidTr="00D12150">
        <w:sdt>
          <w:sdtPr>
            <w:rPr>
              <w:color w:val="000000"/>
              <w:sz w:val="18"/>
              <w:szCs w:val="18"/>
            </w:rPr>
            <w:tag w:val="MENDELEY_CITATION_v3_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"/>
            <w:id w:val="893081373"/>
            <w:placeholder>
              <w:docPart w:val="A59ABCB8D4BD1241B7C9053AA97960C9"/>
            </w:placeholder>
          </w:sdtPr>
          <w:sdtContent>
            <w:tc>
              <w:tcPr>
                <w:tcW w:w="2335" w:type="dxa"/>
              </w:tcPr>
              <w:p w14:paraId="49F0E0A6" w14:textId="18E7D3C7" w:rsidR="00C31920" w:rsidRPr="00EC21FB" w:rsidRDefault="00E807B5" w:rsidP="00EC21FB">
                <w:pPr>
                  <w:rPr>
                    <w:sz w:val="18"/>
                    <w:szCs w:val="18"/>
                  </w:rPr>
                </w:pPr>
                <w:r w:rsidRPr="00E807B5">
                  <w:rPr>
                    <w:rFonts w:eastAsia="Times New Roman"/>
                    <w:color w:val="000000"/>
                    <w:sz w:val="18"/>
                  </w:rPr>
                  <w:t>(O’Halloran et al., 2010)</w:t>
                </w:r>
              </w:p>
            </w:tc>
          </w:sdtContent>
        </w:sdt>
        <w:tc>
          <w:tcPr>
            <w:tcW w:w="1260" w:type="dxa"/>
            <w:vAlign w:val="bottom"/>
          </w:tcPr>
          <w:p w14:paraId="38E71CFE" w14:textId="48C43785" w:rsidR="00C31920" w:rsidRPr="00EC21FB" w:rsidRDefault="00C31920" w:rsidP="00EC21FB">
            <w:pPr>
              <w:rPr>
                <w:color w:val="000000"/>
                <w:sz w:val="18"/>
                <w:szCs w:val="18"/>
              </w:rPr>
            </w:pPr>
            <w:proofErr w:type="spellStart"/>
            <w:r w:rsidRPr="00EC21FB">
              <w:rPr>
                <w:color w:val="000000"/>
                <w:sz w:val="18"/>
                <w:szCs w:val="18"/>
              </w:rPr>
              <w:t>tshane</w:t>
            </w:r>
            <w:proofErr w:type="spellEnd"/>
          </w:p>
        </w:tc>
        <w:tc>
          <w:tcPr>
            <w:tcW w:w="810" w:type="dxa"/>
            <w:vAlign w:val="bottom"/>
          </w:tcPr>
          <w:p w14:paraId="15500A34" w14:textId="2A92D152" w:rsidR="00C31920" w:rsidRPr="00EC21FB" w:rsidRDefault="00C31920" w:rsidP="00EC21FB">
            <w:pPr>
              <w:jc w:val="right"/>
              <w:rPr>
                <w:color w:val="000000"/>
                <w:sz w:val="18"/>
                <w:szCs w:val="18"/>
              </w:rPr>
            </w:pPr>
            <w:r w:rsidRPr="00EC21FB">
              <w:rPr>
                <w:color w:val="000000"/>
                <w:sz w:val="18"/>
                <w:szCs w:val="18"/>
              </w:rPr>
              <w:t>-24.17</w:t>
            </w:r>
          </w:p>
        </w:tc>
        <w:tc>
          <w:tcPr>
            <w:tcW w:w="1080" w:type="dxa"/>
            <w:vAlign w:val="bottom"/>
          </w:tcPr>
          <w:p w14:paraId="3AA41CC5" w14:textId="5D74EEC2" w:rsidR="00C31920" w:rsidRPr="00EC21FB" w:rsidRDefault="00C31920" w:rsidP="00EC21FB">
            <w:pPr>
              <w:jc w:val="right"/>
              <w:rPr>
                <w:color w:val="000000"/>
                <w:sz w:val="18"/>
                <w:szCs w:val="18"/>
              </w:rPr>
            </w:pPr>
            <w:r w:rsidRPr="00EC21FB">
              <w:rPr>
                <w:color w:val="000000"/>
                <w:sz w:val="18"/>
                <w:szCs w:val="18"/>
              </w:rPr>
              <w:t>21.89</w:t>
            </w:r>
          </w:p>
        </w:tc>
        <w:tc>
          <w:tcPr>
            <w:tcW w:w="990" w:type="dxa"/>
          </w:tcPr>
          <w:p w14:paraId="79177DC1" w14:textId="3BE837A1" w:rsidR="00C31920" w:rsidRPr="00C15C33" w:rsidRDefault="00B7167A" w:rsidP="00EC21FB">
            <w:pPr>
              <w:jc w:val="right"/>
              <w:rPr>
                <w:color w:val="000000"/>
                <w:sz w:val="18"/>
                <w:szCs w:val="18"/>
              </w:rPr>
            </w:pPr>
            <w:r>
              <w:rPr>
                <w:color w:val="000000"/>
                <w:sz w:val="18"/>
                <w:szCs w:val="18"/>
              </w:rPr>
              <w:t>1117</w:t>
            </w:r>
          </w:p>
        </w:tc>
        <w:tc>
          <w:tcPr>
            <w:tcW w:w="630" w:type="dxa"/>
            <w:vAlign w:val="center"/>
          </w:tcPr>
          <w:p w14:paraId="44F08E07" w14:textId="5B9957B2" w:rsidR="00C31920" w:rsidRPr="00C15C33" w:rsidRDefault="00B7167A" w:rsidP="00EC21FB">
            <w:pPr>
              <w:jc w:val="right"/>
              <w:rPr>
                <w:color w:val="000000"/>
                <w:sz w:val="18"/>
                <w:szCs w:val="18"/>
              </w:rPr>
            </w:pPr>
            <w:r>
              <w:rPr>
                <w:color w:val="000000"/>
                <w:sz w:val="18"/>
                <w:szCs w:val="18"/>
              </w:rPr>
              <w:t>21.3</w:t>
            </w:r>
          </w:p>
        </w:tc>
        <w:tc>
          <w:tcPr>
            <w:tcW w:w="630" w:type="dxa"/>
            <w:vAlign w:val="center"/>
          </w:tcPr>
          <w:p w14:paraId="5B8581ED" w14:textId="36C5AD9C" w:rsidR="00C31920" w:rsidRPr="00C15C33" w:rsidRDefault="00B7167A" w:rsidP="00EC21FB">
            <w:pPr>
              <w:jc w:val="right"/>
              <w:rPr>
                <w:color w:val="000000"/>
                <w:sz w:val="18"/>
                <w:szCs w:val="18"/>
              </w:rPr>
            </w:pPr>
            <w:r>
              <w:rPr>
                <w:color w:val="000000"/>
                <w:sz w:val="18"/>
                <w:szCs w:val="18"/>
              </w:rPr>
              <w:t>0.12</w:t>
            </w:r>
          </w:p>
        </w:tc>
        <w:tc>
          <w:tcPr>
            <w:tcW w:w="630" w:type="dxa"/>
          </w:tcPr>
          <w:p w14:paraId="2BD643B4" w14:textId="6E46EDD7" w:rsidR="00C31920" w:rsidRPr="00C15C33" w:rsidRDefault="00B7167A" w:rsidP="00EC21FB">
            <w:pPr>
              <w:jc w:val="right"/>
              <w:rPr>
                <w:color w:val="000000"/>
                <w:sz w:val="18"/>
                <w:szCs w:val="18"/>
              </w:rPr>
            </w:pPr>
            <w:r>
              <w:rPr>
                <w:color w:val="000000"/>
                <w:sz w:val="18"/>
                <w:szCs w:val="18"/>
              </w:rPr>
              <w:t>1067</w:t>
            </w:r>
          </w:p>
        </w:tc>
        <w:tc>
          <w:tcPr>
            <w:tcW w:w="1080" w:type="dxa"/>
            <w:vAlign w:val="bottom"/>
          </w:tcPr>
          <w:p w14:paraId="55F02BBA" w14:textId="3AEE0807"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79CA6884" w14:textId="58B6BE1F"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65188A02" w14:textId="75A89356" w:rsidR="00C31920" w:rsidRPr="00EC21FB" w:rsidRDefault="00C31920" w:rsidP="00EC21FB">
            <w:pPr>
              <w:jc w:val="right"/>
              <w:rPr>
                <w:color w:val="000000"/>
                <w:sz w:val="18"/>
                <w:szCs w:val="18"/>
              </w:rPr>
            </w:pPr>
            <w:r w:rsidRPr="00EC21FB">
              <w:rPr>
                <w:color w:val="000000"/>
                <w:sz w:val="18"/>
                <w:szCs w:val="18"/>
              </w:rPr>
              <w:t>6.7</w:t>
            </w:r>
          </w:p>
        </w:tc>
        <w:tc>
          <w:tcPr>
            <w:tcW w:w="1170" w:type="dxa"/>
          </w:tcPr>
          <w:p w14:paraId="79736AE1" w14:textId="5F292F8B" w:rsidR="00C31920" w:rsidRPr="00EC21FB" w:rsidRDefault="00C31920" w:rsidP="00EC21FB">
            <w:pPr>
              <w:jc w:val="right"/>
              <w:rPr>
                <w:color w:val="000000"/>
                <w:sz w:val="18"/>
                <w:szCs w:val="18"/>
              </w:rPr>
            </w:pPr>
            <w:r w:rsidRPr="00EC21FB">
              <w:rPr>
                <w:color w:val="000000"/>
                <w:sz w:val="18"/>
                <w:szCs w:val="18"/>
              </w:rPr>
              <w:t>3.3</w:t>
            </w:r>
          </w:p>
        </w:tc>
      </w:tr>
      <w:tr w:rsidR="00C31920" w:rsidRPr="00380AE9" w14:paraId="617AB867" w14:textId="77777777" w:rsidTr="00D12150">
        <w:sdt>
          <w:sdtPr>
            <w:rPr>
              <w:color w:val="000000"/>
              <w:sz w:val="18"/>
              <w:szCs w:val="18"/>
            </w:rPr>
            <w:tag w:val="MENDELEY_CITATION_v3_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"/>
            <w:id w:val="2129665827"/>
            <w:placeholder>
              <w:docPart w:val="4F56B7329633104CA38B4B0B07CC56A9"/>
            </w:placeholder>
          </w:sdtPr>
          <w:sdtContent>
            <w:tc>
              <w:tcPr>
                <w:tcW w:w="2335" w:type="dxa"/>
              </w:tcPr>
              <w:p w14:paraId="111405A6" w14:textId="25BFA1F7" w:rsidR="00C31920" w:rsidRPr="00EC21FB" w:rsidRDefault="00E807B5" w:rsidP="00EC21FB">
                <w:pPr>
                  <w:rPr>
                    <w:sz w:val="18"/>
                    <w:szCs w:val="18"/>
                  </w:rPr>
                </w:pPr>
                <w:r w:rsidRPr="00E807B5">
                  <w:rPr>
                    <w:color w:val="000000"/>
                    <w:sz w:val="18"/>
                    <w:szCs w:val="18"/>
                  </w:rPr>
                  <w:t>(Øien, 2004)</w:t>
                </w:r>
              </w:p>
            </w:tc>
          </w:sdtContent>
        </w:sdt>
        <w:tc>
          <w:tcPr>
            <w:tcW w:w="1260" w:type="dxa"/>
            <w:vAlign w:val="bottom"/>
          </w:tcPr>
          <w:p w14:paraId="48296B4D" w14:textId="1F558A38" w:rsidR="00C31920" w:rsidRPr="00EC21FB" w:rsidRDefault="00C31920" w:rsidP="00EC21FB">
            <w:pPr>
              <w:rPr>
                <w:color w:val="000000"/>
                <w:sz w:val="18"/>
                <w:szCs w:val="18"/>
              </w:rPr>
            </w:pPr>
            <w:proofErr w:type="spellStart"/>
            <w:r w:rsidRPr="00EC21FB">
              <w:rPr>
                <w:color w:val="000000"/>
                <w:sz w:val="18"/>
                <w:szCs w:val="18"/>
              </w:rPr>
              <w:t>solendet</w:t>
            </w:r>
            <w:proofErr w:type="spellEnd"/>
          </w:p>
        </w:tc>
        <w:tc>
          <w:tcPr>
            <w:tcW w:w="810" w:type="dxa"/>
            <w:vAlign w:val="bottom"/>
          </w:tcPr>
          <w:p w14:paraId="78063313" w14:textId="2FA43A6C" w:rsidR="00C31920" w:rsidRPr="00EC21FB" w:rsidRDefault="00C31920" w:rsidP="00EC21FB">
            <w:pPr>
              <w:jc w:val="right"/>
              <w:rPr>
                <w:color w:val="000000"/>
                <w:sz w:val="18"/>
                <w:szCs w:val="18"/>
              </w:rPr>
            </w:pPr>
            <w:r w:rsidRPr="00EC21FB">
              <w:rPr>
                <w:color w:val="000000"/>
                <w:sz w:val="18"/>
                <w:szCs w:val="18"/>
              </w:rPr>
              <w:t>62.67</w:t>
            </w:r>
          </w:p>
        </w:tc>
        <w:tc>
          <w:tcPr>
            <w:tcW w:w="1080" w:type="dxa"/>
            <w:vAlign w:val="bottom"/>
          </w:tcPr>
          <w:p w14:paraId="20E25265" w14:textId="4A61FDED" w:rsidR="00C31920" w:rsidRPr="00EC21FB" w:rsidRDefault="00C31920" w:rsidP="00EC21FB">
            <w:pPr>
              <w:jc w:val="right"/>
              <w:rPr>
                <w:color w:val="000000"/>
                <w:sz w:val="18"/>
                <w:szCs w:val="18"/>
              </w:rPr>
            </w:pPr>
            <w:r w:rsidRPr="00EC21FB">
              <w:rPr>
                <w:color w:val="000000"/>
                <w:sz w:val="18"/>
                <w:szCs w:val="18"/>
              </w:rPr>
              <w:t>11.83</w:t>
            </w:r>
          </w:p>
        </w:tc>
        <w:tc>
          <w:tcPr>
            <w:tcW w:w="990" w:type="dxa"/>
          </w:tcPr>
          <w:p w14:paraId="5F01E296" w14:textId="403E0E47" w:rsidR="00C31920" w:rsidRPr="00C15C33" w:rsidRDefault="00B7167A" w:rsidP="00EC21FB">
            <w:pPr>
              <w:jc w:val="right"/>
              <w:rPr>
                <w:color w:val="000000"/>
                <w:sz w:val="18"/>
                <w:szCs w:val="18"/>
              </w:rPr>
            </w:pPr>
            <w:r>
              <w:rPr>
                <w:color w:val="000000"/>
                <w:sz w:val="18"/>
                <w:szCs w:val="18"/>
              </w:rPr>
              <w:t>696</w:t>
            </w:r>
          </w:p>
        </w:tc>
        <w:tc>
          <w:tcPr>
            <w:tcW w:w="630" w:type="dxa"/>
            <w:vAlign w:val="center"/>
          </w:tcPr>
          <w:p w14:paraId="257FB526" w14:textId="38FBC8F8" w:rsidR="00C31920" w:rsidRPr="00C15C33" w:rsidRDefault="00B7167A" w:rsidP="00EC21FB">
            <w:pPr>
              <w:jc w:val="right"/>
              <w:rPr>
                <w:color w:val="000000"/>
                <w:sz w:val="18"/>
                <w:szCs w:val="18"/>
              </w:rPr>
            </w:pPr>
            <w:r>
              <w:rPr>
                <w:color w:val="000000"/>
                <w:sz w:val="18"/>
                <w:szCs w:val="18"/>
              </w:rPr>
              <w:t>7.1</w:t>
            </w:r>
          </w:p>
        </w:tc>
        <w:tc>
          <w:tcPr>
            <w:tcW w:w="630" w:type="dxa"/>
            <w:vAlign w:val="center"/>
          </w:tcPr>
          <w:p w14:paraId="2F553F15" w14:textId="2F0476F5" w:rsidR="00C31920" w:rsidRPr="00C15C33" w:rsidRDefault="00B7167A" w:rsidP="00EC21FB">
            <w:pPr>
              <w:jc w:val="right"/>
              <w:rPr>
                <w:color w:val="000000"/>
                <w:sz w:val="18"/>
                <w:szCs w:val="18"/>
              </w:rPr>
            </w:pPr>
            <w:r>
              <w:rPr>
                <w:color w:val="000000"/>
                <w:sz w:val="18"/>
                <w:szCs w:val="18"/>
              </w:rPr>
              <w:t>1.42</w:t>
            </w:r>
          </w:p>
        </w:tc>
        <w:tc>
          <w:tcPr>
            <w:tcW w:w="630" w:type="dxa"/>
          </w:tcPr>
          <w:p w14:paraId="7461DF05" w14:textId="1F1F3C41" w:rsidR="00C31920" w:rsidRPr="00C15C33" w:rsidRDefault="00B7167A" w:rsidP="00EC21FB">
            <w:pPr>
              <w:jc w:val="right"/>
              <w:rPr>
                <w:color w:val="000000"/>
                <w:sz w:val="18"/>
                <w:szCs w:val="18"/>
              </w:rPr>
            </w:pPr>
            <w:r>
              <w:rPr>
                <w:color w:val="000000"/>
                <w:sz w:val="18"/>
                <w:szCs w:val="18"/>
              </w:rPr>
              <w:t>631</w:t>
            </w:r>
          </w:p>
        </w:tc>
        <w:tc>
          <w:tcPr>
            <w:tcW w:w="1080" w:type="dxa"/>
            <w:vAlign w:val="bottom"/>
          </w:tcPr>
          <w:p w14:paraId="69B5AD36" w14:textId="4A11D783"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79C2EE1E" w14:textId="2985ABA3"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4635FE9E" w14:textId="0816470A" w:rsidR="00C31920" w:rsidRPr="00EC21FB" w:rsidRDefault="00C31920" w:rsidP="00EC21FB">
            <w:pPr>
              <w:jc w:val="right"/>
              <w:rPr>
                <w:color w:val="000000"/>
                <w:sz w:val="18"/>
                <w:szCs w:val="18"/>
              </w:rPr>
            </w:pPr>
            <w:r w:rsidRPr="00EC21FB">
              <w:rPr>
                <w:color w:val="000000"/>
                <w:sz w:val="18"/>
                <w:szCs w:val="18"/>
              </w:rPr>
              <w:t>12</w:t>
            </w:r>
          </w:p>
        </w:tc>
        <w:tc>
          <w:tcPr>
            <w:tcW w:w="1170" w:type="dxa"/>
          </w:tcPr>
          <w:p w14:paraId="2075C7B2" w14:textId="59AFEE4C" w:rsidR="00C31920" w:rsidRPr="00EC21FB" w:rsidRDefault="00C31920" w:rsidP="00EC21FB">
            <w:pPr>
              <w:jc w:val="right"/>
              <w:rPr>
                <w:color w:val="000000"/>
                <w:sz w:val="18"/>
                <w:szCs w:val="18"/>
              </w:rPr>
            </w:pPr>
            <w:r w:rsidRPr="00EC21FB">
              <w:rPr>
                <w:color w:val="000000"/>
                <w:sz w:val="18"/>
                <w:szCs w:val="18"/>
              </w:rPr>
              <w:t>3</w:t>
            </w:r>
          </w:p>
        </w:tc>
      </w:tr>
      <w:tr w:rsidR="00C31920" w:rsidRPr="00380AE9" w14:paraId="7D9B4E17" w14:textId="77777777" w:rsidTr="00D12150">
        <w:sdt>
          <w:sdtPr>
            <w:rPr>
              <w:color w:val="000000"/>
              <w:sz w:val="18"/>
              <w:szCs w:val="18"/>
            </w:rPr>
            <w:tag w:val="MENDELEY_CITATION_v3_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"/>
            <w:id w:val="-1459866065"/>
            <w:placeholder>
              <w:docPart w:val="3CA86E6257EC854588BC427AEF183A0A"/>
            </w:placeholder>
          </w:sdtPr>
          <w:sdtContent>
            <w:tc>
              <w:tcPr>
                <w:tcW w:w="2335" w:type="dxa"/>
              </w:tcPr>
              <w:p w14:paraId="3C011EDC" w14:textId="09C3FCA3" w:rsidR="00C31920" w:rsidRPr="00EC21FB" w:rsidRDefault="00E807B5" w:rsidP="00EC21FB">
                <w:pPr>
                  <w:rPr>
                    <w:sz w:val="18"/>
                    <w:szCs w:val="18"/>
                  </w:rPr>
                </w:pPr>
                <w:r w:rsidRPr="00E807B5">
                  <w:rPr>
                    <w:rFonts w:eastAsia="Times New Roman"/>
                    <w:color w:val="000000"/>
                    <w:sz w:val="18"/>
                  </w:rPr>
                  <w:t>(</w:t>
                </w:r>
                <w:proofErr w:type="spellStart"/>
                <w:r w:rsidRPr="00E807B5">
                  <w:rPr>
                    <w:rFonts w:eastAsia="Times New Roman"/>
                    <w:color w:val="000000"/>
                    <w:sz w:val="18"/>
                  </w:rPr>
                  <w:t>Prystupa</w:t>
                </w:r>
                <w:proofErr w:type="spellEnd"/>
                <w:r w:rsidRPr="00E807B5">
                  <w:rPr>
                    <w:rFonts w:eastAsia="Times New Roman"/>
                    <w:color w:val="000000"/>
                    <w:sz w:val="18"/>
                  </w:rPr>
                  <w:t xml:space="preserve"> et al., 2004)</w:t>
                </w:r>
              </w:p>
            </w:tc>
          </w:sdtContent>
        </w:sdt>
        <w:tc>
          <w:tcPr>
            <w:tcW w:w="1260" w:type="dxa"/>
            <w:vAlign w:val="bottom"/>
          </w:tcPr>
          <w:p w14:paraId="1209B6CA" w14:textId="2C1AC6F1" w:rsidR="00C31920" w:rsidRPr="00EC21FB" w:rsidRDefault="00C31920" w:rsidP="00EC21FB">
            <w:pPr>
              <w:rPr>
                <w:color w:val="000000"/>
                <w:sz w:val="18"/>
                <w:szCs w:val="18"/>
              </w:rPr>
            </w:pPr>
            <w:proofErr w:type="spellStart"/>
            <w:r w:rsidRPr="00EC21FB">
              <w:rPr>
                <w:color w:val="000000"/>
                <w:sz w:val="18"/>
                <w:szCs w:val="18"/>
              </w:rPr>
              <w:t>uniBueAi</w:t>
            </w:r>
            <w:proofErr w:type="spellEnd"/>
          </w:p>
        </w:tc>
        <w:tc>
          <w:tcPr>
            <w:tcW w:w="810" w:type="dxa"/>
            <w:vAlign w:val="bottom"/>
          </w:tcPr>
          <w:p w14:paraId="19B62732" w14:textId="1A4EE458" w:rsidR="00C31920" w:rsidRPr="00EC21FB" w:rsidRDefault="00C31920" w:rsidP="00EC21FB">
            <w:pPr>
              <w:jc w:val="right"/>
              <w:rPr>
                <w:color w:val="000000"/>
                <w:sz w:val="18"/>
                <w:szCs w:val="18"/>
              </w:rPr>
            </w:pPr>
            <w:r w:rsidRPr="00EC21FB">
              <w:rPr>
                <w:color w:val="000000"/>
                <w:sz w:val="18"/>
                <w:szCs w:val="18"/>
              </w:rPr>
              <w:t>-34.58</w:t>
            </w:r>
          </w:p>
        </w:tc>
        <w:tc>
          <w:tcPr>
            <w:tcW w:w="1080" w:type="dxa"/>
            <w:vAlign w:val="bottom"/>
          </w:tcPr>
          <w:p w14:paraId="7C0A6B66" w14:textId="5F9AC0CF" w:rsidR="00C31920" w:rsidRPr="00EC21FB" w:rsidRDefault="00C31920" w:rsidP="00EC21FB">
            <w:pPr>
              <w:jc w:val="right"/>
              <w:rPr>
                <w:color w:val="000000"/>
                <w:sz w:val="18"/>
                <w:szCs w:val="18"/>
              </w:rPr>
            </w:pPr>
            <w:r w:rsidRPr="00EC21FB">
              <w:rPr>
                <w:color w:val="000000"/>
                <w:sz w:val="18"/>
                <w:szCs w:val="18"/>
              </w:rPr>
              <w:t>-58.48</w:t>
            </w:r>
          </w:p>
        </w:tc>
        <w:tc>
          <w:tcPr>
            <w:tcW w:w="990" w:type="dxa"/>
          </w:tcPr>
          <w:p w14:paraId="5281849B" w14:textId="0DB7C006" w:rsidR="00C31920" w:rsidRPr="00C15C33" w:rsidRDefault="00B7167A" w:rsidP="00EC21FB">
            <w:pPr>
              <w:jc w:val="right"/>
              <w:rPr>
                <w:color w:val="000000"/>
                <w:sz w:val="18"/>
                <w:szCs w:val="18"/>
              </w:rPr>
            </w:pPr>
            <w:r>
              <w:rPr>
                <w:color w:val="000000"/>
                <w:sz w:val="18"/>
                <w:szCs w:val="18"/>
              </w:rPr>
              <w:t>23</w:t>
            </w:r>
          </w:p>
        </w:tc>
        <w:tc>
          <w:tcPr>
            <w:tcW w:w="630" w:type="dxa"/>
            <w:vAlign w:val="center"/>
          </w:tcPr>
          <w:p w14:paraId="36C717C6" w14:textId="22A15ABE" w:rsidR="00C31920" w:rsidRPr="00C15C33" w:rsidRDefault="00B7167A" w:rsidP="00EC21FB">
            <w:pPr>
              <w:jc w:val="right"/>
              <w:rPr>
                <w:color w:val="000000"/>
                <w:sz w:val="18"/>
                <w:szCs w:val="18"/>
              </w:rPr>
            </w:pPr>
            <w:r>
              <w:rPr>
                <w:color w:val="000000"/>
                <w:sz w:val="18"/>
                <w:szCs w:val="18"/>
              </w:rPr>
              <w:t>17.4</w:t>
            </w:r>
          </w:p>
        </w:tc>
        <w:tc>
          <w:tcPr>
            <w:tcW w:w="630" w:type="dxa"/>
            <w:vAlign w:val="center"/>
          </w:tcPr>
          <w:p w14:paraId="0EE7DA2E" w14:textId="5003C659" w:rsidR="00C31920" w:rsidRPr="00C15C33" w:rsidRDefault="00B7167A" w:rsidP="00EC21FB">
            <w:pPr>
              <w:jc w:val="right"/>
              <w:rPr>
                <w:color w:val="000000"/>
                <w:sz w:val="18"/>
                <w:szCs w:val="18"/>
              </w:rPr>
            </w:pPr>
            <w:r>
              <w:rPr>
                <w:color w:val="000000"/>
                <w:sz w:val="18"/>
                <w:szCs w:val="18"/>
              </w:rPr>
              <w:t>0.73</w:t>
            </w:r>
          </w:p>
        </w:tc>
        <w:tc>
          <w:tcPr>
            <w:tcW w:w="630" w:type="dxa"/>
          </w:tcPr>
          <w:p w14:paraId="6FA9C29E" w14:textId="4CCE50A5" w:rsidR="00C31920" w:rsidRPr="00C15C33" w:rsidRDefault="00B7167A" w:rsidP="00EC21FB">
            <w:pPr>
              <w:jc w:val="right"/>
              <w:rPr>
                <w:color w:val="000000"/>
                <w:sz w:val="18"/>
                <w:szCs w:val="18"/>
              </w:rPr>
            </w:pPr>
            <w:r>
              <w:rPr>
                <w:color w:val="000000"/>
                <w:sz w:val="18"/>
                <w:szCs w:val="18"/>
              </w:rPr>
              <w:t>777</w:t>
            </w:r>
          </w:p>
        </w:tc>
        <w:tc>
          <w:tcPr>
            <w:tcW w:w="1080" w:type="dxa"/>
            <w:vAlign w:val="bottom"/>
          </w:tcPr>
          <w:p w14:paraId="5E9C122B" w14:textId="4D55C522" w:rsidR="00C31920" w:rsidRPr="00EC21FB" w:rsidRDefault="00C31920" w:rsidP="00EC21FB">
            <w:pPr>
              <w:jc w:val="right"/>
              <w:rPr>
                <w:color w:val="000000"/>
                <w:sz w:val="18"/>
                <w:szCs w:val="18"/>
              </w:rPr>
            </w:pPr>
            <w:r w:rsidRPr="00EC21FB">
              <w:rPr>
                <w:color w:val="000000"/>
                <w:sz w:val="18"/>
                <w:szCs w:val="18"/>
              </w:rPr>
              <w:t>cropland</w:t>
            </w:r>
          </w:p>
        </w:tc>
        <w:tc>
          <w:tcPr>
            <w:tcW w:w="1170" w:type="dxa"/>
            <w:vAlign w:val="bottom"/>
          </w:tcPr>
          <w:p w14:paraId="2471F5AE" w14:textId="6E7875ED"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42EAE9EE" w14:textId="1E50F75E"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491D2182" w14:textId="232E84C7" w:rsidR="00C31920" w:rsidRPr="00EC21FB" w:rsidRDefault="00C31920" w:rsidP="00EC21FB">
            <w:pPr>
              <w:jc w:val="right"/>
              <w:rPr>
                <w:color w:val="000000"/>
                <w:sz w:val="18"/>
                <w:szCs w:val="18"/>
              </w:rPr>
            </w:pPr>
            <w:r w:rsidRPr="00EC21FB">
              <w:rPr>
                <w:color w:val="000000"/>
                <w:sz w:val="18"/>
                <w:szCs w:val="18"/>
              </w:rPr>
              <w:t>5.7</w:t>
            </w:r>
          </w:p>
        </w:tc>
      </w:tr>
      <w:tr w:rsidR="00C31920" w:rsidRPr="00380AE9" w14:paraId="386E2E41" w14:textId="77777777" w:rsidTr="00D12150">
        <w:sdt>
          <w:sdtPr>
            <w:rPr>
              <w:color w:val="000000"/>
              <w:sz w:val="18"/>
              <w:szCs w:val="18"/>
            </w:rPr>
            <w:tag w:val="MENDELEY_CITATION_v3_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"/>
            <w:id w:val="-1564253398"/>
            <w:placeholder>
              <w:docPart w:val="70C3B0861DAB5941A501686A6CEEC105"/>
            </w:placeholder>
          </w:sdtPr>
          <w:sdtContent>
            <w:tc>
              <w:tcPr>
                <w:tcW w:w="2335" w:type="dxa"/>
              </w:tcPr>
              <w:p w14:paraId="4A0FCEB4" w14:textId="56145402" w:rsidR="00C31920" w:rsidRPr="00EC21FB" w:rsidRDefault="00E807B5" w:rsidP="00EC21FB">
                <w:pPr>
                  <w:rPr>
                    <w:sz w:val="18"/>
                    <w:szCs w:val="18"/>
                  </w:rPr>
                </w:pPr>
                <w:r w:rsidRPr="00E807B5">
                  <w:rPr>
                    <w:rFonts w:eastAsia="Times New Roman"/>
                    <w:color w:val="000000"/>
                    <w:sz w:val="18"/>
                  </w:rPr>
                  <w:t>(</w:t>
                </w:r>
                <w:proofErr w:type="spellStart"/>
                <w:r w:rsidRPr="00E807B5">
                  <w:rPr>
                    <w:rFonts w:eastAsia="Times New Roman"/>
                    <w:color w:val="000000"/>
                    <w:sz w:val="18"/>
                  </w:rPr>
                  <w:t>Rejmánková</w:t>
                </w:r>
                <w:proofErr w:type="spellEnd"/>
                <w:r w:rsidRPr="00E807B5">
                  <w:rPr>
                    <w:rFonts w:eastAsia="Times New Roman"/>
                    <w:color w:val="000000"/>
                    <w:sz w:val="18"/>
                  </w:rPr>
                  <w:t xml:space="preserve"> et al., 2008)</w:t>
                </w:r>
              </w:p>
            </w:tc>
          </w:sdtContent>
        </w:sdt>
        <w:tc>
          <w:tcPr>
            <w:tcW w:w="1260" w:type="dxa"/>
            <w:vAlign w:val="bottom"/>
          </w:tcPr>
          <w:p w14:paraId="5B799D17" w14:textId="727F8096" w:rsidR="00C31920" w:rsidRPr="00EC21FB" w:rsidRDefault="00C31920" w:rsidP="00EC21FB">
            <w:pPr>
              <w:rPr>
                <w:color w:val="000000"/>
                <w:sz w:val="18"/>
                <w:szCs w:val="18"/>
              </w:rPr>
            </w:pPr>
            <w:proofErr w:type="spellStart"/>
            <w:r w:rsidRPr="00EC21FB">
              <w:rPr>
                <w:color w:val="000000"/>
                <w:sz w:val="18"/>
                <w:szCs w:val="18"/>
              </w:rPr>
              <w:t>belize</w:t>
            </w:r>
            <w:proofErr w:type="spellEnd"/>
          </w:p>
        </w:tc>
        <w:tc>
          <w:tcPr>
            <w:tcW w:w="810" w:type="dxa"/>
            <w:vAlign w:val="bottom"/>
          </w:tcPr>
          <w:p w14:paraId="638C630E" w14:textId="2074F095" w:rsidR="00C31920" w:rsidRPr="00EC21FB" w:rsidRDefault="00C31920" w:rsidP="00EC21FB">
            <w:pPr>
              <w:jc w:val="right"/>
              <w:rPr>
                <w:color w:val="000000"/>
                <w:sz w:val="18"/>
                <w:szCs w:val="18"/>
              </w:rPr>
            </w:pPr>
            <w:r w:rsidRPr="00EC21FB">
              <w:rPr>
                <w:color w:val="000000"/>
                <w:sz w:val="18"/>
                <w:szCs w:val="18"/>
              </w:rPr>
              <w:t>18.83</w:t>
            </w:r>
          </w:p>
        </w:tc>
        <w:tc>
          <w:tcPr>
            <w:tcW w:w="1080" w:type="dxa"/>
            <w:vAlign w:val="bottom"/>
          </w:tcPr>
          <w:p w14:paraId="1BC0F8EA" w14:textId="413E41CC" w:rsidR="00C31920" w:rsidRPr="00EC21FB" w:rsidRDefault="00C31920" w:rsidP="00EC21FB">
            <w:pPr>
              <w:jc w:val="right"/>
              <w:rPr>
                <w:color w:val="000000"/>
                <w:sz w:val="18"/>
                <w:szCs w:val="18"/>
              </w:rPr>
            </w:pPr>
            <w:r w:rsidRPr="00EC21FB">
              <w:rPr>
                <w:color w:val="000000"/>
                <w:sz w:val="18"/>
                <w:szCs w:val="18"/>
              </w:rPr>
              <w:t>-89.12</w:t>
            </w:r>
          </w:p>
        </w:tc>
        <w:tc>
          <w:tcPr>
            <w:tcW w:w="990" w:type="dxa"/>
          </w:tcPr>
          <w:p w14:paraId="36E82D58" w14:textId="1506DBF7" w:rsidR="00C31920" w:rsidRPr="00C15C33" w:rsidRDefault="00B7167A" w:rsidP="00EC21FB">
            <w:pPr>
              <w:jc w:val="right"/>
              <w:rPr>
                <w:color w:val="000000"/>
                <w:sz w:val="18"/>
                <w:szCs w:val="18"/>
              </w:rPr>
            </w:pPr>
            <w:r>
              <w:rPr>
                <w:color w:val="000000"/>
                <w:sz w:val="18"/>
                <w:szCs w:val="18"/>
              </w:rPr>
              <w:t>103</w:t>
            </w:r>
          </w:p>
        </w:tc>
        <w:tc>
          <w:tcPr>
            <w:tcW w:w="630" w:type="dxa"/>
            <w:vAlign w:val="center"/>
          </w:tcPr>
          <w:p w14:paraId="5519E0E7" w14:textId="0905F27E" w:rsidR="00C31920" w:rsidRPr="00C15C33" w:rsidRDefault="00B7167A" w:rsidP="00EC21FB">
            <w:pPr>
              <w:jc w:val="right"/>
              <w:rPr>
                <w:color w:val="000000"/>
                <w:sz w:val="18"/>
                <w:szCs w:val="18"/>
              </w:rPr>
            </w:pPr>
            <w:r>
              <w:rPr>
                <w:color w:val="000000"/>
                <w:sz w:val="18"/>
                <w:szCs w:val="18"/>
              </w:rPr>
              <w:t>25.1</w:t>
            </w:r>
          </w:p>
        </w:tc>
        <w:tc>
          <w:tcPr>
            <w:tcW w:w="630" w:type="dxa"/>
            <w:vAlign w:val="center"/>
          </w:tcPr>
          <w:p w14:paraId="5CD5EB16" w14:textId="5B98B49B" w:rsidR="00C31920" w:rsidRPr="00C15C33" w:rsidRDefault="00B7167A" w:rsidP="00EC21FB">
            <w:pPr>
              <w:jc w:val="right"/>
              <w:rPr>
                <w:color w:val="000000"/>
                <w:sz w:val="18"/>
                <w:szCs w:val="18"/>
              </w:rPr>
            </w:pPr>
            <w:r>
              <w:rPr>
                <w:color w:val="000000"/>
                <w:sz w:val="18"/>
                <w:szCs w:val="18"/>
              </w:rPr>
              <w:t>0.54</w:t>
            </w:r>
          </w:p>
        </w:tc>
        <w:tc>
          <w:tcPr>
            <w:tcW w:w="630" w:type="dxa"/>
          </w:tcPr>
          <w:p w14:paraId="15A89DC9" w14:textId="674B7306" w:rsidR="00C31920" w:rsidRPr="00C15C33" w:rsidRDefault="00B7167A" w:rsidP="00EC21FB">
            <w:pPr>
              <w:jc w:val="right"/>
              <w:rPr>
                <w:color w:val="000000"/>
                <w:sz w:val="18"/>
                <w:szCs w:val="18"/>
              </w:rPr>
            </w:pPr>
            <w:r>
              <w:rPr>
                <w:color w:val="000000"/>
                <w:sz w:val="18"/>
                <w:szCs w:val="18"/>
              </w:rPr>
              <w:t>880</w:t>
            </w:r>
          </w:p>
        </w:tc>
        <w:tc>
          <w:tcPr>
            <w:tcW w:w="1080" w:type="dxa"/>
            <w:vAlign w:val="bottom"/>
          </w:tcPr>
          <w:p w14:paraId="00B9E5FD" w14:textId="4AA87F8A"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76B8D6B3" w14:textId="3D31A248"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2C118F49" w14:textId="342B7322" w:rsidR="00C31920" w:rsidRPr="00EC21FB" w:rsidRDefault="00C31920" w:rsidP="00EC21FB">
            <w:pPr>
              <w:jc w:val="right"/>
              <w:rPr>
                <w:color w:val="000000"/>
                <w:sz w:val="18"/>
                <w:szCs w:val="18"/>
              </w:rPr>
            </w:pPr>
            <w:r w:rsidRPr="00EC21FB">
              <w:rPr>
                <w:color w:val="000000"/>
                <w:sz w:val="18"/>
                <w:szCs w:val="18"/>
              </w:rPr>
              <w:t>20</w:t>
            </w:r>
          </w:p>
        </w:tc>
        <w:tc>
          <w:tcPr>
            <w:tcW w:w="1170" w:type="dxa"/>
          </w:tcPr>
          <w:p w14:paraId="38B2A4EF" w14:textId="01ECA411" w:rsidR="00C31920" w:rsidRPr="00EC21FB" w:rsidRDefault="00C31920" w:rsidP="00EC21FB">
            <w:pPr>
              <w:jc w:val="right"/>
              <w:rPr>
                <w:color w:val="000000"/>
                <w:sz w:val="18"/>
                <w:szCs w:val="18"/>
              </w:rPr>
            </w:pPr>
            <w:r w:rsidRPr="00EC21FB">
              <w:rPr>
                <w:color w:val="000000"/>
                <w:sz w:val="18"/>
                <w:szCs w:val="18"/>
              </w:rPr>
              <w:t>10</w:t>
            </w:r>
          </w:p>
        </w:tc>
      </w:tr>
      <w:tr w:rsidR="00C31920" w:rsidRPr="00380AE9" w14:paraId="6076668A" w14:textId="77777777" w:rsidTr="00D12150">
        <w:sdt>
          <w:sdtPr>
            <w:rPr>
              <w:color w:val="000000"/>
              <w:sz w:val="18"/>
              <w:szCs w:val="18"/>
            </w:rPr>
            <w:tag w:val="MENDELEY_CITATION_v3_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"/>
            <w:id w:val="1876197016"/>
            <w:placeholder>
              <w:docPart w:val="CF4E463D754EB14686734BBBFB79D6E6"/>
            </w:placeholder>
          </w:sdtPr>
          <w:sdtContent>
            <w:tc>
              <w:tcPr>
                <w:tcW w:w="2335" w:type="dxa"/>
              </w:tcPr>
              <w:p w14:paraId="75F14DC0" w14:textId="00102290" w:rsidR="00C31920" w:rsidRPr="00EC21FB" w:rsidRDefault="00E807B5" w:rsidP="00EC21FB">
                <w:pPr>
                  <w:rPr>
                    <w:sz w:val="18"/>
                    <w:szCs w:val="18"/>
                  </w:rPr>
                </w:pPr>
                <w:r w:rsidRPr="00E807B5">
                  <w:rPr>
                    <w:rFonts w:eastAsia="Times New Roman"/>
                    <w:color w:val="000000"/>
                    <w:sz w:val="18"/>
                  </w:rPr>
                  <w:t>(Ren et al., 2010)</w:t>
                </w:r>
              </w:p>
            </w:tc>
          </w:sdtContent>
        </w:sdt>
        <w:tc>
          <w:tcPr>
            <w:tcW w:w="1260" w:type="dxa"/>
            <w:vAlign w:val="bottom"/>
          </w:tcPr>
          <w:p w14:paraId="4540AC4C" w14:textId="699AEF49" w:rsidR="00C31920" w:rsidRPr="00EC21FB" w:rsidRDefault="00C31920" w:rsidP="00EC21FB">
            <w:pPr>
              <w:rPr>
                <w:color w:val="000000"/>
                <w:sz w:val="18"/>
                <w:szCs w:val="18"/>
              </w:rPr>
            </w:pPr>
            <w:proofErr w:type="spellStart"/>
            <w:r w:rsidRPr="00EC21FB">
              <w:rPr>
                <w:color w:val="000000"/>
                <w:sz w:val="18"/>
                <w:szCs w:val="18"/>
              </w:rPr>
              <w:t>lanzhou</w:t>
            </w:r>
            <w:proofErr w:type="spellEnd"/>
          </w:p>
        </w:tc>
        <w:tc>
          <w:tcPr>
            <w:tcW w:w="810" w:type="dxa"/>
            <w:vAlign w:val="bottom"/>
          </w:tcPr>
          <w:p w14:paraId="5D1EA883" w14:textId="77DAB6D5" w:rsidR="00C31920" w:rsidRPr="00EC21FB" w:rsidRDefault="00C31920" w:rsidP="00EC21FB">
            <w:pPr>
              <w:jc w:val="right"/>
              <w:rPr>
                <w:color w:val="000000"/>
                <w:sz w:val="18"/>
                <w:szCs w:val="18"/>
              </w:rPr>
            </w:pPr>
            <w:r w:rsidRPr="00EC21FB">
              <w:rPr>
                <w:color w:val="000000"/>
                <w:sz w:val="18"/>
                <w:szCs w:val="18"/>
              </w:rPr>
              <w:t>33.97</w:t>
            </w:r>
          </w:p>
        </w:tc>
        <w:tc>
          <w:tcPr>
            <w:tcW w:w="1080" w:type="dxa"/>
            <w:vAlign w:val="bottom"/>
          </w:tcPr>
          <w:p w14:paraId="7C339FAC" w14:textId="1CA4F820" w:rsidR="00C31920" w:rsidRPr="00EC21FB" w:rsidRDefault="00C31920" w:rsidP="00EC21FB">
            <w:pPr>
              <w:jc w:val="right"/>
              <w:rPr>
                <w:color w:val="000000"/>
                <w:sz w:val="18"/>
                <w:szCs w:val="18"/>
              </w:rPr>
            </w:pPr>
            <w:r w:rsidRPr="00EC21FB">
              <w:rPr>
                <w:color w:val="000000"/>
                <w:sz w:val="18"/>
                <w:szCs w:val="18"/>
              </w:rPr>
              <w:t>101.88</w:t>
            </w:r>
          </w:p>
        </w:tc>
        <w:tc>
          <w:tcPr>
            <w:tcW w:w="990" w:type="dxa"/>
          </w:tcPr>
          <w:p w14:paraId="693F1396" w14:textId="05BFABFE" w:rsidR="00C31920" w:rsidRPr="00C15C33" w:rsidRDefault="00B7167A" w:rsidP="00EC21FB">
            <w:pPr>
              <w:jc w:val="right"/>
              <w:rPr>
                <w:color w:val="000000"/>
                <w:sz w:val="18"/>
                <w:szCs w:val="18"/>
              </w:rPr>
            </w:pPr>
            <w:r>
              <w:rPr>
                <w:color w:val="000000"/>
                <w:sz w:val="18"/>
                <w:szCs w:val="18"/>
              </w:rPr>
              <w:t>3646</w:t>
            </w:r>
          </w:p>
        </w:tc>
        <w:tc>
          <w:tcPr>
            <w:tcW w:w="630" w:type="dxa"/>
            <w:vAlign w:val="center"/>
          </w:tcPr>
          <w:p w14:paraId="638193E0" w14:textId="77F817F3" w:rsidR="00C31920" w:rsidRPr="00C15C33" w:rsidRDefault="00B7167A" w:rsidP="00EC21FB">
            <w:pPr>
              <w:jc w:val="right"/>
              <w:rPr>
                <w:color w:val="000000"/>
                <w:sz w:val="18"/>
                <w:szCs w:val="18"/>
              </w:rPr>
            </w:pPr>
            <w:r>
              <w:rPr>
                <w:color w:val="000000"/>
                <w:sz w:val="18"/>
                <w:szCs w:val="18"/>
              </w:rPr>
              <w:t>5.7</w:t>
            </w:r>
          </w:p>
        </w:tc>
        <w:tc>
          <w:tcPr>
            <w:tcW w:w="630" w:type="dxa"/>
            <w:vAlign w:val="center"/>
          </w:tcPr>
          <w:p w14:paraId="7D12E518" w14:textId="611A566C" w:rsidR="00C31920" w:rsidRPr="00C15C33" w:rsidRDefault="00B7167A" w:rsidP="00EC21FB">
            <w:pPr>
              <w:jc w:val="right"/>
              <w:rPr>
                <w:color w:val="000000"/>
                <w:sz w:val="18"/>
                <w:szCs w:val="18"/>
              </w:rPr>
            </w:pPr>
            <w:r>
              <w:rPr>
                <w:color w:val="000000"/>
                <w:sz w:val="18"/>
                <w:szCs w:val="18"/>
              </w:rPr>
              <w:t>0.91</w:t>
            </w:r>
          </w:p>
        </w:tc>
        <w:tc>
          <w:tcPr>
            <w:tcW w:w="630" w:type="dxa"/>
          </w:tcPr>
          <w:p w14:paraId="58EBB910" w14:textId="4322E9E8" w:rsidR="00C31920" w:rsidRPr="00C15C33" w:rsidRDefault="00B7167A" w:rsidP="00EC21FB">
            <w:pPr>
              <w:jc w:val="right"/>
              <w:rPr>
                <w:color w:val="000000"/>
                <w:sz w:val="18"/>
                <w:szCs w:val="18"/>
              </w:rPr>
            </w:pPr>
            <w:r>
              <w:rPr>
                <w:color w:val="000000"/>
                <w:sz w:val="18"/>
                <w:szCs w:val="18"/>
              </w:rPr>
              <w:t>805</w:t>
            </w:r>
          </w:p>
        </w:tc>
        <w:tc>
          <w:tcPr>
            <w:tcW w:w="1080" w:type="dxa"/>
            <w:vAlign w:val="bottom"/>
          </w:tcPr>
          <w:p w14:paraId="66277181" w14:textId="6E5EC2F1"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123A41C6" w14:textId="44697C2F"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5FFA0F96" w14:textId="1DCDDF62"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1734D259" w14:textId="7DFF70F0" w:rsidR="00C31920" w:rsidRPr="00EC21FB" w:rsidRDefault="00C31920" w:rsidP="00EC21FB">
            <w:pPr>
              <w:jc w:val="right"/>
              <w:rPr>
                <w:color w:val="000000"/>
                <w:sz w:val="18"/>
                <w:szCs w:val="18"/>
              </w:rPr>
            </w:pPr>
            <w:r w:rsidRPr="00EC21FB">
              <w:rPr>
                <w:color w:val="000000"/>
                <w:sz w:val="18"/>
                <w:szCs w:val="18"/>
              </w:rPr>
              <w:t>20</w:t>
            </w:r>
          </w:p>
        </w:tc>
      </w:tr>
      <w:tr w:rsidR="00C31920" w:rsidRPr="00380AE9" w14:paraId="4146C062" w14:textId="77777777" w:rsidTr="00D12150">
        <w:sdt>
          <w:sdtPr>
            <w:rPr>
              <w:color w:val="000000"/>
              <w:sz w:val="18"/>
              <w:szCs w:val="18"/>
            </w:rPr>
            <w:tag w:val="MENDELEY_CITATION_v3_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"/>
            <w:id w:val="-1308162175"/>
            <w:placeholder>
              <w:docPart w:val="77115EE1407E7B46837C1B7E5C6499D5"/>
            </w:placeholder>
          </w:sdtPr>
          <w:sdtContent>
            <w:tc>
              <w:tcPr>
                <w:tcW w:w="2335" w:type="dxa"/>
              </w:tcPr>
              <w:p w14:paraId="39489D8A" w14:textId="63CAF81D" w:rsidR="00C31920" w:rsidRPr="00EC21FB" w:rsidRDefault="00E807B5" w:rsidP="00EC21FB">
                <w:pPr>
                  <w:rPr>
                    <w:sz w:val="18"/>
                    <w:szCs w:val="18"/>
                  </w:rPr>
                </w:pPr>
                <w:r w:rsidRPr="00E807B5">
                  <w:rPr>
                    <w:rFonts w:eastAsia="Times New Roman"/>
                    <w:color w:val="000000"/>
                    <w:sz w:val="18"/>
                  </w:rPr>
                  <w:t>(Ries &amp; Shugart, 2008)</w:t>
                </w:r>
              </w:p>
            </w:tc>
          </w:sdtContent>
        </w:sdt>
        <w:tc>
          <w:tcPr>
            <w:tcW w:w="1260" w:type="dxa"/>
            <w:vAlign w:val="bottom"/>
          </w:tcPr>
          <w:p w14:paraId="31D09611" w14:textId="1462B1F7" w:rsidR="00C31920" w:rsidRPr="00EC21FB" w:rsidRDefault="00C31920" w:rsidP="00EC21FB">
            <w:pPr>
              <w:rPr>
                <w:color w:val="000000"/>
                <w:sz w:val="18"/>
                <w:szCs w:val="18"/>
              </w:rPr>
            </w:pPr>
            <w:proofErr w:type="spellStart"/>
            <w:r w:rsidRPr="00EC21FB">
              <w:rPr>
                <w:color w:val="000000"/>
                <w:sz w:val="18"/>
                <w:szCs w:val="18"/>
              </w:rPr>
              <w:t>pandamatenga</w:t>
            </w:r>
            <w:proofErr w:type="spellEnd"/>
          </w:p>
        </w:tc>
        <w:tc>
          <w:tcPr>
            <w:tcW w:w="810" w:type="dxa"/>
            <w:vAlign w:val="bottom"/>
          </w:tcPr>
          <w:p w14:paraId="2A19E956" w14:textId="2952119F" w:rsidR="00C31920" w:rsidRPr="00EC21FB" w:rsidRDefault="00C31920" w:rsidP="00EC21FB">
            <w:pPr>
              <w:jc w:val="right"/>
              <w:rPr>
                <w:color w:val="000000"/>
                <w:sz w:val="18"/>
                <w:szCs w:val="18"/>
              </w:rPr>
            </w:pPr>
            <w:r w:rsidRPr="00EC21FB">
              <w:rPr>
                <w:color w:val="000000"/>
                <w:sz w:val="18"/>
                <w:szCs w:val="18"/>
              </w:rPr>
              <w:t>-18.66</w:t>
            </w:r>
          </w:p>
        </w:tc>
        <w:tc>
          <w:tcPr>
            <w:tcW w:w="1080" w:type="dxa"/>
            <w:vAlign w:val="bottom"/>
          </w:tcPr>
          <w:p w14:paraId="3F1955F1" w14:textId="4C7ABFC7" w:rsidR="00C31920" w:rsidRPr="00EC21FB" w:rsidRDefault="00C31920" w:rsidP="00EC21FB">
            <w:pPr>
              <w:jc w:val="right"/>
              <w:rPr>
                <w:color w:val="000000"/>
                <w:sz w:val="18"/>
                <w:szCs w:val="18"/>
              </w:rPr>
            </w:pPr>
            <w:r w:rsidRPr="00EC21FB">
              <w:rPr>
                <w:color w:val="000000"/>
                <w:sz w:val="18"/>
                <w:szCs w:val="18"/>
              </w:rPr>
              <w:t>25.5</w:t>
            </w:r>
          </w:p>
        </w:tc>
        <w:tc>
          <w:tcPr>
            <w:tcW w:w="990" w:type="dxa"/>
          </w:tcPr>
          <w:p w14:paraId="175B4D63" w14:textId="6AE5BCB7" w:rsidR="00C31920" w:rsidRPr="00C15C33" w:rsidRDefault="00B7167A" w:rsidP="00EC21FB">
            <w:pPr>
              <w:jc w:val="right"/>
              <w:rPr>
                <w:color w:val="000000"/>
                <w:sz w:val="18"/>
                <w:szCs w:val="18"/>
              </w:rPr>
            </w:pPr>
            <w:r>
              <w:rPr>
                <w:color w:val="000000"/>
                <w:sz w:val="18"/>
                <w:szCs w:val="18"/>
              </w:rPr>
              <w:t>1082</w:t>
            </w:r>
          </w:p>
        </w:tc>
        <w:tc>
          <w:tcPr>
            <w:tcW w:w="630" w:type="dxa"/>
            <w:vAlign w:val="center"/>
          </w:tcPr>
          <w:p w14:paraId="4A02E640" w14:textId="08010C4E" w:rsidR="00C31920" w:rsidRPr="00C15C33" w:rsidRDefault="00B7167A" w:rsidP="00EC21FB">
            <w:pPr>
              <w:jc w:val="right"/>
              <w:rPr>
                <w:color w:val="000000"/>
                <w:sz w:val="18"/>
                <w:szCs w:val="18"/>
              </w:rPr>
            </w:pPr>
            <w:r>
              <w:rPr>
                <w:color w:val="000000"/>
                <w:sz w:val="18"/>
                <w:szCs w:val="18"/>
              </w:rPr>
              <w:t>23.5</w:t>
            </w:r>
          </w:p>
        </w:tc>
        <w:tc>
          <w:tcPr>
            <w:tcW w:w="630" w:type="dxa"/>
            <w:vAlign w:val="center"/>
          </w:tcPr>
          <w:p w14:paraId="6C480E13" w14:textId="530279D5" w:rsidR="00C31920" w:rsidRPr="00C15C33" w:rsidRDefault="00B7167A" w:rsidP="00EC21FB">
            <w:pPr>
              <w:jc w:val="right"/>
              <w:rPr>
                <w:color w:val="000000"/>
                <w:sz w:val="18"/>
                <w:szCs w:val="18"/>
              </w:rPr>
            </w:pPr>
            <w:r>
              <w:rPr>
                <w:color w:val="000000"/>
                <w:sz w:val="18"/>
                <w:szCs w:val="18"/>
              </w:rPr>
              <w:t>0.26</w:t>
            </w:r>
          </w:p>
        </w:tc>
        <w:tc>
          <w:tcPr>
            <w:tcW w:w="630" w:type="dxa"/>
          </w:tcPr>
          <w:p w14:paraId="2350CD2A" w14:textId="506D76BD" w:rsidR="00C31920" w:rsidRPr="00C15C33" w:rsidRDefault="00B7167A" w:rsidP="00EC21FB">
            <w:pPr>
              <w:jc w:val="right"/>
              <w:rPr>
                <w:color w:val="000000"/>
                <w:sz w:val="18"/>
                <w:szCs w:val="18"/>
              </w:rPr>
            </w:pPr>
            <w:r>
              <w:rPr>
                <w:color w:val="000000"/>
                <w:sz w:val="18"/>
                <w:szCs w:val="18"/>
              </w:rPr>
              <w:t>974</w:t>
            </w:r>
          </w:p>
        </w:tc>
        <w:tc>
          <w:tcPr>
            <w:tcW w:w="1080" w:type="dxa"/>
            <w:vAlign w:val="bottom"/>
          </w:tcPr>
          <w:p w14:paraId="6DDB8B10" w14:textId="4B9CAC2F"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1A72D79B" w14:textId="548670CC"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42C61346" w14:textId="44A22743" w:rsidR="00C31920" w:rsidRPr="00EC21FB" w:rsidRDefault="00C31920" w:rsidP="00EC21FB">
            <w:pPr>
              <w:jc w:val="right"/>
              <w:rPr>
                <w:color w:val="000000"/>
                <w:sz w:val="18"/>
                <w:szCs w:val="18"/>
              </w:rPr>
            </w:pPr>
            <w:r w:rsidRPr="00EC21FB">
              <w:rPr>
                <w:color w:val="000000"/>
                <w:sz w:val="18"/>
                <w:szCs w:val="18"/>
              </w:rPr>
              <w:t>20</w:t>
            </w:r>
          </w:p>
        </w:tc>
        <w:tc>
          <w:tcPr>
            <w:tcW w:w="1170" w:type="dxa"/>
          </w:tcPr>
          <w:p w14:paraId="43DE4696" w14:textId="1BC9176C" w:rsidR="00C31920" w:rsidRPr="00EC21FB" w:rsidRDefault="00C31920" w:rsidP="00EC21FB">
            <w:pPr>
              <w:jc w:val="right"/>
              <w:rPr>
                <w:color w:val="000000"/>
                <w:sz w:val="18"/>
                <w:szCs w:val="18"/>
              </w:rPr>
            </w:pPr>
            <w:r w:rsidRPr="00EC21FB">
              <w:rPr>
                <w:color w:val="000000"/>
                <w:sz w:val="18"/>
                <w:szCs w:val="18"/>
              </w:rPr>
              <w:t>10</w:t>
            </w:r>
          </w:p>
        </w:tc>
      </w:tr>
      <w:tr w:rsidR="00C31920" w:rsidRPr="00380AE9" w14:paraId="61F15F19" w14:textId="77777777" w:rsidTr="00D12150">
        <w:sdt>
          <w:sdtPr>
            <w:rPr>
              <w:color w:val="000000"/>
              <w:sz w:val="18"/>
              <w:szCs w:val="18"/>
            </w:rPr>
            <w:tag w:val="MENDELEY_CITATION_v3_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"/>
            <w:id w:val="-1050532583"/>
            <w:placeholder>
              <w:docPart w:val="B63023A0470EBC498452ED5093178464"/>
            </w:placeholder>
          </w:sdtPr>
          <w:sdtContent>
            <w:tc>
              <w:tcPr>
                <w:tcW w:w="2335" w:type="dxa"/>
              </w:tcPr>
              <w:p w14:paraId="524F4BEA" w14:textId="4CD2682B" w:rsidR="00C31920" w:rsidRPr="00EC21FB" w:rsidRDefault="00E807B5" w:rsidP="00EC21FB">
                <w:pPr>
                  <w:rPr>
                    <w:sz w:val="18"/>
                    <w:szCs w:val="18"/>
                  </w:rPr>
                </w:pPr>
                <w:r w:rsidRPr="00E807B5">
                  <w:rPr>
                    <w:rFonts w:eastAsia="Times New Roman"/>
                    <w:color w:val="000000"/>
                    <w:sz w:val="18"/>
                  </w:rPr>
                  <w:t>(Scott et al., 2015)</w:t>
                </w:r>
              </w:p>
            </w:tc>
          </w:sdtContent>
        </w:sdt>
        <w:tc>
          <w:tcPr>
            <w:tcW w:w="1260" w:type="dxa"/>
            <w:vAlign w:val="bottom"/>
          </w:tcPr>
          <w:p w14:paraId="47202174" w14:textId="7B070219" w:rsidR="00C31920" w:rsidRPr="00EC21FB" w:rsidRDefault="00C31920" w:rsidP="00EC21FB">
            <w:pPr>
              <w:rPr>
                <w:color w:val="000000"/>
                <w:sz w:val="18"/>
                <w:szCs w:val="18"/>
              </w:rPr>
            </w:pPr>
            <w:proofErr w:type="spellStart"/>
            <w:r w:rsidRPr="00EC21FB">
              <w:rPr>
                <w:color w:val="000000"/>
                <w:sz w:val="18"/>
                <w:szCs w:val="18"/>
              </w:rPr>
              <w:t>ruakura</w:t>
            </w:r>
            <w:proofErr w:type="spellEnd"/>
          </w:p>
        </w:tc>
        <w:tc>
          <w:tcPr>
            <w:tcW w:w="810" w:type="dxa"/>
            <w:vAlign w:val="bottom"/>
          </w:tcPr>
          <w:p w14:paraId="36B049FD" w14:textId="56E8771C" w:rsidR="00C31920" w:rsidRPr="00EC21FB" w:rsidRDefault="00C31920" w:rsidP="00EC21FB">
            <w:pPr>
              <w:jc w:val="right"/>
              <w:rPr>
                <w:color w:val="000000"/>
                <w:sz w:val="18"/>
                <w:szCs w:val="18"/>
              </w:rPr>
            </w:pPr>
            <w:r w:rsidRPr="00EC21FB">
              <w:rPr>
                <w:color w:val="000000"/>
                <w:sz w:val="18"/>
                <w:szCs w:val="18"/>
              </w:rPr>
              <w:t>-37.78</w:t>
            </w:r>
          </w:p>
        </w:tc>
        <w:tc>
          <w:tcPr>
            <w:tcW w:w="1080" w:type="dxa"/>
            <w:vAlign w:val="bottom"/>
          </w:tcPr>
          <w:p w14:paraId="24134980" w14:textId="2F2E5AF1" w:rsidR="00C31920" w:rsidRPr="00EC21FB" w:rsidRDefault="00C31920" w:rsidP="00EC21FB">
            <w:pPr>
              <w:jc w:val="right"/>
              <w:rPr>
                <w:color w:val="000000"/>
                <w:sz w:val="18"/>
                <w:szCs w:val="18"/>
              </w:rPr>
            </w:pPr>
            <w:r w:rsidRPr="00EC21FB">
              <w:rPr>
                <w:color w:val="000000"/>
                <w:sz w:val="18"/>
                <w:szCs w:val="18"/>
              </w:rPr>
              <w:t>175.32</w:t>
            </w:r>
          </w:p>
        </w:tc>
        <w:tc>
          <w:tcPr>
            <w:tcW w:w="990" w:type="dxa"/>
          </w:tcPr>
          <w:p w14:paraId="3F35F59B" w14:textId="156D6505" w:rsidR="00C31920" w:rsidRPr="00C15C33" w:rsidRDefault="00B7167A" w:rsidP="00EC21FB">
            <w:pPr>
              <w:jc w:val="right"/>
              <w:rPr>
                <w:color w:val="000000"/>
                <w:sz w:val="18"/>
                <w:szCs w:val="18"/>
              </w:rPr>
            </w:pPr>
            <w:r>
              <w:rPr>
                <w:color w:val="000000"/>
                <w:sz w:val="18"/>
                <w:szCs w:val="18"/>
              </w:rPr>
              <w:t>46</w:t>
            </w:r>
          </w:p>
        </w:tc>
        <w:tc>
          <w:tcPr>
            <w:tcW w:w="630" w:type="dxa"/>
            <w:vAlign w:val="center"/>
          </w:tcPr>
          <w:p w14:paraId="12F77E22" w14:textId="5DEEED90" w:rsidR="00C31920" w:rsidRPr="00C15C33" w:rsidRDefault="00B7167A" w:rsidP="00EC21FB">
            <w:pPr>
              <w:jc w:val="right"/>
              <w:rPr>
                <w:color w:val="000000"/>
                <w:sz w:val="18"/>
                <w:szCs w:val="18"/>
              </w:rPr>
            </w:pPr>
            <w:r>
              <w:rPr>
                <w:color w:val="000000"/>
                <w:sz w:val="18"/>
                <w:szCs w:val="18"/>
              </w:rPr>
              <w:t>14.2</w:t>
            </w:r>
          </w:p>
        </w:tc>
        <w:tc>
          <w:tcPr>
            <w:tcW w:w="630" w:type="dxa"/>
            <w:vAlign w:val="center"/>
          </w:tcPr>
          <w:p w14:paraId="3BAE8E88" w14:textId="0C28E2B8" w:rsidR="00C31920" w:rsidRPr="00C15C33" w:rsidRDefault="00B7167A" w:rsidP="00EC21FB">
            <w:pPr>
              <w:jc w:val="right"/>
              <w:rPr>
                <w:color w:val="000000"/>
                <w:sz w:val="18"/>
                <w:szCs w:val="18"/>
              </w:rPr>
            </w:pPr>
            <w:r>
              <w:rPr>
                <w:color w:val="000000"/>
                <w:sz w:val="18"/>
                <w:szCs w:val="18"/>
              </w:rPr>
              <w:t>1.35</w:t>
            </w:r>
          </w:p>
        </w:tc>
        <w:tc>
          <w:tcPr>
            <w:tcW w:w="630" w:type="dxa"/>
          </w:tcPr>
          <w:p w14:paraId="329EC961" w14:textId="7638F3B3" w:rsidR="00C31920" w:rsidRPr="00C15C33" w:rsidRDefault="00B7167A" w:rsidP="00EC21FB">
            <w:pPr>
              <w:jc w:val="right"/>
              <w:rPr>
                <w:color w:val="000000"/>
                <w:sz w:val="18"/>
                <w:szCs w:val="18"/>
              </w:rPr>
            </w:pPr>
            <w:r>
              <w:rPr>
                <w:color w:val="000000"/>
                <w:sz w:val="18"/>
                <w:szCs w:val="18"/>
              </w:rPr>
              <w:t>723</w:t>
            </w:r>
          </w:p>
        </w:tc>
        <w:tc>
          <w:tcPr>
            <w:tcW w:w="1080" w:type="dxa"/>
            <w:vAlign w:val="bottom"/>
          </w:tcPr>
          <w:p w14:paraId="10A05D24" w14:textId="0C945B29"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7321EBD1" w14:textId="3279EDF7"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7760A489" w14:textId="0AAAEDCE"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51952676" w14:textId="5A71BFD7" w:rsidR="00C31920" w:rsidRPr="00EC21FB" w:rsidRDefault="00C31920" w:rsidP="00EC21FB">
            <w:pPr>
              <w:jc w:val="right"/>
              <w:rPr>
                <w:color w:val="000000"/>
                <w:sz w:val="18"/>
                <w:szCs w:val="18"/>
              </w:rPr>
            </w:pPr>
            <w:r w:rsidRPr="00EC21FB">
              <w:rPr>
                <w:color w:val="000000"/>
                <w:sz w:val="18"/>
                <w:szCs w:val="18"/>
              </w:rPr>
              <w:t>3.15</w:t>
            </w:r>
          </w:p>
        </w:tc>
      </w:tr>
    </w:tbl>
    <w:p w14:paraId="05628C80" w14:textId="77777777" w:rsidR="00B03EE2" w:rsidRDefault="00B03EE2" w:rsidP="00EC21FB">
      <w:pPr>
        <w:spacing w:after="0" w:line="360" w:lineRule="auto"/>
        <w:rPr>
          <w:b/>
          <w:bCs/>
        </w:rPr>
      </w:pPr>
    </w:p>
    <w:p w14:paraId="79CA2807" w14:textId="2D5A89BB" w:rsidR="00EC21FB" w:rsidRDefault="00EC21FB" w:rsidP="00EC21FB">
      <w:pPr>
        <w:spacing w:after="0" w:line="360" w:lineRule="auto"/>
        <w:rPr>
          <w:b/>
          <w:bCs/>
        </w:rPr>
      </w:pPr>
      <w:r>
        <w:rPr>
          <w:b/>
          <w:bCs/>
        </w:rPr>
        <w:lastRenderedPageBreak/>
        <w:t>Table S1 (cont.)</w:t>
      </w:r>
    </w:p>
    <w:tbl>
      <w:tblPr>
        <w:tblStyle w:val="TableGrid"/>
        <w:tblW w:w="12865" w:type="dxa"/>
        <w:tblLayout w:type="fixed"/>
        <w:tblLook w:val="04A0" w:firstRow="1" w:lastRow="0" w:firstColumn="1" w:lastColumn="0" w:noHBand="0" w:noVBand="1"/>
      </w:tblPr>
      <w:tblGrid>
        <w:gridCol w:w="2335"/>
        <w:gridCol w:w="1260"/>
        <w:gridCol w:w="810"/>
        <w:gridCol w:w="1080"/>
        <w:gridCol w:w="990"/>
        <w:gridCol w:w="630"/>
        <w:gridCol w:w="630"/>
        <w:gridCol w:w="630"/>
        <w:gridCol w:w="1080"/>
        <w:gridCol w:w="1170"/>
        <w:gridCol w:w="1080"/>
        <w:gridCol w:w="1170"/>
      </w:tblGrid>
      <w:tr w:rsidR="00B03EE2" w:rsidRPr="00D81D83" w14:paraId="26BCE1CC" w14:textId="77777777" w:rsidTr="005E42F0">
        <w:tc>
          <w:tcPr>
            <w:tcW w:w="2335" w:type="dxa"/>
            <w:vAlign w:val="center"/>
          </w:tcPr>
          <w:p w14:paraId="5B6E9079" w14:textId="77777777" w:rsidR="00B03EE2" w:rsidRPr="005E42F0" w:rsidRDefault="00B03EE2" w:rsidP="005E42F0">
            <w:pPr>
              <w:rPr>
                <w:b/>
                <w:bCs w:val="0"/>
                <w:sz w:val="16"/>
                <w:szCs w:val="16"/>
              </w:rPr>
            </w:pPr>
            <w:r w:rsidRPr="005E42F0">
              <w:rPr>
                <w:b/>
                <w:sz w:val="16"/>
                <w:szCs w:val="16"/>
              </w:rPr>
              <w:t>Citation</w:t>
            </w:r>
          </w:p>
        </w:tc>
        <w:tc>
          <w:tcPr>
            <w:tcW w:w="1260" w:type="dxa"/>
            <w:vAlign w:val="center"/>
          </w:tcPr>
          <w:p w14:paraId="3BA95C6E" w14:textId="77777777" w:rsidR="00B03EE2" w:rsidRPr="005E42F0" w:rsidRDefault="00B03EE2" w:rsidP="005E42F0">
            <w:pPr>
              <w:rPr>
                <w:b/>
                <w:bCs w:val="0"/>
                <w:sz w:val="16"/>
                <w:szCs w:val="16"/>
              </w:rPr>
            </w:pPr>
            <w:r w:rsidRPr="005E42F0">
              <w:rPr>
                <w:b/>
                <w:sz w:val="16"/>
                <w:szCs w:val="16"/>
              </w:rPr>
              <w:t>Site name</w:t>
            </w:r>
          </w:p>
        </w:tc>
        <w:tc>
          <w:tcPr>
            <w:tcW w:w="810" w:type="dxa"/>
            <w:vAlign w:val="center"/>
          </w:tcPr>
          <w:p w14:paraId="6B4BC612" w14:textId="77777777" w:rsidR="00B03EE2" w:rsidRPr="005E42F0" w:rsidRDefault="00B03EE2" w:rsidP="005E42F0">
            <w:pPr>
              <w:rPr>
                <w:b/>
                <w:bCs w:val="0"/>
                <w:sz w:val="16"/>
                <w:szCs w:val="16"/>
              </w:rPr>
            </w:pPr>
            <w:r w:rsidRPr="005E42F0">
              <w:rPr>
                <w:b/>
                <w:sz w:val="16"/>
                <w:szCs w:val="16"/>
              </w:rPr>
              <w:t>Latitude</w:t>
            </w:r>
          </w:p>
        </w:tc>
        <w:tc>
          <w:tcPr>
            <w:tcW w:w="1080" w:type="dxa"/>
            <w:vAlign w:val="center"/>
          </w:tcPr>
          <w:p w14:paraId="54FA7FC6" w14:textId="77777777" w:rsidR="00B03EE2" w:rsidRPr="005E42F0" w:rsidRDefault="00B03EE2" w:rsidP="005E42F0">
            <w:pPr>
              <w:rPr>
                <w:b/>
                <w:bCs w:val="0"/>
                <w:sz w:val="16"/>
                <w:szCs w:val="16"/>
              </w:rPr>
            </w:pPr>
            <w:r w:rsidRPr="005E42F0">
              <w:rPr>
                <w:b/>
                <w:sz w:val="16"/>
                <w:szCs w:val="16"/>
              </w:rPr>
              <w:t>Longitude</w:t>
            </w:r>
          </w:p>
        </w:tc>
        <w:tc>
          <w:tcPr>
            <w:tcW w:w="990" w:type="dxa"/>
            <w:vAlign w:val="center"/>
          </w:tcPr>
          <w:p w14:paraId="521CC169" w14:textId="797C8087" w:rsidR="00B03EE2" w:rsidRPr="005E42F0" w:rsidRDefault="00B03EE2" w:rsidP="005E42F0">
            <w:pPr>
              <w:rPr>
                <w:b/>
                <w:sz w:val="16"/>
                <w:szCs w:val="16"/>
              </w:rPr>
            </w:pPr>
            <w:r w:rsidRPr="005E42F0">
              <w:rPr>
                <w:b/>
                <w:sz w:val="16"/>
                <w:szCs w:val="16"/>
              </w:rPr>
              <w:t>Elevation</w:t>
            </w:r>
          </w:p>
        </w:tc>
        <w:tc>
          <w:tcPr>
            <w:tcW w:w="630" w:type="dxa"/>
            <w:vAlign w:val="center"/>
          </w:tcPr>
          <w:p w14:paraId="2904A3AD" w14:textId="16338908" w:rsidR="00B03EE2" w:rsidRPr="005E42F0" w:rsidRDefault="00B03EE2" w:rsidP="005E42F0">
            <w:pPr>
              <w:rPr>
                <w:b/>
                <w:bCs w:val="0"/>
                <w:sz w:val="16"/>
                <w:szCs w:val="16"/>
              </w:rPr>
            </w:pPr>
            <w:proofErr w:type="spellStart"/>
            <w:r w:rsidRPr="005E42F0">
              <w:rPr>
                <w:b/>
                <w:i/>
                <w:iCs/>
                <w:sz w:val="16"/>
                <w:szCs w:val="16"/>
              </w:rPr>
              <w:t>T</w:t>
            </w:r>
            <w:r w:rsidRPr="005E42F0">
              <w:rPr>
                <w:b/>
                <w:sz w:val="16"/>
                <w:szCs w:val="16"/>
                <w:vertAlign w:val="subscript"/>
              </w:rPr>
              <w:t>g</w:t>
            </w:r>
            <w:proofErr w:type="spellEnd"/>
          </w:p>
        </w:tc>
        <w:tc>
          <w:tcPr>
            <w:tcW w:w="630" w:type="dxa"/>
            <w:vAlign w:val="center"/>
          </w:tcPr>
          <w:p w14:paraId="3207E809" w14:textId="563B259F" w:rsidR="00B03EE2" w:rsidRPr="005E42F0" w:rsidRDefault="00B03EE2" w:rsidP="005E42F0">
            <w:pPr>
              <w:rPr>
                <w:b/>
                <w:bCs w:val="0"/>
                <w:sz w:val="16"/>
                <w:szCs w:val="16"/>
              </w:rPr>
            </w:pPr>
            <w:proofErr w:type="spellStart"/>
            <w:r w:rsidRPr="005E42F0">
              <w:rPr>
                <w:b/>
                <w:i/>
                <w:iCs/>
                <w:sz w:val="16"/>
                <w:szCs w:val="16"/>
              </w:rPr>
              <w:t>AI</w:t>
            </w:r>
            <w:r w:rsidRPr="005E42F0">
              <w:rPr>
                <w:b/>
                <w:sz w:val="16"/>
                <w:szCs w:val="16"/>
                <w:vertAlign w:val="subscript"/>
              </w:rPr>
              <w:t>g</w:t>
            </w:r>
            <w:proofErr w:type="spellEnd"/>
          </w:p>
        </w:tc>
        <w:tc>
          <w:tcPr>
            <w:tcW w:w="630" w:type="dxa"/>
            <w:vAlign w:val="center"/>
          </w:tcPr>
          <w:p w14:paraId="745D5FFB" w14:textId="27E252C9" w:rsidR="00B03EE2" w:rsidRPr="005E42F0" w:rsidRDefault="00B03EE2" w:rsidP="005E42F0">
            <w:pPr>
              <w:rPr>
                <w:b/>
                <w:bCs w:val="0"/>
                <w:sz w:val="16"/>
                <w:szCs w:val="16"/>
              </w:rPr>
            </w:pPr>
            <w:proofErr w:type="spellStart"/>
            <w:r w:rsidRPr="005E42F0">
              <w:rPr>
                <w:b/>
                <w:bCs w:val="0"/>
                <w:i/>
                <w:iCs/>
                <w:sz w:val="16"/>
                <w:szCs w:val="16"/>
              </w:rPr>
              <w:t>PAR</w:t>
            </w:r>
            <w:r w:rsidRPr="005E42F0">
              <w:rPr>
                <w:b/>
                <w:bCs w:val="0"/>
                <w:sz w:val="16"/>
                <w:szCs w:val="16"/>
                <w:vertAlign w:val="subscript"/>
              </w:rPr>
              <w:t>g</w:t>
            </w:r>
            <w:proofErr w:type="spellEnd"/>
          </w:p>
        </w:tc>
        <w:tc>
          <w:tcPr>
            <w:tcW w:w="1080" w:type="dxa"/>
            <w:vAlign w:val="center"/>
          </w:tcPr>
          <w:p w14:paraId="3D3821A9" w14:textId="77777777" w:rsidR="00B03EE2" w:rsidRPr="005E42F0" w:rsidRDefault="00B03EE2" w:rsidP="005E42F0">
            <w:pPr>
              <w:rPr>
                <w:b/>
                <w:bCs w:val="0"/>
                <w:sz w:val="16"/>
                <w:szCs w:val="16"/>
              </w:rPr>
            </w:pPr>
            <w:r w:rsidRPr="005E42F0">
              <w:rPr>
                <w:b/>
                <w:sz w:val="16"/>
                <w:szCs w:val="16"/>
              </w:rPr>
              <w:t>Ecosystem type</w:t>
            </w:r>
          </w:p>
        </w:tc>
        <w:tc>
          <w:tcPr>
            <w:tcW w:w="1170" w:type="dxa"/>
            <w:vAlign w:val="center"/>
          </w:tcPr>
          <w:p w14:paraId="2D702571" w14:textId="77777777" w:rsidR="00B03EE2" w:rsidRPr="005E42F0" w:rsidRDefault="00B03EE2" w:rsidP="005E42F0">
            <w:pPr>
              <w:rPr>
                <w:b/>
                <w:bCs w:val="0"/>
                <w:sz w:val="16"/>
                <w:szCs w:val="16"/>
              </w:rPr>
            </w:pPr>
            <w:r w:rsidRPr="005E42F0">
              <w:rPr>
                <w:b/>
                <w:sz w:val="16"/>
                <w:szCs w:val="16"/>
              </w:rPr>
              <w:t>Experiment type</w:t>
            </w:r>
          </w:p>
        </w:tc>
        <w:tc>
          <w:tcPr>
            <w:tcW w:w="1080" w:type="dxa"/>
            <w:vAlign w:val="center"/>
          </w:tcPr>
          <w:p w14:paraId="425919BF" w14:textId="77777777" w:rsidR="00B03EE2" w:rsidRPr="005E42F0" w:rsidRDefault="00B03EE2" w:rsidP="005E42F0">
            <w:pPr>
              <w:rPr>
                <w:b/>
                <w:bCs w:val="0"/>
                <w:sz w:val="16"/>
                <w:szCs w:val="16"/>
              </w:rPr>
            </w:pPr>
            <w:proofErr w:type="spellStart"/>
            <w:r w:rsidRPr="005E42F0">
              <w:rPr>
                <w:b/>
                <w:sz w:val="16"/>
                <w:szCs w:val="16"/>
              </w:rPr>
              <w:t>N</w:t>
            </w:r>
            <w:proofErr w:type="spellEnd"/>
            <w:r w:rsidRPr="005E42F0">
              <w:rPr>
                <w:b/>
                <w:sz w:val="16"/>
                <w:szCs w:val="16"/>
              </w:rPr>
              <w:t xml:space="preserve"> addition rate (g m</w:t>
            </w:r>
            <w:r w:rsidRPr="005E42F0">
              <w:rPr>
                <w:b/>
                <w:sz w:val="16"/>
                <w:szCs w:val="16"/>
                <w:vertAlign w:val="superscript"/>
              </w:rPr>
              <w:t>-2</w:t>
            </w:r>
            <w:r w:rsidRPr="005E42F0">
              <w:rPr>
                <w:b/>
                <w:sz w:val="16"/>
                <w:szCs w:val="16"/>
              </w:rPr>
              <w:t>)</w:t>
            </w:r>
          </w:p>
        </w:tc>
        <w:tc>
          <w:tcPr>
            <w:tcW w:w="1170" w:type="dxa"/>
            <w:vAlign w:val="center"/>
          </w:tcPr>
          <w:p w14:paraId="6F3D88FA" w14:textId="77777777" w:rsidR="00B03EE2" w:rsidRPr="005E42F0" w:rsidRDefault="00B03EE2" w:rsidP="005E42F0">
            <w:pPr>
              <w:rPr>
                <w:b/>
                <w:bCs w:val="0"/>
                <w:sz w:val="16"/>
                <w:szCs w:val="16"/>
              </w:rPr>
            </w:pPr>
            <w:r w:rsidRPr="005E42F0">
              <w:rPr>
                <w:b/>
                <w:sz w:val="16"/>
                <w:szCs w:val="16"/>
              </w:rPr>
              <w:t>P addition rate (g m</w:t>
            </w:r>
            <w:r w:rsidRPr="005E42F0">
              <w:rPr>
                <w:b/>
                <w:sz w:val="16"/>
                <w:szCs w:val="16"/>
                <w:vertAlign w:val="superscript"/>
              </w:rPr>
              <w:t>-2</w:t>
            </w:r>
            <w:r w:rsidRPr="005E42F0">
              <w:rPr>
                <w:b/>
                <w:sz w:val="16"/>
                <w:szCs w:val="16"/>
              </w:rPr>
              <w:t>)</w:t>
            </w:r>
          </w:p>
        </w:tc>
      </w:tr>
      <w:tr w:rsidR="00B03EE2" w:rsidRPr="00D81D83" w14:paraId="394E0A97" w14:textId="77777777" w:rsidTr="005E42F0">
        <w:sdt>
          <w:sdtPr>
            <w:rPr>
              <w:color w:val="000000"/>
              <w:sz w:val="18"/>
              <w:szCs w:val="18"/>
            </w:rPr>
            <w:tag w:val="MENDELEY_CITATION_v3_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"/>
            <w:id w:val="-528642239"/>
            <w:placeholder>
              <w:docPart w:val="8FB8FD55BF66C443BEBFC7FA521C9C16"/>
            </w:placeholder>
          </w:sdtPr>
          <w:sdtContent>
            <w:tc>
              <w:tcPr>
                <w:tcW w:w="2335" w:type="dxa"/>
                <w:vMerge w:val="restart"/>
              </w:tcPr>
              <w:p w14:paraId="7DC82B7C" w14:textId="5A672841" w:rsidR="00B03EE2" w:rsidRPr="00EC21FB" w:rsidRDefault="00E807B5" w:rsidP="00B03EE2">
                <w:pPr>
                  <w:rPr>
                    <w:color w:val="000000"/>
                    <w:sz w:val="18"/>
                    <w:szCs w:val="18"/>
                  </w:rPr>
                </w:pPr>
                <w:r w:rsidRPr="00E807B5">
                  <w:rPr>
                    <w:rFonts w:eastAsia="Times New Roman"/>
                    <w:color w:val="000000"/>
                    <w:sz w:val="18"/>
                  </w:rPr>
                  <w:t>(Shaver et al., 1998)</w:t>
                </w:r>
              </w:p>
            </w:tc>
          </w:sdtContent>
        </w:sdt>
        <w:tc>
          <w:tcPr>
            <w:tcW w:w="1260" w:type="dxa"/>
            <w:vAlign w:val="bottom"/>
          </w:tcPr>
          <w:p w14:paraId="03392112" w14:textId="40611DA2" w:rsidR="00B03EE2" w:rsidRPr="00EC21FB" w:rsidRDefault="00B03EE2" w:rsidP="00B03EE2">
            <w:pPr>
              <w:rPr>
                <w:color w:val="000000"/>
                <w:sz w:val="18"/>
                <w:szCs w:val="18"/>
              </w:rPr>
            </w:pPr>
            <w:proofErr w:type="spellStart"/>
            <w:r w:rsidRPr="00EC21FB">
              <w:rPr>
                <w:color w:val="000000"/>
                <w:sz w:val="18"/>
                <w:szCs w:val="18"/>
              </w:rPr>
              <w:t>toolik_inlet</w:t>
            </w:r>
            <w:proofErr w:type="spellEnd"/>
          </w:p>
        </w:tc>
        <w:tc>
          <w:tcPr>
            <w:tcW w:w="810" w:type="dxa"/>
            <w:vAlign w:val="bottom"/>
          </w:tcPr>
          <w:p w14:paraId="41B66E1B" w14:textId="68BAB1DB" w:rsidR="00B03EE2" w:rsidRPr="00EC21FB" w:rsidRDefault="00B03EE2" w:rsidP="00B03EE2">
            <w:pPr>
              <w:jc w:val="right"/>
              <w:rPr>
                <w:color w:val="000000"/>
                <w:sz w:val="18"/>
                <w:szCs w:val="18"/>
              </w:rPr>
            </w:pPr>
            <w:r w:rsidRPr="00EC21FB">
              <w:rPr>
                <w:color w:val="000000"/>
                <w:sz w:val="18"/>
                <w:szCs w:val="18"/>
              </w:rPr>
              <w:t>68.63</w:t>
            </w:r>
          </w:p>
        </w:tc>
        <w:tc>
          <w:tcPr>
            <w:tcW w:w="1080" w:type="dxa"/>
            <w:vAlign w:val="bottom"/>
          </w:tcPr>
          <w:p w14:paraId="0EAACEFE" w14:textId="5D460EE0" w:rsidR="00B03EE2" w:rsidRPr="00EC21FB" w:rsidRDefault="00B03EE2" w:rsidP="00B03EE2">
            <w:pPr>
              <w:jc w:val="right"/>
              <w:rPr>
                <w:color w:val="000000"/>
                <w:sz w:val="18"/>
                <w:szCs w:val="18"/>
              </w:rPr>
            </w:pPr>
            <w:r w:rsidRPr="00EC21FB">
              <w:rPr>
                <w:color w:val="000000"/>
                <w:sz w:val="18"/>
                <w:szCs w:val="18"/>
              </w:rPr>
              <w:t>-149.57</w:t>
            </w:r>
          </w:p>
        </w:tc>
        <w:tc>
          <w:tcPr>
            <w:tcW w:w="990" w:type="dxa"/>
          </w:tcPr>
          <w:p w14:paraId="65DA12AC" w14:textId="63B58BED" w:rsidR="00B03EE2" w:rsidRPr="00C15C33" w:rsidRDefault="00B03EE2" w:rsidP="00B03EE2">
            <w:pPr>
              <w:jc w:val="right"/>
              <w:rPr>
                <w:color w:val="000000"/>
                <w:sz w:val="18"/>
                <w:szCs w:val="18"/>
              </w:rPr>
            </w:pPr>
            <w:r>
              <w:rPr>
                <w:color w:val="000000"/>
                <w:sz w:val="18"/>
                <w:szCs w:val="18"/>
              </w:rPr>
              <w:t>768</w:t>
            </w:r>
          </w:p>
        </w:tc>
        <w:tc>
          <w:tcPr>
            <w:tcW w:w="630" w:type="dxa"/>
            <w:vAlign w:val="center"/>
          </w:tcPr>
          <w:p w14:paraId="49D38DD6" w14:textId="46C5FA29" w:rsidR="00B03EE2" w:rsidRPr="00C15C33" w:rsidRDefault="00B03EE2" w:rsidP="00B03EE2">
            <w:pPr>
              <w:jc w:val="right"/>
              <w:rPr>
                <w:color w:val="000000"/>
                <w:sz w:val="18"/>
                <w:szCs w:val="18"/>
              </w:rPr>
            </w:pPr>
            <w:r>
              <w:rPr>
                <w:color w:val="000000"/>
                <w:sz w:val="18"/>
                <w:szCs w:val="18"/>
              </w:rPr>
              <w:t>6.6</w:t>
            </w:r>
          </w:p>
        </w:tc>
        <w:tc>
          <w:tcPr>
            <w:tcW w:w="630" w:type="dxa"/>
            <w:vAlign w:val="center"/>
          </w:tcPr>
          <w:p w14:paraId="53F520FC" w14:textId="341AC26C" w:rsidR="00B03EE2" w:rsidRPr="00C15C33" w:rsidRDefault="00B03EE2" w:rsidP="00B03EE2">
            <w:pPr>
              <w:jc w:val="right"/>
              <w:rPr>
                <w:color w:val="000000"/>
                <w:sz w:val="18"/>
                <w:szCs w:val="18"/>
              </w:rPr>
            </w:pPr>
            <w:r>
              <w:rPr>
                <w:color w:val="000000"/>
                <w:sz w:val="18"/>
                <w:szCs w:val="18"/>
              </w:rPr>
              <w:t>0.53</w:t>
            </w:r>
          </w:p>
        </w:tc>
        <w:tc>
          <w:tcPr>
            <w:tcW w:w="630" w:type="dxa"/>
          </w:tcPr>
          <w:p w14:paraId="7DFF4001" w14:textId="01A186AD" w:rsidR="00B03EE2" w:rsidRPr="00C15C33" w:rsidRDefault="00B03EE2" w:rsidP="00B03EE2">
            <w:pPr>
              <w:jc w:val="right"/>
              <w:rPr>
                <w:color w:val="000000"/>
                <w:sz w:val="18"/>
                <w:szCs w:val="18"/>
              </w:rPr>
            </w:pPr>
            <w:r>
              <w:rPr>
                <w:color w:val="000000"/>
                <w:sz w:val="18"/>
                <w:szCs w:val="18"/>
              </w:rPr>
              <w:t>590</w:t>
            </w:r>
          </w:p>
        </w:tc>
        <w:tc>
          <w:tcPr>
            <w:tcW w:w="1080" w:type="dxa"/>
            <w:vAlign w:val="bottom"/>
          </w:tcPr>
          <w:p w14:paraId="44476C1C" w14:textId="2CB83B5E" w:rsidR="00B03EE2" w:rsidRPr="00EC21FB" w:rsidRDefault="00B03EE2" w:rsidP="00B03EE2">
            <w:pPr>
              <w:jc w:val="right"/>
              <w:rPr>
                <w:color w:val="000000"/>
                <w:sz w:val="18"/>
                <w:szCs w:val="18"/>
              </w:rPr>
            </w:pPr>
            <w:r w:rsidRPr="00EC21FB">
              <w:rPr>
                <w:color w:val="000000"/>
                <w:sz w:val="18"/>
                <w:szCs w:val="18"/>
              </w:rPr>
              <w:t>tundra</w:t>
            </w:r>
          </w:p>
        </w:tc>
        <w:tc>
          <w:tcPr>
            <w:tcW w:w="1170" w:type="dxa"/>
            <w:vAlign w:val="bottom"/>
          </w:tcPr>
          <w:p w14:paraId="030B50DB" w14:textId="32CA588C" w:rsidR="00B03EE2" w:rsidRPr="00EC21FB" w:rsidRDefault="00B03EE2" w:rsidP="00B03EE2">
            <w:pPr>
              <w:jc w:val="right"/>
              <w:rPr>
                <w:color w:val="000000"/>
                <w:sz w:val="18"/>
                <w:szCs w:val="18"/>
              </w:rPr>
            </w:pPr>
            <w:r w:rsidRPr="00EC21FB">
              <w:rPr>
                <w:color w:val="000000"/>
                <w:sz w:val="18"/>
                <w:szCs w:val="18"/>
              </w:rPr>
              <w:t>field</w:t>
            </w:r>
          </w:p>
        </w:tc>
        <w:tc>
          <w:tcPr>
            <w:tcW w:w="1080" w:type="dxa"/>
          </w:tcPr>
          <w:p w14:paraId="64299D80" w14:textId="17B3B835" w:rsidR="00B03EE2" w:rsidRPr="00EC21FB" w:rsidRDefault="00B03EE2" w:rsidP="00B03EE2">
            <w:pPr>
              <w:jc w:val="right"/>
              <w:rPr>
                <w:color w:val="000000"/>
                <w:sz w:val="18"/>
                <w:szCs w:val="18"/>
              </w:rPr>
            </w:pPr>
            <w:r w:rsidRPr="00EC21FB">
              <w:rPr>
                <w:color w:val="000000"/>
                <w:sz w:val="18"/>
                <w:szCs w:val="18"/>
              </w:rPr>
              <w:t>10</w:t>
            </w:r>
          </w:p>
        </w:tc>
        <w:tc>
          <w:tcPr>
            <w:tcW w:w="1170" w:type="dxa"/>
          </w:tcPr>
          <w:p w14:paraId="2B8C1D55" w14:textId="77777777" w:rsidR="00B03EE2" w:rsidRPr="00EC21FB" w:rsidRDefault="00B03EE2" w:rsidP="00B03EE2">
            <w:pPr>
              <w:jc w:val="right"/>
              <w:rPr>
                <w:color w:val="000000"/>
                <w:sz w:val="18"/>
                <w:szCs w:val="18"/>
              </w:rPr>
            </w:pPr>
          </w:p>
        </w:tc>
      </w:tr>
      <w:tr w:rsidR="00B03EE2" w:rsidRPr="00D81D83" w14:paraId="4D19D7E3" w14:textId="77777777" w:rsidTr="005E42F0">
        <w:tc>
          <w:tcPr>
            <w:tcW w:w="2335" w:type="dxa"/>
            <w:vMerge/>
          </w:tcPr>
          <w:p w14:paraId="65B26C62" w14:textId="77777777" w:rsidR="00B03EE2" w:rsidRPr="00EC21FB" w:rsidRDefault="00B03EE2" w:rsidP="00B03EE2">
            <w:pPr>
              <w:rPr>
                <w:color w:val="000000"/>
                <w:sz w:val="18"/>
                <w:szCs w:val="18"/>
              </w:rPr>
            </w:pPr>
          </w:p>
        </w:tc>
        <w:tc>
          <w:tcPr>
            <w:tcW w:w="1260" w:type="dxa"/>
            <w:vAlign w:val="bottom"/>
          </w:tcPr>
          <w:p w14:paraId="08F4DA33" w14:textId="64AE9411" w:rsidR="00B03EE2" w:rsidRPr="00EC21FB" w:rsidRDefault="00B03EE2" w:rsidP="00B03EE2">
            <w:pPr>
              <w:rPr>
                <w:color w:val="000000"/>
                <w:sz w:val="18"/>
                <w:szCs w:val="18"/>
              </w:rPr>
            </w:pPr>
            <w:proofErr w:type="spellStart"/>
            <w:r w:rsidRPr="00EC21FB">
              <w:rPr>
                <w:color w:val="000000"/>
                <w:sz w:val="18"/>
                <w:szCs w:val="18"/>
              </w:rPr>
              <w:t>toolik_sag</w:t>
            </w:r>
            <w:proofErr w:type="spellEnd"/>
          </w:p>
        </w:tc>
        <w:tc>
          <w:tcPr>
            <w:tcW w:w="810" w:type="dxa"/>
            <w:vAlign w:val="bottom"/>
          </w:tcPr>
          <w:p w14:paraId="34638DE6" w14:textId="18734B53" w:rsidR="00B03EE2" w:rsidRPr="00EC21FB" w:rsidRDefault="00B03EE2" w:rsidP="00B03EE2">
            <w:pPr>
              <w:jc w:val="right"/>
              <w:rPr>
                <w:color w:val="000000"/>
                <w:sz w:val="18"/>
                <w:szCs w:val="18"/>
              </w:rPr>
            </w:pPr>
            <w:r w:rsidRPr="00EC21FB">
              <w:rPr>
                <w:color w:val="000000"/>
                <w:sz w:val="18"/>
                <w:szCs w:val="18"/>
              </w:rPr>
              <w:t>68.77</w:t>
            </w:r>
          </w:p>
        </w:tc>
        <w:tc>
          <w:tcPr>
            <w:tcW w:w="1080" w:type="dxa"/>
            <w:vAlign w:val="bottom"/>
          </w:tcPr>
          <w:p w14:paraId="6A47934F" w14:textId="1A1D63AE" w:rsidR="00B03EE2" w:rsidRPr="00EC21FB" w:rsidRDefault="00B03EE2" w:rsidP="00B03EE2">
            <w:pPr>
              <w:jc w:val="right"/>
              <w:rPr>
                <w:color w:val="000000"/>
                <w:sz w:val="18"/>
                <w:szCs w:val="18"/>
              </w:rPr>
            </w:pPr>
            <w:r w:rsidRPr="00EC21FB">
              <w:rPr>
                <w:color w:val="000000"/>
                <w:sz w:val="18"/>
                <w:szCs w:val="18"/>
              </w:rPr>
              <w:t>-148.87</w:t>
            </w:r>
          </w:p>
        </w:tc>
        <w:tc>
          <w:tcPr>
            <w:tcW w:w="990" w:type="dxa"/>
          </w:tcPr>
          <w:p w14:paraId="1CA7FE31" w14:textId="7485CA59" w:rsidR="00B03EE2" w:rsidRPr="00C15C33" w:rsidRDefault="00B03EE2" w:rsidP="00B03EE2">
            <w:pPr>
              <w:jc w:val="right"/>
              <w:rPr>
                <w:color w:val="000000"/>
                <w:sz w:val="18"/>
                <w:szCs w:val="18"/>
              </w:rPr>
            </w:pPr>
            <w:r>
              <w:rPr>
                <w:color w:val="000000"/>
                <w:sz w:val="18"/>
                <w:szCs w:val="18"/>
              </w:rPr>
              <w:t>452</w:t>
            </w:r>
          </w:p>
        </w:tc>
        <w:tc>
          <w:tcPr>
            <w:tcW w:w="630" w:type="dxa"/>
            <w:vAlign w:val="center"/>
          </w:tcPr>
          <w:p w14:paraId="56EB26F9" w14:textId="4BB0A4C1" w:rsidR="00B03EE2" w:rsidRPr="00C15C33" w:rsidRDefault="00B03EE2" w:rsidP="00B03EE2">
            <w:pPr>
              <w:jc w:val="right"/>
              <w:rPr>
                <w:color w:val="000000"/>
                <w:sz w:val="18"/>
                <w:szCs w:val="18"/>
              </w:rPr>
            </w:pPr>
            <w:r>
              <w:rPr>
                <w:color w:val="000000"/>
                <w:sz w:val="18"/>
                <w:szCs w:val="18"/>
              </w:rPr>
              <w:t>7.7</w:t>
            </w:r>
          </w:p>
        </w:tc>
        <w:tc>
          <w:tcPr>
            <w:tcW w:w="630" w:type="dxa"/>
            <w:vAlign w:val="center"/>
          </w:tcPr>
          <w:p w14:paraId="1643002B" w14:textId="52AD53A8" w:rsidR="00B03EE2" w:rsidRPr="00C15C33" w:rsidRDefault="00B03EE2" w:rsidP="00B03EE2">
            <w:pPr>
              <w:jc w:val="right"/>
              <w:rPr>
                <w:color w:val="000000"/>
                <w:sz w:val="18"/>
                <w:szCs w:val="18"/>
              </w:rPr>
            </w:pPr>
            <w:r>
              <w:rPr>
                <w:color w:val="000000"/>
                <w:sz w:val="18"/>
                <w:szCs w:val="18"/>
              </w:rPr>
              <w:t>0.49</w:t>
            </w:r>
          </w:p>
        </w:tc>
        <w:tc>
          <w:tcPr>
            <w:tcW w:w="630" w:type="dxa"/>
          </w:tcPr>
          <w:p w14:paraId="236A1FB4" w14:textId="5E6F422D" w:rsidR="00B03EE2" w:rsidRPr="00C15C33" w:rsidRDefault="00B03EE2" w:rsidP="00B03EE2">
            <w:pPr>
              <w:jc w:val="right"/>
              <w:rPr>
                <w:color w:val="000000"/>
                <w:sz w:val="18"/>
                <w:szCs w:val="18"/>
              </w:rPr>
            </w:pPr>
            <w:r>
              <w:rPr>
                <w:color w:val="000000"/>
                <w:sz w:val="18"/>
                <w:szCs w:val="18"/>
              </w:rPr>
              <w:t>592</w:t>
            </w:r>
          </w:p>
        </w:tc>
        <w:tc>
          <w:tcPr>
            <w:tcW w:w="1080" w:type="dxa"/>
            <w:vAlign w:val="bottom"/>
          </w:tcPr>
          <w:p w14:paraId="394F0B11" w14:textId="6D4A92A2" w:rsidR="00B03EE2" w:rsidRPr="00EC21FB" w:rsidRDefault="00B03EE2" w:rsidP="00B03EE2">
            <w:pPr>
              <w:jc w:val="right"/>
              <w:rPr>
                <w:color w:val="000000"/>
                <w:sz w:val="18"/>
                <w:szCs w:val="18"/>
              </w:rPr>
            </w:pPr>
            <w:r w:rsidRPr="00EC21FB">
              <w:rPr>
                <w:color w:val="000000"/>
                <w:sz w:val="18"/>
                <w:szCs w:val="18"/>
              </w:rPr>
              <w:t>tundra</w:t>
            </w:r>
          </w:p>
        </w:tc>
        <w:tc>
          <w:tcPr>
            <w:tcW w:w="1170" w:type="dxa"/>
            <w:vAlign w:val="bottom"/>
          </w:tcPr>
          <w:p w14:paraId="28685A60" w14:textId="60E84C55" w:rsidR="00B03EE2" w:rsidRPr="00EC21FB" w:rsidRDefault="00B03EE2" w:rsidP="00B03EE2">
            <w:pPr>
              <w:jc w:val="right"/>
              <w:rPr>
                <w:color w:val="000000"/>
                <w:sz w:val="18"/>
                <w:szCs w:val="18"/>
              </w:rPr>
            </w:pPr>
            <w:r w:rsidRPr="00EC21FB">
              <w:rPr>
                <w:color w:val="000000"/>
                <w:sz w:val="18"/>
                <w:szCs w:val="18"/>
              </w:rPr>
              <w:t>field</w:t>
            </w:r>
          </w:p>
        </w:tc>
        <w:tc>
          <w:tcPr>
            <w:tcW w:w="1080" w:type="dxa"/>
          </w:tcPr>
          <w:p w14:paraId="465FEE7D" w14:textId="4AC53FE8" w:rsidR="00B03EE2" w:rsidRPr="00EC21FB" w:rsidRDefault="00B03EE2" w:rsidP="00B03EE2">
            <w:pPr>
              <w:jc w:val="right"/>
              <w:rPr>
                <w:color w:val="000000"/>
                <w:sz w:val="18"/>
                <w:szCs w:val="18"/>
              </w:rPr>
            </w:pPr>
            <w:r w:rsidRPr="00EC21FB">
              <w:rPr>
                <w:color w:val="000000"/>
                <w:sz w:val="18"/>
                <w:szCs w:val="18"/>
              </w:rPr>
              <w:t>10</w:t>
            </w:r>
          </w:p>
        </w:tc>
        <w:tc>
          <w:tcPr>
            <w:tcW w:w="1170" w:type="dxa"/>
          </w:tcPr>
          <w:p w14:paraId="694D148A" w14:textId="77777777" w:rsidR="00B03EE2" w:rsidRPr="00EC21FB" w:rsidRDefault="00B03EE2" w:rsidP="00B03EE2">
            <w:pPr>
              <w:jc w:val="right"/>
              <w:rPr>
                <w:color w:val="000000"/>
                <w:sz w:val="18"/>
                <w:szCs w:val="18"/>
              </w:rPr>
            </w:pPr>
          </w:p>
        </w:tc>
      </w:tr>
      <w:tr w:rsidR="00B03EE2" w:rsidRPr="00D81D83" w14:paraId="1753A3EB" w14:textId="77777777" w:rsidTr="005E42F0">
        <w:sdt>
          <w:sdtPr>
            <w:rPr>
              <w:color w:val="000000"/>
              <w:sz w:val="18"/>
              <w:szCs w:val="18"/>
            </w:rPr>
            <w:tag w:val="MENDELEY_CITATION_v3_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"/>
            <w:id w:val="-769934580"/>
            <w:placeholder>
              <w:docPart w:val="898AFE9E40212249A0149B054DBEE8B8"/>
            </w:placeholder>
          </w:sdtPr>
          <w:sdtContent>
            <w:tc>
              <w:tcPr>
                <w:tcW w:w="2335" w:type="dxa"/>
              </w:tcPr>
              <w:p w14:paraId="2D6A67A0" w14:textId="5319C006" w:rsidR="00B03EE2" w:rsidRPr="00EC21FB" w:rsidRDefault="00E807B5" w:rsidP="00C31920">
                <w:pPr>
                  <w:rPr>
                    <w:color w:val="000000"/>
                    <w:sz w:val="18"/>
                    <w:szCs w:val="18"/>
                  </w:rPr>
                </w:pPr>
                <w:r w:rsidRPr="00E807B5">
                  <w:rPr>
                    <w:rFonts w:eastAsia="Times New Roman"/>
                    <w:color w:val="000000"/>
                    <w:sz w:val="18"/>
                  </w:rPr>
                  <w:t>(</w:t>
                </w:r>
                <w:proofErr w:type="spellStart"/>
                <w:r w:rsidRPr="00E807B5">
                  <w:rPr>
                    <w:rFonts w:eastAsia="Times New Roman"/>
                    <w:color w:val="000000"/>
                    <w:sz w:val="18"/>
                  </w:rPr>
                  <w:t>Soudzilovskaia</w:t>
                </w:r>
                <w:proofErr w:type="spellEnd"/>
                <w:r w:rsidRPr="00E807B5">
                  <w:rPr>
                    <w:rFonts w:eastAsia="Times New Roman"/>
                    <w:color w:val="000000"/>
                    <w:sz w:val="18"/>
                  </w:rPr>
                  <w:t xml:space="preserve"> et al., 2005)</w:t>
                </w:r>
              </w:p>
            </w:tc>
          </w:sdtContent>
        </w:sdt>
        <w:tc>
          <w:tcPr>
            <w:tcW w:w="1260" w:type="dxa"/>
            <w:vAlign w:val="bottom"/>
          </w:tcPr>
          <w:p w14:paraId="661623B0" w14:textId="2338F9C9" w:rsidR="00B03EE2" w:rsidRPr="00EC21FB" w:rsidRDefault="00B03EE2" w:rsidP="00C31920">
            <w:pPr>
              <w:rPr>
                <w:color w:val="000000"/>
                <w:sz w:val="18"/>
                <w:szCs w:val="18"/>
              </w:rPr>
            </w:pPr>
            <w:proofErr w:type="spellStart"/>
            <w:r w:rsidRPr="00EC21FB">
              <w:rPr>
                <w:color w:val="000000"/>
                <w:sz w:val="18"/>
                <w:szCs w:val="18"/>
              </w:rPr>
              <w:t>teberda</w:t>
            </w:r>
            <w:proofErr w:type="spellEnd"/>
          </w:p>
        </w:tc>
        <w:tc>
          <w:tcPr>
            <w:tcW w:w="810" w:type="dxa"/>
            <w:vAlign w:val="bottom"/>
          </w:tcPr>
          <w:p w14:paraId="7A640A79" w14:textId="5BD35FEC" w:rsidR="00B03EE2" w:rsidRPr="00EC21FB" w:rsidRDefault="00B03EE2" w:rsidP="00C31920">
            <w:pPr>
              <w:jc w:val="right"/>
              <w:rPr>
                <w:color w:val="000000"/>
                <w:sz w:val="18"/>
                <w:szCs w:val="18"/>
              </w:rPr>
            </w:pPr>
            <w:r w:rsidRPr="00EC21FB">
              <w:rPr>
                <w:color w:val="000000"/>
                <w:sz w:val="18"/>
                <w:szCs w:val="18"/>
              </w:rPr>
              <w:t>48.45</w:t>
            </w:r>
          </w:p>
        </w:tc>
        <w:tc>
          <w:tcPr>
            <w:tcW w:w="1080" w:type="dxa"/>
            <w:vAlign w:val="bottom"/>
          </w:tcPr>
          <w:p w14:paraId="6AF2C79B" w14:textId="5713BAA6" w:rsidR="00B03EE2" w:rsidRPr="00EC21FB" w:rsidRDefault="00B03EE2" w:rsidP="00C31920">
            <w:pPr>
              <w:jc w:val="right"/>
              <w:rPr>
                <w:color w:val="000000"/>
                <w:sz w:val="18"/>
                <w:szCs w:val="18"/>
              </w:rPr>
            </w:pPr>
            <w:r w:rsidRPr="00EC21FB">
              <w:rPr>
                <w:color w:val="000000"/>
                <w:sz w:val="18"/>
                <w:szCs w:val="18"/>
              </w:rPr>
              <w:t>41.7</w:t>
            </w:r>
          </w:p>
        </w:tc>
        <w:tc>
          <w:tcPr>
            <w:tcW w:w="990" w:type="dxa"/>
          </w:tcPr>
          <w:p w14:paraId="77A0F218" w14:textId="208A15C3" w:rsidR="00B03EE2" w:rsidRPr="00C15C33" w:rsidRDefault="00B03EE2" w:rsidP="00C31920">
            <w:pPr>
              <w:jc w:val="right"/>
              <w:rPr>
                <w:color w:val="000000"/>
                <w:sz w:val="18"/>
                <w:szCs w:val="18"/>
              </w:rPr>
            </w:pPr>
            <w:r>
              <w:rPr>
                <w:color w:val="000000"/>
                <w:sz w:val="18"/>
                <w:szCs w:val="18"/>
              </w:rPr>
              <w:t>86</w:t>
            </w:r>
          </w:p>
        </w:tc>
        <w:tc>
          <w:tcPr>
            <w:tcW w:w="630" w:type="dxa"/>
            <w:vAlign w:val="center"/>
          </w:tcPr>
          <w:p w14:paraId="7EE064B0" w14:textId="74F3AD68" w:rsidR="00B03EE2" w:rsidRPr="00C15C33" w:rsidRDefault="00B03EE2" w:rsidP="00C31920">
            <w:pPr>
              <w:jc w:val="right"/>
              <w:rPr>
                <w:color w:val="000000"/>
                <w:sz w:val="18"/>
                <w:szCs w:val="18"/>
              </w:rPr>
            </w:pPr>
            <w:r>
              <w:rPr>
                <w:color w:val="000000"/>
                <w:sz w:val="18"/>
                <w:szCs w:val="18"/>
              </w:rPr>
              <w:t>14.0</w:t>
            </w:r>
          </w:p>
        </w:tc>
        <w:tc>
          <w:tcPr>
            <w:tcW w:w="630" w:type="dxa"/>
            <w:vAlign w:val="center"/>
          </w:tcPr>
          <w:p w14:paraId="0183BCFC" w14:textId="2DC0D8DB" w:rsidR="00B03EE2" w:rsidRPr="00C15C33" w:rsidRDefault="00B03EE2" w:rsidP="00C31920">
            <w:pPr>
              <w:jc w:val="right"/>
              <w:rPr>
                <w:color w:val="000000"/>
                <w:sz w:val="18"/>
                <w:szCs w:val="18"/>
              </w:rPr>
            </w:pPr>
            <w:r>
              <w:rPr>
                <w:color w:val="000000"/>
                <w:sz w:val="18"/>
                <w:szCs w:val="18"/>
              </w:rPr>
              <w:t>0.47</w:t>
            </w:r>
          </w:p>
        </w:tc>
        <w:tc>
          <w:tcPr>
            <w:tcW w:w="630" w:type="dxa"/>
          </w:tcPr>
          <w:p w14:paraId="35F5CB91" w14:textId="1DF73771" w:rsidR="00B03EE2" w:rsidRPr="00C15C33" w:rsidRDefault="00B03EE2" w:rsidP="00C31920">
            <w:pPr>
              <w:jc w:val="right"/>
              <w:rPr>
                <w:color w:val="000000"/>
                <w:sz w:val="18"/>
                <w:szCs w:val="18"/>
              </w:rPr>
            </w:pPr>
            <w:r>
              <w:rPr>
                <w:color w:val="000000"/>
                <w:sz w:val="18"/>
                <w:szCs w:val="18"/>
              </w:rPr>
              <w:t>705</w:t>
            </w:r>
          </w:p>
        </w:tc>
        <w:tc>
          <w:tcPr>
            <w:tcW w:w="1080" w:type="dxa"/>
            <w:vAlign w:val="bottom"/>
          </w:tcPr>
          <w:p w14:paraId="318F401C" w14:textId="2AEC4AF2" w:rsidR="00B03EE2" w:rsidRPr="00EC21FB" w:rsidRDefault="00B03EE2" w:rsidP="00C31920">
            <w:pPr>
              <w:jc w:val="right"/>
              <w:rPr>
                <w:color w:val="000000"/>
                <w:sz w:val="18"/>
                <w:szCs w:val="18"/>
              </w:rPr>
            </w:pPr>
            <w:r w:rsidRPr="00EC21FB">
              <w:rPr>
                <w:color w:val="000000"/>
                <w:sz w:val="18"/>
                <w:szCs w:val="18"/>
              </w:rPr>
              <w:t>tundra</w:t>
            </w:r>
          </w:p>
        </w:tc>
        <w:tc>
          <w:tcPr>
            <w:tcW w:w="1170" w:type="dxa"/>
            <w:vAlign w:val="bottom"/>
          </w:tcPr>
          <w:p w14:paraId="5F9B4D95" w14:textId="4603FB2F" w:rsidR="00B03EE2" w:rsidRPr="00EC21FB" w:rsidRDefault="00B03EE2" w:rsidP="00C31920">
            <w:pPr>
              <w:jc w:val="right"/>
              <w:rPr>
                <w:color w:val="000000"/>
                <w:sz w:val="18"/>
                <w:szCs w:val="18"/>
              </w:rPr>
            </w:pPr>
            <w:r w:rsidRPr="00EC21FB">
              <w:rPr>
                <w:color w:val="000000"/>
                <w:sz w:val="18"/>
                <w:szCs w:val="18"/>
              </w:rPr>
              <w:t>field</w:t>
            </w:r>
          </w:p>
        </w:tc>
        <w:tc>
          <w:tcPr>
            <w:tcW w:w="1080" w:type="dxa"/>
            <w:vAlign w:val="bottom"/>
          </w:tcPr>
          <w:p w14:paraId="63FC3E0B" w14:textId="21C808AD" w:rsidR="00B03EE2" w:rsidRPr="00EC21FB" w:rsidRDefault="00B03EE2" w:rsidP="00C31920">
            <w:pPr>
              <w:jc w:val="right"/>
              <w:rPr>
                <w:color w:val="000000"/>
                <w:sz w:val="18"/>
                <w:szCs w:val="18"/>
              </w:rPr>
            </w:pPr>
            <w:r w:rsidRPr="00EC21FB">
              <w:rPr>
                <w:color w:val="000000"/>
                <w:sz w:val="18"/>
                <w:szCs w:val="18"/>
              </w:rPr>
              <w:t>9</w:t>
            </w:r>
          </w:p>
        </w:tc>
        <w:tc>
          <w:tcPr>
            <w:tcW w:w="1170" w:type="dxa"/>
          </w:tcPr>
          <w:p w14:paraId="5EE521EF" w14:textId="12019D15" w:rsidR="00B03EE2" w:rsidRPr="00EC21FB" w:rsidRDefault="00B03EE2" w:rsidP="00C31920">
            <w:pPr>
              <w:jc w:val="right"/>
              <w:rPr>
                <w:color w:val="000000"/>
                <w:sz w:val="18"/>
                <w:szCs w:val="18"/>
              </w:rPr>
            </w:pPr>
            <w:r w:rsidRPr="00EC21FB">
              <w:rPr>
                <w:color w:val="000000"/>
                <w:sz w:val="18"/>
                <w:szCs w:val="18"/>
              </w:rPr>
              <w:t>2.5</w:t>
            </w:r>
          </w:p>
        </w:tc>
      </w:tr>
      <w:tr w:rsidR="009465D9" w:rsidRPr="00D81D83" w14:paraId="34D6EF8D" w14:textId="77777777" w:rsidTr="005E42F0">
        <w:sdt>
          <w:sdtPr>
            <w:rPr>
              <w:color w:val="000000"/>
              <w:sz w:val="18"/>
              <w:szCs w:val="18"/>
            </w:rPr>
            <w:tag w:val="MENDELEY_CITATION_v3_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"/>
            <w:id w:val="1046033909"/>
            <w:placeholder>
              <w:docPart w:val="C5621DD0C3EF5942A0BEA1739A23F825"/>
            </w:placeholder>
          </w:sdtPr>
          <w:sdtContent>
            <w:tc>
              <w:tcPr>
                <w:tcW w:w="2335" w:type="dxa"/>
              </w:tcPr>
              <w:p w14:paraId="019E01BD" w14:textId="7963655B" w:rsidR="009465D9" w:rsidRPr="009465D9" w:rsidRDefault="00E807B5" w:rsidP="009465D9">
                <w:pPr>
                  <w:rPr>
                    <w:color w:val="000000"/>
                    <w:sz w:val="18"/>
                    <w:szCs w:val="18"/>
                  </w:rPr>
                </w:pPr>
                <w:r w:rsidRPr="00E807B5">
                  <w:rPr>
                    <w:rFonts w:eastAsia="Times New Roman"/>
                    <w:color w:val="000000"/>
                    <w:sz w:val="18"/>
                  </w:rPr>
                  <w:t>(Sun et al., 2022)</w:t>
                </w:r>
              </w:p>
            </w:tc>
          </w:sdtContent>
        </w:sdt>
        <w:tc>
          <w:tcPr>
            <w:tcW w:w="1260" w:type="dxa"/>
            <w:vAlign w:val="bottom"/>
          </w:tcPr>
          <w:p w14:paraId="25B55820" w14:textId="17B08D4A" w:rsidR="009465D9" w:rsidRPr="009465D9" w:rsidRDefault="009465D9" w:rsidP="009465D9">
            <w:pPr>
              <w:rPr>
                <w:color w:val="000000"/>
                <w:sz w:val="18"/>
                <w:szCs w:val="18"/>
              </w:rPr>
            </w:pPr>
            <w:proofErr w:type="spellStart"/>
            <w:r w:rsidRPr="009465D9">
              <w:rPr>
                <w:color w:val="000000"/>
                <w:sz w:val="18"/>
                <w:szCs w:val="18"/>
              </w:rPr>
              <w:t>shihezi</w:t>
            </w:r>
            <w:proofErr w:type="spellEnd"/>
          </w:p>
        </w:tc>
        <w:tc>
          <w:tcPr>
            <w:tcW w:w="810" w:type="dxa"/>
            <w:vAlign w:val="bottom"/>
          </w:tcPr>
          <w:p w14:paraId="39027A66" w14:textId="6B28FF03" w:rsidR="009465D9" w:rsidRPr="009465D9" w:rsidRDefault="009465D9" w:rsidP="009465D9">
            <w:pPr>
              <w:jc w:val="right"/>
              <w:rPr>
                <w:color w:val="000000"/>
                <w:sz w:val="18"/>
                <w:szCs w:val="18"/>
              </w:rPr>
            </w:pPr>
            <w:r w:rsidRPr="009465D9">
              <w:rPr>
                <w:color w:val="000000"/>
                <w:sz w:val="18"/>
                <w:szCs w:val="18"/>
              </w:rPr>
              <w:t>44.33</w:t>
            </w:r>
          </w:p>
        </w:tc>
        <w:tc>
          <w:tcPr>
            <w:tcW w:w="1080" w:type="dxa"/>
            <w:vAlign w:val="bottom"/>
          </w:tcPr>
          <w:p w14:paraId="2F1E77EE" w14:textId="1ECBF999" w:rsidR="009465D9" w:rsidRPr="009465D9" w:rsidRDefault="009465D9" w:rsidP="009465D9">
            <w:pPr>
              <w:jc w:val="right"/>
              <w:rPr>
                <w:color w:val="000000"/>
                <w:sz w:val="18"/>
                <w:szCs w:val="18"/>
              </w:rPr>
            </w:pPr>
            <w:r w:rsidRPr="009465D9">
              <w:rPr>
                <w:color w:val="000000"/>
                <w:sz w:val="18"/>
                <w:szCs w:val="18"/>
              </w:rPr>
              <w:t>86.5</w:t>
            </w:r>
          </w:p>
        </w:tc>
        <w:tc>
          <w:tcPr>
            <w:tcW w:w="990" w:type="dxa"/>
          </w:tcPr>
          <w:p w14:paraId="3EEBB1AA" w14:textId="399ACFC8" w:rsidR="009465D9" w:rsidRDefault="00E807B5" w:rsidP="009465D9">
            <w:pPr>
              <w:jc w:val="right"/>
              <w:rPr>
                <w:color w:val="000000"/>
                <w:sz w:val="18"/>
                <w:szCs w:val="18"/>
              </w:rPr>
            </w:pPr>
            <w:r>
              <w:rPr>
                <w:color w:val="000000"/>
                <w:sz w:val="18"/>
                <w:szCs w:val="18"/>
              </w:rPr>
              <w:t>456</w:t>
            </w:r>
          </w:p>
        </w:tc>
        <w:tc>
          <w:tcPr>
            <w:tcW w:w="630" w:type="dxa"/>
            <w:vAlign w:val="center"/>
          </w:tcPr>
          <w:p w14:paraId="730B962E" w14:textId="54804418" w:rsidR="009465D9" w:rsidRDefault="00E807B5" w:rsidP="009465D9">
            <w:pPr>
              <w:jc w:val="right"/>
              <w:rPr>
                <w:color w:val="000000"/>
                <w:sz w:val="18"/>
                <w:szCs w:val="18"/>
              </w:rPr>
            </w:pPr>
            <w:r>
              <w:rPr>
                <w:color w:val="000000"/>
                <w:sz w:val="18"/>
                <w:szCs w:val="18"/>
              </w:rPr>
              <w:t>17.1</w:t>
            </w:r>
          </w:p>
        </w:tc>
        <w:tc>
          <w:tcPr>
            <w:tcW w:w="630" w:type="dxa"/>
            <w:vAlign w:val="center"/>
          </w:tcPr>
          <w:p w14:paraId="1E8D513C" w14:textId="43443130" w:rsidR="009465D9" w:rsidRDefault="00E807B5" w:rsidP="009465D9">
            <w:pPr>
              <w:jc w:val="right"/>
              <w:rPr>
                <w:color w:val="000000"/>
                <w:sz w:val="18"/>
                <w:szCs w:val="18"/>
              </w:rPr>
            </w:pPr>
            <w:r>
              <w:rPr>
                <w:color w:val="000000"/>
                <w:sz w:val="18"/>
                <w:szCs w:val="18"/>
              </w:rPr>
              <w:t>0.08</w:t>
            </w:r>
          </w:p>
        </w:tc>
        <w:tc>
          <w:tcPr>
            <w:tcW w:w="630" w:type="dxa"/>
          </w:tcPr>
          <w:p w14:paraId="2E721B47" w14:textId="6ED19224" w:rsidR="009465D9" w:rsidRDefault="00E807B5" w:rsidP="009465D9">
            <w:pPr>
              <w:jc w:val="right"/>
              <w:rPr>
                <w:color w:val="000000"/>
                <w:sz w:val="18"/>
                <w:szCs w:val="18"/>
              </w:rPr>
            </w:pPr>
            <w:r>
              <w:rPr>
                <w:color w:val="000000"/>
                <w:sz w:val="18"/>
                <w:szCs w:val="18"/>
              </w:rPr>
              <w:t>932</w:t>
            </w:r>
          </w:p>
        </w:tc>
        <w:tc>
          <w:tcPr>
            <w:tcW w:w="1080" w:type="dxa"/>
            <w:vAlign w:val="bottom"/>
          </w:tcPr>
          <w:p w14:paraId="6A8D3A46" w14:textId="0EDC173C" w:rsidR="009465D9" w:rsidRPr="00EC21FB" w:rsidRDefault="00E807B5" w:rsidP="009465D9">
            <w:pPr>
              <w:jc w:val="right"/>
              <w:rPr>
                <w:color w:val="000000"/>
                <w:sz w:val="18"/>
                <w:szCs w:val="18"/>
              </w:rPr>
            </w:pPr>
            <w:r>
              <w:rPr>
                <w:color w:val="000000"/>
                <w:sz w:val="18"/>
                <w:szCs w:val="18"/>
              </w:rPr>
              <w:t>crop</w:t>
            </w:r>
          </w:p>
        </w:tc>
        <w:tc>
          <w:tcPr>
            <w:tcW w:w="1170" w:type="dxa"/>
            <w:vAlign w:val="bottom"/>
          </w:tcPr>
          <w:p w14:paraId="47017435" w14:textId="4D982EEF" w:rsidR="009465D9" w:rsidRPr="00EC21FB" w:rsidRDefault="009465D9" w:rsidP="009465D9">
            <w:pPr>
              <w:jc w:val="right"/>
              <w:rPr>
                <w:color w:val="000000"/>
                <w:sz w:val="18"/>
                <w:szCs w:val="18"/>
              </w:rPr>
            </w:pPr>
            <w:r>
              <w:rPr>
                <w:color w:val="000000"/>
                <w:sz w:val="18"/>
                <w:szCs w:val="18"/>
              </w:rPr>
              <w:t>field</w:t>
            </w:r>
          </w:p>
        </w:tc>
        <w:tc>
          <w:tcPr>
            <w:tcW w:w="1080" w:type="dxa"/>
            <w:vAlign w:val="bottom"/>
          </w:tcPr>
          <w:p w14:paraId="1DD3FADC" w14:textId="4C6E4ED9" w:rsidR="009465D9" w:rsidRPr="00EC21FB" w:rsidRDefault="009465D9" w:rsidP="009465D9">
            <w:pPr>
              <w:jc w:val="right"/>
              <w:rPr>
                <w:color w:val="000000"/>
                <w:sz w:val="18"/>
                <w:szCs w:val="18"/>
              </w:rPr>
            </w:pPr>
            <w:r>
              <w:rPr>
                <w:color w:val="000000"/>
                <w:sz w:val="18"/>
                <w:szCs w:val="18"/>
              </w:rPr>
              <w:t>12</w:t>
            </w:r>
          </w:p>
        </w:tc>
        <w:tc>
          <w:tcPr>
            <w:tcW w:w="1170" w:type="dxa"/>
          </w:tcPr>
          <w:p w14:paraId="684B8916" w14:textId="3ED3B725" w:rsidR="009465D9" w:rsidRPr="00EC21FB" w:rsidRDefault="009465D9" w:rsidP="009465D9">
            <w:pPr>
              <w:jc w:val="right"/>
              <w:rPr>
                <w:color w:val="000000"/>
                <w:sz w:val="18"/>
                <w:szCs w:val="18"/>
              </w:rPr>
            </w:pPr>
            <w:r>
              <w:rPr>
                <w:color w:val="000000"/>
                <w:sz w:val="18"/>
                <w:szCs w:val="18"/>
              </w:rPr>
              <w:t>5</w:t>
            </w:r>
          </w:p>
        </w:tc>
      </w:tr>
      <w:tr w:rsidR="00B03EE2" w:rsidRPr="00D81D83" w14:paraId="5B425058" w14:textId="77777777" w:rsidTr="005E42F0">
        <w:sdt>
          <w:sdtPr>
            <w:rPr>
              <w:color w:val="000000"/>
              <w:sz w:val="18"/>
              <w:szCs w:val="18"/>
            </w:rPr>
            <w:tag w:val="MENDELEY_CITATION_v3_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"/>
            <w:id w:val="527458638"/>
            <w:placeholder>
              <w:docPart w:val="6EB858DCA7EC19408CEADA303E622080"/>
            </w:placeholder>
          </w:sdtPr>
          <w:sdtContent>
            <w:tc>
              <w:tcPr>
                <w:tcW w:w="2335" w:type="dxa"/>
              </w:tcPr>
              <w:p w14:paraId="7EC43CE4" w14:textId="4724E223" w:rsidR="00B03EE2" w:rsidRPr="00EC21FB" w:rsidRDefault="00E807B5" w:rsidP="00C31920">
                <w:pPr>
                  <w:rPr>
                    <w:color w:val="000000"/>
                    <w:sz w:val="18"/>
                    <w:szCs w:val="18"/>
                  </w:rPr>
                </w:pPr>
                <w:r w:rsidRPr="00E807B5">
                  <w:rPr>
                    <w:rFonts w:eastAsia="Times New Roman"/>
                    <w:color w:val="000000"/>
                    <w:sz w:val="18"/>
                  </w:rPr>
                  <w:t>(Tischer et al., 2015)</w:t>
                </w:r>
              </w:p>
            </w:tc>
          </w:sdtContent>
        </w:sdt>
        <w:tc>
          <w:tcPr>
            <w:tcW w:w="1260" w:type="dxa"/>
            <w:vAlign w:val="bottom"/>
          </w:tcPr>
          <w:p w14:paraId="496104D1" w14:textId="75C0BD3A" w:rsidR="00B03EE2" w:rsidRPr="00EC21FB" w:rsidRDefault="00B03EE2" w:rsidP="00C31920">
            <w:pPr>
              <w:rPr>
                <w:color w:val="000000"/>
                <w:sz w:val="18"/>
                <w:szCs w:val="18"/>
              </w:rPr>
            </w:pPr>
            <w:r w:rsidRPr="00EC21FB">
              <w:rPr>
                <w:color w:val="000000"/>
                <w:sz w:val="18"/>
                <w:szCs w:val="18"/>
              </w:rPr>
              <w:t>cordillera</w:t>
            </w:r>
          </w:p>
        </w:tc>
        <w:tc>
          <w:tcPr>
            <w:tcW w:w="810" w:type="dxa"/>
            <w:vAlign w:val="bottom"/>
          </w:tcPr>
          <w:p w14:paraId="2A02A7DC" w14:textId="7E2856BF" w:rsidR="00B03EE2" w:rsidRPr="00EC21FB" w:rsidRDefault="00B03EE2" w:rsidP="00C31920">
            <w:pPr>
              <w:jc w:val="right"/>
              <w:rPr>
                <w:color w:val="000000"/>
                <w:sz w:val="18"/>
                <w:szCs w:val="18"/>
              </w:rPr>
            </w:pPr>
            <w:r w:rsidRPr="00EC21FB">
              <w:rPr>
                <w:color w:val="000000"/>
                <w:sz w:val="18"/>
                <w:szCs w:val="18"/>
              </w:rPr>
              <w:t>-3.97</w:t>
            </w:r>
          </w:p>
        </w:tc>
        <w:tc>
          <w:tcPr>
            <w:tcW w:w="1080" w:type="dxa"/>
            <w:vAlign w:val="bottom"/>
          </w:tcPr>
          <w:p w14:paraId="42EE65E8" w14:textId="6C94E72D" w:rsidR="00B03EE2" w:rsidRPr="00EC21FB" w:rsidRDefault="00B03EE2" w:rsidP="00C31920">
            <w:pPr>
              <w:jc w:val="right"/>
              <w:rPr>
                <w:color w:val="000000"/>
                <w:sz w:val="18"/>
                <w:szCs w:val="18"/>
              </w:rPr>
            </w:pPr>
            <w:r w:rsidRPr="00EC21FB">
              <w:rPr>
                <w:color w:val="000000"/>
                <w:sz w:val="18"/>
                <w:szCs w:val="18"/>
              </w:rPr>
              <w:t>-70.07</w:t>
            </w:r>
          </w:p>
        </w:tc>
        <w:tc>
          <w:tcPr>
            <w:tcW w:w="990" w:type="dxa"/>
          </w:tcPr>
          <w:p w14:paraId="33BB75E6" w14:textId="233A3143" w:rsidR="00B03EE2" w:rsidRPr="00C15C33" w:rsidRDefault="00B03EE2" w:rsidP="00C31920">
            <w:pPr>
              <w:jc w:val="right"/>
              <w:rPr>
                <w:color w:val="000000"/>
                <w:sz w:val="18"/>
                <w:szCs w:val="18"/>
              </w:rPr>
            </w:pPr>
            <w:r>
              <w:rPr>
                <w:color w:val="000000"/>
                <w:sz w:val="18"/>
                <w:szCs w:val="18"/>
              </w:rPr>
              <w:t>127</w:t>
            </w:r>
          </w:p>
        </w:tc>
        <w:tc>
          <w:tcPr>
            <w:tcW w:w="630" w:type="dxa"/>
            <w:vAlign w:val="center"/>
          </w:tcPr>
          <w:p w14:paraId="4EC85DF5" w14:textId="10579FC5" w:rsidR="00B03EE2" w:rsidRPr="00C15C33" w:rsidRDefault="00B03EE2" w:rsidP="00C31920">
            <w:pPr>
              <w:jc w:val="right"/>
              <w:rPr>
                <w:color w:val="000000"/>
                <w:sz w:val="18"/>
                <w:szCs w:val="18"/>
              </w:rPr>
            </w:pPr>
            <w:r>
              <w:rPr>
                <w:color w:val="000000"/>
                <w:sz w:val="18"/>
                <w:szCs w:val="18"/>
              </w:rPr>
              <w:t>26.5</w:t>
            </w:r>
          </w:p>
        </w:tc>
        <w:tc>
          <w:tcPr>
            <w:tcW w:w="630" w:type="dxa"/>
            <w:vAlign w:val="center"/>
          </w:tcPr>
          <w:p w14:paraId="77C95053" w14:textId="48EA6A68" w:rsidR="00B03EE2" w:rsidRPr="00C15C33" w:rsidRDefault="00B03EE2" w:rsidP="00C31920">
            <w:pPr>
              <w:jc w:val="right"/>
              <w:rPr>
                <w:color w:val="000000"/>
                <w:sz w:val="18"/>
                <w:szCs w:val="18"/>
              </w:rPr>
            </w:pPr>
            <w:r>
              <w:rPr>
                <w:color w:val="000000"/>
                <w:sz w:val="18"/>
                <w:szCs w:val="18"/>
              </w:rPr>
              <w:t>2.53</w:t>
            </w:r>
          </w:p>
        </w:tc>
        <w:tc>
          <w:tcPr>
            <w:tcW w:w="630" w:type="dxa"/>
          </w:tcPr>
          <w:p w14:paraId="011B7592" w14:textId="28D46B8E" w:rsidR="00B03EE2" w:rsidRPr="00C15C33" w:rsidRDefault="00B03EE2" w:rsidP="00C31920">
            <w:pPr>
              <w:jc w:val="right"/>
              <w:rPr>
                <w:color w:val="000000"/>
                <w:sz w:val="18"/>
                <w:szCs w:val="18"/>
              </w:rPr>
            </w:pPr>
            <w:r>
              <w:rPr>
                <w:color w:val="000000"/>
                <w:sz w:val="18"/>
                <w:szCs w:val="18"/>
              </w:rPr>
              <w:t>644</w:t>
            </w:r>
          </w:p>
        </w:tc>
        <w:tc>
          <w:tcPr>
            <w:tcW w:w="1080" w:type="dxa"/>
            <w:vAlign w:val="bottom"/>
          </w:tcPr>
          <w:p w14:paraId="157A076E" w14:textId="2775AB0D" w:rsidR="00B03EE2" w:rsidRPr="00EC21FB" w:rsidRDefault="00B03EE2" w:rsidP="00C31920">
            <w:pPr>
              <w:jc w:val="right"/>
              <w:rPr>
                <w:color w:val="000000"/>
                <w:sz w:val="18"/>
                <w:szCs w:val="18"/>
              </w:rPr>
            </w:pPr>
            <w:r w:rsidRPr="00EC21FB">
              <w:rPr>
                <w:color w:val="000000"/>
                <w:sz w:val="18"/>
                <w:szCs w:val="18"/>
              </w:rPr>
              <w:t>grassland</w:t>
            </w:r>
          </w:p>
        </w:tc>
        <w:tc>
          <w:tcPr>
            <w:tcW w:w="1170" w:type="dxa"/>
            <w:vAlign w:val="bottom"/>
          </w:tcPr>
          <w:p w14:paraId="057BD2F1" w14:textId="682FD561" w:rsidR="00B03EE2" w:rsidRPr="00EC21FB" w:rsidRDefault="00B03EE2" w:rsidP="00C31920">
            <w:pPr>
              <w:jc w:val="right"/>
              <w:rPr>
                <w:color w:val="000000"/>
                <w:sz w:val="18"/>
                <w:szCs w:val="18"/>
              </w:rPr>
            </w:pPr>
            <w:r w:rsidRPr="00EC21FB">
              <w:rPr>
                <w:color w:val="000000"/>
                <w:sz w:val="18"/>
                <w:szCs w:val="18"/>
              </w:rPr>
              <w:t>field</w:t>
            </w:r>
          </w:p>
        </w:tc>
        <w:tc>
          <w:tcPr>
            <w:tcW w:w="1080" w:type="dxa"/>
            <w:vAlign w:val="bottom"/>
          </w:tcPr>
          <w:p w14:paraId="7A582D91" w14:textId="0E19EB45" w:rsidR="00B03EE2" w:rsidRPr="00EC21FB" w:rsidRDefault="00B03EE2" w:rsidP="00C31920">
            <w:pPr>
              <w:jc w:val="right"/>
              <w:rPr>
                <w:color w:val="000000"/>
                <w:sz w:val="18"/>
                <w:szCs w:val="18"/>
              </w:rPr>
            </w:pPr>
            <w:r w:rsidRPr="00EC21FB">
              <w:rPr>
                <w:color w:val="000000"/>
                <w:sz w:val="18"/>
                <w:szCs w:val="18"/>
              </w:rPr>
              <w:t>5</w:t>
            </w:r>
          </w:p>
        </w:tc>
        <w:tc>
          <w:tcPr>
            <w:tcW w:w="1170" w:type="dxa"/>
          </w:tcPr>
          <w:p w14:paraId="23D91D35" w14:textId="1363614E" w:rsidR="00B03EE2" w:rsidRPr="00EC21FB" w:rsidRDefault="00B03EE2" w:rsidP="00C31920">
            <w:pPr>
              <w:jc w:val="right"/>
              <w:rPr>
                <w:color w:val="000000"/>
                <w:sz w:val="18"/>
                <w:szCs w:val="18"/>
              </w:rPr>
            </w:pPr>
            <w:r w:rsidRPr="00EC21FB">
              <w:rPr>
                <w:color w:val="000000"/>
                <w:sz w:val="18"/>
                <w:szCs w:val="18"/>
              </w:rPr>
              <w:t>1</w:t>
            </w:r>
          </w:p>
        </w:tc>
      </w:tr>
      <w:tr w:rsidR="00B03EE2" w:rsidRPr="00D81D83" w14:paraId="57A0E6CD" w14:textId="77777777" w:rsidTr="005E42F0">
        <w:sdt>
          <w:sdtPr>
            <w:rPr>
              <w:color w:val="000000"/>
              <w:sz w:val="18"/>
              <w:szCs w:val="18"/>
            </w:rPr>
            <w:tag w:val="MENDELEY_CITATION_v3_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"/>
            <w:id w:val="1458760437"/>
            <w:placeholder>
              <w:docPart w:val="1F1C7AB0E4BCDE48BDF9DDDEFDDA07F9"/>
            </w:placeholder>
          </w:sdtPr>
          <w:sdtContent>
            <w:tc>
              <w:tcPr>
                <w:tcW w:w="2335" w:type="dxa"/>
              </w:tcPr>
              <w:p w14:paraId="1A1134DC" w14:textId="298B0F12" w:rsidR="00B03EE2" w:rsidRPr="00EC21FB" w:rsidRDefault="00E807B5" w:rsidP="00C31920">
                <w:pPr>
                  <w:rPr>
                    <w:color w:val="000000"/>
                    <w:sz w:val="18"/>
                    <w:szCs w:val="18"/>
                  </w:rPr>
                </w:pPr>
                <w:r w:rsidRPr="00E807B5">
                  <w:rPr>
                    <w:rFonts w:eastAsia="Times New Roman"/>
                    <w:color w:val="000000"/>
                    <w:sz w:val="18"/>
                  </w:rPr>
                  <w:t>(van Cleve &amp; Oliver, 1982)</w:t>
                </w:r>
              </w:p>
            </w:tc>
          </w:sdtContent>
        </w:sdt>
        <w:tc>
          <w:tcPr>
            <w:tcW w:w="1260" w:type="dxa"/>
          </w:tcPr>
          <w:p w14:paraId="21259D30" w14:textId="4F9C04B2" w:rsidR="00B03EE2" w:rsidRPr="00EC21FB" w:rsidRDefault="00B03EE2" w:rsidP="00C31920">
            <w:pPr>
              <w:rPr>
                <w:color w:val="000000"/>
                <w:sz w:val="18"/>
                <w:szCs w:val="18"/>
              </w:rPr>
            </w:pPr>
            <w:proofErr w:type="spellStart"/>
            <w:r w:rsidRPr="00EC21FB">
              <w:rPr>
                <w:color w:val="000000"/>
                <w:sz w:val="18"/>
                <w:szCs w:val="18"/>
              </w:rPr>
              <w:t>fairbanks</w:t>
            </w:r>
            <w:proofErr w:type="spellEnd"/>
          </w:p>
        </w:tc>
        <w:tc>
          <w:tcPr>
            <w:tcW w:w="810" w:type="dxa"/>
            <w:vAlign w:val="bottom"/>
          </w:tcPr>
          <w:p w14:paraId="3B0BF5EE" w14:textId="2F6CFBEE" w:rsidR="00B03EE2" w:rsidRPr="00EC21FB" w:rsidRDefault="00B03EE2" w:rsidP="00C31920">
            <w:pPr>
              <w:jc w:val="right"/>
              <w:rPr>
                <w:color w:val="000000"/>
                <w:sz w:val="18"/>
                <w:szCs w:val="18"/>
              </w:rPr>
            </w:pPr>
            <w:r w:rsidRPr="00EC21FB">
              <w:rPr>
                <w:color w:val="000000"/>
                <w:sz w:val="18"/>
                <w:szCs w:val="18"/>
              </w:rPr>
              <w:t>64.83</w:t>
            </w:r>
          </w:p>
        </w:tc>
        <w:tc>
          <w:tcPr>
            <w:tcW w:w="1080" w:type="dxa"/>
            <w:vAlign w:val="bottom"/>
          </w:tcPr>
          <w:p w14:paraId="54E68DD7" w14:textId="03099615" w:rsidR="00B03EE2" w:rsidRPr="00EC21FB" w:rsidRDefault="00B03EE2" w:rsidP="00C31920">
            <w:pPr>
              <w:jc w:val="right"/>
              <w:rPr>
                <w:color w:val="000000"/>
                <w:sz w:val="18"/>
                <w:szCs w:val="18"/>
              </w:rPr>
            </w:pPr>
            <w:r w:rsidRPr="00EC21FB">
              <w:rPr>
                <w:color w:val="000000"/>
                <w:sz w:val="18"/>
                <w:szCs w:val="18"/>
              </w:rPr>
              <w:t>-147.72</w:t>
            </w:r>
          </w:p>
        </w:tc>
        <w:tc>
          <w:tcPr>
            <w:tcW w:w="990" w:type="dxa"/>
          </w:tcPr>
          <w:p w14:paraId="4CEB6081" w14:textId="48CAE3B3" w:rsidR="00B03EE2" w:rsidRPr="00C15C33" w:rsidRDefault="00B03EE2" w:rsidP="00C31920">
            <w:pPr>
              <w:jc w:val="right"/>
              <w:rPr>
                <w:color w:val="000000"/>
                <w:sz w:val="18"/>
                <w:szCs w:val="18"/>
              </w:rPr>
            </w:pPr>
            <w:r>
              <w:rPr>
                <w:color w:val="000000"/>
                <w:sz w:val="18"/>
                <w:szCs w:val="18"/>
              </w:rPr>
              <w:t>132</w:t>
            </w:r>
          </w:p>
        </w:tc>
        <w:tc>
          <w:tcPr>
            <w:tcW w:w="630" w:type="dxa"/>
            <w:vAlign w:val="center"/>
          </w:tcPr>
          <w:p w14:paraId="2BDC5DE7" w14:textId="7D7AABE4" w:rsidR="00B03EE2" w:rsidRPr="00C15C33" w:rsidRDefault="00B03EE2" w:rsidP="00C31920">
            <w:pPr>
              <w:jc w:val="right"/>
              <w:rPr>
                <w:color w:val="000000"/>
                <w:sz w:val="18"/>
                <w:szCs w:val="18"/>
              </w:rPr>
            </w:pPr>
            <w:r>
              <w:rPr>
                <w:color w:val="000000"/>
                <w:sz w:val="18"/>
                <w:szCs w:val="18"/>
              </w:rPr>
              <w:t>12.3</w:t>
            </w:r>
          </w:p>
        </w:tc>
        <w:tc>
          <w:tcPr>
            <w:tcW w:w="630" w:type="dxa"/>
            <w:vAlign w:val="center"/>
          </w:tcPr>
          <w:p w14:paraId="400B36DE" w14:textId="6EDBD7E6" w:rsidR="00B03EE2" w:rsidRPr="00C15C33" w:rsidRDefault="00B03EE2" w:rsidP="00C31920">
            <w:pPr>
              <w:jc w:val="right"/>
              <w:rPr>
                <w:color w:val="000000"/>
                <w:sz w:val="18"/>
                <w:szCs w:val="18"/>
              </w:rPr>
            </w:pPr>
            <w:r>
              <w:rPr>
                <w:color w:val="000000"/>
                <w:sz w:val="18"/>
                <w:szCs w:val="18"/>
              </w:rPr>
              <w:t>0.39</w:t>
            </w:r>
          </w:p>
        </w:tc>
        <w:tc>
          <w:tcPr>
            <w:tcW w:w="630" w:type="dxa"/>
          </w:tcPr>
          <w:p w14:paraId="0944B539" w14:textId="43D218AD" w:rsidR="00B03EE2" w:rsidRPr="00C15C33" w:rsidRDefault="00B03EE2" w:rsidP="00C31920">
            <w:pPr>
              <w:jc w:val="right"/>
              <w:rPr>
                <w:color w:val="000000"/>
                <w:sz w:val="18"/>
                <w:szCs w:val="18"/>
              </w:rPr>
            </w:pPr>
            <w:r>
              <w:rPr>
                <w:color w:val="000000"/>
                <w:sz w:val="18"/>
                <w:szCs w:val="18"/>
              </w:rPr>
              <w:t>688</w:t>
            </w:r>
          </w:p>
        </w:tc>
        <w:tc>
          <w:tcPr>
            <w:tcW w:w="1080" w:type="dxa"/>
            <w:vAlign w:val="bottom"/>
          </w:tcPr>
          <w:p w14:paraId="2BE905A1" w14:textId="21CF5515" w:rsidR="00B03EE2" w:rsidRPr="00EC21FB" w:rsidRDefault="00B03EE2" w:rsidP="00C31920">
            <w:pPr>
              <w:jc w:val="right"/>
              <w:rPr>
                <w:color w:val="000000"/>
                <w:sz w:val="18"/>
                <w:szCs w:val="18"/>
              </w:rPr>
            </w:pPr>
            <w:r w:rsidRPr="00EC21FB">
              <w:rPr>
                <w:color w:val="000000"/>
                <w:sz w:val="18"/>
                <w:szCs w:val="18"/>
              </w:rPr>
              <w:t>forest</w:t>
            </w:r>
          </w:p>
        </w:tc>
        <w:tc>
          <w:tcPr>
            <w:tcW w:w="1170" w:type="dxa"/>
            <w:vAlign w:val="bottom"/>
          </w:tcPr>
          <w:p w14:paraId="2589B4A0" w14:textId="29FFDBFA" w:rsidR="00B03EE2" w:rsidRPr="00EC21FB" w:rsidRDefault="00B03EE2" w:rsidP="00C31920">
            <w:pPr>
              <w:jc w:val="right"/>
              <w:rPr>
                <w:color w:val="000000"/>
                <w:sz w:val="18"/>
                <w:szCs w:val="18"/>
              </w:rPr>
            </w:pPr>
            <w:r w:rsidRPr="00EC21FB">
              <w:rPr>
                <w:color w:val="000000"/>
                <w:sz w:val="18"/>
                <w:szCs w:val="18"/>
              </w:rPr>
              <w:t>field</w:t>
            </w:r>
          </w:p>
        </w:tc>
        <w:tc>
          <w:tcPr>
            <w:tcW w:w="1080" w:type="dxa"/>
            <w:vAlign w:val="bottom"/>
          </w:tcPr>
          <w:p w14:paraId="2EE32E60" w14:textId="57A6CC07" w:rsidR="00B03EE2" w:rsidRPr="00EC21FB" w:rsidRDefault="00B03EE2" w:rsidP="00C31920">
            <w:pPr>
              <w:jc w:val="right"/>
              <w:rPr>
                <w:color w:val="000000"/>
                <w:sz w:val="18"/>
                <w:szCs w:val="18"/>
              </w:rPr>
            </w:pPr>
            <w:r w:rsidRPr="00EC21FB">
              <w:rPr>
                <w:color w:val="000000"/>
                <w:sz w:val="18"/>
                <w:szCs w:val="18"/>
              </w:rPr>
              <w:t>11.1</w:t>
            </w:r>
          </w:p>
        </w:tc>
        <w:tc>
          <w:tcPr>
            <w:tcW w:w="1170" w:type="dxa"/>
          </w:tcPr>
          <w:p w14:paraId="5C76E0F4" w14:textId="34EE09F3" w:rsidR="00B03EE2" w:rsidRPr="00EC21FB" w:rsidRDefault="00B03EE2" w:rsidP="00C31920">
            <w:pPr>
              <w:jc w:val="right"/>
              <w:rPr>
                <w:color w:val="000000"/>
                <w:sz w:val="18"/>
                <w:szCs w:val="18"/>
              </w:rPr>
            </w:pPr>
            <w:r w:rsidRPr="00EC21FB">
              <w:rPr>
                <w:color w:val="000000"/>
                <w:sz w:val="18"/>
                <w:szCs w:val="18"/>
              </w:rPr>
              <w:t>5.5</w:t>
            </w:r>
          </w:p>
        </w:tc>
      </w:tr>
      <w:tr w:rsidR="00B03EE2" w:rsidRPr="00D81D83" w14:paraId="1A7526AA" w14:textId="77777777" w:rsidTr="005E42F0">
        <w:sdt>
          <w:sdtPr>
            <w:rPr>
              <w:color w:val="000000"/>
              <w:sz w:val="18"/>
              <w:szCs w:val="18"/>
            </w:rPr>
            <w:tag w:val="MENDELEY_CITATION_v3_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"/>
            <w:id w:val="334115459"/>
            <w:placeholder>
              <w:docPart w:val="3CDEFCD142457D4F9C379DC8B553AC9D"/>
            </w:placeholder>
          </w:sdtPr>
          <w:sdtContent>
            <w:tc>
              <w:tcPr>
                <w:tcW w:w="2335" w:type="dxa"/>
              </w:tcPr>
              <w:p w14:paraId="52C33178" w14:textId="4F1BEDC6" w:rsidR="00B03EE2" w:rsidRPr="00EC21FB" w:rsidRDefault="00E807B5" w:rsidP="00C31920">
                <w:pPr>
                  <w:rPr>
                    <w:color w:val="000000"/>
                    <w:sz w:val="18"/>
                    <w:szCs w:val="18"/>
                  </w:rPr>
                </w:pPr>
                <w:r w:rsidRPr="00E807B5">
                  <w:rPr>
                    <w:rFonts w:eastAsia="Times New Roman"/>
                    <w:color w:val="000000"/>
                    <w:sz w:val="18"/>
                  </w:rPr>
                  <w:t>(van der Hoek et al., 2004)</w:t>
                </w:r>
              </w:p>
            </w:tc>
          </w:sdtContent>
        </w:sdt>
        <w:tc>
          <w:tcPr>
            <w:tcW w:w="1260" w:type="dxa"/>
          </w:tcPr>
          <w:p w14:paraId="254DB11F" w14:textId="4776A68F" w:rsidR="00B03EE2" w:rsidRPr="00EC21FB" w:rsidRDefault="00B03EE2" w:rsidP="00C31920">
            <w:pPr>
              <w:rPr>
                <w:color w:val="000000"/>
                <w:sz w:val="18"/>
                <w:szCs w:val="18"/>
              </w:rPr>
            </w:pPr>
            <w:proofErr w:type="spellStart"/>
            <w:r w:rsidRPr="00EC21FB">
              <w:rPr>
                <w:color w:val="000000"/>
                <w:sz w:val="18"/>
                <w:szCs w:val="18"/>
              </w:rPr>
              <w:t>bennekomse</w:t>
            </w:r>
            <w:proofErr w:type="spellEnd"/>
          </w:p>
        </w:tc>
        <w:tc>
          <w:tcPr>
            <w:tcW w:w="810" w:type="dxa"/>
            <w:vAlign w:val="bottom"/>
          </w:tcPr>
          <w:p w14:paraId="3090B4A6" w14:textId="2DE09856" w:rsidR="00B03EE2" w:rsidRPr="00EC21FB" w:rsidRDefault="00B03EE2" w:rsidP="00C31920">
            <w:pPr>
              <w:jc w:val="right"/>
              <w:rPr>
                <w:color w:val="000000"/>
                <w:sz w:val="18"/>
                <w:szCs w:val="18"/>
              </w:rPr>
            </w:pPr>
            <w:r w:rsidRPr="00EC21FB">
              <w:rPr>
                <w:color w:val="000000"/>
                <w:sz w:val="18"/>
                <w:szCs w:val="18"/>
              </w:rPr>
              <w:t>52.02</w:t>
            </w:r>
          </w:p>
        </w:tc>
        <w:tc>
          <w:tcPr>
            <w:tcW w:w="1080" w:type="dxa"/>
            <w:vAlign w:val="bottom"/>
          </w:tcPr>
          <w:p w14:paraId="3A6F1B99" w14:textId="1C40F3A9" w:rsidR="00B03EE2" w:rsidRPr="00EC21FB" w:rsidRDefault="00B03EE2" w:rsidP="00C31920">
            <w:pPr>
              <w:jc w:val="right"/>
              <w:rPr>
                <w:color w:val="000000"/>
                <w:sz w:val="18"/>
                <w:szCs w:val="18"/>
              </w:rPr>
            </w:pPr>
            <w:r w:rsidRPr="00EC21FB">
              <w:rPr>
                <w:color w:val="000000"/>
                <w:sz w:val="18"/>
                <w:szCs w:val="18"/>
              </w:rPr>
              <w:t>5.6</w:t>
            </w:r>
          </w:p>
        </w:tc>
        <w:tc>
          <w:tcPr>
            <w:tcW w:w="990" w:type="dxa"/>
          </w:tcPr>
          <w:p w14:paraId="095A8A0C" w14:textId="60310881" w:rsidR="00B03EE2" w:rsidRPr="00C15C33" w:rsidRDefault="00162C4E" w:rsidP="00C31920">
            <w:pPr>
              <w:jc w:val="right"/>
              <w:rPr>
                <w:color w:val="000000"/>
                <w:sz w:val="18"/>
                <w:szCs w:val="18"/>
              </w:rPr>
            </w:pPr>
            <w:r>
              <w:rPr>
                <w:color w:val="000000"/>
                <w:sz w:val="18"/>
                <w:szCs w:val="18"/>
              </w:rPr>
              <w:t>6</w:t>
            </w:r>
          </w:p>
        </w:tc>
        <w:tc>
          <w:tcPr>
            <w:tcW w:w="630" w:type="dxa"/>
            <w:vAlign w:val="center"/>
          </w:tcPr>
          <w:p w14:paraId="53828782" w14:textId="686FE01C" w:rsidR="00B03EE2" w:rsidRPr="00C15C33" w:rsidRDefault="00162C4E" w:rsidP="00C31920">
            <w:pPr>
              <w:jc w:val="right"/>
              <w:rPr>
                <w:color w:val="000000"/>
                <w:sz w:val="18"/>
                <w:szCs w:val="18"/>
              </w:rPr>
            </w:pPr>
            <w:r>
              <w:rPr>
                <w:color w:val="000000"/>
                <w:sz w:val="18"/>
                <w:szCs w:val="18"/>
              </w:rPr>
              <w:t>9.8</w:t>
            </w:r>
          </w:p>
        </w:tc>
        <w:tc>
          <w:tcPr>
            <w:tcW w:w="630" w:type="dxa"/>
            <w:vAlign w:val="center"/>
          </w:tcPr>
          <w:p w14:paraId="519578A4" w14:textId="48375B75" w:rsidR="00B03EE2" w:rsidRPr="00C15C33" w:rsidRDefault="00162C4E" w:rsidP="00C31920">
            <w:pPr>
              <w:jc w:val="right"/>
              <w:rPr>
                <w:color w:val="000000"/>
                <w:sz w:val="18"/>
                <w:szCs w:val="18"/>
              </w:rPr>
            </w:pPr>
            <w:r>
              <w:rPr>
                <w:color w:val="000000"/>
                <w:sz w:val="18"/>
                <w:szCs w:val="18"/>
              </w:rPr>
              <w:t>1.61</w:t>
            </w:r>
          </w:p>
        </w:tc>
        <w:tc>
          <w:tcPr>
            <w:tcW w:w="630" w:type="dxa"/>
          </w:tcPr>
          <w:p w14:paraId="6E42136D" w14:textId="3C9E25E7" w:rsidR="00B03EE2" w:rsidRPr="00C15C33" w:rsidRDefault="00162C4E" w:rsidP="00C31920">
            <w:pPr>
              <w:jc w:val="right"/>
              <w:rPr>
                <w:color w:val="000000"/>
                <w:sz w:val="18"/>
                <w:szCs w:val="18"/>
              </w:rPr>
            </w:pPr>
            <w:r>
              <w:rPr>
                <w:color w:val="000000"/>
                <w:sz w:val="18"/>
                <w:szCs w:val="18"/>
              </w:rPr>
              <w:t>473</w:t>
            </w:r>
          </w:p>
        </w:tc>
        <w:tc>
          <w:tcPr>
            <w:tcW w:w="1080" w:type="dxa"/>
            <w:vAlign w:val="bottom"/>
          </w:tcPr>
          <w:p w14:paraId="77F0335B" w14:textId="02D05AC3" w:rsidR="00B03EE2" w:rsidRPr="00EC21FB" w:rsidRDefault="00B03EE2" w:rsidP="00C31920">
            <w:pPr>
              <w:jc w:val="right"/>
              <w:rPr>
                <w:color w:val="000000"/>
                <w:sz w:val="18"/>
                <w:szCs w:val="18"/>
              </w:rPr>
            </w:pPr>
            <w:r w:rsidRPr="00EC21FB">
              <w:rPr>
                <w:color w:val="000000"/>
                <w:sz w:val="18"/>
                <w:szCs w:val="18"/>
              </w:rPr>
              <w:t>grassland</w:t>
            </w:r>
          </w:p>
        </w:tc>
        <w:tc>
          <w:tcPr>
            <w:tcW w:w="1170" w:type="dxa"/>
            <w:vAlign w:val="bottom"/>
          </w:tcPr>
          <w:p w14:paraId="54EF2683" w14:textId="0E369F71" w:rsidR="00B03EE2" w:rsidRPr="00EC21FB" w:rsidRDefault="00B03EE2" w:rsidP="00C31920">
            <w:pPr>
              <w:jc w:val="right"/>
              <w:rPr>
                <w:color w:val="000000"/>
                <w:sz w:val="18"/>
                <w:szCs w:val="18"/>
              </w:rPr>
            </w:pPr>
            <w:r w:rsidRPr="00EC21FB">
              <w:rPr>
                <w:color w:val="000000"/>
                <w:sz w:val="18"/>
                <w:szCs w:val="18"/>
              </w:rPr>
              <w:t>field</w:t>
            </w:r>
          </w:p>
        </w:tc>
        <w:tc>
          <w:tcPr>
            <w:tcW w:w="1080" w:type="dxa"/>
            <w:vAlign w:val="bottom"/>
          </w:tcPr>
          <w:p w14:paraId="75A5648D" w14:textId="608F7929" w:rsidR="00B03EE2" w:rsidRPr="00EC21FB" w:rsidRDefault="00B03EE2" w:rsidP="00C31920">
            <w:pPr>
              <w:jc w:val="right"/>
              <w:rPr>
                <w:color w:val="000000"/>
                <w:sz w:val="18"/>
                <w:szCs w:val="18"/>
              </w:rPr>
            </w:pPr>
            <w:r w:rsidRPr="00EC21FB">
              <w:rPr>
                <w:color w:val="000000"/>
                <w:sz w:val="18"/>
                <w:szCs w:val="18"/>
              </w:rPr>
              <w:t>20</w:t>
            </w:r>
          </w:p>
        </w:tc>
        <w:tc>
          <w:tcPr>
            <w:tcW w:w="1170" w:type="dxa"/>
          </w:tcPr>
          <w:p w14:paraId="650F63D1" w14:textId="7B27F2D5" w:rsidR="00B03EE2" w:rsidRPr="00EC21FB" w:rsidRDefault="00B03EE2" w:rsidP="00C31920">
            <w:pPr>
              <w:jc w:val="right"/>
              <w:rPr>
                <w:color w:val="000000"/>
                <w:sz w:val="18"/>
                <w:szCs w:val="18"/>
              </w:rPr>
            </w:pPr>
            <w:r w:rsidRPr="00EC21FB">
              <w:rPr>
                <w:color w:val="000000"/>
                <w:sz w:val="18"/>
                <w:szCs w:val="18"/>
              </w:rPr>
              <w:t>4</w:t>
            </w:r>
          </w:p>
        </w:tc>
      </w:tr>
      <w:tr w:rsidR="00B03EE2" w:rsidRPr="00D81D83" w14:paraId="0965A6B0" w14:textId="77777777" w:rsidTr="005E42F0">
        <w:sdt>
          <w:sdtPr>
            <w:rPr>
              <w:color w:val="000000"/>
              <w:sz w:val="18"/>
              <w:szCs w:val="18"/>
            </w:rPr>
            <w:tag w:val="MENDELEY_CITATION_v3_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"/>
            <w:id w:val="333659344"/>
            <w:placeholder>
              <w:docPart w:val="89421B48114994468050F2D9DB39353E"/>
            </w:placeholder>
          </w:sdtPr>
          <w:sdtContent>
            <w:tc>
              <w:tcPr>
                <w:tcW w:w="2335" w:type="dxa"/>
              </w:tcPr>
              <w:p w14:paraId="1B590427" w14:textId="058B8D15" w:rsidR="00B03EE2" w:rsidRPr="00EC21FB" w:rsidRDefault="00E807B5" w:rsidP="00C31920">
                <w:pPr>
                  <w:rPr>
                    <w:color w:val="000000"/>
                    <w:sz w:val="18"/>
                    <w:szCs w:val="18"/>
                  </w:rPr>
                </w:pPr>
                <w:r w:rsidRPr="00E807B5">
                  <w:rPr>
                    <w:rFonts w:eastAsia="Times New Roman"/>
                    <w:color w:val="000000"/>
                    <w:sz w:val="18"/>
                  </w:rPr>
                  <w:t>(van der Waal et al., 2011)</w:t>
                </w:r>
              </w:p>
            </w:tc>
          </w:sdtContent>
        </w:sdt>
        <w:tc>
          <w:tcPr>
            <w:tcW w:w="1260" w:type="dxa"/>
          </w:tcPr>
          <w:p w14:paraId="41010F14" w14:textId="0F8F6E67" w:rsidR="00B03EE2" w:rsidRPr="00EC21FB" w:rsidRDefault="00B03EE2" w:rsidP="00C31920">
            <w:pPr>
              <w:rPr>
                <w:color w:val="000000"/>
                <w:sz w:val="18"/>
                <w:szCs w:val="18"/>
              </w:rPr>
            </w:pPr>
            <w:proofErr w:type="spellStart"/>
            <w:r w:rsidRPr="00EC21FB">
              <w:rPr>
                <w:color w:val="000000"/>
                <w:sz w:val="18"/>
                <w:szCs w:val="18"/>
              </w:rPr>
              <w:t>klaserie</w:t>
            </w:r>
            <w:proofErr w:type="spellEnd"/>
          </w:p>
        </w:tc>
        <w:tc>
          <w:tcPr>
            <w:tcW w:w="810" w:type="dxa"/>
            <w:vAlign w:val="bottom"/>
          </w:tcPr>
          <w:p w14:paraId="60AC53F8" w14:textId="0C8B2FC0" w:rsidR="00B03EE2" w:rsidRPr="00EC21FB" w:rsidRDefault="00B03EE2" w:rsidP="00C31920">
            <w:pPr>
              <w:jc w:val="right"/>
              <w:rPr>
                <w:color w:val="000000"/>
                <w:sz w:val="18"/>
                <w:szCs w:val="18"/>
              </w:rPr>
            </w:pPr>
            <w:r w:rsidRPr="00EC21FB">
              <w:rPr>
                <w:color w:val="000000"/>
                <w:sz w:val="18"/>
                <w:szCs w:val="18"/>
              </w:rPr>
              <w:t>-24.22</w:t>
            </w:r>
          </w:p>
        </w:tc>
        <w:tc>
          <w:tcPr>
            <w:tcW w:w="1080" w:type="dxa"/>
            <w:vAlign w:val="bottom"/>
          </w:tcPr>
          <w:p w14:paraId="4E1E4BE7" w14:textId="52B3936B" w:rsidR="00B03EE2" w:rsidRPr="00EC21FB" w:rsidRDefault="00B03EE2" w:rsidP="00C31920">
            <w:pPr>
              <w:jc w:val="right"/>
              <w:rPr>
                <w:color w:val="000000"/>
                <w:sz w:val="18"/>
                <w:szCs w:val="18"/>
              </w:rPr>
            </w:pPr>
            <w:r w:rsidRPr="00EC21FB">
              <w:rPr>
                <w:color w:val="000000"/>
                <w:sz w:val="18"/>
                <w:szCs w:val="18"/>
              </w:rPr>
              <w:t>31.27</w:t>
            </w:r>
          </w:p>
        </w:tc>
        <w:tc>
          <w:tcPr>
            <w:tcW w:w="990" w:type="dxa"/>
          </w:tcPr>
          <w:p w14:paraId="3B7FE935" w14:textId="281311F8" w:rsidR="00B03EE2" w:rsidRPr="00C15C33" w:rsidRDefault="00B03EE2" w:rsidP="00C31920">
            <w:pPr>
              <w:jc w:val="right"/>
              <w:rPr>
                <w:color w:val="000000"/>
                <w:sz w:val="18"/>
                <w:szCs w:val="18"/>
              </w:rPr>
            </w:pPr>
            <w:r>
              <w:rPr>
                <w:color w:val="000000"/>
                <w:sz w:val="18"/>
                <w:szCs w:val="18"/>
              </w:rPr>
              <w:t>402</w:t>
            </w:r>
          </w:p>
        </w:tc>
        <w:tc>
          <w:tcPr>
            <w:tcW w:w="630" w:type="dxa"/>
            <w:vAlign w:val="center"/>
          </w:tcPr>
          <w:p w14:paraId="7B52AB97" w14:textId="254BBBFE" w:rsidR="00B03EE2" w:rsidRPr="00C15C33" w:rsidRDefault="00B03EE2" w:rsidP="00C31920">
            <w:pPr>
              <w:jc w:val="right"/>
              <w:rPr>
                <w:color w:val="000000"/>
                <w:sz w:val="18"/>
                <w:szCs w:val="18"/>
              </w:rPr>
            </w:pPr>
            <w:r>
              <w:rPr>
                <w:color w:val="000000"/>
                <w:sz w:val="18"/>
                <w:szCs w:val="18"/>
              </w:rPr>
              <w:t>22.3</w:t>
            </w:r>
          </w:p>
        </w:tc>
        <w:tc>
          <w:tcPr>
            <w:tcW w:w="630" w:type="dxa"/>
            <w:vAlign w:val="center"/>
          </w:tcPr>
          <w:p w14:paraId="2D8DB56B" w14:textId="50A70A75" w:rsidR="00B03EE2" w:rsidRPr="00C15C33" w:rsidRDefault="00B03EE2" w:rsidP="00C31920">
            <w:pPr>
              <w:jc w:val="right"/>
              <w:rPr>
                <w:color w:val="000000"/>
                <w:sz w:val="18"/>
                <w:szCs w:val="18"/>
              </w:rPr>
            </w:pPr>
            <w:r>
              <w:rPr>
                <w:color w:val="000000"/>
                <w:sz w:val="18"/>
                <w:szCs w:val="18"/>
              </w:rPr>
              <w:t>0.31</w:t>
            </w:r>
          </w:p>
        </w:tc>
        <w:tc>
          <w:tcPr>
            <w:tcW w:w="630" w:type="dxa"/>
          </w:tcPr>
          <w:p w14:paraId="3075A390" w14:textId="03EBBAC8" w:rsidR="00B03EE2" w:rsidRPr="00C15C33" w:rsidRDefault="00B03EE2" w:rsidP="00C31920">
            <w:pPr>
              <w:jc w:val="right"/>
              <w:rPr>
                <w:color w:val="000000"/>
                <w:sz w:val="18"/>
                <w:szCs w:val="18"/>
              </w:rPr>
            </w:pPr>
            <w:r>
              <w:rPr>
                <w:color w:val="000000"/>
                <w:sz w:val="18"/>
                <w:szCs w:val="18"/>
              </w:rPr>
              <w:t>870</w:t>
            </w:r>
          </w:p>
        </w:tc>
        <w:tc>
          <w:tcPr>
            <w:tcW w:w="1080" w:type="dxa"/>
            <w:vAlign w:val="bottom"/>
          </w:tcPr>
          <w:p w14:paraId="2C108F0D" w14:textId="4E2B5254" w:rsidR="00B03EE2" w:rsidRPr="00EC21FB" w:rsidRDefault="00B03EE2" w:rsidP="00C31920">
            <w:pPr>
              <w:jc w:val="right"/>
              <w:rPr>
                <w:color w:val="000000"/>
                <w:sz w:val="18"/>
                <w:szCs w:val="18"/>
              </w:rPr>
            </w:pPr>
            <w:r w:rsidRPr="00EC21FB">
              <w:rPr>
                <w:color w:val="000000"/>
                <w:sz w:val="18"/>
                <w:szCs w:val="18"/>
              </w:rPr>
              <w:t>grassland</w:t>
            </w:r>
          </w:p>
        </w:tc>
        <w:tc>
          <w:tcPr>
            <w:tcW w:w="1170" w:type="dxa"/>
            <w:vAlign w:val="bottom"/>
          </w:tcPr>
          <w:p w14:paraId="124CA0FE" w14:textId="6F022DEA" w:rsidR="00B03EE2" w:rsidRPr="00EC21FB" w:rsidRDefault="00B03EE2" w:rsidP="00C31920">
            <w:pPr>
              <w:jc w:val="right"/>
              <w:rPr>
                <w:color w:val="000000"/>
                <w:sz w:val="18"/>
                <w:szCs w:val="18"/>
              </w:rPr>
            </w:pPr>
            <w:r w:rsidRPr="00EC21FB">
              <w:rPr>
                <w:color w:val="000000"/>
                <w:sz w:val="18"/>
                <w:szCs w:val="18"/>
              </w:rPr>
              <w:t>field</w:t>
            </w:r>
          </w:p>
        </w:tc>
        <w:tc>
          <w:tcPr>
            <w:tcW w:w="1080" w:type="dxa"/>
            <w:vAlign w:val="bottom"/>
          </w:tcPr>
          <w:p w14:paraId="20C8FDC0" w14:textId="41A85C33" w:rsidR="00B03EE2" w:rsidRPr="00EC21FB" w:rsidRDefault="00B03EE2" w:rsidP="00C31920">
            <w:pPr>
              <w:jc w:val="right"/>
              <w:rPr>
                <w:color w:val="000000"/>
                <w:sz w:val="18"/>
                <w:szCs w:val="18"/>
              </w:rPr>
            </w:pPr>
            <w:r w:rsidRPr="00EC21FB">
              <w:rPr>
                <w:color w:val="000000"/>
                <w:sz w:val="18"/>
                <w:szCs w:val="18"/>
              </w:rPr>
              <w:t>30</w:t>
            </w:r>
          </w:p>
        </w:tc>
        <w:tc>
          <w:tcPr>
            <w:tcW w:w="1170" w:type="dxa"/>
          </w:tcPr>
          <w:p w14:paraId="59BB818B" w14:textId="72E5E378" w:rsidR="00B03EE2" w:rsidRPr="00EC21FB" w:rsidRDefault="00B03EE2" w:rsidP="00C31920">
            <w:pPr>
              <w:jc w:val="right"/>
              <w:rPr>
                <w:color w:val="000000"/>
                <w:sz w:val="18"/>
                <w:szCs w:val="18"/>
              </w:rPr>
            </w:pPr>
            <w:r w:rsidRPr="00EC21FB">
              <w:rPr>
                <w:color w:val="000000"/>
                <w:sz w:val="18"/>
                <w:szCs w:val="18"/>
              </w:rPr>
              <w:t>25</w:t>
            </w:r>
          </w:p>
        </w:tc>
      </w:tr>
      <w:tr w:rsidR="00B03EE2" w:rsidRPr="00D81D83" w14:paraId="114A4691" w14:textId="77777777" w:rsidTr="005E42F0">
        <w:sdt>
          <w:sdtPr>
            <w:rPr>
              <w:color w:val="000000"/>
              <w:sz w:val="18"/>
              <w:szCs w:val="18"/>
            </w:rPr>
            <w:tag w:val="MENDELEY_CITATION_v3_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"/>
            <w:id w:val="1450663757"/>
            <w:placeholder>
              <w:docPart w:val="65D317380FF05E4AB91ADB9C0E873197"/>
            </w:placeholder>
          </w:sdtPr>
          <w:sdtContent>
            <w:tc>
              <w:tcPr>
                <w:tcW w:w="2335" w:type="dxa"/>
              </w:tcPr>
              <w:p w14:paraId="1BB864B6" w14:textId="27666E0E" w:rsidR="00B03EE2" w:rsidRPr="00EC21FB" w:rsidRDefault="00E807B5" w:rsidP="00C31920">
                <w:pPr>
                  <w:rPr>
                    <w:color w:val="000000"/>
                    <w:sz w:val="18"/>
                    <w:szCs w:val="18"/>
                  </w:rPr>
                </w:pPr>
                <w:r w:rsidRPr="00E807B5">
                  <w:rPr>
                    <w:rFonts w:eastAsia="Times New Roman"/>
                    <w:color w:val="000000"/>
                    <w:sz w:val="18"/>
                  </w:rPr>
                  <w:t>(van Duren, Boeye, et al., 1997)</w:t>
                </w:r>
              </w:p>
            </w:tc>
          </w:sdtContent>
        </w:sdt>
        <w:tc>
          <w:tcPr>
            <w:tcW w:w="1260" w:type="dxa"/>
            <w:vAlign w:val="bottom"/>
          </w:tcPr>
          <w:p w14:paraId="0BFC6B7E" w14:textId="6E8D798B" w:rsidR="00B03EE2" w:rsidRPr="00EC21FB" w:rsidRDefault="00B03EE2" w:rsidP="00C31920">
            <w:pPr>
              <w:rPr>
                <w:color w:val="000000"/>
                <w:sz w:val="18"/>
                <w:szCs w:val="18"/>
              </w:rPr>
            </w:pPr>
            <w:proofErr w:type="spellStart"/>
            <w:r w:rsidRPr="00EC21FB">
              <w:rPr>
                <w:color w:val="000000"/>
                <w:sz w:val="18"/>
                <w:szCs w:val="18"/>
              </w:rPr>
              <w:t>hasselt</w:t>
            </w:r>
            <w:proofErr w:type="spellEnd"/>
          </w:p>
        </w:tc>
        <w:tc>
          <w:tcPr>
            <w:tcW w:w="810" w:type="dxa"/>
            <w:vAlign w:val="bottom"/>
          </w:tcPr>
          <w:p w14:paraId="6DB47E49" w14:textId="447CBEAF" w:rsidR="00B03EE2" w:rsidRPr="00EC21FB" w:rsidRDefault="00B03EE2" w:rsidP="00C31920">
            <w:pPr>
              <w:jc w:val="right"/>
              <w:rPr>
                <w:color w:val="000000"/>
                <w:sz w:val="18"/>
                <w:szCs w:val="18"/>
              </w:rPr>
            </w:pPr>
            <w:r w:rsidRPr="00EC21FB">
              <w:rPr>
                <w:color w:val="000000"/>
                <w:sz w:val="18"/>
                <w:szCs w:val="18"/>
              </w:rPr>
              <w:t>57</w:t>
            </w:r>
          </w:p>
        </w:tc>
        <w:tc>
          <w:tcPr>
            <w:tcW w:w="1080" w:type="dxa"/>
            <w:vAlign w:val="bottom"/>
          </w:tcPr>
          <w:p w14:paraId="405DBB98" w14:textId="00AC1CB7" w:rsidR="00B03EE2" w:rsidRPr="00EC21FB" w:rsidRDefault="00B03EE2" w:rsidP="00C31920">
            <w:pPr>
              <w:jc w:val="right"/>
              <w:rPr>
                <w:color w:val="000000"/>
                <w:sz w:val="18"/>
                <w:szCs w:val="18"/>
              </w:rPr>
            </w:pPr>
            <w:r w:rsidRPr="00EC21FB">
              <w:rPr>
                <w:color w:val="000000"/>
                <w:sz w:val="18"/>
                <w:szCs w:val="18"/>
              </w:rPr>
              <w:t>7</w:t>
            </w:r>
          </w:p>
        </w:tc>
        <w:tc>
          <w:tcPr>
            <w:tcW w:w="990" w:type="dxa"/>
          </w:tcPr>
          <w:p w14:paraId="06E246FF" w14:textId="79F5FE82" w:rsidR="00B03EE2" w:rsidRPr="00C15C33" w:rsidRDefault="00162C4E" w:rsidP="00C31920">
            <w:pPr>
              <w:jc w:val="right"/>
              <w:rPr>
                <w:color w:val="000000"/>
                <w:sz w:val="18"/>
                <w:szCs w:val="18"/>
              </w:rPr>
            </w:pPr>
            <w:r>
              <w:rPr>
                <w:color w:val="000000"/>
                <w:sz w:val="18"/>
                <w:szCs w:val="18"/>
              </w:rPr>
              <w:t>32</w:t>
            </w:r>
          </w:p>
        </w:tc>
        <w:tc>
          <w:tcPr>
            <w:tcW w:w="630" w:type="dxa"/>
            <w:vAlign w:val="center"/>
          </w:tcPr>
          <w:p w14:paraId="66F28078" w14:textId="00B25FE4" w:rsidR="00B03EE2" w:rsidRPr="00C15C33" w:rsidRDefault="00162C4E" w:rsidP="00C31920">
            <w:pPr>
              <w:jc w:val="right"/>
              <w:rPr>
                <w:color w:val="000000"/>
                <w:sz w:val="18"/>
                <w:szCs w:val="18"/>
              </w:rPr>
            </w:pPr>
            <w:r>
              <w:rPr>
                <w:color w:val="000000"/>
                <w:sz w:val="18"/>
                <w:szCs w:val="18"/>
              </w:rPr>
              <w:t>10.6</w:t>
            </w:r>
          </w:p>
        </w:tc>
        <w:tc>
          <w:tcPr>
            <w:tcW w:w="630" w:type="dxa"/>
            <w:vAlign w:val="center"/>
          </w:tcPr>
          <w:p w14:paraId="00377C06" w14:textId="2CF34FCB" w:rsidR="00B03EE2" w:rsidRPr="00C15C33" w:rsidRDefault="00162C4E" w:rsidP="00C31920">
            <w:pPr>
              <w:jc w:val="right"/>
              <w:rPr>
                <w:color w:val="000000"/>
                <w:sz w:val="18"/>
                <w:szCs w:val="18"/>
              </w:rPr>
            </w:pPr>
            <w:r>
              <w:rPr>
                <w:color w:val="000000"/>
                <w:sz w:val="18"/>
                <w:szCs w:val="18"/>
              </w:rPr>
              <w:t>1.41</w:t>
            </w:r>
          </w:p>
        </w:tc>
        <w:tc>
          <w:tcPr>
            <w:tcW w:w="630" w:type="dxa"/>
          </w:tcPr>
          <w:p w14:paraId="6B9DB264" w14:textId="74585EAC" w:rsidR="00B03EE2" w:rsidRPr="00C15C33" w:rsidRDefault="00162C4E" w:rsidP="00C31920">
            <w:pPr>
              <w:jc w:val="right"/>
              <w:rPr>
                <w:color w:val="000000"/>
                <w:sz w:val="18"/>
                <w:szCs w:val="18"/>
              </w:rPr>
            </w:pPr>
            <w:r>
              <w:rPr>
                <w:color w:val="000000"/>
                <w:sz w:val="18"/>
                <w:szCs w:val="18"/>
              </w:rPr>
              <w:t>465</w:t>
            </w:r>
          </w:p>
        </w:tc>
        <w:tc>
          <w:tcPr>
            <w:tcW w:w="1080" w:type="dxa"/>
            <w:vAlign w:val="bottom"/>
          </w:tcPr>
          <w:p w14:paraId="1BD199B9" w14:textId="65D6437D" w:rsidR="00B03EE2" w:rsidRPr="00EC21FB" w:rsidRDefault="00B03EE2" w:rsidP="00C31920">
            <w:pPr>
              <w:jc w:val="right"/>
              <w:rPr>
                <w:color w:val="000000"/>
                <w:sz w:val="18"/>
                <w:szCs w:val="18"/>
              </w:rPr>
            </w:pPr>
            <w:r w:rsidRPr="00EC21FB">
              <w:rPr>
                <w:color w:val="000000"/>
                <w:sz w:val="18"/>
                <w:szCs w:val="18"/>
              </w:rPr>
              <w:t>grassland</w:t>
            </w:r>
          </w:p>
        </w:tc>
        <w:tc>
          <w:tcPr>
            <w:tcW w:w="1170" w:type="dxa"/>
            <w:vAlign w:val="bottom"/>
          </w:tcPr>
          <w:p w14:paraId="53030594" w14:textId="67E7F64A" w:rsidR="00B03EE2" w:rsidRPr="00EC21FB" w:rsidRDefault="00B03EE2" w:rsidP="00C31920">
            <w:pPr>
              <w:jc w:val="right"/>
              <w:rPr>
                <w:color w:val="000000"/>
                <w:sz w:val="18"/>
                <w:szCs w:val="18"/>
              </w:rPr>
            </w:pPr>
            <w:r w:rsidRPr="00EC21FB">
              <w:rPr>
                <w:color w:val="000000"/>
                <w:sz w:val="18"/>
                <w:szCs w:val="18"/>
              </w:rPr>
              <w:t>field</w:t>
            </w:r>
          </w:p>
        </w:tc>
        <w:tc>
          <w:tcPr>
            <w:tcW w:w="1080" w:type="dxa"/>
            <w:vAlign w:val="bottom"/>
          </w:tcPr>
          <w:p w14:paraId="35F9E186" w14:textId="48E05F0E" w:rsidR="00B03EE2" w:rsidRPr="00EC21FB" w:rsidRDefault="00B03EE2" w:rsidP="00C31920">
            <w:pPr>
              <w:jc w:val="right"/>
              <w:rPr>
                <w:color w:val="000000"/>
                <w:sz w:val="18"/>
                <w:szCs w:val="18"/>
              </w:rPr>
            </w:pPr>
            <w:r w:rsidRPr="00EC21FB">
              <w:rPr>
                <w:color w:val="000000"/>
                <w:sz w:val="18"/>
                <w:szCs w:val="18"/>
              </w:rPr>
              <w:t>20</w:t>
            </w:r>
          </w:p>
        </w:tc>
        <w:tc>
          <w:tcPr>
            <w:tcW w:w="1170" w:type="dxa"/>
          </w:tcPr>
          <w:p w14:paraId="4E4D9497" w14:textId="62AB84AF" w:rsidR="00B03EE2" w:rsidRPr="00EC21FB" w:rsidRDefault="00B03EE2" w:rsidP="00C31920">
            <w:pPr>
              <w:jc w:val="right"/>
              <w:rPr>
                <w:color w:val="000000"/>
                <w:sz w:val="18"/>
                <w:szCs w:val="18"/>
              </w:rPr>
            </w:pPr>
            <w:r w:rsidRPr="00EC21FB">
              <w:rPr>
                <w:color w:val="000000"/>
                <w:sz w:val="18"/>
                <w:szCs w:val="18"/>
              </w:rPr>
              <w:t>8</w:t>
            </w:r>
          </w:p>
        </w:tc>
      </w:tr>
      <w:tr w:rsidR="00B03EE2" w:rsidRPr="00D81D83" w14:paraId="5DC242FA" w14:textId="77777777" w:rsidTr="005E42F0">
        <w:sdt>
          <w:sdtPr>
            <w:rPr>
              <w:color w:val="000000"/>
              <w:sz w:val="18"/>
              <w:szCs w:val="18"/>
            </w:rPr>
            <w:tag w:val="MENDELEY_CITATION_v3_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"/>
            <w:id w:val="2136220845"/>
            <w:placeholder>
              <w:docPart w:val="3A996E19835D264DB373692851CB213D"/>
            </w:placeholder>
          </w:sdtPr>
          <w:sdtContent>
            <w:tc>
              <w:tcPr>
                <w:tcW w:w="2335" w:type="dxa"/>
              </w:tcPr>
              <w:p w14:paraId="372F1611" w14:textId="565440B8" w:rsidR="00B03EE2" w:rsidRPr="00EC21FB" w:rsidRDefault="00E807B5" w:rsidP="00EC21FB">
                <w:pPr>
                  <w:rPr>
                    <w:sz w:val="18"/>
                    <w:szCs w:val="18"/>
                  </w:rPr>
                </w:pPr>
                <w:r w:rsidRPr="00E807B5">
                  <w:rPr>
                    <w:rFonts w:eastAsia="Times New Roman"/>
                    <w:color w:val="000000"/>
                    <w:sz w:val="18"/>
                  </w:rPr>
                  <w:t xml:space="preserve">(van Duren, </w:t>
                </w:r>
                <w:proofErr w:type="spellStart"/>
                <w:r w:rsidRPr="00E807B5">
                  <w:rPr>
                    <w:rFonts w:eastAsia="Times New Roman"/>
                    <w:color w:val="000000"/>
                    <w:sz w:val="18"/>
                  </w:rPr>
                  <w:t>Pegtel</w:t>
                </w:r>
                <w:proofErr w:type="spellEnd"/>
                <w:r w:rsidRPr="00E807B5">
                  <w:rPr>
                    <w:rFonts w:eastAsia="Times New Roman"/>
                    <w:color w:val="000000"/>
                    <w:sz w:val="18"/>
                  </w:rPr>
                  <w:t>, et al., 1997)</w:t>
                </w:r>
              </w:p>
            </w:tc>
          </w:sdtContent>
        </w:sdt>
        <w:tc>
          <w:tcPr>
            <w:tcW w:w="1260" w:type="dxa"/>
            <w:vAlign w:val="bottom"/>
          </w:tcPr>
          <w:p w14:paraId="246E648B" w14:textId="0F1EDD0C" w:rsidR="00B03EE2" w:rsidRPr="00EC21FB" w:rsidRDefault="00B03EE2" w:rsidP="00EC21FB">
            <w:pPr>
              <w:rPr>
                <w:color w:val="000000"/>
                <w:sz w:val="18"/>
                <w:szCs w:val="18"/>
              </w:rPr>
            </w:pPr>
            <w:proofErr w:type="spellStart"/>
            <w:r w:rsidRPr="00EC21FB">
              <w:rPr>
                <w:color w:val="000000"/>
                <w:sz w:val="18"/>
                <w:szCs w:val="18"/>
              </w:rPr>
              <w:t>drentsche</w:t>
            </w:r>
            <w:proofErr w:type="spellEnd"/>
          </w:p>
        </w:tc>
        <w:tc>
          <w:tcPr>
            <w:tcW w:w="810" w:type="dxa"/>
            <w:vAlign w:val="bottom"/>
          </w:tcPr>
          <w:p w14:paraId="3A13DE38" w14:textId="2E12CAA3" w:rsidR="00B03EE2" w:rsidRPr="00EC21FB" w:rsidRDefault="00B03EE2" w:rsidP="00EC21FB">
            <w:pPr>
              <w:jc w:val="right"/>
              <w:rPr>
                <w:color w:val="000000"/>
                <w:sz w:val="18"/>
                <w:szCs w:val="18"/>
              </w:rPr>
            </w:pPr>
            <w:r w:rsidRPr="00EC21FB">
              <w:rPr>
                <w:color w:val="000000"/>
                <w:sz w:val="18"/>
                <w:szCs w:val="18"/>
              </w:rPr>
              <w:t>53.08</w:t>
            </w:r>
          </w:p>
        </w:tc>
        <w:tc>
          <w:tcPr>
            <w:tcW w:w="1080" w:type="dxa"/>
            <w:vAlign w:val="bottom"/>
          </w:tcPr>
          <w:p w14:paraId="2740ED40" w14:textId="21F48850" w:rsidR="00B03EE2" w:rsidRPr="00EC21FB" w:rsidRDefault="00B03EE2" w:rsidP="00EC21FB">
            <w:pPr>
              <w:jc w:val="right"/>
              <w:rPr>
                <w:color w:val="000000"/>
                <w:sz w:val="18"/>
                <w:szCs w:val="18"/>
              </w:rPr>
            </w:pPr>
            <w:r w:rsidRPr="00EC21FB">
              <w:rPr>
                <w:color w:val="000000"/>
                <w:sz w:val="18"/>
                <w:szCs w:val="18"/>
              </w:rPr>
              <w:t>6.67</w:t>
            </w:r>
          </w:p>
        </w:tc>
        <w:tc>
          <w:tcPr>
            <w:tcW w:w="990" w:type="dxa"/>
          </w:tcPr>
          <w:p w14:paraId="39EB2A7C" w14:textId="2A3ADAAC" w:rsidR="00B03EE2" w:rsidRPr="00C15C33" w:rsidRDefault="00162C4E" w:rsidP="00EC21FB">
            <w:pPr>
              <w:jc w:val="right"/>
              <w:rPr>
                <w:color w:val="000000"/>
                <w:sz w:val="18"/>
                <w:szCs w:val="18"/>
              </w:rPr>
            </w:pPr>
            <w:r>
              <w:rPr>
                <w:color w:val="000000"/>
                <w:sz w:val="18"/>
                <w:szCs w:val="18"/>
              </w:rPr>
              <w:t>10</w:t>
            </w:r>
          </w:p>
        </w:tc>
        <w:tc>
          <w:tcPr>
            <w:tcW w:w="630" w:type="dxa"/>
            <w:vAlign w:val="center"/>
          </w:tcPr>
          <w:p w14:paraId="00DA811A" w14:textId="3D385248" w:rsidR="00B03EE2" w:rsidRPr="00C15C33" w:rsidRDefault="00162C4E" w:rsidP="00EC21FB">
            <w:pPr>
              <w:jc w:val="right"/>
              <w:rPr>
                <w:color w:val="000000"/>
                <w:sz w:val="18"/>
                <w:szCs w:val="18"/>
              </w:rPr>
            </w:pPr>
            <w:r>
              <w:rPr>
                <w:color w:val="000000"/>
                <w:sz w:val="18"/>
                <w:szCs w:val="18"/>
              </w:rPr>
              <w:t>9.0</w:t>
            </w:r>
          </w:p>
        </w:tc>
        <w:tc>
          <w:tcPr>
            <w:tcW w:w="630" w:type="dxa"/>
            <w:vAlign w:val="center"/>
          </w:tcPr>
          <w:p w14:paraId="5997758C" w14:textId="2C24613E" w:rsidR="00B03EE2" w:rsidRPr="00C15C33" w:rsidRDefault="00162C4E" w:rsidP="00EC21FB">
            <w:pPr>
              <w:jc w:val="right"/>
              <w:rPr>
                <w:color w:val="000000"/>
                <w:sz w:val="18"/>
                <w:szCs w:val="18"/>
              </w:rPr>
            </w:pPr>
            <w:r>
              <w:rPr>
                <w:color w:val="000000"/>
                <w:sz w:val="18"/>
                <w:szCs w:val="18"/>
              </w:rPr>
              <w:t>1.86</w:t>
            </w:r>
          </w:p>
        </w:tc>
        <w:tc>
          <w:tcPr>
            <w:tcW w:w="630" w:type="dxa"/>
          </w:tcPr>
          <w:p w14:paraId="2285510E" w14:textId="4E26C7F2" w:rsidR="00B03EE2" w:rsidRPr="00C15C33" w:rsidRDefault="00162C4E" w:rsidP="00EC21FB">
            <w:pPr>
              <w:jc w:val="right"/>
              <w:rPr>
                <w:color w:val="000000"/>
                <w:sz w:val="18"/>
                <w:szCs w:val="18"/>
              </w:rPr>
            </w:pPr>
            <w:r>
              <w:rPr>
                <w:color w:val="000000"/>
                <w:sz w:val="18"/>
                <w:szCs w:val="18"/>
              </w:rPr>
              <w:t>475</w:t>
            </w:r>
          </w:p>
        </w:tc>
        <w:tc>
          <w:tcPr>
            <w:tcW w:w="1080" w:type="dxa"/>
            <w:vAlign w:val="bottom"/>
          </w:tcPr>
          <w:p w14:paraId="6F83592E" w14:textId="0BDE9B7B" w:rsidR="00B03EE2" w:rsidRPr="00EC21FB" w:rsidRDefault="00B03EE2" w:rsidP="00EC21FB">
            <w:pPr>
              <w:jc w:val="right"/>
              <w:rPr>
                <w:color w:val="000000"/>
                <w:sz w:val="18"/>
                <w:szCs w:val="18"/>
              </w:rPr>
            </w:pPr>
            <w:r w:rsidRPr="00EC21FB">
              <w:rPr>
                <w:color w:val="000000"/>
                <w:sz w:val="18"/>
                <w:szCs w:val="18"/>
              </w:rPr>
              <w:t>grassland</w:t>
            </w:r>
          </w:p>
        </w:tc>
        <w:tc>
          <w:tcPr>
            <w:tcW w:w="1170" w:type="dxa"/>
            <w:vAlign w:val="bottom"/>
          </w:tcPr>
          <w:p w14:paraId="1D012469" w14:textId="75FF7953" w:rsidR="00B03EE2" w:rsidRPr="00EC21FB" w:rsidRDefault="00B03EE2" w:rsidP="00EC21FB">
            <w:pPr>
              <w:jc w:val="right"/>
              <w:rPr>
                <w:color w:val="000000"/>
                <w:sz w:val="18"/>
                <w:szCs w:val="18"/>
              </w:rPr>
            </w:pPr>
            <w:r w:rsidRPr="00EC21FB">
              <w:rPr>
                <w:color w:val="000000"/>
                <w:sz w:val="18"/>
                <w:szCs w:val="18"/>
              </w:rPr>
              <w:t>field</w:t>
            </w:r>
          </w:p>
        </w:tc>
        <w:tc>
          <w:tcPr>
            <w:tcW w:w="1080" w:type="dxa"/>
            <w:vAlign w:val="bottom"/>
          </w:tcPr>
          <w:p w14:paraId="4FDE9CCC" w14:textId="64DE5578" w:rsidR="00B03EE2" w:rsidRPr="00EC21FB" w:rsidRDefault="00B03EE2" w:rsidP="00EC21FB">
            <w:pPr>
              <w:jc w:val="right"/>
              <w:rPr>
                <w:color w:val="000000"/>
                <w:sz w:val="18"/>
                <w:szCs w:val="18"/>
              </w:rPr>
            </w:pPr>
            <w:r w:rsidRPr="00EC21FB">
              <w:rPr>
                <w:color w:val="000000"/>
                <w:sz w:val="18"/>
                <w:szCs w:val="18"/>
              </w:rPr>
              <w:t>20</w:t>
            </w:r>
          </w:p>
        </w:tc>
        <w:tc>
          <w:tcPr>
            <w:tcW w:w="1170" w:type="dxa"/>
          </w:tcPr>
          <w:p w14:paraId="2A3210FB" w14:textId="4081C139" w:rsidR="00B03EE2" w:rsidRPr="00EC21FB" w:rsidRDefault="00B03EE2" w:rsidP="00EC21FB">
            <w:pPr>
              <w:jc w:val="right"/>
              <w:rPr>
                <w:color w:val="000000"/>
                <w:sz w:val="18"/>
                <w:szCs w:val="18"/>
              </w:rPr>
            </w:pPr>
            <w:r w:rsidRPr="00EC21FB">
              <w:rPr>
                <w:color w:val="000000"/>
                <w:sz w:val="18"/>
                <w:szCs w:val="18"/>
              </w:rPr>
              <w:t>8</w:t>
            </w:r>
          </w:p>
        </w:tc>
      </w:tr>
      <w:tr w:rsidR="00B03EE2" w:rsidRPr="00D81D83" w14:paraId="16B7B16F" w14:textId="77777777" w:rsidTr="005E42F0">
        <w:sdt>
          <w:sdtPr>
            <w:rPr>
              <w:color w:val="000000"/>
              <w:sz w:val="16"/>
              <w:szCs w:val="18"/>
            </w:rPr>
            <w:tag w:val="MENDELEY_CITATION_v3_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"/>
            <w:id w:val="-670716383"/>
            <w:placeholder>
              <w:docPart w:val="7680881D110DFD418D23E5FDA8EED1F1"/>
            </w:placeholder>
          </w:sdtPr>
          <w:sdtContent>
            <w:tc>
              <w:tcPr>
                <w:tcW w:w="2335" w:type="dxa"/>
              </w:tcPr>
              <w:p w14:paraId="009049D7" w14:textId="4A5A6E14" w:rsidR="00B03EE2" w:rsidRPr="00EC21FB" w:rsidRDefault="00E807B5" w:rsidP="00EC21FB">
                <w:pPr>
                  <w:rPr>
                    <w:color w:val="000000"/>
                    <w:sz w:val="18"/>
                    <w:szCs w:val="18"/>
                  </w:rPr>
                </w:pPr>
                <w:r w:rsidRPr="00E807B5">
                  <w:rPr>
                    <w:rFonts w:eastAsia="Times New Roman"/>
                    <w:color w:val="000000"/>
                    <w:sz w:val="16"/>
                  </w:rPr>
                  <w:t xml:space="preserve">(van </w:t>
                </w:r>
                <w:proofErr w:type="spellStart"/>
                <w:r w:rsidRPr="00E807B5">
                  <w:rPr>
                    <w:rFonts w:eastAsia="Times New Roman"/>
                    <w:color w:val="000000"/>
                    <w:sz w:val="16"/>
                  </w:rPr>
                  <w:t>Wijnen</w:t>
                </w:r>
                <w:proofErr w:type="spellEnd"/>
                <w:r w:rsidRPr="00E807B5">
                  <w:rPr>
                    <w:rFonts w:eastAsia="Times New Roman"/>
                    <w:color w:val="000000"/>
                    <w:sz w:val="16"/>
                  </w:rPr>
                  <w:t xml:space="preserve"> &amp; Bakker, 1999)</w:t>
                </w:r>
              </w:p>
            </w:tc>
          </w:sdtContent>
        </w:sdt>
        <w:tc>
          <w:tcPr>
            <w:tcW w:w="1260" w:type="dxa"/>
            <w:vAlign w:val="center"/>
          </w:tcPr>
          <w:p w14:paraId="3A6D687D" w14:textId="2CE2A976" w:rsidR="00B03EE2" w:rsidRPr="00162C4E" w:rsidRDefault="00B03EE2" w:rsidP="005E42F0">
            <w:pPr>
              <w:rPr>
                <w:color w:val="000000"/>
                <w:sz w:val="16"/>
                <w:szCs w:val="16"/>
              </w:rPr>
            </w:pPr>
            <w:proofErr w:type="spellStart"/>
            <w:r w:rsidRPr="00162C4E">
              <w:rPr>
                <w:color w:val="000000"/>
                <w:sz w:val="16"/>
                <w:szCs w:val="16"/>
              </w:rPr>
              <w:t>schiermonikoog</w:t>
            </w:r>
            <w:proofErr w:type="spellEnd"/>
          </w:p>
        </w:tc>
        <w:tc>
          <w:tcPr>
            <w:tcW w:w="810" w:type="dxa"/>
            <w:vAlign w:val="center"/>
          </w:tcPr>
          <w:p w14:paraId="124E63C6" w14:textId="79F1D5D7" w:rsidR="00B03EE2" w:rsidRPr="00EC21FB" w:rsidRDefault="00B03EE2" w:rsidP="005E42F0">
            <w:pPr>
              <w:jc w:val="right"/>
              <w:rPr>
                <w:color w:val="000000"/>
                <w:sz w:val="18"/>
                <w:szCs w:val="18"/>
              </w:rPr>
            </w:pPr>
            <w:r w:rsidRPr="00EC21FB">
              <w:rPr>
                <w:color w:val="000000"/>
                <w:sz w:val="18"/>
                <w:szCs w:val="18"/>
              </w:rPr>
              <w:t>53.5</w:t>
            </w:r>
          </w:p>
        </w:tc>
        <w:tc>
          <w:tcPr>
            <w:tcW w:w="1080" w:type="dxa"/>
            <w:vAlign w:val="center"/>
          </w:tcPr>
          <w:p w14:paraId="64565222" w14:textId="4DA58B98" w:rsidR="00B03EE2" w:rsidRPr="00EC21FB" w:rsidRDefault="00B03EE2" w:rsidP="005E42F0">
            <w:pPr>
              <w:jc w:val="right"/>
              <w:rPr>
                <w:color w:val="000000"/>
                <w:sz w:val="18"/>
                <w:szCs w:val="18"/>
              </w:rPr>
            </w:pPr>
            <w:r w:rsidRPr="00EC21FB">
              <w:rPr>
                <w:color w:val="000000"/>
                <w:sz w:val="18"/>
                <w:szCs w:val="18"/>
              </w:rPr>
              <w:t>6.17</w:t>
            </w:r>
          </w:p>
        </w:tc>
        <w:tc>
          <w:tcPr>
            <w:tcW w:w="990" w:type="dxa"/>
            <w:vAlign w:val="center"/>
          </w:tcPr>
          <w:p w14:paraId="0CCA8F31" w14:textId="689D8927" w:rsidR="00B03EE2" w:rsidRPr="00C15C33" w:rsidRDefault="005E42F0" w:rsidP="005E42F0">
            <w:pPr>
              <w:jc w:val="right"/>
              <w:rPr>
                <w:color w:val="000000"/>
                <w:sz w:val="18"/>
                <w:szCs w:val="18"/>
              </w:rPr>
            </w:pPr>
            <w:r>
              <w:rPr>
                <w:color w:val="000000"/>
                <w:sz w:val="18"/>
                <w:szCs w:val="18"/>
              </w:rPr>
              <w:t>6</w:t>
            </w:r>
          </w:p>
        </w:tc>
        <w:tc>
          <w:tcPr>
            <w:tcW w:w="630" w:type="dxa"/>
            <w:vAlign w:val="center"/>
          </w:tcPr>
          <w:p w14:paraId="5E99CCD3" w14:textId="01AE3767" w:rsidR="00B03EE2" w:rsidRPr="00C15C33" w:rsidRDefault="005E42F0" w:rsidP="005E42F0">
            <w:pPr>
              <w:jc w:val="right"/>
              <w:rPr>
                <w:color w:val="000000"/>
                <w:sz w:val="18"/>
                <w:szCs w:val="18"/>
              </w:rPr>
            </w:pPr>
            <w:r>
              <w:rPr>
                <w:color w:val="000000"/>
                <w:sz w:val="18"/>
                <w:szCs w:val="18"/>
              </w:rPr>
              <w:t>9.0</w:t>
            </w:r>
          </w:p>
        </w:tc>
        <w:tc>
          <w:tcPr>
            <w:tcW w:w="630" w:type="dxa"/>
            <w:vAlign w:val="center"/>
          </w:tcPr>
          <w:p w14:paraId="4D5398C3" w14:textId="4DB82390" w:rsidR="00B03EE2" w:rsidRPr="00C15C33" w:rsidRDefault="005E42F0" w:rsidP="005E42F0">
            <w:pPr>
              <w:jc w:val="right"/>
              <w:rPr>
                <w:color w:val="000000"/>
                <w:sz w:val="18"/>
                <w:szCs w:val="18"/>
              </w:rPr>
            </w:pPr>
            <w:r>
              <w:rPr>
                <w:color w:val="000000"/>
                <w:sz w:val="18"/>
                <w:szCs w:val="18"/>
              </w:rPr>
              <w:t>2.08</w:t>
            </w:r>
          </w:p>
        </w:tc>
        <w:tc>
          <w:tcPr>
            <w:tcW w:w="630" w:type="dxa"/>
            <w:vAlign w:val="center"/>
          </w:tcPr>
          <w:p w14:paraId="1B185014" w14:textId="7720F32F" w:rsidR="00B03EE2" w:rsidRPr="00C15C33" w:rsidRDefault="005E42F0" w:rsidP="005E42F0">
            <w:pPr>
              <w:jc w:val="right"/>
              <w:rPr>
                <w:color w:val="000000"/>
                <w:sz w:val="18"/>
                <w:szCs w:val="18"/>
              </w:rPr>
            </w:pPr>
            <w:r>
              <w:rPr>
                <w:color w:val="000000"/>
                <w:sz w:val="18"/>
                <w:szCs w:val="18"/>
              </w:rPr>
              <w:t>475</w:t>
            </w:r>
          </w:p>
        </w:tc>
        <w:tc>
          <w:tcPr>
            <w:tcW w:w="1080" w:type="dxa"/>
            <w:vAlign w:val="center"/>
          </w:tcPr>
          <w:p w14:paraId="0EC4BD93" w14:textId="4CDE7F5F" w:rsidR="00B03EE2" w:rsidRPr="00EC21FB" w:rsidRDefault="00B03EE2" w:rsidP="005E42F0">
            <w:pPr>
              <w:jc w:val="right"/>
              <w:rPr>
                <w:color w:val="000000"/>
                <w:sz w:val="18"/>
                <w:szCs w:val="18"/>
              </w:rPr>
            </w:pPr>
            <w:r w:rsidRPr="00EC21FB">
              <w:rPr>
                <w:color w:val="000000"/>
                <w:sz w:val="18"/>
                <w:szCs w:val="18"/>
              </w:rPr>
              <w:t>wetland</w:t>
            </w:r>
          </w:p>
        </w:tc>
        <w:tc>
          <w:tcPr>
            <w:tcW w:w="1170" w:type="dxa"/>
            <w:vAlign w:val="center"/>
          </w:tcPr>
          <w:p w14:paraId="2CA96D9F" w14:textId="0EC94D49" w:rsidR="00B03EE2" w:rsidRPr="00EC21FB" w:rsidRDefault="00B03EE2" w:rsidP="005E42F0">
            <w:pPr>
              <w:jc w:val="right"/>
              <w:rPr>
                <w:color w:val="000000"/>
                <w:sz w:val="18"/>
                <w:szCs w:val="18"/>
              </w:rPr>
            </w:pPr>
            <w:r w:rsidRPr="00EC21FB">
              <w:rPr>
                <w:color w:val="000000"/>
                <w:sz w:val="18"/>
                <w:szCs w:val="18"/>
              </w:rPr>
              <w:t>field</w:t>
            </w:r>
          </w:p>
        </w:tc>
        <w:tc>
          <w:tcPr>
            <w:tcW w:w="1080" w:type="dxa"/>
            <w:vAlign w:val="center"/>
          </w:tcPr>
          <w:p w14:paraId="7ADF2F98" w14:textId="5BA6A0F7" w:rsidR="00B03EE2" w:rsidRPr="00EC21FB" w:rsidRDefault="00B03EE2" w:rsidP="005E42F0">
            <w:pPr>
              <w:jc w:val="right"/>
              <w:rPr>
                <w:color w:val="000000"/>
                <w:sz w:val="18"/>
                <w:szCs w:val="18"/>
              </w:rPr>
            </w:pPr>
            <w:r w:rsidRPr="00EC21FB">
              <w:rPr>
                <w:color w:val="000000"/>
                <w:sz w:val="18"/>
                <w:szCs w:val="18"/>
              </w:rPr>
              <w:t>25</w:t>
            </w:r>
          </w:p>
        </w:tc>
        <w:tc>
          <w:tcPr>
            <w:tcW w:w="1170" w:type="dxa"/>
          </w:tcPr>
          <w:p w14:paraId="5F31DB52" w14:textId="227A0D75" w:rsidR="00B03EE2" w:rsidRPr="00EC21FB" w:rsidRDefault="00B03EE2" w:rsidP="00EC21FB">
            <w:pPr>
              <w:jc w:val="right"/>
              <w:rPr>
                <w:color w:val="000000"/>
                <w:sz w:val="18"/>
                <w:szCs w:val="18"/>
              </w:rPr>
            </w:pPr>
            <w:r w:rsidRPr="00EC21FB">
              <w:rPr>
                <w:color w:val="000000"/>
                <w:sz w:val="18"/>
                <w:szCs w:val="18"/>
              </w:rPr>
              <w:t>10</w:t>
            </w:r>
          </w:p>
        </w:tc>
      </w:tr>
      <w:tr w:rsidR="00B03EE2" w:rsidRPr="006A7EA7" w14:paraId="3F8F21A0" w14:textId="77777777" w:rsidTr="005E42F0">
        <w:sdt>
          <w:sdtPr>
            <w:rPr>
              <w:color w:val="000000"/>
              <w:sz w:val="18"/>
              <w:szCs w:val="18"/>
            </w:rPr>
            <w:tag w:val="MENDELEY_CITATION_v3_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"/>
            <w:id w:val="691885055"/>
            <w:placeholder>
              <w:docPart w:val="8D4B6E141033764585CE12A629DD98BA"/>
            </w:placeholder>
          </w:sdtPr>
          <w:sdtContent>
            <w:tc>
              <w:tcPr>
                <w:tcW w:w="2335" w:type="dxa"/>
              </w:tcPr>
              <w:p w14:paraId="201E9E3B" w14:textId="42F27ED9" w:rsidR="00B03EE2" w:rsidRPr="00EC21FB" w:rsidRDefault="00E807B5" w:rsidP="00EC21FB">
                <w:pPr>
                  <w:rPr>
                    <w:sz w:val="18"/>
                    <w:szCs w:val="18"/>
                  </w:rPr>
                </w:pPr>
                <w:r w:rsidRPr="00E807B5">
                  <w:rPr>
                    <w:rFonts w:eastAsia="Times New Roman"/>
                    <w:color w:val="000000"/>
                    <w:sz w:val="18"/>
                  </w:rPr>
                  <w:t>(Verlinden et al., 2018)</w:t>
                </w:r>
              </w:p>
            </w:tc>
          </w:sdtContent>
        </w:sdt>
        <w:tc>
          <w:tcPr>
            <w:tcW w:w="1260" w:type="dxa"/>
            <w:vAlign w:val="bottom"/>
          </w:tcPr>
          <w:p w14:paraId="51A90C08" w14:textId="4B56A1BF" w:rsidR="00B03EE2" w:rsidRPr="00EC21FB" w:rsidRDefault="00B03EE2" w:rsidP="00EC21FB">
            <w:pPr>
              <w:rPr>
                <w:color w:val="000000"/>
                <w:sz w:val="18"/>
                <w:szCs w:val="18"/>
              </w:rPr>
            </w:pPr>
            <w:proofErr w:type="spellStart"/>
            <w:r w:rsidRPr="00EC21FB">
              <w:rPr>
                <w:color w:val="000000"/>
                <w:sz w:val="18"/>
                <w:szCs w:val="18"/>
              </w:rPr>
              <w:t>katelijne</w:t>
            </w:r>
            <w:proofErr w:type="spellEnd"/>
          </w:p>
        </w:tc>
        <w:tc>
          <w:tcPr>
            <w:tcW w:w="810" w:type="dxa"/>
            <w:vAlign w:val="bottom"/>
          </w:tcPr>
          <w:p w14:paraId="5D3F7D80" w14:textId="558804B0" w:rsidR="00B03EE2" w:rsidRPr="00EC21FB" w:rsidRDefault="00B03EE2" w:rsidP="00EC21FB">
            <w:pPr>
              <w:jc w:val="right"/>
              <w:rPr>
                <w:color w:val="000000"/>
                <w:sz w:val="18"/>
                <w:szCs w:val="18"/>
              </w:rPr>
            </w:pPr>
            <w:r w:rsidRPr="00EC21FB">
              <w:rPr>
                <w:color w:val="000000"/>
                <w:sz w:val="18"/>
                <w:szCs w:val="18"/>
              </w:rPr>
              <w:t>51.08</w:t>
            </w:r>
          </w:p>
        </w:tc>
        <w:tc>
          <w:tcPr>
            <w:tcW w:w="1080" w:type="dxa"/>
            <w:vAlign w:val="bottom"/>
          </w:tcPr>
          <w:p w14:paraId="67BE753C" w14:textId="5E28A7C8" w:rsidR="00B03EE2" w:rsidRPr="00EC21FB" w:rsidRDefault="00B03EE2" w:rsidP="00EC21FB">
            <w:pPr>
              <w:jc w:val="right"/>
              <w:rPr>
                <w:color w:val="000000"/>
                <w:sz w:val="18"/>
                <w:szCs w:val="18"/>
              </w:rPr>
            </w:pPr>
            <w:r w:rsidRPr="00EC21FB">
              <w:rPr>
                <w:color w:val="000000"/>
                <w:sz w:val="18"/>
                <w:szCs w:val="18"/>
              </w:rPr>
              <w:t>4.53</w:t>
            </w:r>
          </w:p>
        </w:tc>
        <w:tc>
          <w:tcPr>
            <w:tcW w:w="990" w:type="dxa"/>
          </w:tcPr>
          <w:p w14:paraId="358A19D7" w14:textId="110E4496" w:rsidR="00B03EE2" w:rsidRPr="00C15C33" w:rsidRDefault="005E42F0" w:rsidP="00EC21FB">
            <w:pPr>
              <w:jc w:val="right"/>
              <w:rPr>
                <w:color w:val="000000"/>
                <w:sz w:val="18"/>
                <w:szCs w:val="18"/>
              </w:rPr>
            </w:pPr>
            <w:r>
              <w:rPr>
                <w:color w:val="000000"/>
                <w:sz w:val="18"/>
                <w:szCs w:val="18"/>
              </w:rPr>
              <w:t>NA</w:t>
            </w:r>
          </w:p>
        </w:tc>
        <w:tc>
          <w:tcPr>
            <w:tcW w:w="630" w:type="dxa"/>
            <w:vAlign w:val="center"/>
          </w:tcPr>
          <w:p w14:paraId="10A4618E" w14:textId="570364CB" w:rsidR="00B03EE2" w:rsidRPr="00C15C33" w:rsidRDefault="005E42F0" w:rsidP="00EC21FB">
            <w:pPr>
              <w:jc w:val="right"/>
              <w:rPr>
                <w:color w:val="000000"/>
                <w:sz w:val="18"/>
                <w:szCs w:val="18"/>
              </w:rPr>
            </w:pPr>
            <w:r>
              <w:rPr>
                <w:color w:val="000000"/>
                <w:sz w:val="18"/>
                <w:szCs w:val="18"/>
              </w:rPr>
              <w:t>NA</w:t>
            </w:r>
          </w:p>
        </w:tc>
        <w:tc>
          <w:tcPr>
            <w:tcW w:w="630" w:type="dxa"/>
            <w:vAlign w:val="center"/>
          </w:tcPr>
          <w:p w14:paraId="0D3F4780" w14:textId="547A2275" w:rsidR="00B03EE2" w:rsidRPr="00C15C33" w:rsidRDefault="005E42F0" w:rsidP="00EC21FB">
            <w:pPr>
              <w:jc w:val="right"/>
              <w:rPr>
                <w:color w:val="000000"/>
                <w:sz w:val="18"/>
                <w:szCs w:val="18"/>
              </w:rPr>
            </w:pPr>
            <w:r>
              <w:rPr>
                <w:color w:val="000000"/>
                <w:sz w:val="18"/>
                <w:szCs w:val="18"/>
              </w:rPr>
              <w:t>NA</w:t>
            </w:r>
          </w:p>
        </w:tc>
        <w:tc>
          <w:tcPr>
            <w:tcW w:w="630" w:type="dxa"/>
          </w:tcPr>
          <w:p w14:paraId="4FA6B4D8" w14:textId="550A4980" w:rsidR="00B03EE2" w:rsidRPr="00C15C33" w:rsidRDefault="005E42F0" w:rsidP="00EC21FB">
            <w:pPr>
              <w:jc w:val="right"/>
              <w:rPr>
                <w:color w:val="000000"/>
                <w:sz w:val="18"/>
                <w:szCs w:val="18"/>
              </w:rPr>
            </w:pPr>
            <w:r>
              <w:rPr>
                <w:color w:val="000000"/>
                <w:sz w:val="18"/>
                <w:szCs w:val="18"/>
              </w:rPr>
              <w:t>NA</w:t>
            </w:r>
          </w:p>
        </w:tc>
        <w:tc>
          <w:tcPr>
            <w:tcW w:w="1080" w:type="dxa"/>
            <w:vAlign w:val="bottom"/>
          </w:tcPr>
          <w:p w14:paraId="497496EA" w14:textId="3F63004B" w:rsidR="00B03EE2" w:rsidRPr="00EC21FB" w:rsidRDefault="00B03EE2" w:rsidP="00EC21FB">
            <w:pPr>
              <w:jc w:val="right"/>
              <w:rPr>
                <w:color w:val="000000"/>
                <w:sz w:val="18"/>
                <w:szCs w:val="18"/>
              </w:rPr>
            </w:pPr>
            <w:r w:rsidRPr="00EC21FB">
              <w:rPr>
                <w:color w:val="000000"/>
                <w:sz w:val="18"/>
                <w:szCs w:val="18"/>
              </w:rPr>
              <w:t>NA</w:t>
            </w:r>
          </w:p>
        </w:tc>
        <w:tc>
          <w:tcPr>
            <w:tcW w:w="1170" w:type="dxa"/>
            <w:vAlign w:val="bottom"/>
          </w:tcPr>
          <w:p w14:paraId="18CE5DAF" w14:textId="540F1F54" w:rsidR="00B03EE2" w:rsidRPr="00EC21FB" w:rsidRDefault="00B03EE2" w:rsidP="00EC21FB">
            <w:pPr>
              <w:jc w:val="right"/>
              <w:rPr>
                <w:color w:val="000000"/>
                <w:sz w:val="18"/>
                <w:szCs w:val="18"/>
              </w:rPr>
            </w:pPr>
            <w:r w:rsidRPr="00EC21FB">
              <w:rPr>
                <w:color w:val="000000"/>
                <w:sz w:val="18"/>
                <w:szCs w:val="18"/>
              </w:rPr>
              <w:t>mesocosm</w:t>
            </w:r>
          </w:p>
        </w:tc>
        <w:tc>
          <w:tcPr>
            <w:tcW w:w="1080" w:type="dxa"/>
            <w:vAlign w:val="bottom"/>
          </w:tcPr>
          <w:p w14:paraId="3FECD1C6" w14:textId="6331AA70" w:rsidR="00B03EE2" w:rsidRPr="00EC21FB" w:rsidRDefault="00B03EE2" w:rsidP="00EC21FB">
            <w:pPr>
              <w:jc w:val="right"/>
              <w:rPr>
                <w:color w:val="000000"/>
                <w:sz w:val="18"/>
                <w:szCs w:val="18"/>
              </w:rPr>
            </w:pPr>
            <w:r w:rsidRPr="00EC21FB">
              <w:rPr>
                <w:color w:val="000000"/>
                <w:sz w:val="18"/>
                <w:szCs w:val="18"/>
              </w:rPr>
              <w:t>9.5</w:t>
            </w:r>
          </w:p>
        </w:tc>
        <w:tc>
          <w:tcPr>
            <w:tcW w:w="1170" w:type="dxa"/>
          </w:tcPr>
          <w:p w14:paraId="7B38728A" w14:textId="03646B20" w:rsidR="00B03EE2" w:rsidRPr="00EC21FB" w:rsidRDefault="00B03EE2" w:rsidP="00EC21FB">
            <w:pPr>
              <w:jc w:val="right"/>
              <w:rPr>
                <w:color w:val="000000"/>
                <w:sz w:val="18"/>
                <w:szCs w:val="18"/>
              </w:rPr>
            </w:pPr>
            <w:r w:rsidRPr="00EC21FB">
              <w:rPr>
                <w:color w:val="000000"/>
                <w:sz w:val="18"/>
                <w:szCs w:val="18"/>
              </w:rPr>
              <w:t>2</w:t>
            </w:r>
          </w:p>
        </w:tc>
      </w:tr>
      <w:tr w:rsidR="00B03EE2" w:rsidRPr="006A7EA7" w14:paraId="52CA3D11" w14:textId="77777777" w:rsidTr="005E42F0">
        <w:sdt>
          <w:sdtPr>
            <w:rPr>
              <w:color w:val="000000"/>
              <w:sz w:val="18"/>
              <w:szCs w:val="18"/>
            </w:rPr>
            <w:tag w:val="MENDELEY_CITATION_v3_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"/>
            <w:id w:val="917359231"/>
            <w:placeholder>
              <w:docPart w:val="4B80C459FC880E4C80518979FB134F1D"/>
            </w:placeholder>
          </w:sdtPr>
          <w:sdtContent>
            <w:tc>
              <w:tcPr>
                <w:tcW w:w="2335" w:type="dxa"/>
              </w:tcPr>
              <w:p w14:paraId="7109DCF3" w14:textId="3621E0BD" w:rsidR="00B03EE2" w:rsidRPr="00EC21FB" w:rsidRDefault="00E807B5" w:rsidP="00EC21FB">
                <w:pPr>
                  <w:rPr>
                    <w:sz w:val="18"/>
                    <w:szCs w:val="18"/>
                  </w:rPr>
                </w:pPr>
                <w:r w:rsidRPr="00E807B5">
                  <w:rPr>
                    <w:rFonts w:eastAsia="Times New Roman"/>
                    <w:color w:val="000000"/>
                    <w:sz w:val="18"/>
                  </w:rPr>
                  <w:t>(</w:t>
                </w:r>
                <w:proofErr w:type="spellStart"/>
                <w:r w:rsidRPr="00E807B5">
                  <w:rPr>
                    <w:rFonts w:eastAsia="Times New Roman"/>
                    <w:color w:val="000000"/>
                    <w:sz w:val="18"/>
                  </w:rPr>
                  <w:t>Verryckt</w:t>
                </w:r>
                <w:proofErr w:type="spellEnd"/>
                <w:r w:rsidRPr="00E807B5">
                  <w:rPr>
                    <w:rFonts w:eastAsia="Times New Roman"/>
                    <w:color w:val="000000"/>
                    <w:sz w:val="18"/>
                  </w:rPr>
                  <w:t xml:space="preserve"> et al., 2022)</w:t>
                </w:r>
              </w:p>
            </w:tc>
          </w:sdtContent>
        </w:sdt>
        <w:tc>
          <w:tcPr>
            <w:tcW w:w="1260" w:type="dxa"/>
          </w:tcPr>
          <w:p w14:paraId="226E50B6" w14:textId="299A9CE3" w:rsidR="00B03EE2" w:rsidRPr="00EC21FB" w:rsidRDefault="00B03EE2" w:rsidP="00EC21FB">
            <w:pPr>
              <w:rPr>
                <w:color w:val="000000"/>
                <w:sz w:val="18"/>
                <w:szCs w:val="18"/>
              </w:rPr>
            </w:pPr>
            <w:proofErr w:type="spellStart"/>
            <w:r w:rsidRPr="00EC21FB">
              <w:rPr>
                <w:color w:val="000000"/>
                <w:sz w:val="18"/>
                <w:szCs w:val="18"/>
              </w:rPr>
              <w:t>nouragues</w:t>
            </w:r>
            <w:proofErr w:type="spellEnd"/>
          </w:p>
        </w:tc>
        <w:tc>
          <w:tcPr>
            <w:tcW w:w="810" w:type="dxa"/>
            <w:vAlign w:val="bottom"/>
          </w:tcPr>
          <w:p w14:paraId="7D1B284F" w14:textId="2B817D31" w:rsidR="00B03EE2" w:rsidRPr="00EC21FB" w:rsidRDefault="00B03EE2" w:rsidP="00EC21FB">
            <w:pPr>
              <w:jc w:val="right"/>
              <w:rPr>
                <w:color w:val="000000"/>
                <w:sz w:val="18"/>
                <w:szCs w:val="18"/>
              </w:rPr>
            </w:pPr>
            <w:r w:rsidRPr="00EC21FB">
              <w:rPr>
                <w:color w:val="000000"/>
                <w:sz w:val="18"/>
                <w:szCs w:val="18"/>
              </w:rPr>
              <w:t>4.00</w:t>
            </w:r>
          </w:p>
        </w:tc>
        <w:tc>
          <w:tcPr>
            <w:tcW w:w="1080" w:type="dxa"/>
            <w:vAlign w:val="bottom"/>
          </w:tcPr>
          <w:p w14:paraId="15E668DF" w14:textId="21AC9AA4" w:rsidR="00B03EE2" w:rsidRPr="00EC21FB" w:rsidRDefault="00B03EE2" w:rsidP="00EC21FB">
            <w:pPr>
              <w:jc w:val="right"/>
              <w:rPr>
                <w:color w:val="000000"/>
                <w:sz w:val="18"/>
                <w:szCs w:val="18"/>
              </w:rPr>
            </w:pPr>
            <w:r w:rsidRPr="00EC21FB">
              <w:rPr>
                <w:color w:val="000000"/>
                <w:sz w:val="18"/>
                <w:szCs w:val="18"/>
              </w:rPr>
              <w:t>-52.60</w:t>
            </w:r>
          </w:p>
        </w:tc>
        <w:tc>
          <w:tcPr>
            <w:tcW w:w="990" w:type="dxa"/>
          </w:tcPr>
          <w:p w14:paraId="504F1FB5" w14:textId="0B8EF18B" w:rsidR="00B03EE2" w:rsidRPr="00C15C33" w:rsidRDefault="00243F53" w:rsidP="00EC21FB">
            <w:pPr>
              <w:jc w:val="right"/>
              <w:rPr>
                <w:color w:val="000000"/>
                <w:sz w:val="18"/>
                <w:szCs w:val="18"/>
              </w:rPr>
            </w:pPr>
            <w:r>
              <w:rPr>
                <w:color w:val="000000"/>
                <w:sz w:val="18"/>
                <w:szCs w:val="18"/>
              </w:rPr>
              <w:t>57</w:t>
            </w:r>
          </w:p>
        </w:tc>
        <w:tc>
          <w:tcPr>
            <w:tcW w:w="630" w:type="dxa"/>
            <w:vAlign w:val="center"/>
          </w:tcPr>
          <w:p w14:paraId="4351E464" w14:textId="78AA95CA" w:rsidR="00B03EE2" w:rsidRPr="00C15C33" w:rsidRDefault="00243F53" w:rsidP="00EC21FB">
            <w:pPr>
              <w:jc w:val="right"/>
              <w:rPr>
                <w:color w:val="000000"/>
                <w:sz w:val="18"/>
                <w:szCs w:val="18"/>
              </w:rPr>
            </w:pPr>
            <w:r>
              <w:rPr>
                <w:color w:val="000000"/>
                <w:sz w:val="18"/>
                <w:szCs w:val="18"/>
              </w:rPr>
              <w:t>25.8</w:t>
            </w:r>
          </w:p>
        </w:tc>
        <w:tc>
          <w:tcPr>
            <w:tcW w:w="630" w:type="dxa"/>
            <w:vAlign w:val="center"/>
          </w:tcPr>
          <w:p w14:paraId="37B39EB4" w14:textId="5E7B392F" w:rsidR="00B03EE2" w:rsidRPr="00C15C33" w:rsidRDefault="00243F53" w:rsidP="00EC21FB">
            <w:pPr>
              <w:jc w:val="right"/>
              <w:rPr>
                <w:color w:val="000000"/>
                <w:sz w:val="18"/>
                <w:szCs w:val="18"/>
              </w:rPr>
            </w:pPr>
            <w:r>
              <w:rPr>
                <w:color w:val="000000"/>
                <w:sz w:val="18"/>
                <w:szCs w:val="18"/>
              </w:rPr>
              <w:t>2.06</w:t>
            </w:r>
          </w:p>
        </w:tc>
        <w:tc>
          <w:tcPr>
            <w:tcW w:w="630" w:type="dxa"/>
          </w:tcPr>
          <w:p w14:paraId="00DC3915" w14:textId="4A698127" w:rsidR="00B03EE2" w:rsidRPr="00C15C33" w:rsidRDefault="00243F53" w:rsidP="00EC21FB">
            <w:pPr>
              <w:jc w:val="right"/>
              <w:rPr>
                <w:color w:val="000000"/>
                <w:sz w:val="18"/>
                <w:szCs w:val="18"/>
              </w:rPr>
            </w:pPr>
            <w:r>
              <w:rPr>
                <w:color w:val="000000"/>
                <w:sz w:val="18"/>
                <w:szCs w:val="18"/>
              </w:rPr>
              <w:t>887</w:t>
            </w:r>
          </w:p>
        </w:tc>
        <w:tc>
          <w:tcPr>
            <w:tcW w:w="1080" w:type="dxa"/>
            <w:vAlign w:val="bottom"/>
          </w:tcPr>
          <w:p w14:paraId="1B869E5E" w14:textId="3E6E5556"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1676376C" w14:textId="29CC8C40" w:rsidR="00B03EE2" w:rsidRPr="00EC21FB" w:rsidRDefault="00B03EE2" w:rsidP="00EC21FB">
            <w:pPr>
              <w:jc w:val="right"/>
              <w:rPr>
                <w:color w:val="000000"/>
                <w:sz w:val="18"/>
                <w:szCs w:val="18"/>
              </w:rPr>
            </w:pPr>
            <w:r w:rsidRPr="00EC21FB">
              <w:rPr>
                <w:color w:val="000000"/>
                <w:sz w:val="18"/>
                <w:szCs w:val="18"/>
              </w:rPr>
              <w:t>field</w:t>
            </w:r>
          </w:p>
        </w:tc>
        <w:tc>
          <w:tcPr>
            <w:tcW w:w="1080" w:type="dxa"/>
          </w:tcPr>
          <w:p w14:paraId="5038DCD9" w14:textId="272D3C15" w:rsidR="00B03EE2" w:rsidRPr="00EC21FB" w:rsidRDefault="00B03EE2" w:rsidP="00EC21FB">
            <w:pPr>
              <w:jc w:val="right"/>
              <w:rPr>
                <w:color w:val="000000"/>
                <w:sz w:val="18"/>
                <w:szCs w:val="18"/>
              </w:rPr>
            </w:pPr>
            <w:r w:rsidRPr="00EC21FB">
              <w:rPr>
                <w:color w:val="000000"/>
                <w:sz w:val="18"/>
                <w:szCs w:val="18"/>
              </w:rPr>
              <w:t>12.5</w:t>
            </w:r>
          </w:p>
        </w:tc>
        <w:tc>
          <w:tcPr>
            <w:tcW w:w="1170" w:type="dxa"/>
          </w:tcPr>
          <w:p w14:paraId="307D5247" w14:textId="0D66BA63" w:rsidR="00B03EE2" w:rsidRPr="00EC21FB" w:rsidRDefault="00B03EE2" w:rsidP="00EC21FB">
            <w:pPr>
              <w:jc w:val="right"/>
              <w:rPr>
                <w:color w:val="000000"/>
                <w:sz w:val="18"/>
                <w:szCs w:val="18"/>
              </w:rPr>
            </w:pPr>
            <w:r w:rsidRPr="00EC21FB">
              <w:rPr>
                <w:color w:val="000000"/>
                <w:sz w:val="18"/>
                <w:szCs w:val="18"/>
              </w:rPr>
              <w:t>5</w:t>
            </w:r>
          </w:p>
        </w:tc>
      </w:tr>
      <w:tr w:rsidR="00B03EE2" w:rsidRPr="006A7EA7" w14:paraId="1E89ECBA" w14:textId="77777777" w:rsidTr="005E42F0">
        <w:sdt>
          <w:sdtPr>
            <w:rPr>
              <w:color w:val="000000"/>
              <w:sz w:val="18"/>
              <w:szCs w:val="18"/>
            </w:rPr>
            <w:tag w:val="MENDELEY_CITATION_v3_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"/>
            <w:id w:val="195352494"/>
            <w:placeholder>
              <w:docPart w:val="E05E952A0F8CFB44B44F2FDCBABADBE3"/>
            </w:placeholder>
          </w:sdtPr>
          <w:sdtContent>
            <w:tc>
              <w:tcPr>
                <w:tcW w:w="2335" w:type="dxa"/>
              </w:tcPr>
              <w:p w14:paraId="339595C2" w14:textId="7E934F23" w:rsidR="00B03EE2" w:rsidRPr="00EC21FB" w:rsidRDefault="00E807B5" w:rsidP="00EC21FB">
                <w:pPr>
                  <w:rPr>
                    <w:sz w:val="18"/>
                    <w:szCs w:val="18"/>
                  </w:rPr>
                </w:pPr>
                <w:r w:rsidRPr="00E807B5">
                  <w:rPr>
                    <w:rFonts w:eastAsia="Times New Roman"/>
                    <w:color w:val="000000"/>
                    <w:sz w:val="18"/>
                  </w:rPr>
                  <w:t>(Q. Wang et al., 2017)</w:t>
                </w:r>
              </w:p>
            </w:tc>
          </w:sdtContent>
        </w:sdt>
        <w:tc>
          <w:tcPr>
            <w:tcW w:w="1260" w:type="dxa"/>
          </w:tcPr>
          <w:p w14:paraId="0C9F127D" w14:textId="59A1FEDA" w:rsidR="00B03EE2" w:rsidRPr="00EC21FB" w:rsidRDefault="00B03EE2" w:rsidP="00EC21FB">
            <w:pPr>
              <w:rPr>
                <w:color w:val="000000"/>
                <w:sz w:val="18"/>
                <w:szCs w:val="18"/>
              </w:rPr>
            </w:pPr>
            <w:proofErr w:type="spellStart"/>
            <w:r w:rsidRPr="00EC21FB">
              <w:rPr>
                <w:color w:val="000000"/>
                <w:sz w:val="18"/>
                <w:szCs w:val="18"/>
              </w:rPr>
              <w:t>huitong</w:t>
            </w:r>
            <w:proofErr w:type="spellEnd"/>
          </w:p>
        </w:tc>
        <w:tc>
          <w:tcPr>
            <w:tcW w:w="810" w:type="dxa"/>
            <w:vAlign w:val="bottom"/>
          </w:tcPr>
          <w:p w14:paraId="4D95052C" w14:textId="36BACBB6" w:rsidR="00B03EE2" w:rsidRPr="00EC21FB" w:rsidRDefault="00B03EE2" w:rsidP="00EC21FB">
            <w:pPr>
              <w:jc w:val="right"/>
              <w:rPr>
                <w:color w:val="000000"/>
                <w:sz w:val="18"/>
                <w:szCs w:val="18"/>
              </w:rPr>
            </w:pPr>
            <w:r w:rsidRPr="00EC21FB">
              <w:rPr>
                <w:color w:val="000000"/>
                <w:sz w:val="18"/>
                <w:szCs w:val="18"/>
              </w:rPr>
              <w:t>26.67</w:t>
            </w:r>
          </w:p>
        </w:tc>
        <w:tc>
          <w:tcPr>
            <w:tcW w:w="1080" w:type="dxa"/>
            <w:vAlign w:val="bottom"/>
          </w:tcPr>
          <w:p w14:paraId="68F458ED" w14:textId="3725C8C7" w:rsidR="00B03EE2" w:rsidRPr="00EC21FB" w:rsidRDefault="00B03EE2" w:rsidP="00EC21FB">
            <w:pPr>
              <w:jc w:val="right"/>
              <w:rPr>
                <w:color w:val="000000"/>
                <w:sz w:val="18"/>
                <w:szCs w:val="18"/>
              </w:rPr>
            </w:pPr>
            <w:r w:rsidRPr="00EC21FB">
              <w:rPr>
                <w:color w:val="000000"/>
                <w:sz w:val="18"/>
                <w:szCs w:val="18"/>
              </w:rPr>
              <w:t>109.43</w:t>
            </w:r>
          </w:p>
        </w:tc>
        <w:tc>
          <w:tcPr>
            <w:tcW w:w="990" w:type="dxa"/>
          </w:tcPr>
          <w:p w14:paraId="7F487468" w14:textId="0AD8665A" w:rsidR="00B03EE2" w:rsidRPr="00C15C33" w:rsidRDefault="005E42F0" w:rsidP="00EC21FB">
            <w:pPr>
              <w:jc w:val="right"/>
              <w:rPr>
                <w:color w:val="000000"/>
                <w:sz w:val="18"/>
                <w:szCs w:val="18"/>
              </w:rPr>
            </w:pPr>
            <w:r>
              <w:rPr>
                <w:color w:val="000000"/>
                <w:sz w:val="18"/>
                <w:szCs w:val="18"/>
              </w:rPr>
              <w:t>519</w:t>
            </w:r>
          </w:p>
        </w:tc>
        <w:tc>
          <w:tcPr>
            <w:tcW w:w="630" w:type="dxa"/>
            <w:vAlign w:val="center"/>
          </w:tcPr>
          <w:p w14:paraId="0104642D" w14:textId="3D28314D" w:rsidR="00B03EE2" w:rsidRPr="00C15C33" w:rsidRDefault="005E42F0" w:rsidP="00EC21FB">
            <w:pPr>
              <w:jc w:val="right"/>
              <w:rPr>
                <w:color w:val="000000"/>
                <w:sz w:val="18"/>
                <w:szCs w:val="18"/>
              </w:rPr>
            </w:pPr>
            <w:r>
              <w:rPr>
                <w:color w:val="000000"/>
                <w:sz w:val="18"/>
                <w:szCs w:val="18"/>
              </w:rPr>
              <w:t>16.1</w:t>
            </w:r>
          </w:p>
        </w:tc>
        <w:tc>
          <w:tcPr>
            <w:tcW w:w="630" w:type="dxa"/>
            <w:vAlign w:val="center"/>
          </w:tcPr>
          <w:p w14:paraId="2083D14A" w14:textId="6340E440" w:rsidR="00B03EE2" w:rsidRPr="00C15C33" w:rsidRDefault="005E42F0" w:rsidP="00EC21FB">
            <w:pPr>
              <w:jc w:val="right"/>
              <w:rPr>
                <w:color w:val="000000"/>
                <w:sz w:val="18"/>
                <w:szCs w:val="18"/>
              </w:rPr>
            </w:pPr>
            <w:r>
              <w:rPr>
                <w:color w:val="000000"/>
                <w:sz w:val="18"/>
                <w:szCs w:val="18"/>
              </w:rPr>
              <w:t>1.20</w:t>
            </w:r>
          </w:p>
        </w:tc>
        <w:tc>
          <w:tcPr>
            <w:tcW w:w="630" w:type="dxa"/>
          </w:tcPr>
          <w:p w14:paraId="7C00CD89" w14:textId="4A08DF4D" w:rsidR="00B03EE2" w:rsidRPr="00C15C33" w:rsidRDefault="005E42F0" w:rsidP="00EC21FB">
            <w:pPr>
              <w:jc w:val="right"/>
              <w:rPr>
                <w:color w:val="000000"/>
                <w:sz w:val="18"/>
                <w:szCs w:val="18"/>
              </w:rPr>
            </w:pPr>
            <w:r>
              <w:rPr>
                <w:color w:val="000000"/>
                <w:sz w:val="18"/>
                <w:szCs w:val="18"/>
              </w:rPr>
              <w:t>633</w:t>
            </w:r>
          </w:p>
        </w:tc>
        <w:tc>
          <w:tcPr>
            <w:tcW w:w="1080" w:type="dxa"/>
            <w:vAlign w:val="bottom"/>
          </w:tcPr>
          <w:p w14:paraId="45D9FB51" w14:textId="390929C1"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568B1BEE" w14:textId="2F939706" w:rsidR="00B03EE2" w:rsidRPr="00EC21FB" w:rsidRDefault="00B03EE2" w:rsidP="00EC21FB">
            <w:pPr>
              <w:jc w:val="right"/>
              <w:rPr>
                <w:color w:val="000000"/>
                <w:sz w:val="18"/>
                <w:szCs w:val="18"/>
              </w:rPr>
            </w:pPr>
            <w:r w:rsidRPr="00EC21FB">
              <w:rPr>
                <w:color w:val="000000"/>
                <w:sz w:val="18"/>
                <w:szCs w:val="18"/>
              </w:rPr>
              <w:t>field</w:t>
            </w:r>
          </w:p>
        </w:tc>
        <w:tc>
          <w:tcPr>
            <w:tcW w:w="1080" w:type="dxa"/>
            <w:vAlign w:val="bottom"/>
          </w:tcPr>
          <w:p w14:paraId="31BB5A92" w14:textId="4C1586B6" w:rsidR="00B03EE2" w:rsidRPr="00EC21FB" w:rsidRDefault="00B03EE2" w:rsidP="00EC21FB">
            <w:pPr>
              <w:jc w:val="right"/>
              <w:rPr>
                <w:color w:val="000000"/>
                <w:sz w:val="18"/>
                <w:szCs w:val="18"/>
              </w:rPr>
            </w:pPr>
            <w:r w:rsidRPr="00EC21FB">
              <w:rPr>
                <w:color w:val="000000"/>
                <w:sz w:val="18"/>
                <w:szCs w:val="18"/>
              </w:rPr>
              <w:t>20</w:t>
            </w:r>
          </w:p>
        </w:tc>
        <w:tc>
          <w:tcPr>
            <w:tcW w:w="1170" w:type="dxa"/>
          </w:tcPr>
          <w:p w14:paraId="7B8E5619" w14:textId="70DDE388" w:rsidR="00B03EE2" w:rsidRPr="00EC21FB" w:rsidRDefault="00B03EE2" w:rsidP="00EC21FB">
            <w:pPr>
              <w:jc w:val="right"/>
              <w:rPr>
                <w:color w:val="000000"/>
                <w:sz w:val="18"/>
                <w:szCs w:val="18"/>
              </w:rPr>
            </w:pPr>
            <w:r w:rsidRPr="00EC21FB">
              <w:rPr>
                <w:color w:val="000000"/>
                <w:sz w:val="18"/>
                <w:szCs w:val="18"/>
              </w:rPr>
              <w:t>5</w:t>
            </w:r>
          </w:p>
        </w:tc>
      </w:tr>
      <w:tr w:rsidR="00B03EE2" w:rsidRPr="006A7EA7" w14:paraId="1727AA80" w14:textId="77777777" w:rsidTr="005E42F0">
        <w:sdt>
          <w:sdtPr>
            <w:rPr>
              <w:color w:val="000000"/>
              <w:sz w:val="18"/>
              <w:szCs w:val="18"/>
            </w:rPr>
            <w:tag w:val="MENDELEY_CITATION_v3_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"/>
            <w:id w:val="-2038267920"/>
            <w:placeholder>
              <w:docPart w:val="FA717A6B2010AC4A8C0E9C891E3E2688"/>
            </w:placeholder>
          </w:sdtPr>
          <w:sdtContent>
            <w:tc>
              <w:tcPr>
                <w:tcW w:w="2335" w:type="dxa"/>
              </w:tcPr>
              <w:p w14:paraId="2C4B67C6" w14:textId="112C2D77" w:rsidR="00B03EE2" w:rsidRPr="00EC21FB" w:rsidRDefault="00E807B5" w:rsidP="00EC21FB">
                <w:pPr>
                  <w:rPr>
                    <w:sz w:val="18"/>
                    <w:szCs w:val="18"/>
                  </w:rPr>
                </w:pPr>
                <w:r w:rsidRPr="00E807B5">
                  <w:rPr>
                    <w:rFonts w:eastAsia="Times New Roman"/>
                    <w:color w:val="000000"/>
                    <w:sz w:val="18"/>
                  </w:rPr>
                  <w:t>(D. Wang et al., 2018)</w:t>
                </w:r>
              </w:p>
            </w:tc>
          </w:sdtContent>
        </w:sdt>
        <w:tc>
          <w:tcPr>
            <w:tcW w:w="1260" w:type="dxa"/>
          </w:tcPr>
          <w:p w14:paraId="63D8E65A" w14:textId="28CFA602" w:rsidR="00B03EE2" w:rsidRPr="00162C4E" w:rsidRDefault="00B03EE2" w:rsidP="00EC21FB">
            <w:pPr>
              <w:rPr>
                <w:color w:val="000000"/>
                <w:sz w:val="16"/>
                <w:szCs w:val="16"/>
              </w:rPr>
            </w:pPr>
            <w:proofErr w:type="spellStart"/>
            <w:r w:rsidRPr="00162C4E">
              <w:rPr>
                <w:color w:val="000000"/>
                <w:sz w:val="16"/>
                <w:szCs w:val="16"/>
              </w:rPr>
              <w:t>haibeiAMERS</w:t>
            </w:r>
            <w:proofErr w:type="spellEnd"/>
          </w:p>
        </w:tc>
        <w:tc>
          <w:tcPr>
            <w:tcW w:w="810" w:type="dxa"/>
            <w:vAlign w:val="bottom"/>
          </w:tcPr>
          <w:p w14:paraId="1309F938" w14:textId="412064AE" w:rsidR="00B03EE2" w:rsidRPr="00EC21FB" w:rsidRDefault="00B03EE2" w:rsidP="00EC21FB">
            <w:pPr>
              <w:jc w:val="right"/>
              <w:rPr>
                <w:color w:val="000000"/>
                <w:sz w:val="18"/>
                <w:szCs w:val="18"/>
              </w:rPr>
            </w:pPr>
            <w:r w:rsidRPr="00EC21FB">
              <w:rPr>
                <w:color w:val="000000"/>
                <w:sz w:val="18"/>
                <w:szCs w:val="18"/>
              </w:rPr>
              <w:t>37.617</w:t>
            </w:r>
          </w:p>
        </w:tc>
        <w:tc>
          <w:tcPr>
            <w:tcW w:w="1080" w:type="dxa"/>
            <w:vAlign w:val="bottom"/>
          </w:tcPr>
          <w:p w14:paraId="00AA89C0" w14:textId="12C34BC5" w:rsidR="00B03EE2" w:rsidRPr="00EC21FB" w:rsidRDefault="00B03EE2" w:rsidP="00EC21FB">
            <w:pPr>
              <w:jc w:val="right"/>
              <w:rPr>
                <w:color w:val="000000"/>
                <w:sz w:val="18"/>
                <w:szCs w:val="18"/>
              </w:rPr>
            </w:pPr>
            <w:r w:rsidRPr="00EC21FB">
              <w:rPr>
                <w:color w:val="000000"/>
                <w:sz w:val="18"/>
                <w:szCs w:val="18"/>
              </w:rPr>
              <w:t>101.2</w:t>
            </w:r>
          </w:p>
        </w:tc>
        <w:tc>
          <w:tcPr>
            <w:tcW w:w="990" w:type="dxa"/>
          </w:tcPr>
          <w:p w14:paraId="2B879250" w14:textId="3B2A691D" w:rsidR="00B03EE2" w:rsidRPr="00C15C33" w:rsidRDefault="00946F53" w:rsidP="00EC21FB">
            <w:pPr>
              <w:jc w:val="right"/>
              <w:rPr>
                <w:color w:val="000000"/>
                <w:sz w:val="18"/>
                <w:szCs w:val="18"/>
              </w:rPr>
            </w:pPr>
            <w:r>
              <w:rPr>
                <w:color w:val="000000"/>
                <w:sz w:val="18"/>
                <w:szCs w:val="18"/>
              </w:rPr>
              <w:t>3157</w:t>
            </w:r>
          </w:p>
        </w:tc>
        <w:tc>
          <w:tcPr>
            <w:tcW w:w="630" w:type="dxa"/>
            <w:vAlign w:val="center"/>
          </w:tcPr>
          <w:p w14:paraId="29734B44" w14:textId="488C20E6" w:rsidR="00B03EE2" w:rsidRPr="00C15C33" w:rsidRDefault="00946F53" w:rsidP="00EC21FB">
            <w:pPr>
              <w:jc w:val="right"/>
              <w:rPr>
                <w:color w:val="000000"/>
                <w:sz w:val="18"/>
                <w:szCs w:val="18"/>
              </w:rPr>
            </w:pPr>
            <w:r>
              <w:rPr>
                <w:color w:val="000000"/>
                <w:sz w:val="18"/>
                <w:szCs w:val="18"/>
              </w:rPr>
              <w:t>6.2</w:t>
            </w:r>
          </w:p>
        </w:tc>
        <w:tc>
          <w:tcPr>
            <w:tcW w:w="630" w:type="dxa"/>
            <w:vAlign w:val="center"/>
          </w:tcPr>
          <w:p w14:paraId="471B323E" w14:textId="3423F20A" w:rsidR="00B03EE2" w:rsidRPr="00C15C33" w:rsidRDefault="00946F53" w:rsidP="00EC21FB">
            <w:pPr>
              <w:jc w:val="right"/>
              <w:rPr>
                <w:color w:val="000000"/>
                <w:sz w:val="18"/>
                <w:szCs w:val="18"/>
              </w:rPr>
            </w:pPr>
            <w:r>
              <w:rPr>
                <w:color w:val="000000"/>
                <w:sz w:val="18"/>
                <w:szCs w:val="18"/>
              </w:rPr>
              <w:t>0.52</w:t>
            </w:r>
          </w:p>
        </w:tc>
        <w:tc>
          <w:tcPr>
            <w:tcW w:w="630" w:type="dxa"/>
          </w:tcPr>
          <w:p w14:paraId="79633EE3" w14:textId="7DE3424F" w:rsidR="00B03EE2" w:rsidRPr="00C15C33" w:rsidRDefault="00946F53" w:rsidP="00EC21FB">
            <w:pPr>
              <w:jc w:val="right"/>
              <w:rPr>
                <w:color w:val="000000"/>
                <w:sz w:val="18"/>
                <w:szCs w:val="18"/>
              </w:rPr>
            </w:pPr>
            <w:r>
              <w:rPr>
                <w:color w:val="000000"/>
                <w:sz w:val="18"/>
                <w:szCs w:val="18"/>
              </w:rPr>
              <w:t>930</w:t>
            </w:r>
          </w:p>
        </w:tc>
        <w:tc>
          <w:tcPr>
            <w:tcW w:w="1080" w:type="dxa"/>
            <w:vAlign w:val="bottom"/>
          </w:tcPr>
          <w:p w14:paraId="6F708233" w14:textId="0B6EDC6F" w:rsidR="00B03EE2" w:rsidRPr="00EC21FB" w:rsidRDefault="00B03EE2" w:rsidP="00EC21FB">
            <w:pPr>
              <w:jc w:val="right"/>
              <w:rPr>
                <w:color w:val="000000"/>
                <w:sz w:val="18"/>
                <w:szCs w:val="18"/>
              </w:rPr>
            </w:pPr>
            <w:r w:rsidRPr="00EC21FB">
              <w:rPr>
                <w:color w:val="000000"/>
                <w:sz w:val="18"/>
                <w:szCs w:val="18"/>
              </w:rPr>
              <w:t>tundra</w:t>
            </w:r>
          </w:p>
        </w:tc>
        <w:tc>
          <w:tcPr>
            <w:tcW w:w="1170" w:type="dxa"/>
            <w:vAlign w:val="bottom"/>
          </w:tcPr>
          <w:p w14:paraId="4A3FC268" w14:textId="370B43C0" w:rsidR="00B03EE2" w:rsidRPr="00EC21FB" w:rsidRDefault="00B03EE2" w:rsidP="00EC21FB">
            <w:pPr>
              <w:jc w:val="right"/>
              <w:rPr>
                <w:color w:val="000000"/>
                <w:sz w:val="18"/>
                <w:szCs w:val="18"/>
              </w:rPr>
            </w:pPr>
            <w:r w:rsidRPr="00EC21FB">
              <w:rPr>
                <w:color w:val="000000"/>
                <w:sz w:val="18"/>
                <w:szCs w:val="18"/>
              </w:rPr>
              <w:t>field</w:t>
            </w:r>
          </w:p>
        </w:tc>
        <w:tc>
          <w:tcPr>
            <w:tcW w:w="1080" w:type="dxa"/>
          </w:tcPr>
          <w:p w14:paraId="0B11EE92" w14:textId="4632E3C8" w:rsidR="00B03EE2" w:rsidRPr="00EC21FB" w:rsidRDefault="00B03EE2" w:rsidP="00EC21FB">
            <w:pPr>
              <w:jc w:val="right"/>
              <w:rPr>
                <w:color w:val="000000"/>
                <w:sz w:val="18"/>
                <w:szCs w:val="18"/>
              </w:rPr>
            </w:pPr>
            <w:r w:rsidRPr="00EC21FB">
              <w:rPr>
                <w:color w:val="000000"/>
                <w:sz w:val="18"/>
                <w:szCs w:val="18"/>
              </w:rPr>
              <w:t>10</w:t>
            </w:r>
          </w:p>
        </w:tc>
        <w:tc>
          <w:tcPr>
            <w:tcW w:w="1170" w:type="dxa"/>
          </w:tcPr>
          <w:p w14:paraId="49FA01E6" w14:textId="295950FD" w:rsidR="00B03EE2" w:rsidRPr="00EC21FB" w:rsidRDefault="00B03EE2" w:rsidP="00EC21FB">
            <w:pPr>
              <w:jc w:val="right"/>
              <w:rPr>
                <w:color w:val="000000"/>
                <w:sz w:val="18"/>
                <w:szCs w:val="18"/>
              </w:rPr>
            </w:pPr>
            <w:r w:rsidRPr="00EC21FB">
              <w:rPr>
                <w:color w:val="000000"/>
                <w:sz w:val="18"/>
                <w:szCs w:val="18"/>
              </w:rPr>
              <w:t>5</w:t>
            </w:r>
          </w:p>
        </w:tc>
      </w:tr>
      <w:tr w:rsidR="00B03EE2" w:rsidRPr="006A7EA7" w14:paraId="681CCB01" w14:textId="77777777" w:rsidTr="005E42F0">
        <w:sdt>
          <w:sdtPr>
            <w:rPr>
              <w:color w:val="000000"/>
              <w:sz w:val="18"/>
              <w:szCs w:val="18"/>
            </w:rPr>
            <w:tag w:val="MENDELEY_CITATION_v3_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"/>
            <w:id w:val="326721932"/>
            <w:placeholder>
              <w:docPart w:val="79C952B9007E7D4DB02D52DED8DD3B7D"/>
            </w:placeholder>
          </w:sdtPr>
          <w:sdtContent>
            <w:tc>
              <w:tcPr>
                <w:tcW w:w="2335" w:type="dxa"/>
              </w:tcPr>
              <w:p w14:paraId="67C4B116" w14:textId="192DEE1A" w:rsidR="00B03EE2" w:rsidRPr="00EC21FB" w:rsidRDefault="00E807B5" w:rsidP="00EC21FB">
                <w:pPr>
                  <w:rPr>
                    <w:sz w:val="18"/>
                    <w:szCs w:val="18"/>
                  </w:rPr>
                </w:pPr>
                <w:r w:rsidRPr="00E807B5">
                  <w:rPr>
                    <w:rFonts w:eastAsia="Times New Roman"/>
                    <w:color w:val="000000"/>
                    <w:sz w:val="18"/>
                  </w:rPr>
                  <w:t>(F. C. Wang et al., 2019)</w:t>
                </w:r>
              </w:p>
            </w:tc>
          </w:sdtContent>
        </w:sdt>
        <w:tc>
          <w:tcPr>
            <w:tcW w:w="1260" w:type="dxa"/>
          </w:tcPr>
          <w:p w14:paraId="7FCA88DB" w14:textId="48448D99" w:rsidR="00B03EE2" w:rsidRPr="00EC21FB" w:rsidRDefault="00B03EE2" w:rsidP="00EC21FB">
            <w:pPr>
              <w:rPr>
                <w:color w:val="000000"/>
                <w:sz w:val="18"/>
                <w:szCs w:val="18"/>
              </w:rPr>
            </w:pPr>
            <w:proofErr w:type="spellStart"/>
            <w:r w:rsidRPr="00EC21FB">
              <w:rPr>
                <w:color w:val="000000"/>
                <w:sz w:val="18"/>
                <w:szCs w:val="18"/>
              </w:rPr>
              <w:t>qianyanzhou</w:t>
            </w:r>
            <w:proofErr w:type="spellEnd"/>
          </w:p>
        </w:tc>
        <w:tc>
          <w:tcPr>
            <w:tcW w:w="810" w:type="dxa"/>
            <w:vAlign w:val="bottom"/>
          </w:tcPr>
          <w:p w14:paraId="17F14108" w14:textId="08F90D3D" w:rsidR="00B03EE2" w:rsidRPr="00EC21FB" w:rsidRDefault="00B03EE2" w:rsidP="00EC21FB">
            <w:pPr>
              <w:jc w:val="right"/>
              <w:rPr>
                <w:color w:val="000000"/>
                <w:sz w:val="18"/>
                <w:szCs w:val="18"/>
              </w:rPr>
            </w:pPr>
            <w:r w:rsidRPr="00EC21FB">
              <w:rPr>
                <w:color w:val="000000"/>
                <w:sz w:val="18"/>
                <w:szCs w:val="18"/>
              </w:rPr>
              <w:t>26.70</w:t>
            </w:r>
          </w:p>
        </w:tc>
        <w:tc>
          <w:tcPr>
            <w:tcW w:w="1080" w:type="dxa"/>
            <w:vAlign w:val="bottom"/>
          </w:tcPr>
          <w:p w14:paraId="1D5892F8" w14:textId="557D8ACA" w:rsidR="00B03EE2" w:rsidRPr="00EC21FB" w:rsidRDefault="00B03EE2" w:rsidP="00EC21FB">
            <w:pPr>
              <w:jc w:val="right"/>
              <w:rPr>
                <w:color w:val="000000"/>
                <w:sz w:val="18"/>
                <w:szCs w:val="18"/>
              </w:rPr>
            </w:pPr>
            <w:r w:rsidRPr="00EC21FB">
              <w:rPr>
                <w:color w:val="000000"/>
                <w:sz w:val="18"/>
                <w:szCs w:val="18"/>
              </w:rPr>
              <w:t>105.10</w:t>
            </w:r>
          </w:p>
        </w:tc>
        <w:tc>
          <w:tcPr>
            <w:tcW w:w="990" w:type="dxa"/>
          </w:tcPr>
          <w:p w14:paraId="543ABAD7" w14:textId="671DC3C9" w:rsidR="00B03EE2" w:rsidRPr="00C15C33" w:rsidRDefault="00462F71" w:rsidP="00EC21FB">
            <w:pPr>
              <w:jc w:val="right"/>
              <w:rPr>
                <w:color w:val="000000"/>
                <w:sz w:val="18"/>
                <w:szCs w:val="18"/>
              </w:rPr>
            </w:pPr>
            <w:r>
              <w:rPr>
                <w:color w:val="000000"/>
                <w:sz w:val="18"/>
                <w:szCs w:val="18"/>
              </w:rPr>
              <w:t>1913</w:t>
            </w:r>
          </w:p>
        </w:tc>
        <w:tc>
          <w:tcPr>
            <w:tcW w:w="630" w:type="dxa"/>
            <w:vAlign w:val="center"/>
          </w:tcPr>
          <w:p w14:paraId="6A0AFD5F" w14:textId="7CCFEBBE" w:rsidR="00B03EE2" w:rsidRPr="00C15C33" w:rsidRDefault="00462F71" w:rsidP="00EC21FB">
            <w:pPr>
              <w:jc w:val="right"/>
              <w:rPr>
                <w:color w:val="000000"/>
                <w:sz w:val="18"/>
                <w:szCs w:val="18"/>
              </w:rPr>
            </w:pPr>
            <w:r>
              <w:rPr>
                <w:color w:val="000000"/>
                <w:sz w:val="18"/>
                <w:szCs w:val="18"/>
              </w:rPr>
              <w:t>12.2</w:t>
            </w:r>
          </w:p>
        </w:tc>
        <w:tc>
          <w:tcPr>
            <w:tcW w:w="630" w:type="dxa"/>
            <w:vAlign w:val="center"/>
          </w:tcPr>
          <w:p w14:paraId="42A71814" w14:textId="30B3F5E3" w:rsidR="00B03EE2" w:rsidRPr="00C15C33" w:rsidRDefault="00462F71" w:rsidP="00EC21FB">
            <w:pPr>
              <w:jc w:val="right"/>
              <w:rPr>
                <w:color w:val="000000"/>
                <w:sz w:val="18"/>
                <w:szCs w:val="18"/>
              </w:rPr>
            </w:pPr>
            <w:r>
              <w:rPr>
                <w:color w:val="000000"/>
                <w:sz w:val="18"/>
                <w:szCs w:val="18"/>
              </w:rPr>
              <w:t>0.93</w:t>
            </w:r>
          </w:p>
        </w:tc>
        <w:tc>
          <w:tcPr>
            <w:tcW w:w="630" w:type="dxa"/>
          </w:tcPr>
          <w:p w14:paraId="1F5386B1" w14:textId="3F96F5FA" w:rsidR="00B03EE2" w:rsidRPr="00C15C33" w:rsidRDefault="00462F71" w:rsidP="00EC21FB">
            <w:pPr>
              <w:jc w:val="right"/>
              <w:rPr>
                <w:color w:val="000000"/>
                <w:sz w:val="18"/>
                <w:szCs w:val="18"/>
              </w:rPr>
            </w:pPr>
            <w:r>
              <w:rPr>
                <w:color w:val="000000"/>
                <w:sz w:val="18"/>
                <w:szCs w:val="18"/>
              </w:rPr>
              <w:t>617</w:t>
            </w:r>
          </w:p>
        </w:tc>
        <w:tc>
          <w:tcPr>
            <w:tcW w:w="1080" w:type="dxa"/>
            <w:vAlign w:val="bottom"/>
          </w:tcPr>
          <w:p w14:paraId="6262FC74" w14:textId="6284D1E0"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0A7BEB46" w14:textId="1C7461A8" w:rsidR="00B03EE2" w:rsidRPr="00EC21FB" w:rsidRDefault="00B03EE2" w:rsidP="00EC21FB">
            <w:pPr>
              <w:jc w:val="right"/>
              <w:rPr>
                <w:color w:val="000000"/>
                <w:sz w:val="18"/>
                <w:szCs w:val="18"/>
              </w:rPr>
            </w:pPr>
            <w:r w:rsidRPr="00EC21FB">
              <w:rPr>
                <w:color w:val="000000"/>
                <w:sz w:val="18"/>
                <w:szCs w:val="18"/>
              </w:rPr>
              <w:t>field</w:t>
            </w:r>
          </w:p>
        </w:tc>
        <w:tc>
          <w:tcPr>
            <w:tcW w:w="1080" w:type="dxa"/>
          </w:tcPr>
          <w:p w14:paraId="4EFD9CF1" w14:textId="37D3375C" w:rsidR="00B03EE2" w:rsidRPr="00EC21FB" w:rsidRDefault="00B03EE2" w:rsidP="00EC21FB">
            <w:pPr>
              <w:jc w:val="right"/>
              <w:rPr>
                <w:color w:val="000000"/>
                <w:sz w:val="18"/>
                <w:szCs w:val="18"/>
              </w:rPr>
            </w:pPr>
            <w:r w:rsidRPr="00EC21FB">
              <w:rPr>
                <w:color w:val="000000"/>
                <w:sz w:val="18"/>
                <w:szCs w:val="18"/>
              </w:rPr>
              <w:t>10</w:t>
            </w:r>
          </w:p>
        </w:tc>
        <w:tc>
          <w:tcPr>
            <w:tcW w:w="1170" w:type="dxa"/>
          </w:tcPr>
          <w:p w14:paraId="727AB273" w14:textId="3CFF8948" w:rsidR="00B03EE2" w:rsidRPr="00EC21FB" w:rsidRDefault="00B03EE2" w:rsidP="00EC21FB">
            <w:pPr>
              <w:jc w:val="right"/>
              <w:rPr>
                <w:color w:val="000000"/>
                <w:sz w:val="18"/>
                <w:szCs w:val="18"/>
              </w:rPr>
            </w:pPr>
            <w:r w:rsidRPr="00EC21FB">
              <w:rPr>
                <w:color w:val="000000"/>
                <w:sz w:val="18"/>
                <w:szCs w:val="18"/>
              </w:rPr>
              <w:t>5</w:t>
            </w:r>
          </w:p>
        </w:tc>
      </w:tr>
      <w:tr w:rsidR="00B03EE2" w:rsidRPr="006A7EA7" w14:paraId="0F3FDEAB" w14:textId="77777777" w:rsidTr="005E42F0">
        <w:sdt>
          <w:sdtPr>
            <w:rPr>
              <w:color w:val="000000"/>
              <w:sz w:val="18"/>
              <w:szCs w:val="18"/>
            </w:rPr>
            <w:tag w:val="MENDELEY_CITATION_v3_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"/>
            <w:id w:val="1861463228"/>
            <w:placeholder>
              <w:docPart w:val="86219AC37B84AD45ABC2A146663DD75E"/>
            </w:placeholder>
          </w:sdtPr>
          <w:sdtContent>
            <w:tc>
              <w:tcPr>
                <w:tcW w:w="2335" w:type="dxa"/>
              </w:tcPr>
              <w:p w14:paraId="33A4CE7D" w14:textId="417BE0BD" w:rsidR="00B03EE2" w:rsidRPr="00EC21FB" w:rsidRDefault="00E807B5" w:rsidP="00EC21FB">
                <w:pPr>
                  <w:rPr>
                    <w:sz w:val="18"/>
                    <w:szCs w:val="18"/>
                  </w:rPr>
                </w:pPr>
                <w:r w:rsidRPr="00E807B5">
                  <w:rPr>
                    <w:rFonts w:eastAsia="Times New Roman"/>
                    <w:color w:val="000000"/>
                    <w:sz w:val="18"/>
                  </w:rPr>
                  <w:t>(Warren &amp; Adams, 2002)</w:t>
                </w:r>
              </w:p>
            </w:tc>
          </w:sdtContent>
        </w:sdt>
        <w:tc>
          <w:tcPr>
            <w:tcW w:w="1260" w:type="dxa"/>
          </w:tcPr>
          <w:p w14:paraId="5492652E" w14:textId="063B1D52" w:rsidR="00B03EE2" w:rsidRPr="00EC21FB" w:rsidRDefault="00B03EE2" w:rsidP="00EC21FB">
            <w:pPr>
              <w:rPr>
                <w:color w:val="000000"/>
                <w:sz w:val="18"/>
                <w:szCs w:val="18"/>
              </w:rPr>
            </w:pPr>
            <w:proofErr w:type="spellStart"/>
            <w:r w:rsidRPr="00EC21FB">
              <w:rPr>
                <w:color w:val="000000"/>
                <w:sz w:val="18"/>
                <w:szCs w:val="18"/>
              </w:rPr>
              <w:t>bullsbrook</w:t>
            </w:r>
            <w:proofErr w:type="spellEnd"/>
          </w:p>
        </w:tc>
        <w:tc>
          <w:tcPr>
            <w:tcW w:w="810" w:type="dxa"/>
            <w:vAlign w:val="bottom"/>
          </w:tcPr>
          <w:p w14:paraId="0F407267" w14:textId="24E08A17" w:rsidR="00B03EE2" w:rsidRPr="00EC21FB" w:rsidRDefault="00B03EE2" w:rsidP="00EC21FB">
            <w:pPr>
              <w:jc w:val="right"/>
              <w:rPr>
                <w:color w:val="000000"/>
                <w:sz w:val="18"/>
                <w:szCs w:val="18"/>
              </w:rPr>
            </w:pPr>
            <w:r w:rsidRPr="00EC21FB">
              <w:rPr>
                <w:color w:val="000000"/>
                <w:sz w:val="18"/>
                <w:szCs w:val="18"/>
              </w:rPr>
              <w:t>-31.67</w:t>
            </w:r>
          </w:p>
        </w:tc>
        <w:tc>
          <w:tcPr>
            <w:tcW w:w="1080" w:type="dxa"/>
            <w:vAlign w:val="bottom"/>
          </w:tcPr>
          <w:p w14:paraId="367180FB" w14:textId="551E49C7" w:rsidR="00B03EE2" w:rsidRPr="00EC21FB" w:rsidRDefault="00B03EE2" w:rsidP="00EC21FB">
            <w:pPr>
              <w:jc w:val="right"/>
              <w:rPr>
                <w:color w:val="000000"/>
                <w:sz w:val="18"/>
                <w:szCs w:val="18"/>
              </w:rPr>
            </w:pPr>
            <w:r w:rsidRPr="00EC21FB">
              <w:rPr>
                <w:color w:val="000000"/>
                <w:sz w:val="18"/>
                <w:szCs w:val="18"/>
              </w:rPr>
              <w:t>116.02</w:t>
            </w:r>
          </w:p>
        </w:tc>
        <w:tc>
          <w:tcPr>
            <w:tcW w:w="990" w:type="dxa"/>
          </w:tcPr>
          <w:p w14:paraId="706FD678" w14:textId="6F02BC0B" w:rsidR="00B03EE2" w:rsidRPr="00C15C33" w:rsidRDefault="00462F71" w:rsidP="00EC21FB">
            <w:pPr>
              <w:jc w:val="right"/>
              <w:rPr>
                <w:color w:val="000000"/>
                <w:sz w:val="18"/>
                <w:szCs w:val="18"/>
              </w:rPr>
            </w:pPr>
            <w:r>
              <w:rPr>
                <w:color w:val="000000"/>
                <w:sz w:val="18"/>
                <w:szCs w:val="18"/>
              </w:rPr>
              <w:t>40</w:t>
            </w:r>
          </w:p>
        </w:tc>
        <w:tc>
          <w:tcPr>
            <w:tcW w:w="630" w:type="dxa"/>
            <w:vAlign w:val="center"/>
          </w:tcPr>
          <w:p w14:paraId="3B6DF36D" w14:textId="55D12031" w:rsidR="00B03EE2" w:rsidRPr="00C15C33" w:rsidRDefault="00462F71" w:rsidP="00EC21FB">
            <w:pPr>
              <w:jc w:val="right"/>
              <w:rPr>
                <w:color w:val="000000"/>
                <w:sz w:val="18"/>
                <w:szCs w:val="18"/>
              </w:rPr>
            </w:pPr>
            <w:r>
              <w:rPr>
                <w:color w:val="000000"/>
                <w:sz w:val="18"/>
                <w:szCs w:val="18"/>
              </w:rPr>
              <w:t>18.8</w:t>
            </w:r>
          </w:p>
        </w:tc>
        <w:tc>
          <w:tcPr>
            <w:tcW w:w="630" w:type="dxa"/>
            <w:vAlign w:val="center"/>
          </w:tcPr>
          <w:p w14:paraId="04207910" w14:textId="76AE33D2" w:rsidR="00B03EE2" w:rsidRPr="00C15C33" w:rsidRDefault="00462F71" w:rsidP="00EC21FB">
            <w:pPr>
              <w:jc w:val="right"/>
              <w:rPr>
                <w:color w:val="000000"/>
                <w:sz w:val="18"/>
                <w:szCs w:val="18"/>
              </w:rPr>
            </w:pPr>
            <w:r>
              <w:rPr>
                <w:color w:val="000000"/>
                <w:sz w:val="18"/>
                <w:szCs w:val="18"/>
              </w:rPr>
              <w:t>0.51</w:t>
            </w:r>
          </w:p>
        </w:tc>
        <w:tc>
          <w:tcPr>
            <w:tcW w:w="630" w:type="dxa"/>
          </w:tcPr>
          <w:p w14:paraId="6CD113D5" w14:textId="146BE699" w:rsidR="00B03EE2" w:rsidRPr="00C15C33" w:rsidRDefault="00462F71" w:rsidP="00EC21FB">
            <w:pPr>
              <w:jc w:val="right"/>
              <w:rPr>
                <w:color w:val="000000"/>
                <w:sz w:val="18"/>
                <w:szCs w:val="18"/>
              </w:rPr>
            </w:pPr>
            <w:r>
              <w:rPr>
                <w:color w:val="000000"/>
                <w:sz w:val="18"/>
                <w:szCs w:val="18"/>
              </w:rPr>
              <w:t>977</w:t>
            </w:r>
          </w:p>
        </w:tc>
        <w:tc>
          <w:tcPr>
            <w:tcW w:w="1080" w:type="dxa"/>
            <w:vAlign w:val="bottom"/>
          </w:tcPr>
          <w:p w14:paraId="2BF2B4FC" w14:textId="32426639"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191602E3" w14:textId="38587518" w:rsidR="00B03EE2" w:rsidRPr="00EC21FB" w:rsidRDefault="00B03EE2" w:rsidP="00EC21FB">
            <w:pPr>
              <w:jc w:val="right"/>
              <w:rPr>
                <w:color w:val="000000"/>
                <w:sz w:val="18"/>
                <w:szCs w:val="18"/>
              </w:rPr>
            </w:pPr>
            <w:r w:rsidRPr="00EC21FB">
              <w:rPr>
                <w:color w:val="000000"/>
                <w:sz w:val="18"/>
                <w:szCs w:val="18"/>
              </w:rPr>
              <w:t>field</w:t>
            </w:r>
          </w:p>
        </w:tc>
        <w:tc>
          <w:tcPr>
            <w:tcW w:w="1080" w:type="dxa"/>
          </w:tcPr>
          <w:p w14:paraId="7C79820C" w14:textId="3490F223" w:rsidR="00B03EE2" w:rsidRPr="00EC21FB" w:rsidRDefault="00B03EE2" w:rsidP="00EC21FB">
            <w:pPr>
              <w:jc w:val="right"/>
              <w:rPr>
                <w:color w:val="000000"/>
                <w:sz w:val="18"/>
                <w:szCs w:val="18"/>
              </w:rPr>
            </w:pPr>
            <w:r w:rsidRPr="00EC21FB">
              <w:rPr>
                <w:color w:val="000000"/>
                <w:sz w:val="18"/>
                <w:szCs w:val="18"/>
              </w:rPr>
              <w:t>2 (mM)</w:t>
            </w:r>
          </w:p>
        </w:tc>
        <w:tc>
          <w:tcPr>
            <w:tcW w:w="1170" w:type="dxa"/>
          </w:tcPr>
          <w:p w14:paraId="5C7F006B" w14:textId="37A5E914" w:rsidR="00B03EE2" w:rsidRPr="00EC21FB" w:rsidRDefault="00B03EE2" w:rsidP="00EC21FB">
            <w:pPr>
              <w:jc w:val="right"/>
              <w:rPr>
                <w:color w:val="000000"/>
                <w:sz w:val="18"/>
                <w:szCs w:val="18"/>
              </w:rPr>
            </w:pPr>
            <w:r w:rsidRPr="00EC21FB">
              <w:rPr>
                <w:color w:val="000000"/>
                <w:sz w:val="18"/>
                <w:szCs w:val="18"/>
              </w:rPr>
              <w:t>0.34 (mM)</w:t>
            </w:r>
          </w:p>
        </w:tc>
      </w:tr>
      <w:tr w:rsidR="00B03EE2" w:rsidRPr="004F689E" w14:paraId="6BDCDD73" w14:textId="77777777" w:rsidTr="005E42F0">
        <w:sdt>
          <w:sdtPr>
            <w:rPr>
              <w:color w:val="000000"/>
              <w:sz w:val="18"/>
              <w:szCs w:val="18"/>
            </w:rPr>
            <w:tag w:val="MENDELEY_CITATION_v3_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"/>
            <w:id w:val="1980409292"/>
            <w:placeholder>
              <w:docPart w:val="8E98F46EE0DF3F4BAEC93F41399289A7"/>
            </w:placeholder>
          </w:sdtPr>
          <w:sdtContent>
            <w:tc>
              <w:tcPr>
                <w:tcW w:w="2335" w:type="dxa"/>
              </w:tcPr>
              <w:p w14:paraId="204DF8C6" w14:textId="6679F699" w:rsidR="00B03EE2" w:rsidRPr="00EC21FB" w:rsidRDefault="00E807B5" w:rsidP="00EC21FB">
                <w:pPr>
                  <w:rPr>
                    <w:color w:val="000000"/>
                    <w:sz w:val="18"/>
                    <w:szCs w:val="18"/>
                  </w:rPr>
                </w:pPr>
                <w:r w:rsidRPr="00E807B5">
                  <w:rPr>
                    <w:rFonts w:eastAsia="Times New Roman"/>
                    <w:color w:val="000000"/>
                    <w:sz w:val="18"/>
                  </w:rPr>
                  <w:t>(Wigand et al., 2004)</w:t>
                </w:r>
              </w:p>
            </w:tc>
          </w:sdtContent>
        </w:sdt>
        <w:tc>
          <w:tcPr>
            <w:tcW w:w="1260" w:type="dxa"/>
          </w:tcPr>
          <w:p w14:paraId="6A4D95AD" w14:textId="664D7662" w:rsidR="00B03EE2" w:rsidRPr="00EC21FB" w:rsidRDefault="00B03EE2" w:rsidP="00EC21FB">
            <w:pPr>
              <w:rPr>
                <w:color w:val="000000"/>
                <w:sz w:val="18"/>
                <w:szCs w:val="18"/>
              </w:rPr>
            </w:pPr>
            <w:proofErr w:type="spellStart"/>
            <w:r w:rsidRPr="00EC21FB">
              <w:rPr>
                <w:color w:val="000000"/>
                <w:sz w:val="18"/>
                <w:szCs w:val="18"/>
              </w:rPr>
              <w:t>nags_creek</w:t>
            </w:r>
            <w:proofErr w:type="spellEnd"/>
          </w:p>
        </w:tc>
        <w:tc>
          <w:tcPr>
            <w:tcW w:w="810" w:type="dxa"/>
          </w:tcPr>
          <w:p w14:paraId="3D73EE35" w14:textId="44C37B12" w:rsidR="00B03EE2" w:rsidRPr="00EC21FB" w:rsidRDefault="00B03EE2" w:rsidP="00EC21FB">
            <w:pPr>
              <w:jc w:val="right"/>
              <w:rPr>
                <w:color w:val="000000"/>
                <w:sz w:val="18"/>
                <w:szCs w:val="18"/>
              </w:rPr>
            </w:pPr>
            <w:r w:rsidRPr="00EC21FB">
              <w:rPr>
                <w:color w:val="000000"/>
                <w:sz w:val="18"/>
                <w:szCs w:val="18"/>
              </w:rPr>
              <w:t>41.63</w:t>
            </w:r>
          </w:p>
        </w:tc>
        <w:tc>
          <w:tcPr>
            <w:tcW w:w="1080" w:type="dxa"/>
          </w:tcPr>
          <w:p w14:paraId="2386315C" w14:textId="1A5549D8" w:rsidR="00B03EE2" w:rsidRPr="00EC21FB" w:rsidRDefault="00B03EE2" w:rsidP="00EC21FB">
            <w:pPr>
              <w:jc w:val="right"/>
              <w:rPr>
                <w:color w:val="000000"/>
                <w:sz w:val="18"/>
                <w:szCs w:val="18"/>
              </w:rPr>
            </w:pPr>
            <w:r w:rsidRPr="00EC21FB">
              <w:rPr>
                <w:color w:val="000000"/>
                <w:sz w:val="18"/>
                <w:szCs w:val="18"/>
              </w:rPr>
              <w:t>-71.32</w:t>
            </w:r>
          </w:p>
        </w:tc>
        <w:tc>
          <w:tcPr>
            <w:tcW w:w="990" w:type="dxa"/>
          </w:tcPr>
          <w:p w14:paraId="0F4DF1F3" w14:textId="23A8A2F2" w:rsidR="00B03EE2" w:rsidRPr="00C15C33" w:rsidRDefault="005E42F0" w:rsidP="00EC21FB">
            <w:pPr>
              <w:jc w:val="right"/>
              <w:rPr>
                <w:color w:val="000000"/>
                <w:sz w:val="18"/>
                <w:szCs w:val="18"/>
              </w:rPr>
            </w:pPr>
            <w:r>
              <w:rPr>
                <w:color w:val="000000"/>
                <w:sz w:val="18"/>
                <w:szCs w:val="18"/>
              </w:rPr>
              <w:t>-16</w:t>
            </w:r>
          </w:p>
        </w:tc>
        <w:tc>
          <w:tcPr>
            <w:tcW w:w="630" w:type="dxa"/>
            <w:vAlign w:val="center"/>
          </w:tcPr>
          <w:p w14:paraId="6E20628C" w14:textId="6317F72C" w:rsidR="00B03EE2" w:rsidRPr="00C15C33" w:rsidRDefault="005E42F0" w:rsidP="00EC21FB">
            <w:pPr>
              <w:jc w:val="right"/>
              <w:rPr>
                <w:color w:val="000000"/>
                <w:sz w:val="18"/>
                <w:szCs w:val="18"/>
              </w:rPr>
            </w:pPr>
            <w:r>
              <w:rPr>
                <w:color w:val="000000"/>
                <w:sz w:val="18"/>
                <w:szCs w:val="18"/>
              </w:rPr>
              <w:t>12.3</w:t>
            </w:r>
          </w:p>
        </w:tc>
        <w:tc>
          <w:tcPr>
            <w:tcW w:w="630" w:type="dxa"/>
            <w:vAlign w:val="center"/>
          </w:tcPr>
          <w:p w14:paraId="6B7183AD" w14:textId="675145A8" w:rsidR="00B03EE2" w:rsidRPr="00C15C33" w:rsidRDefault="005E42F0" w:rsidP="00EC21FB">
            <w:pPr>
              <w:jc w:val="right"/>
              <w:rPr>
                <w:color w:val="000000"/>
                <w:sz w:val="18"/>
                <w:szCs w:val="18"/>
              </w:rPr>
            </w:pPr>
            <w:r>
              <w:rPr>
                <w:color w:val="000000"/>
                <w:sz w:val="18"/>
                <w:szCs w:val="18"/>
              </w:rPr>
              <w:t>1.17</w:t>
            </w:r>
          </w:p>
        </w:tc>
        <w:tc>
          <w:tcPr>
            <w:tcW w:w="630" w:type="dxa"/>
          </w:tcPr>
          <w:p w14:paraId="7CD5768F" w14:textId="222A6375" w:rsidR="00B03EE2" w:rsidRPr="00C15C33" w:rsidRDefault="005E42F0" w:rsidP="00EC21FB">
            <w:pPr>
              <w:jc w:val="right"/>
              <w:rPr>
                <w:color w:val="000000"/>
                <w:sz w:val="18"/>
                <w:szCs w:val="18"/>
              </w:rPr>
            </w:pPr>
            <w:r>
              <w:rPr>
                <w:color w:val="000000"/>
                <w:sz w:val="18"/>
                <w:szCs w:val="18"/>
              </w:rPr>
              <w:t>710</w:t>
            </w:r>
          </w:p>
        </w:tc>
        <w:tc>
          <w:tcPr>
            <w:tcW w:w="1080" w:type="dxa"/>
            <w:vAlign w:val="bottom"/>
          </w:tcPr>
          <w:p w14:paraId="24324FC0" w14:textId="72EB7F3A" w:rsidR="00B03EE2" w:rsidRPr="00EC21FB" w:rsidRDefault="00B03EE2" w:rsidP="00EC21FB">
            <w:pPr>
              <w:jc w:val="right"/>
              <w:rPr>
                <w:color w:val="000000"/>
                <w:sz w:val="18"/>
                <w:szCs w:val="18"/>
              </w:rPr>
            </w:pPr>
            <w:r w:rsidRPr="00EC21FB">
              <w:rPr>
                <w:color w:val="000000"/>
                <w:sz w:val="18"/>
                <w:szCs w:val="18"/>
              </w:rPr>
              <w:t>wetland</w:t>
            </w:r>
          </w:p>
        </w:tc>
        <w:tc>
          <w:tcPr>
            <w:tcW w:w="1170" w:type="dxa"/>
            <w:vAlign w:val="bottom"/>
          </w:tcPr>
          <w:p w14:paraId="392A3FB5" w14:textId="4F7CC18A" w:rsidR="00B03EE2" w:rsidRPr="00EC21FB" w:rsidRDefault="00B03EE2" w:rsidP="00EC21FB">
            <w:pPr>
              <w:jc w:val="right"/>
              <w:rPr>
                <w:color w:val="000000"/>
                <w:sz w:val="18"/>
                <w:szCs w:val="18"/>
              </w:rPr>
            </w:pPr>
            <w:r w:rsidRPr="00EC21FB">
              <w:rPr>
                <w:color w:val="000000"/>
                <w:sz w:val="18"/>
                <w:szCs w:val="18"/>
              </w:rPr>
              <w:t>field</w:t>
            </w:r>
          </w:p>
        </w:tc>
        <w:tc>
          <w:tcPr>
            <w:tcW w:w="1080" w:type="dxa"/>
            <w:vAlign w:val="bottom"/>
          </w:tcPr>
          <w:p w14:paraId="24DADD1F" w14:textId="0019B383" w:rsidR="00B03EE2" w:rsidRPr="00EC21FB" w:rsidRDefault="00B03EE2" w:rsidP="00EC21FB">
            <w:pPr>
              <w:jc w:val="right"/>
              <w:rPr>
                <w:color w:val="000000"/>
                <w:sz w:val="18"/>
                <w:szCs w:val="18"/>
              </w:rPr>
            </w:pPr>
            <w:r w:rsidRPr="00EC21FB">
              <w:rPr>
                <w:color w:val="000000"/>
                <w:sz w:val="18"/>
                <w:szCs w:val="18"/>
              </w:rPr>
              <w:t>32</w:t>
            </w:r>
          </w:p>
        </w:tc>
        <w:tc>
          <w:tcPr>
            <w:tcW w:w="1170" w:type="dxa"/>
          </w:tcPr>
          <w:p w14:paraId="7B61A3FB" w14:textId="75085D09" w:rsidR="00B03EE2" w:rsidRPr="00EC21FB" w:rsidRDefault="00B03EE2" w:rsidP="00EC21FB">
            <w:pPr>
              <w:jc w:val="right"/>
              <w:rPr>
                <w:color w:val="000000"/>
                <w:sz w:val="18"/>
                <w:szCs w:val="18"/>
              </w:rPr>
            </w:pPr>
            <w:r w:rsidRPr="00EC21FB">
              <w:rPr>
                <w:color w:val="000000"/>
                <w:sz w:val="18"/>
                <w:szCs w:val="18"/>
              </w:rPr>
              <w:t>3.2</w:t>
            </w:r>
          </w:p>
        </w:tc>
      </w:tr>
      <w:tr w:rsidR="00B03EE2" w:rsidRPr="004F689E" w14:paraId="55C23790" w14:textId="77777777" w:rsidTr="005E42F0">
        <w:sdt>
          <w:sdtPr>
            <w:rPr>
              <w:color w:val="000000"/>
              <w:sz w:val="18"/>
              <w:szCs w:val="18"/>
            </w:rPr>
            <w:tag w:val="MENDELEY_CITATION_v3_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"/>
            <w:id w:val="1476873394"/>
            <w:placeholder>
              <w:docPart w:val="0A4F44715C86444CB6339AE356A132DA"/>
            </w:placeholder>
          </w:sdtPr>
          <w:sdtContent>
            <w:tc>
              <w:tcPr>
                <w:tcW w:w="2335" w:type="dxa"/>
              </w:tcPr>
              <w:p w14:paraId="13287BFE" w14:textId="04F4E993" w:rsidR="00B03EE2" w:rsidRPr="00EC21FB" w:rsidRDefault="00E807B5" w:rsidP="00EC21FB">
                <w:pPr>
                  <w:rPr>
                    <w:color w:val="000000"/>
                    <w:sz w:val="18"/>
                    <w:szCs w:val="18"/>
                  </w:rPr>
                </w:pPr>
                <w:r w:rsidRPr="00E807B5">
                  <w:rPr>
                    <w:rFonts w:eastAsia="Times New Roman"/>
                    <w:color w:val="000000"/>
                    <w:sz w:val="18"/>
                  </w:rPr>
                  <w:t>(Wright et al., 2011)</w:t>
                </w:r>
              </w:p>
            </w:tc>
          </w:sdtContent>
        </w:sdt>
        <w:tc>
          <w:tcPr>
            <w:tcW w:w="1260" w:type="dxa"/>
          </w:tcPr>
          <w:p w14:paraId="13297274" w14:textId="434769CE" w:rsidR="00B03EE2" w:rsidRPr="00EC21FB" w:rsidRDefault="00B03EE2" w:rsidP="00EC21FB">
            <w:pPr>
              <w:rPr>
                <w:color w:val="000000"/>
                <w:sz w:val="18"/>
                <w:szCs w:val="18"/>
              </w:rPr>
            </w:pPr>
            <w:r w:rsidRPr="00EC21FB">
              <w:rPr>
                <w:color w:val="000000"/>
                <w:sz w:val="18"/>
                <w:szCs w:val="18"/>
              </w:rPr>
              <w:t>barro</w:t>
            </w:r>
          </w:p>
        </w:tc>
        <w:tc>
          <w:tcPr>
            <w:tcW w:w="810" w:type="dxa"/>
            <w:vAlign w:val="bottom"/>
          </w:tcPr>
          <w:p w14:paraId="381881F1" w14:textId="25B2E851" w:rsidR="00B03EE2" w:rsidRPr="00EC21FB" w:rsidRDefault="00B03EE2" w:rsidP="00EC21FB">
            <w:pPr>
              <w:jc w:val="right"/>
              <w:rPr>
                <w:color w:val="000000"/>
                <w:sz w:val="18"/>
                <w:szCs w:val="18"/>
              </w:rPr>
            </w:pPr>
            <w:r w:rsidRPr="00EC21FB">
              <w:rPr>
                <w:color w:val="000000"/>
                <w:sz w:val="18"/>
                <w:szCs w:val="18"/>
              </w:rPr>
              <w:t>9.12</w:t>
            </w:r>
          </w:p>
        </w:tc>
        <w:tc>
          <w:tcPr>
            <w:tcW w:w="1080" w:type="dxa"/>
            <w:vAlign w:val="bottom"/>
          </w:tcPr>
          <w:p w14:paraId="1F3DBE10" w14:textId="5B873527" w:rsidR="00B03EE2" w:rsidRPr="00EC21FB" w:rsidRDefault="00B03EE2" w:rsidP="00EC21FB">
            <w:pPr>
              <w:jc w:val="right"/>
              <w:rPr>
                <w:color w:val="000000"/>
                <w:sz w:val="18"/>
                <w:szCs w:val="18"/>
              </w:rPr>
            </w:pPr>
            <w:r w:rsidRPr="00EC21FB">
              <w:rPr>
                <w:color w:val="000000"/>
                <w:sz w:val="18"/>
                <w:szCs w:val="18"/>
              </w:rPr>
              <w:t>-79.85</w:t>
            </w:r>
          </w:p>
        </w:tc>
        <w:tc>
          <w:tcPr>
            <w:tcW w:w="990" w:type="dxa"/>
          </w:tcPr>
          <w:p w14:paraId="247CDF24" w14:textId="6E4B8D79" w:rsidR="00B03EE2" w:rsidRPr="00C15C33" w:rsidRDefault="005E42F0" w:rsidP="00EC21FB">
            <w:pPr>
              <w:jc w:val="right"/>
              <w:rPr>
                <w:color w:val="000000"/>
                <w:sz w:val="18"/>
                <w:szCs w:val="18"/>
              </w:rPr>
            </w:pPr>
            <w:r>
              <w:rPr>
                <w:color w:val="000000"/>
                <w:sz w:val="18"/>
                <w:szCs w:val="18"/>
              </w:rPr>
              <w:t>56</w:t>
            </w:r>
          </w:p>
        </w:tc>
        <w:tc>
          <w:tcPr>
            <w:tcW w:w="630" w:type="dxa"/>
            <w:vAlign w:val="center"/>
          </w:tcPr>
          <w:p w14:paraId="1EB1388B" w14:textId="17A2199A" w:rsidR="00B03EE2" w:rsidRPr="00C15C33" w:rsidRDefault="005E42F0" w:rsidP="00EC21FB">
            <w:pPr>
              <w:jc w:val="right"/>
              <w:rPr>
                <w:color w:val="000000"/>
                <w:sz w:val="18"/>
                <w:szCs w:val="18"/>
              </w:rPr>
            </w:pPr>
            <w:r>
              <w:rPr>
                <w:color w:val="000000"/>
                <w:sz w:val="18"/>
                <w:szCs w:val="18"/>
              </w:rPr>
              <w:t>26.5</w:t>
            </w:r>
          </w:p>
        </w:tc>
        <w:tc>
          <w:tcPr>
            <w:tcW w:w="630" w:type="dxa"/>
            <w:vAlign w:val="center"/>
          </w:tcPr>
          <w:p w14:paraId="0FD2DFFA" w14:textId="0DF5FC59" w:rsidR="00B03EE2" w:rsidRPr="00C15C33" w:rsidRDefault="005E42F0" w:rsidP="00EC21FB">
            <w:pPr>
              <w:jc w:val="right"/>
              <w:rPr>
                <w:color w:val="000000"/>
                <w:sz w:val="18"/>
                <w:szCs w:val="18"/>
              </w:rPr>
            </w:pPr>
            <w:r>
              <w:rPr>
                <w:color w:val="000000"/>
                <w:sz w:val="18"/>
                <w:szCs w:val="18"/>
              </w:rPr>
              <w:t>1.41</w:t>
            </w:r>
          </w:p>
        </w:tc>
        <w:tc>
          <w:tcPr>
            <w:tcW w:w="630" w:type="dxa"/>
          </w:tcPr>
          <w:p w14:paraId="27E72521" w14:textId="458610CD" w:rsidR="00B03EE2" w:rsidRPr="00C15C33" w:rsidRDefault="005E42F0" w:rsidP="00EC21FB">
            <w:pPr>
              <w:jc w:val="right"/>
              <w:rPr>
                <w:color w:val="000000"/>
                <w:sz w:val="18"/>
                <w:szCs w:val="18"/>
              </w:rPr>
            </w:pPr>
            <w:r>
              <w:rPr>
                <w:color w:val="000000"/>
                <w:sz w:val="18"/>
                <w:szCs w:val="18"/>
              </w:rPr>
              <w:t>938</w:t>
            </w:r>
          </w:p>
        </w:tc>
        <w:tc>
          <w:tcPr>
            <w:tcW w:w="1080" w:type="dxa"/>
            <w:vAlign w:val="bottom"/>
          </w:tcPr>
          <w:p w14:paraId="69883C60" w14:textId="5CE6282B"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2A812377" w14:textId="049FD184" w:rsidR="00B03EE2" w:rsidRPr="00EC21FB" w:rsidRDefault="00B03EE2" w:rsidP="00EC21FB">
            <w:pPr>
              <w:jc w:val="right"/>
              <w:rPr>
                <w:color w:val="000000"/>
                <w:sz w:val="18"/>
                <w:szCs w:val="18"/>
              </w:rPr>
            </w:pPr>
            <w:r w:rsidRPr="00EC21FB">
              <w:rPr>
                <w:color w:val="000000"/>
                <w:sz w:val="18"/>
                <w:szCs w:val="18"/>
              </w:rPr>
              <w:t>field</w:t>
            </w:r>
          </w:p>
        </w:tc>
        <w:tc>
          <w:tcPr>
            <w:tcW w:w="1080" w:type="dxa"/>
            <w:vAlign w:val="bottom"/>
          </w:tcPr>
          <w:p w14:paraId="373A57FC" w14:textId="02356AE8" w:rsidR="00B03EE2" w:rsidRPr="00EC21FB" w:rsidRDefault="00B03EE2" w:rsidP="00EC21FB">
            <w:pPr>
              <w:jc w:val="right"/>
              <w:rPr>
                <w:color w:val="000000"/>
                <w:sz w:val="18"/>
                <w:szCs w:val="18"/>
              </w:rPr>
            </w:pPr>
            <w:r w:rsidRPr="00EC21FB">
              <w:rPr>
                <w:color w:val="000000"/>
                <w:sz w:val="18"/>
                <w:szCs w:val="18"/>
              </w:rPr>
              <w:t>12.5</w:t>
            </w:r>
          </w:p>
        </w:tc>
        <w:tc>
          <w:tcPr>
            <w:tcW w:w="1170" w:type="dxa"/>
          </w:tcPr>
          <w:p w14:paraId="544E2A86" w14:textId="5652F15D" w:rsidR="00B03EE2" w:rsidRPr="00EC21FB" w:rsidRDefault="00B03EE2" w:rsidP="00EC21FB">
            <w:pPr>
              <w:jc w:val="right"/>
              <w:rPr>
                <w:color w:val="000000"/>
                <w:sz w:val="18"/>
                <w:szCs w:val="18"/>
              </w:rPr>
            </w:pPr>
            <w:r w:rsidRPr="00EC21FB">
              <w:rPr>
                <w:color w:val="000000"/>
                <w:sz w:val="18"/>
                <w:szCs w:val="18"/>
              </w:rPr>
              <w:t>5</w:t>
            </w:r>
          </w:p>
        </w:tc>
      </w:tr>
      <w:tr w:rsidR="00B03EE2" w:rsidRPr="004F689E" w14:paraId="453E7DAA" w14:textId="77777777" w:rsidTr="005E42F0">
        <w:sdt>
          <w:sdtPr>
            <w:rPr>
              <w:color w:val="000000"/>
              <w:sz w:val="18"/>
              <w:szCs w:val="18"/>
            </w:rPr>
            <w:tag w:val="MENDELEY_CITATION_v3_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"/>
            <w:id w:val="2116015500"/>
            <w:placeholder>
              <w:docPart w:val="A2F951C59B9A0645B3506565372FA4CD"/>
            </w:placeholder>
          </w:sdtPr>
          <w:sdtContent>
            <w:tc>
              <w:tcPr>
                <w:tcW w:w="2335" w:type="dxa"/>
              </w:tcPr>
              <w:p w14:paraId="16DA63D6" w14:textId="621EBB49" w:rsidR="00B03EE2" w:rsidRPr="00EC21FB" w:rsidRDefault="00E807B5" w:rsidP="00EC21FB">
                <w:pPr>
                  <w:rPr>
                    <w:sz w:val="18"/>
                    <w:szCs w:val="18"/>
                  </w:rPr>
                </w:pPr>
                <w:r w:rsidRPr="00E807B5">
                  <w:rPr>
                    <w:rFonts w:eastAsia="Times New Roman"/>
                    <w:color w:val="000000"/>
                    <w:sz w:val="18"/>
                  </w:rPr>
                  <w:t>(Yang et al., 2014)</w:t>
                </w:r>
              </w:p>
            </w:tc>
          </w:sdtContent>
        </w:sdt>
        <w:tc>
          <w:tcPr>
            <w:tcW w:w="1260" w:type="dxa"/>
          </w:tcPr>
          <w:p w14:paraId="5334B805" w14:textId="64BB3242" w:rsidR="00B03EE2" w:rsidRPr="00EC21FB" w:rsidRDefault="00B03EE2" w:rsidP="00EC21FB">
            <w:pPr>
              <w:rPr>
                <w:color w:val="000000"/>
                <w:sz w:val="18"/>
                <w:szCs w:val="18"/>
              </w:rPr>
            </w:pPr>
            <w:proofErr w:type="spellStart"/>
            <w:r w:rsidRPr="00EC21FB">
              <w:rPr>
                <w:color w:val="000000"/>
                <w:sz w:val="18"/>
                <w:szCs w:val="18"/>
              </w:rPr>
              <w:t>haibei</w:t>
            </w:r>
            <w:proofErr w:type="spellEnd"/>
          </w:p>
        </w:tc>
        <w:tc>
          <w:tcPr>
            <w:tcW w:w="810" w:type="dxa"/>
            <w:vAlign w:val="bottom"/>
          </w:tcPr>
          <w:p w14:paraId="28848942" w14:textId="13F4D30D" w:rsidR="00B03EE2" w:rsidRPr="00EC21FB" w:rsidRDefault="00527288" w:rsidP="00EC21FB">
            <w:pPr>
              <w:jc w:val="right"/>
              <w:rPr>
                <w:color w:val="000000"/>
                <w:sz w:val="18"/>
                <w:szCs w:val="18"/>
              </w:rPr>
            </w:pPr>
            <w:r>
              <w:rPr>
                <w:color w:val="000000"/>
                <w:sz w:val="18"/>
                <w:szCs w:val="18"/>
              </w:rPr>
              <w:t>38.297</w:t>
            </w:r>
          </w:p>
        </w:tc>
        <w:tc>
          <w:tcPr>
            <w:tcW w:w="1080" w:type="dxa"/>
            <w:vAlign w:val="bottom"/>
          </w:tcPr>
          <w:p w14:paraId="7F9282F6" w14:textId="15E3F65D" w:rsidR="00B03EE2" w:rsidRPr="00EC21FB" w:rsidRDefault="00527288" w:rsidP="00EC21FB">
            <w:pPr>
              <w:jc w:val="right"/>
              <w:rPr>
                <w:color w:val="000000"/>
                <w:sz w:val="18"/>
                <w:szCs w:val="18"/>
              </w:rPr>
            </w:pPr>
            <w:r>
              <w:rPr>
                <w:color w:val="000000"/>
                <w:sz w:val="18"/>
                <w:szCs w:val="18"/>
              </w:rPr>
              <w:t>101.337</w:t>
            </w:r>
          </w:p>
        </w:tc>
        <w:tc>
          <w:tcPr>
            <w:tcW w:w="990" w:type="dxa"/>
          </w:tcPr>
          <w:p w14:paraId="5A8AEA62" w14:textId="4A61D8C1" w:rsidR="00B03EE2" w:rsidRPr="00527288" w:rsidRDefault="00527288" w:rsidP="00EC21FB">
            <w:pPr>
              <w:jc w:val="right"/>
              <w:rPr>
                <w:color w:val="000000"/>
                <w:sz w:val="18"/>
                <w:szCs w:val="18"/>
              </w:rPr>
            </w:pPr>
            <w:r w:rsidRPr="00527288">
              <w:rPr>
                <w:color w:val="000000"/>
                <w:sz w:val="18"/>
                <w:szCs w:val="18"/>
              </w:rPr>
              <w:t>NA</w:t>
            </w:r>
          </w:p>
        </w:tc>
        <w:tc>
          <w:tcPr>
            <w:tcW w:w="630" w:type="dxa"/>
          </w:tcPr>
          <w:p w14:paraId="32B71D57" w14:textId="759F0590" w:rsidR="00B03EE2" w:rsidRPr="00527288" w:rsidRDefault="00527288" w:rsidP="00EC21FB">
            <w:pPr>
              <w:jc w:val="right"/>
              <w:rPr>
                <w:color w:val="000000"/>
                <w:sz w:val="18"/>
                <w:szCs w:val="18"/>
              </w:rPr>
            </w:pPr>
            <w:r w:rsidRPr="00527288">
              <w:rPr>
                <w:color w:val="000000"/>
                <w:sz w:val="18"/>
                <w:szCs w:val="18"/>
              </w:rPr>
              <w:t>NA</w:t>
            </w:r>
          </w:p>
        </w:tc>
        <w:tc>
          <w:tcPr>
            <w:tcW w:w="630" w:type="dxa"/>
          </w:tcPr>
          <w:p w14:paraId="35ED63C1" w14:textId="423951C2" w:rsidR="00B03EE2" w:rsidRPr="00527288" w:rsidRDefault="00527288" w:rsidP="00EC21FB">
            <w:pPr>
              <w:jc w:val="right"/>
              <w:rPr>
                <w:color w:val="000000"/>
                <w:sz w:val="18"/>
                <w:szCs w:val="18"/>
              </w:rPr>
            </w:pPr>
            <w:r w:rsidRPr="00527288">
              <w:rPr>
                <w:color w:val="000000"/>
                <w:sz w:val="18"/>
                <w:szCs w:val="18"/>
              </w:rPr>
              <w:t>NA</w:t>
            </w:r>
          </w:p>
        </w:tc>
        <w:tc>
          <w:tcPr>
            <w:tcW w:w="630" w:type="dxa"/>
          </w:tcPr>
          <w:p w14:paraId="6F18B216" w14:textId="721ABF3B" w:rsidR="00B03EE2" w:rsidRPr="00527288" w:rsidRDefault="00527288" w:rsidP="00EC21FB">
            <w:pPr>
              <w:jc w:val="right"/>
              <w:rPr>
                <w:color w:val="000000"/>
                <w:sz w:val="18"/>
                <w:szCs w:val="18"/>
              </w:rPr>
            </w:pPr>
            <w:r w:rsidRPr="00527288">
              <w:rPr>
                <w:color w:val="000000"/>
                <w:sz w:val="18"/>
                <w:szCs w:val="18"/>
              </w:rPr>
              <w:t>NA</w:t>
            </w:r>
          </w:p>
        </w:tc>
        <w:tc>
          <w:tcPr>
            <w:tcW w:w="1080" w:type="dxa"/>
            <w:vAlign w:val="bottom"/>
          </w:tcPr>
          <w:p w14:paraId="2174E111" w14:textId="470267A3" w:rsidR="00B03EE2" w:rsidRPr="00EC21FB" w:rsidRDefault="00B03EE2" w:rsidP="00EC21FB">
            <w:pPr>
              <w:jc w:val="right"/>
              <w:rPr>
                <w:color w:val="000000"/>
                <w:sz w:val="18"/>
                <w:szCs w:val="18"/>
              </w:rPr>
            </w:pPr>
            <w:r w:rsidRPr="00EC21FB">
              <w:rPr>
                <w:color w:val="000000"/>
                <w:sz w:val="18"/>
                <w:szCs w:val="18"/>
              </w:rPr>
              <w:t>grassland</w:t>
            </w:r>
          </w:p>
        </w:tc>
        <w:tc>
          <w:tcPr>
            <w:tcW w:w="1170" w:type="dxa"/>
            <w:vAlign w:val="bottom"/>
          </w:tcPr>
          <w:p w14:paraId="1BEB1262" w14:textId="424EA371" w:rsidR="00B03EE2" w:rsidRPr="00EC21FB" w:rsidRDefault="00B03EE2" w:rsidP="00EC21FB">
            <w:pPr>
              <w:jc w:val="right"/>
              <w:rPr>
                <w:color w:val="000000"/>
                <w:sz w:val="18"/>
                <w:szCs w:val="18"/>
              </w:rPr>
            </w:pPr>
            <w:r w:rsidRPr="00EC21FB">
              <w:rPr>
                <w:color w:val="000000"/>
                <w:sz w:val="18"/>
                <w:szCs w:val="18"/>
              </w:rPr>
              <w:t>field</w:t>
            </w:r>
          </w:p>
        </w:tc>
        <w:tc>
          <w:tcPr>
            <w:tcW w:w="1080" w:type="dxa"/>
            <w:vAlign w:val="bottom"/>
          </w:tcPr>
          <w:p w14:paraId="242CFED6" w14:textId="5DE10DFA" w:rsidR="00B03EE2" w:rsidRPr="00EC21FB" w:rsidRDefault="00B03EE2" w:rsidP="00EC21FB">
            <w:pPr>
              <w:jc w:val="right"/>
              <w:rPr>
                <w:color w:val="000000"/>
                <w:sz w:val="18"/>
                <w:szCs w:val="18"/>
              </w:rPr>
            </w:pPr>
            <w:r w:rsidRPr="00EC21FB">
              <w:rPr>
                <w:color w:val="000000"/>
                <w:sz w:val="18"/>
                <w:szCs w:val="18"/>
              </w:rPr>
              <w:t>10</w:t>
            </w:r>
          </w:p>
        </w:tc>
        <w:tc>
          <w:tcPr>
            <w:tcW w:w="1170" w:type="dxa"/>
          </w:tcPr>
          <w:p w14:paraId="6D392B49" w14:textId="1DE20730" w:rsidR="00B03EE2" w:rsidRPr="00EC21FB" w:rsidRDefault="00B03EE2" w:rsidP="00EC21FB">
            <w:pPr>
              <w:jc w:val="right"/>
              <w:rPr>
                <w:color w:val="000000"/>
                <w:sz w:val="18"/>
                <w:szCs w:val="18"/>
              </w:rPr>
            </w:pPr>
            <w:r w:rsidRPr="00EC21FB">
              <w:rPr>
                <w:color w:val="000000"/>
                <w:sz w:val="18"/>
                <w:szCs w:val="18"/>
              </w:rPr>
              <w:t>5</w:t>
            </w:r>
          </w:p>
        </w:tc>
      </w:tr>
      <w:tr w:rsidR="00B03EE2" w:rsidRPr="004F689E" w14:paraId="709F2E2A" w14:textId="77777777" w:rsidTr="005E42F0">
        <w:sdt>
          <w:sdtPr>
            <w:rPr>
              <w:color w:val="000000"/>
              <w:sz w:val="18"/>
              <w:szCs w:val="18"/>
            </w:rPr>
            <w:tag w:val="MENDELEY_CITATION_v3_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"/>
            <w:id w:val="1668441553"/>
            <w:placeholder>
              <w:docPart w:val="04AAFEE3D6DA19418DAE9DA11F7E5CFB"/>
            </w:placeholder>
          </w:sdtPr>
          <w:sdtContent>
            <w:tc>
              <w:tcPr>
                <w:tcW w:w="2335" w:type="dxa"/>
              </w:tcPr>
              <w:p w14:paraId="0967BD0D" w14:textId="55F670DE" w:rsidR="00B03EE2" w:rsidRPr="00EC21FB" w:rsidRDefault="00E807B5" w:rsidP="00EC21FB">
                <w:pPr>
                  <w:rPr>
                    <w:color w:val="000000"/>
                    <w:sz w:val="18"/>
                    <w:szCs w:val="18"/>
                  </w:rPr>
                </w:pPr>
                <w:r w:rsidRPr="00E807B5">
                  <w:rPr>
                    <w:rFonts w:eastAsia="Times New Roman"/>
                    <w:color w:val="000000"/>
                    <w:sz w:val="18"/>
                  </w:rPr>
                  <w:t>(Ye et al., 2022)</w:t>
                </w:r>
              </w:p>
            </w:tc>
          </w:sdtContent>
        </w:sdt>
        <w:tc>
          <w:tcPr>
            <w:tcW w:w="1260" w:type="dxa"/>
          </w:tcPr>
          <w:p w14:paraId="6BCC4A7A" w14:textId="214DB6EF" w:rsidR="00B03EE2" w:rsidRPr="005E42F0" w:rsidRDefault="00B03EE2" w:rsidP="00EC21FB">
            <w:pPr>
              <w:rPr>
                <w:color w:val="000000"/>
                <w:sz w:val="16"/>
                <w:szCs w:val="16"/>
              </w:rPr>
            </w:pPr>
            <w:proofErr w:type="spellStart"/>
            <w:r w:rsidRPr="005E42F0">
              <w:rPr>
                <w:color w:val="000000"/>
                <w:sz w:val="16"/>
                <w:szCs w:val="16"/>
              </w:rPr>
              <w:t>jiulianshan_RS</w:t>
            </w:r>
            <w:proofErr w:type="spellEnd"/>
          </w:p>
        </w:tc>
        <w:tc>
          <w:tcPr>
            <w:tcW w:w="810" w:type="dxa"/>
            <w:vAlign w:val="bottom"/>
          </w:tcPr>
          <w:p w14:paraId="17521159" w14:textId="3D6FC465" w:rsidR="00B03EE2" w:rsidRPr="00EC21FB" w:rsidRDefault="00B03EE2" w:rsidP="00EC21FB">
            <w:pPr>
              <w:jc w:val="right"/>
              <w:rPr>
                <w:color w:val="000000"/>
                <w:sz w:val="18"/>
                <w:szCs w:val="18"/>
              </w:rPr>
            </w:pPr>
            <w:r w:rsidRPr="00EC21FB">
              <w:rPr>
                <w:color w:val="000000"/>
                <w:sz w:val="18"/>
                <w:szCs w:val="18"/>
              </w:rPr>
              <w:t>24.49</w:t>
            </w:r>
          </w:p>
        </w:tc>
        <w:tc>
          <w:tcPr>
            <w:tcW w:w="1080" w:type="dxa"/>
            <w:vAlign w:val="bottom"/>
          </w:tcPr>
          <w:p w14:paraId="427053E1" w14:textId="03CE1ACE" w:rsidR="00B03EE2" w:rsidRPr="00EC21FB" w:rsidRDefault="00B03EE2" w:rsidP="00EC21FB">
            <w:pPr>
              <w:jc w:val="right"/>
              <w:rPr>
                <w:color w:val="000000"/>
                <w:sz w:val="18"/>
                <w:szCs w:val="18"/>
              </w:rPr>
            </w:pPr>
            <w:r w:rsidRPr="00EC21FB">
              <w:rPr>
                <w:color w:val="000000"/>
                <w:sz w:val="18"/>
                <w:szCs w:val="18"/>
              </w:rPr>
              <w:t>114.38</w:t>
            </w:r>
          </w:p>
        </w:tc>
        <w:tc>
          <w:tcPr>
            <w:tcW w:w="990" w:type="dxa"/>
          </w:tcPr>
          <w:p w14:paraId="47481436" w14:textId="3B724CDE" w:rsidR="00B03EE2" w:rsidRPr="00C15C33" w:rsidRDefault="00946F53" w:rsidP="00EC21FB">
            <w:pPr>
              <w:jc w:val="right"/>
              <w:rPr>
                <w:color w:val="000000"/>
                <w:sz w:val="18"/>
                <w:szCs w:val="18"/>
              </w:rPr>
            </w:pPr>
            <w:r>
              <w:rPr>
                <w:color w:val="000000"/>
                <w:sz w:val="18"/>
                <w:szCs w:val="18"/>
              </w:rPr>
              <w:t>624</w:t>
            </w:r>
          </w:p>
        </w:tc>
        <w:tc>
          <w:tcPr>
            <w:tcW w:w="630" w:type="dxa"/>
            <w:vAlign w:val="bottom"/>
          </w:tcPr>
          <w:p w14:paraId="6A4EC2B1" w14:textId="3F278E75" w:rsidR="00B03EE2" w:rsidRPr="00C15C33" w:rsidRDefault="00946F53" w:rsidP="00EC21FB">
            <w:pPr>
              <w:jc w:val="right"/>
              <w:rPr>
                <w:color w:val="000000"/>
                <w:sz w:val="18"/>
                <w:szCs w:val="18"/>
              </w:rPr>
            </w:pPr>
            <w:r>
              <w:rPr>
                <w:color w:val="000000"/>
                <w:sz w:val="18"/>
                <w:szCs w:val="18"/>
              </w:rPr>
              <w:t>18.1</w:t>
            </w:r>
          </w:p>
        </w:tc>
        <w:tc>
          <w:tcPr>
            <w:tcW w:w="630" w:type="dxa"/>
            <w:vAlign w:val="bottom"/>
          </w:tcPr>
          <w:p w14:paraId="6A8FE5FA" w14:textId="0D3F3680" w:rsidR="00B03EE2" w:rsidRPr="00C15C33" w:rsidRDefault="00946F53" w:rsidP="00EC21FB">
            <w:pPr>
              <w:jc w:val="right"/>
              <w:rPr>
                <w:color w:val="000000"/>
                <w:sz w:val="18"/>
                <w:szCs w:val="18"/>
              </w:rPr>
            </w:pPr>
            <w:r>
              <w:rPr>
                <w:color w:val="000000"/>
                <w:sz w:val="18"/>
                <w:szCs w:val="18"/>
              </w:rPr>
              <w:t>1.49</w:t>
            </w:r>
          </w:p>
        </w:tc>
        <w:tc>
          <w:tcPr>
            <w:tcW w:w="630" w:type="dxa"/>
          </w:tcPr>
          <w:p w14:paraId="2D769451" w14:textId="0828B15E" w:rsidR="00B03EE2" w:rsidRPr="00C15C33" w:rsidRDefault="00946F53" w:rsidP="00EC21FB">
            <w:pPr>
              <w:jc w:val="right"/>
              <w:rPr>
                <w:color w:val="000000"/>
                <w:sz w:val="18"/>
                <w:szCs w:val="18"/>
              </w:rPr>
            </w:pPr>
            <w:r>
              <w:rPr>
                <w:color w:val="000000"/>
                <w:sz w:val="18"/>
                <w:szCs w:val="18"/>
              </w:rPr>
              <w:t>680</w:t>
            </w:r>
          </w:p>
        </w:tc>
        <w:tc>
          <w:tcPr>
            <w:tcW w:w="1080" w:type="dxa"/>
            <w:vAlign w:val="bottom"/>
          </w:tcPr>
          <w:p w14:paraId="3924C1DD" w14:textId="033A8E57"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522E1E57" w14:textId="7873412C" w:rsidR="00B03EE2" w:rsidRPr="00EC21FB" w:rsidRDefault="00B03EE2" w:rsidP="00EC21FB">
            <w:pPr>
              <w:jc w:val="right"/>
              <w:rPr>
                <w:color w:val="000000"/>
                <w:sz w:val="18"/>
                <w:szCs w:val="18"/>
              </w:rPr>
            </w:pPr>
            <w:r w:rsidRPr="00EC21FB">
              <w:rPr>
                <w:color w:val="000000"/>
                <w:sz w:val="18"/>
                <w:szCs w:val="18"/>
              </w:rPr>
              <w:t>field</w:t>
            </w:r>
          </w:p>
        </w:tc>
        <w:tc>
          <w:tcPr>
            <w:tcW w:w="1080" w:type="dxa"/>
          </w:tcPr>
          <w:p w14:paraId="4E4ECE64" w14:textId="78981D35" w:rsidR="00B03EE2" w:rsidRPr="00EC21FB" w:rsidRDefault="00B03EE2" w:rsidP="00EC21FB">
            <w:pPr>
              <w:jc w:val="right"/>
              <w:rPr>
                <w:color w:val="000000"/>
                <w:sz w:val="18"/>
                <w:szCs w:val="18"/>
              </w:rPr>
            </w:pPr>
            <w:r w:rsidRPr="00EC21FB">
              <w:rPr>
                <w:color w:val="000000"/>
                <w:sz w:val="18"/>
                <w:szCs w:val="18"/>
              </w:rPr>
              <w:t>10</w:t>
            </w:r>
          </w:p>
        </w:tc>
        <w:tc>
          <w:tcPr>
            <w:tcW w:w="1170" w:type="dxa"/>
          </w:tcPr>
          <w:p w14:paraId="4050A38D" w14:textId="7EA5847E" w:rsidR="00B03EE2" w:rsidRPr="00EC21FB" w:rsidRDefault="00B03EE2" w:rsidP="00EC21FB">
            <w:pPr>
              <w:jc w:val="right"/>
              <w:rPr>
                <w:color w:val="000000"/>
                <w:sz w:val="18"/>
                <w:szCs w:val="18"/>
              </w:rPr>
            </w:pPr>
            <w:r w:rsidRPr="00EC21FB">
              <w:rPr>
                <w:color w:val="000000"/>
                <w:sz w:val="18"/>
                <w:szCs w:val="18"/>
              </w:rPr>
              <w:t>5</w:t>
            </w:r>
          </w:p>
        </w:tc>
      </w:tr>
      <w:tr w:rsidR="00884E1E" w:rsidRPr="00877723" w14:paraId="2392CC49" w14:textId="77777777" w:rsidTr="00BD1EBD">
        <w:sdt>
          <w:sdtPr>
            <w:rPr>
              <w:color w:val="000000"/>
              <w:sz w:val="18"/>
              <w:szCs w:val="18"/>
            </w:rPr>
            <w:tag w:val="MENDELEY_CITATION_v3_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"/>
            <w:id w:val="-838084412"/>
            <w:placeholder>
              <w:docPart w:val="58020CAD2133B9459F78FCFEBBEC6612"/>
            </w:placeholder>
          </w:sdtPr>
          <w:sdtContent>
            <w:tc>
              <w:tcPr>
                <w:tcW w:w="2335" w:type="dxa"/>
              </w:tcPr>
              <w:p w14:paraId="25BAE836" w14:textId="6EB4970A" w:rsidR="00884E1E" w:rsidRPr="00EC21FB" w:rsidRDefault="00E807B5" w:rsidP="00884E1E">
                <w:pPr>
                  <w:rPr>
                    <w:sz w:val="18"/>
                    <w:szCs w:val="18"/>
                  </w:rPr>
                </w:pPr>
                <w:r w:rsidRPr="00E807B5">
                  <w:rPr>
                    <w:rFonts w:eastAsia="Times New Roman"/>
                    <w:color w:val="000000"/>
                    <w:sz w:val="18"/>
                  </w:rPr>
                  <w:t>(Ye et al., 2023)</w:t>
                </w:r>
              </w:p>
            </w:tc>
          </w:sdtContent>
        </w:sdt>
        <w:tc>
          <w:tcPr>
            <w:tcW w:w="1260" w:type="dxa"/>
          </w:tcPr>
          <w:p w14:paraId="0E6B2920" w14:textId="326AD100" w:rsidR="00884E1E" w:rsidRPr="00EC21FB" w:rsidRDefault="00884E1E" w:rsidP="00884E1E">
            <w:pPr>
              <w:rPr>
                <w:color w:val="000000"/>
                <w:sz w:val="18"/>
                <w:szCs w:val="18"/>
              </w:rPr>
            </w:pPr>
            <w:proofErr w:type="spellStart"/>
            <w:r w:rsidRPr="00EC21FB">
              <w:rPr>
                <w:color w:val="000000"/>
                <w:sz w:val="18"/>
                <w:szCs w:val="18"/>
              </w:rPr>
              <w:t>jiulianshan</w:t>
            </w:r>
            <w:proofErr w:type="spellEnd"/>
          </w:p>
        </w:tc>
        <w:tc>
          <w:tcPr>
            <w:tcW w:w="810" w:type="dxa"/>
            <w:vAlign w:val="bottom"/>
          </w:tcPr>
          <w:p w14:paraId="40156B5E" w14:textId="46E0BDFF" w:rsidR="00884E1E" w:rsidRPr="00EC21FB" w:rsidRDefault="00884E1E" w:rsidP="00884E1E">
            <w:pPr>
              <w:jc w:val="right"/>
              <w:rPr>
                <w:color w:val="000000"/>
                <w:sz w:val="18"/>
                <w:szCs w:val="18"/>
              </w:rPr>
            </w:pPr>
            <w:r w:rsidRPr="00EC21FB">
              <w:rPr>
                <w:color w:val="000000"/>
                <w:sz w:val="18"/>
                <w:szCs w:val="18"/>
              </w:rPr>
              <w:t>24.49</w:t>
            </w:r>
          </w:p>
        </w:tc>
        <w:tc>
          <w:tcPr>
            <w:tcW w:w="1080" w:type="dxa"/>
            <w:vAlign w:val="bottom"/>
          </w:tcPr>
          <w:p w14:paraId="10C4DE93" w14:textId="36E5C70A" w:rsidR="00884E1E" w:rsidRPr="00EC21FB" w:rsidRDefault="00884E1E" w:rsidP="00884E1E">
            <w:pPr>
              <w:jc w:val="right"/>
              <w:rPr>
                <w:color w:val="000000"/>
                <w:sz w:val="18"/>
                <w:szCs w:val="18"/>
              </w:rPr>
            </w:pPr>
            <w:r w:rsidRPr="00EC21FB">
              <w:rPr>
                <w:color w:val="000000"/>
                <w:sz w:val="18"/>
                <w:szCs w:val="18"/>
              </w:rPr>
              <w:t>114.38</w:t>
            </w:r>
          </w:p>
        </w:tc>
        <w:tc>
          <w:tcPr>
            <w:tcW w:w="990" w:type="dxa"/>
          </w:tcPr>
          <w:p w14:paraId="2A511EDB" w14:textId="22F44FB0" w:rsidR="00884E1E" w:rsidRPr="00C15C33" w:rsidRDefault="00884E1E" w:rsidP="00884E1E">
            <w:pPr>
              <w:jc w:val="right"/>
              <w:rPr>
                <w:color w:val="000000"/>
                <w:sz w:val="18"/>
                <w:szCs w:val="18"/>
              </w:rPr>
            </w:pPr>
            <w:r>
              <w:rPr>
                <w:color w:val="000000"/>
                <w:sz w:val="18"/>
                <w:szCs w:val="18"/>
              </w:rPr>
              <w:t>624</w:t>
            </w:r>
          </w:p>
        </w:tc>
        <w:tc>
          <w:tcPr>
            <w:tcW w:w="630" w:type="dxa"/>
            <w:vAlign w:val="bottom"/>
          </w:tcPr>
          <w:p w14:paraId="6B9B76AE" w14:textId="11A1DB3F" w:rsidR="00884E1E" w:rsidRPr="00C15C33" w:rsidRDefault="00884E1E" w:rsidP="00884E1E">
            <w:pPr>
              <w:jc w:val="right"/>
              <w:rPr>
                <w:color w:val="000000"/>
                <w:sz w:val="18"/>
                <w:szCs w:val="18"/>
              </w:rPr>
            </w:pPr>
            <w:r>
              <w:rPr>
                <w:color w:val="000000"/>
                <w:sz w:val="18"/>
                <w:szCs w:val="18"/>
              </w:rPr>
              <w:t>18.1</w:t>
            </w:r>
          </w:p>
        </w:tc>
        <w:tc>
          <w:tcPr>
            <w:tcW w:w="630" w:type="dxa"/>
            <w:vAlign w:val="bottom"/>
          </w:tcPr>
          <w:p w14:paraId="4624E3C7" w14:textId="0964BE3B" w:rsidR="00884E1E" w:rsidRPr="00C15C33" w:rsidRDefault="00884E1E" w:rsidP="00884E1E">
            <w:pPr>
              <w:jc w:val="right"/>
              <w:rPr>
                <w:color w:val="000000"/>
                <w:sz w:val="18"/>
                <w:szCs w:val="18"/>
              </w:rPr>
            </w:pPr>
            <w:r>
              <w:rPr>
                <w:color w:val="000000"/>
                <w:sz w:val="18"/>
                <w:szCs w:val="18"/>
              </w:rPr>
              <w:t>1.49</w:t>
            </w:r>
          </w:p>
        </w:tc>
        <w:tc>
          <w:tcPr>
            <w:tcW w:w="630" w:type="dxa"/>
          </w:tcPr>
          <w:p w14:paraId="104318CC" w14:textId="78E295B4" w:rsidR="00884E1E" w:rsidRPr="00C15C33" w:rsidRDefault="00884E1E" w:rsidP="00884E1E">
            <w:pPr>
              <w:jc w:val="right"/>
              <w:rPr>
                <w:color w:val="000000"/>
                <w:sz w:val="18"/>
                <w:szCs w:val="18"/>
              </w:rPr>
            </w:pPr>
            <w:r>
              <w:rPr>
                <w:color w:val="000000"/>
                <w:sz w:val="18"/>
                <w:szCs w:val="18"/>
              </w:rPr>
              <w:t>680</w:t>
            </w:r>
          </w:p>
        </w:tc>
        <w:tc>
          <w:tcPr>
            <w:tcW w:w="1080" w:type="dxa"/>
            <w:vAlign w:val="bottom"/>
          </w:tcPr>
          <w:p w14:paraId="791AF2DE" w14:textId="2ED8DAEC" w:rsidR="00884E1E" w:rsidRPr="00EC21FB" w:rsidRDefault="00884E1E" w:rsidP="00884E1E">
            <w:pPr>
              <w:jc w:val="right"/>
              <w:rPr>
                <w:color w:val="000000"/>
                <w:sz w:val="18"/>
                <w:szCs w:val="18"/>
              </w:rPr>
            </w:pPr>
            <w:r w:rsidRPr="00EC21FB">
              <w:rPr>
                <w:color w:val="000000"/>
                <w:sz w:val="18"/>
                <w:szCs w:val="18"/>
              </w:rPr>
              <w:t>forest</w:t>
            </w:r>
          </w:p>
        </w:tc>
        <w:tc>
          <w:tcPr>
            <w:tcW w:w="1170" w:type="dxa"/>
            <w:vAlign w:val="bottom"/>
          </w:tcPr>
          <w:p w14:paraId="19E427A9" w14:textId="50536108" w:rsidR="00884E1E" w:rsidRPr="00EC21FB" w:rsidRDefault="00884E1E" w:rsidP="00884E1E">
            <w:pPr>
              <w:jc w:val="right"/>
              <w:rPr>
                <w:color w:val="000000"/>
                <w:sz w:val="18"/>
                <w:szCs w:val="18"/>
              </w:rPr>
            </w:pPr>
            <w:r w:rsidRPr="00EC21FB">
              <w:rPr>
                <w:color w:val="000000"/>
                <w:sz w:val="18"/>
                <w:szCs w:val="18"/>
              </w:rPr>
              <w:t>field</w:t>
            </w:r>
          </w:p>
        </w:tc>
        <w:tc>
          <w:tcPr>
            <w:tcW w:w="1080" w:type="dxa"/>
          </w:tcPr>
          <w:p w14:paraId="60D23F5B" w14:textId="29BE4CD2" w:rsidR="00884E1E" w:rsidRPr="00EC21FB" w:rsidRDefault="00884E1E" w:rsidP="00884E1E">
            <w:pPr>
              <w:jc w:val="right"/>
              <w:rPr>
                <w:color w:val="000000"/>
                <w:sz w:val="18"/>
                <w:szCs w:val="18"/>
              </w:rPr>
            </w:pPr>
            <w:r w:rsidRPr="00EC21FB">
              <w:rPr>
                <w:color w:val="000000"/>
                <w:sz w:val="18"/>
                <w:szCs w:val="18"/>
              </w:rPr>
              <w:t>10</w:t>
            </w:r>
          </w:p>
        </w:tc>
        <w:tc>
          <w:tcPr>
            <w:tcW w:w="1170" w:type="dxa"/>
          </w:tcPr>
          <w:p w14:paraId="7CD57267" w14:textId="0495D0C3" w:rsidR="00884E1E" w:rsidRPr="00EC21FB" w:rsidRDefault="00884E1E" w:rsidP="00884E1E">
            <w:pPr>
              <w:jc w:val="right"/>
              <w:rPr>
                <w:color w:val="000000"/>
                <w:sz w:val="18"/>
                <w:szCs w:val="18"/>
              </w:rPr>
            </w:pPr>
            <w:r w:rsidRPr="00EC21FB">
              <w:rPr>
                <w:color w:val="000000"/>
                <w:sz w:val="18"/>
                <w:szCs w:val="18"/>
              </w:rPr>
              <w:t>5</w:t>
            </w:r>
          </w:p>
        </w:tc>
      </w:tr>
      <w:tr w:rsidR="00B03EE2" w:rsidRPr="00D81D83" w14:paraId="7DE74A3E" w14:textId="77777777" w:rsidTr="005E42F0">
        <w:sdt>
          <w:sdtPr>
            <w:rPr>
              <w:color w:val="000000"/>
              <w:sz w:val="18"/>
              <w:szCs w:val="18"/>
            </w:rPr>
            <w:tag w:val="MENDELEY_CITATION_v3_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"/>
            <w:id w:val="-51229920"/>
            <w:placeholder>
              <w:docPart w:val="85B648E2A855B246B407A45B0311309C"/>
            </w:placeholder>
          </w:sdtPr>
          <w:sdtContent>
            <w:tc>
              <w:tcPr>
                <w:tcW w:w="2335" w:type="dxa"/>
              </w:tcPr>
              <w:p w14:paraId="51B3D187" w14:textId="3BA9CF92" w:rsidR="00B03EE2" w:rsidRPr="00EC21FB" w:rsidRDefault="00E807B5" w:rsidP="00EC21FB">
                <w:pPr>
                  <w:rPr>
                    <w:sz w:val="18"/>
                    <w:szCs w:val="18"/>
                  </w:rPr>
                </w:pPr>
                <w:r w:rsidRPr="00E807B5">
                  <w:rPr>
                    <w:rFonts w:eastAsia="Times New Roman"/>
                    <w:color w:val="000000"/>
                    <w:sz w:val="18"/>
                  </w:rPr>
                  <w:t>(Z. Y. Yu et al., 2009)</w:t>
                </w:r>
              </w:p>
            </w:tc>
          </w:sdtContent>
        </w:sdt>
        <w:tc>
          <w:tcPr>
            <w:tcW w:w="1260" w:type="dxa"/>
          </w:tcPr>
          <w:p w14:paraId="7A7A0D0B" w14:textId="23BD1164" w:rsidR="00B03EE2" w:rsidRPr="00EC21FB" w:rsidRDefault="00B03EE2" w:rsidP="00EC21FB">
            <w:pPr>
              <w:rPr>
                <w:color w:val="000000"/>
                <w:sz w:val="18"/>
                <w:szCs w:val="18"/>
              </w:rPr>
            </w:pPr>
            <w:proofErr w:type="spellStart"/>
            <w:r w:rsidRPr="00EC21FB">
              <w:rPr>
                <w:color w:val="000000"/>
                <w:sz w:val="18"/>
                <w:szCs w:val="18"/>
              </w:rPr>
              <w:t>daqinguo</w:t>
            </w:r>
            <w:proofErr w:type="spellEnd"/>
          </w:p>
        </w:tc>
        <w:tc>
          <w:tcPr>
            <w:tcW w:w="810" w:type="dxa"/>
            <w:vAlign w:val="bottom"/>
          </w:tcPr>
          <w:p w14:paraId="37535981" w14:textId="2751014C" w:rsidR="00B03EE2" w:rsidRPr="00EC21FB" w:rsidRDefault="00B03EE2" w:rsidP="00EC21FB">
            <w:pPr>
              <w:jc w:val="right"/>
              <w:rPr>
                <w:color w:val="000000"/>
                <w:sz w:val="18"/>
                <w:szCs w:val="18"/>
              </w:rPr>
            </w:pPr>
            <w:r w:rsidRPr="00EC21FB">
              <w:rPr>
                <w:color w:val="000000"/>
                <w:sz w:val="18"/>
                <w:szCs w:val="18"/>
              </w:rPr>
              <w:t>42.97</w:t>
            </w:r>
          </w:p>
        </w:tc>
        <w:tc>
          <w:tcPr>
            <w:tcW w:w="1080" w:type="dxa"/>
            <w:vAlign w:val="bottom"/>
          </w:tcPr>
          <w:p w14:paraId="139D831B" w14:textId="69AB7D86" w:rsidR="00B03EE2" w:rsidRPr="00EC21FB" w:rsidRDefault="00B03EE2" w:rsidP="00EC21FB">
            <w:pPr>
              <w:jc w:val="right"/>
              <w:rPr>
                <w:color w:val="000000"/>
                <w:sz w:val="18"/>
                <w:szCs w:val="18"/>
              </w:rPr>
            </w:pPr>
            <w:r w:rsidRPr="00EC21FB">
              <w:rPr>
                <w:color w:val="000000"/>
                <w:sz w:val="18"/>
                <w:szCs w:val="18"/>
              </w:rPr>
              <w:t>122.35</w:t>
            </w:r>
          </w:p>
        </w:tc>
        <w:tc>
          <w:tcPr>
            <w:tcW w:w="990" w:type="dxa"/>
          </w:tcPr>
          <w:p w14:paraId="3DD54B4B" w14:textId="0D06A29E" w:rsidR="00B03EE2" w:rsidRPr="00C15C33" w:rsidRDefault="005E42F0" w:rsidP="00EC21FB">
            <w:pPr>
              <w:jc w:val="right"/>
              <w:rPr>
                <w:color w:val="000000"/>
                <w:sz w:val="18"/>
                <w:szCs w:val="18"/>
              </w:rPr>
            </w:pPr>
            <w:r>
              <w:rPr>
                <w:color w:val="000000"/>
                <w:sz w:val="18"/>
                <w:szCs w:val="18"/>
              </w:rPr>
              <w:t>249</w:t>
            </w:r>
          </w:p>
        </w:tc>
        <w:tc>
          <w:tcPr>
            <w:tcW w:w="630" w:type="dxa"/>
            <w:vAlign w:val="bottom"/>
          </w:tcPr>
          <w:p w14:paraId="1CBB6319" w14:textId="778DD5DD" w:rsidR="00B03EE2" w:rsidRPr="00C15C33" w:rsidRDefault="005E42F0" w:rsidP="00EC21FB">
            <w:pPr>
              <w:jc w:val="right"/>
              <w:rPr>
                <w:color w:val="000000"/>
                <w:sz w:val="18"/>
                <w:szCs w:val="18"/>
              </w:rPr>
            </w:pPr>
            <w:r>
              <w:rPr>
                <w:color w:val="000000"/>
                <w:sz w:val="18"/>
                <w:szCs w:val="18"/>
              </w:rPr>
              <w:t>16.8</w:t>
            </w:r>
          </w:p>
        </w:tc>
        <w:tc>
          <w:tcPr>
            <w:tcW w:w="630" w:type="dxa"/>
            <w:vAlign w:val="bottom"/>
          </w:tcPr>
          <w:p w14:paraId="5BD58A13" w14:textId="1F83B12C" w:rsidR="00B03EE2" w:rsidRPr="00C15C33" w:rsidRDefault="005E42F0" w:rsidP="00EC21FB">
            <w:pPr>
              <w:jc w:val="right"/>
              <w:rPr>
                <w:color w:val="000000"/>
                <w:sz w:val="18"/>
                <w:szCs w:val="18"/>
              </w:rPr>
            </w:pPr>
            <w:r>
              <w:rPr>
                <w:color w:val="000000"/>
                <w:sz w:val="18"/>
                <w:szCs w:val="18"/>
              </w:rPr>
              <w:t>0.41</w:t>
            </w:r>
          </w:p>
        </w:tc>
        <w:tc>
          <w:tcPr>
            <w:tcW w:w="630" w:type="dxa"/>
          </w:tcPr>
          <w:p w14:paraId="2A1EEC7F" w14:textId="4E2604B0" w:rsidR="00B03EE2" w:rsidRPr="00C15C33" w:rsidRDefault="005E42F0" w:rsidP="00EC21FB">
            <w:pPr>
              <w:jc w:val="right"/>
              <w:rPr>
                <w:color w:val="000000"/>
                <w:sz w:val="18"/>
                <w:szCs w:val="18"/>
              </w:rPr>
            </w:pPr>
            <w:r>
              <w:rPr>
                <w:color w:val="000000"/>
                <w:sz w:val="18"/>
                <w:szCs w:val="18"/>
              </w:rPr>
              <w:t>912</w:t>
            </w:r>
          </w:p>
        </w:tc>
        <w:tc>
          <w:tcPr>
            <w:tcW w:w="1080" w:type="dxa"/>
            <w:vAlign w:val="bottom"/>
          </w:tcPr>
          <w:p w14:paraId="7F6385B2" w14:textId="02766C5C" w:rsidR="00B03EE2" w:rsidRPr="00EC21FB" w:rsidRDefault="00B03EE2" w:rsidP="00EC21FB">
            <w:pPr>
              <w:jc w:val="right"/>
              <w:rPr>
                <w:color w:val="000000"/>
                <w:sz w:val="18"/>
                <w:szCs w:val="18"/>
              </w:rPr>
            </w:pPr>
            <w:r w:rsidRPr="00EC21FB">
              <w:rPr>
                <w:color w:val="000000"/>
                <w:sz w:val="18"/>
                <w:szCs w:val="18"/>
              </w:rPr>
              <w:t>grassland</w:t>
            </w:r>
          </w:p>
        </w:tc>
        <w:tc>
          <w:tcPr>
            <w:tcW w:w="1170" w:type="dxa"/>
            <w:vAlign w:val="bottom"/>
          </w:tcPr>
          <w:p w14:paraId="280CFB65" w14:textId="1427BCA6" w:rsidR="00B03EE2" w:rsidRPr="00EC21FB" w:rsidRDefault="00B03EE2" w:rsidP="00EC21FB">
            <w:pPr>
              <w:jc w:val="right"/>
              <w:rPr>
                <w:color w:val="000000"/>
                <w:sz w:val="18"/>
                <w:szCs w:val="18"/>
              </w:rPr>
            </w:pPr>
            <w:r w:rsidRPr="00EC21FB">
              <w:rPr>
                <w:color w:val="000000"/>
                <w:sz w:val="18"/>
                <w:szCs w:val="18"/>
              </w:rPr>
              <w:t>field</w:t>
            </w:r>
          </w:p>
        </w:tc>
        <w:tc>
          <w:tcPr>
            <w:tcW w:w="1080" w:type="dxa"/>
            <w:vAlign w:val="bottom"/>
          </w:tcPr>
          <w:p w14:paraId="15152397" w14:textId="537CDAC3" w:rsidR="00B03EE2" w:rsidRPr="00EC21FB" w:rsidRDefault="00B03EE2" w:rsidP="00EC21FB">
            <w:pPr>
              <w:jc w:val="right"/>
              <w:rPr>
                <w:color w:val="000000"/>
                <w:sz w:val="18"/>
                <w:szCs w:val="18"/>
              </w:rPr>
            </w:pPr>
            <w:r w:rsidRPr="00EC21FB">
              <w:rPr>
                <w:color w:val="000000"/>
                <w:sz w:val="18"/>
                <w:szCs w:val="18"/>
              </w:rPr>
              <w:t>20</w:t>
            </w:r>
          </w:p>
        </w:tc>
        <w:tc>
          <w:tcPr>
            <w:tcW w:w="1170" w:type="dxa"/>
          </w:tcPr>
          <w:p w14:paraId="67031FC9" w14:textId="77E14CFE" w:rsidR="00B03EE2" w:rsidRPr="00EC21FB" w:rsidRDefault="00B03EE2" w:rsidP="00EC21FB">
            <w:pPr>
              <w:jc w:val="right"/>
              <w:rPr>
                <w:color w:val="000000"/>
                <w:sz w:val="18"/>
                <w:szCs w:val="18"/>
              </w:rPr>
            </w:pPr>
            <w:r w:rsidRPr="00EC21FB">
              <w:rPr>
                <w:color w:val="000000"/>
                <w:sz w:val="18"/>
                <w:szCs w:val="18"/>
              </w:rPr>
              <w:t>10</w:t>
            </w:r>
          </w:p>
        </w:tc>
      </w:tr>
      <w:tr w:rsidR="00884E1E" w:rsidRPr="00D81D83" w14:paraId="31AAFE71" w14:textId="77777777" w:rsidTr="007D1E70">
        <w:sdt>
          <w:sdtPr>
            <w:rPr>
              <w:color w:val="000000"/>
              <w:sz w:val="18"/>
              <w:szCs w:val="18"/>
            </w:rPr>
            <w:tag w:val="MENDELEY_CITATION_v3_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"/>
            <w:id w:val="-1448069055"/>
            <w:placeholder>
              <w:docPart w:val="D6A63BC6A09F5A46A6827499CEDC13D6"/>
            </w:placeholder>
          </w:sdtPr>
          <w:sdtContent>
            <w:tc>
              <w:tcPr>
                <w:tcW w:w="2335" w:type="dxa"/>
              </w:tcPr>
              <w:p w14:paraId="2D181FC4" w14:textId="5CF9048A" w:rsidR="00884E1E" w:rsidRPr="00EC21FB" w:rsidRDefault="00E807B5" w:rsidP="00884E1E">
                <w:pPr>
                  <w:rPr>
                    <w:color w:val="000000"/>
                    <w:sz w:val="18"/>
                    <w:szCs w:val="18"/>
                  </w:rPr>
                </w:pPr>
                <w:r w:rsidRPr="00E807B5">
                  <w:rPr>
                    <w:rFonts w:eastAsia="Times New Roman"/>
                    <w:color w:val="000000"/>
                    <w:sz w:val="18"/>
                  </w:rPr>
                  <w:t>(L. Yu et al., 2015)</w:t>
                </w:r>
              </w:p>
            </w:tc>
          </w:sdtContent>
        </w:sdt>
        <w:tc>
          <w:tcPr>
            <w:tcW w:w="1260" w:type="dxa"/>
            <w:vAlign w:val="bottom"/>
          </w:tcPr>
          <w:p w14:paraId="1187639E" w14:textId="5B878237" w:rsidR="00884E1E" w:rsidRPr="00884E1E" w:rsidRDefault="00884E1E" w:rsidP="00884E1E">
            <w:pPr>
              <w:rPr>
                <w:color w:val="000000"/>
                <w:sz w:val="18"/>
                <w:szCs w:val="18"/>
              </w:rPr>
            </w:pPr>
            <w:proofErr w:type="spellStart"/>
            <w:r w:rsidRPr="00884E1E">
              <w:rPr>
                <w:color w:val="000000"/>
                <w:sz w:val="18"/>
                <w:szCs w:val="18"/>
              </w:rPr>
              <w:t>ewenke</w:t>
            </w:r>
            <w:proofErr w:type="spellEnd"/>
          </w:p>
        </w:tc>
        <w:tc>
          <w:tcPr>
            <w:tcW w:w="810" w:type="dxa"/>
            <w:vAlign w:val="bottom"/>
          </w:tcPr>
          <w:p w14:paraId="12056DD5" w14:textId="789B5BA2" w:rsidR="00884E1E" w:rsidRPr="00884E1E" w:rsidRDefault="00884E1E" w:rsidP="00884E1E">
            <w:pPr>
              <w:jc w:val="right"/>
              <w:rPr>
                <w:color w:val="000000"/>
                <w:sz w:val="18"/>
                <w:szCs w:val="18"/>
              </w:rPr>
            </w:pPr>
            <w:r w:rsidRPr="00884E1E">
              <w:rPr>
                <w:color w:val="000000"/>
                <w:sz w:val="18"/>
                <w:szCs w:val="18"/>
              </w:rPr>
              <w:t>48.5</w:t>
            </w:r>
          </w:p>
        </w:tc>
        <w:tc>
          <w:tcPr>
            <w:tcW w:w="1080" w:type="dxa"/>
            <w:vAlign w:val="bottom"/>
          </w:tcPr>
          <w:p w14:paraId="75533827" w14:textId="7B174604" w:rsidR="00884E1E" w:rsidRPr="00884E1E" w:rsidRDefault="00884E1E" w:rsidP="00884E1E">
            <w:pPr>
              <w:jc w:val="right"/>
              <w:rPr>
                <w:color w:val="000000"/>
                <w:sz w:val="18"/>
                <w:szCs w:val="18"/>
              </w:rPr>
            </w:pPr>
            <w:r w:rsidRPr="00884E1E">
              <w:rPr>
                <w:color w:val="000000"/>
                <w:sz w:val="18"/>
                <w:szCs w:val="18"/>
              </w:rPr>
              <w:t>119.7</w:t>
            </w:r>
          </w:p>
        </w:tc>
        <w:tc>
          <w:tcPr>
            <w:tcW w:w="990" w:type="dxa"/>
          </w:tcPr>
          <w:p w14:paraId="7D5C9AD4" w14:textId="030D4FD9" w:rsidR="00884E1E" w:rsidRPr="00C15C33" w:rsidRDefault="00884E1E" w:rsidP="00884E1E">
            <w:pPr>
              <w:jc w:val="right"/>
              <w:rPr>
                <w:color w:val="000000"/>
                <w:sz w:val="18"/>
                <w:szCs w:val="18"/>
              </w:rPr>
            </w:pPr>
            <w:r>
              <w:rPr>
                <w:color w:val="000000"/>
                <w:sz w:val="18"/>
                <w:szCs w:val="18"/>
              </w:rPr>
              <w:t>709</w:t>
            </w:r>
          </w:p>
        </w:tc>
        <w:tc>
          <w:tcPr>
            <w:tcW w:w="630" w:type="dxa"/>
            <w:vAlign w:val="bottom"/>
          </w:tcPr>
          <w:p w14:paraId="149E1DB7" w14:textId="10C66DB2" w:rsidR="00884E1E" w:rsidRPr="00C15C33" w:rsidRDefault="00884E1E" w:rsidP="00884E1E">
            <w:pPr>
              <w:jc w:val="right"/>
              <w:rPr>
                <w:color w:val="000000"/>
                <w:sz w:val="18"/>
                <w:szCs w:val="18"/>
              </w:rPr>
            </w:pPr>
            <w:r>
              <w:rPr>
                <w:color w:val="000000"/>
                <w:sz w:val="18"/>
                <w:szCs w:val="18"/>
              </w:rPr>
              <w:t>11.0</w:t>
            </w:r>
          </w:p>
        </w:tc>
        <w:tc>
          <w:tcPr>
            <w:tcW w:w="630" w:type="dxa"/>
            <w:vAlign w:val="bottom"/>
          </w:tcPr>
          <w:p w14:paraId="10E6BE64" w14:textId="1CA6B6EE" w:rsidR="00884E1E" w:rsidRPr="00C15C33" w:rsidRDefault="00884E1E" w:rsidP="00884E1E">
            <w:pPr>
              <w:jc w:val="right"/>
              <w:rPr>
                <w:color w:val="000000"/>
                <w:sz w:val="18"/>
                <w:szCs w:val="18"/>
              </w:rPr>
            </w:pPr>
            <w:r>
              <w:rPr>
                <w:color w:val="000000"/>
                <w:sz w:val="18"/>
                <w:szCs w:val="18"/>
              </w:rPr>
              <w:t>0.34</w:t>
            </w:r>
          </w:p>
        </w:tc>
        <w:tc>
          <w:tcPr>
            <w:tcW w:w="630" w:type="dxa"/>
          </w:tcPr>
          <w:p w14:paraId="7F22ABAF" w14:textId="3CA37F84" w:rsidR="00884E1E" w:rsidRPr="00C15C33" w:rsidRDefault="00884E1E" w:rsidP="00884E1E">
            <w:pPr>
              <w:jc w:val="right"/>
              <w:rPr>
                <w:color w:val="000000"/>
                <w:sz w:val="18"/>
                <w:szCs w:val="18"/>
              </w:rPr>
            </w:pPr>
            <w:r>
              <w:rPr>
                <w:color w:val="000000"/>
                <w:sz w:val="18"/>
                <w:szCs w:val="18"/>
              </w:rPr>
              <w:t>877</w:t>
            </w:r>
          </w:p>
        </w:tc>
        <w:tc>
          <w:tcPr>
            <w:tcW w:w="1080" w:type="dxa"/>
          </w:tcPr>
          <w:p w14:paraId="702162F7" w14:textId="7199482B" w:rsidR="00884E1E" w:rsidRPr="00EC21FB" w:rsidRDefault="00527288" w:rsidP="00884E1E">
            <w:pPr>
              <w:jc w:val="right"/>
              <w:rPr>
                <w:color w:val="000000"/>
                <w:sz w:val="18"/>
                <w:szCs w:val="18"/>
              </w:rPr>
            </w:pPr>
            <w:r>
              <w:rPr>
                <w:color w:val="000000"/>
                <w:sz w:val="18"/>
                <w:szCs w:val="18"/>
              </w:rPr>
              <w:t>g</w:t>
            </w:r>
            <w:r w:rsidR="00884E1E">
              <w:rPr>
                <w:color w:val="000000"/>
                <w:sz w:val="18"/>
                <w:szCs w:val="18"/>
              </w:rPr>
              <w:t>rassland</w:t>
            </w:r>
          </w:p>
        </w:tc>
        <w:tc>
          <w:tcPr>
            <w:tcW w:w="1170" w:type="dxa"/>
          </w:tcPr>
          <w:p w14:paraId="4BDE8A73" w14:textId="682D9DB1" w:rsidR="00884E1E" w:rsidRPr="00EC21FB" w:rsidRDefault="00527288" w:rsidP="00884E1E">
            <w:pPr>
              <w:jc w:val="right"/>
              <w:rPr>
                <w:color w:val="000000"/>
                <w:sz w:val="18"/>
                <w:szCs w:val="18"/>
              </w:rPr>
            </w:pPr>
            <w:r>
              <w:rPr>
                <w:color w:val="000000"/>
                <w:sz w:val="18"/>
                <w:szCs w:val="18"/>
              </w:rPr>
              <w:t>f</w:t>
            </w:r>
            <w:r w:rsidR="00884E1E">
              <w:rPr>
                <w:color w:val="000000"/>
                <w:sz w:val="18"/>
                <w:szCs w:val="18"/>
              </w:rPr>
              <w:t>ield</w:t>
            </w:r>
          </w:p>
        </w:tc>
        <w:tc>
          <w:tcPr>
            <w:tcW w:w="1080" w:type="dxa"/>
          </w:tcPr>
          <w:p w14:paraId="33724D32" w14:textId="0925BEE1" w:rsidR="00884E1E" w:rsidRPr="00EC21FB" w:rsidRDefault="00A35D5A" w:rsidP="00884E1E">
            <w:pPr>
              <w:jc w:val="right"/>
              <w:rPr>
                <w:color w:val="000000"/>
                <w:sz w:val="18"/>
                <w:szCs w:val="18"/>
              </w:rPr>
            </w:pPr>
            <w:r>
              <w:rPr>
                <w:color w:val="000000"/>
                <w:sz w:val="18"/>
                <w:szCs w:val="18"/>
              </w:rPr>
              <w:t>10</w:t>
            </w:r>
          </w:p>
        </w:tc>
        <w:tc>
          <w:tcPr>
            <w:tcW w:w="1170" w:type="dxa"/>
          </w:tcPr>
          <w:p w14:paraId="430854D3" w14:textId="08188406" w:rsidR="00884E1E" w:rsidRPr="00EC21FB" w:rsidRDefault="00A35D5A" w:rsidP="00884E1E">
            <w:pPr>
              <w:jc w:val="right"/>
              <w:rPr>
                <w:color w:val="000000"/>
                <w:sz w:val="18"/>
                <w:szCs w:val="18"/>
              </w:rPr>
            </w:pPr>
            <w:r>
              <w:rPr>
                <w:color w:val="000000"/>
                <w:sz w:val="18"/>
                <w:szCs w:val="18"/>
              </w:rPr>
              <w:t>5</w:t>
            </w:r>
          </w:p>
        </w:tc>
      </w:tr>
      <w:tr w:rsidR="00B03EE2" w:rsidRPr="00D81D83" w14:paraId="1AA42BAC" w14:textId="77777777" w:rsidTr="005E42F0">
        <w:sdt>
          <w:sdtPr>
            <w:rPr>
              <w:color w:val="000000"/>
              <w:sz w:val="18"/>
              <w:szCs w:val="18"/>
            </w:rPr>
            <w:tag w:val="MENDELEY_CITATION_v3_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"/>
            <w:id w:val="1789237134"/>
            <w:placeholder>
              <w:docPart w:val="C1A10CC4739EDB4EBFC449C92C61689E"/>
            </w:placeholder>
          </w:sdtPr>
          <w:sdtContent>
            <w:tc>
              <w:tcPr>
                <w:tcW w:w="2335" w:type="dxa"/>
                <w:vMerge w:val="restart"/>
                <w:vAlign w:val="center"/>
              </w:tcPr>
              <w:p w14:paraId="07EFFC16" w14:textId="7B4F99B3" w:rsidR="00B03EE2" w:rsidRPr="00EC21FB" w:rsidRDefault="00E807B5" w:rsidP="00EC21FB">
                <w:pPr>
                  <w:rPr>
                    <w:color w:val="000000"/>
                    <w:sz w:val="18"/>
                    <w:szCs w:val="18"/>
                  </w:rPr>
                </w:pPr>
                <w:r w:rsidRPr="00E807B5">
                  <w:rPr>
                    <w:rFonts w:eastAsia="Times New Roman"/>
                    <w:color w:val="000000"/>
                    <w:sz w:val="18"/>
                  </w:rPr>
                  <w:t>(Q. Yu et al., 2022)</w:t>
                </w:r>
              </w:p>
            </w:tc>
          </w:sdtContent>
        </w:sdt>
        <w:tc>
          <w:tcPr>
            <w:tcW w:w="1260" w:type="dxa"/>
          </w:tcPr>
          <w:p w14:paraId="1CA692F7" w14:textId="00BBF657" w:rsidR="00B03EE2" w:rsidRPr="00EC21FB" w:rsidRDefault="00B03EE2" w:rsidP="00EC21FB">
            <w:pPr>
              <w:rPr>
                <w:color w:val="000000"/>
                <w:sz w:val="18"/>
                <w:szCs w:val="18"/>
              </w:rPr>
            </w:pPr>
            <w:r w:rsidRPr="00EC21FB">
              <w:rPr>
                <w:color w:val="000000"/>
                <w:sz w:val="18"/>
                <w:szCs w:val="18"/>
              </w:rPr>
              <w:t>primary</w:t>
            </w:r>
          </w:p>
        </w:tc>
        <w:tc>
          <w:tcPr>
            <w:tcW w:w="810" w:type="dxa"/>
            <w:vAlign w:val="bottom"/>
          </w:tcPr>
          <w:p w14:paraId="3D60BF55" w14:textId="45E624BF" w:rsidR="00B03EE2" w:rsidRPr="00EC21FB" w:rsidRDefault="00B03EE2" w:rsidP="00EC21FB">
            <w:pPr>
              <w:jc w:val="right"/>
              <w:rPr>
                <w:color w:val="000000"/>
                <w:sz w:val="18"/>
                <w:szCs w:val="18"/>
              </w:rPr>
            </w:pPr>
            <w:r w:rsidRPr="00EC21FB">
              <w:rPr>
                <w:color w:val="000000"/>
                <w:sz w:val="18"/>
                <w:szCs w:val="18"/>
              </w:rPr>
              <w:t>18.73</w:t>
            </w:r>
          </w:p>
        </w:tc>
        <w:tc>
          <w:tcPr>
            <w:tcW w:w="1080" w:type="dxa"/>
            <w:vAlign w:val="bottom"/>
          </w:tcPr>
          <w:p w14:paraId="43990329" w14:textId="291C959F" w:rsidR="00B03EE2" w:rsidRPr="00EC21FB" w:rsidRDefault="00B03EE2" w:rsidP="00EC21FB">
            <w:pPr>
              <w:jc w:val="right"/>
              <w:rPr>
                <w:color w:val="000000"/>
                <w:sz w:val="18"/>
                <w:szCs w:val="18"/>
              </w:rPr>
            </w:pPr>
            <w:r w:rsidRPr="00EC21FB">
              <w:rPr>
                <w:color w:val="000000"/>
                <w:sz w:val="18"/>
                <w:szCs w:val="18"/>
              </w:rPr>
              <w:t>108.90</w:t>
            </w:r>
          </w:p>
        </w:tc>
        <w:tc>
          <w:tcPr>
            <w:tcW w:w="990" w:type="dxa"/>
          </w:tcPr>
          <w:p w14:paraId="5048992A" w14:textId="53BC6759" w:rsidR="00B03EE2" w:rsidRPr="00C15C33" w:rsidRDefault="00946F53" w:rsidP="00EC21FB">
            <w:pPr>
              <w:jc w:val="right"/>
              <w:rPr>
                <w:color w:val="000000"/>
                <w:sz w:val="18"/>
                <w:szCs w:val="18"/>
              </w:rPr>
            </w:pPr>
            <w:r>
              <w:rPr>
                <w:color w:val="000000"/>
                <w:sz w:val="18"/>
                <w:szCs w:val="18"/>
              </w:rPr>
              <w:t>901</w:t>
            </w:r>
          </w:p>
        </w:tc>
        <w:tc>
          <w:tcPr>
            <w:tcW w:w="630" w:type="dxa"/>
            <w:vAlign w:val="bottom"/>
          </w:tcPr>
          <w:p w14:paraId="601B0938" w14:textId="4B4EED7D" w:rsidR="00B03EE2" w:rsidRPr="00C15C33" w:rsidRDefault="00946F53" w:rsidP="00EC21FB">
            <w:pPr>
              <w:jc w:val="right"/>
              <w:rPr>
                <w:color w:val="000000"/>
                <w:sz w:val="18"/>
                <w:szCs w:val="18"/>
              </w:rPr>
            </w:pPr>
            <w:r>
              <w:rPr>
                <w:color w:val="000000"/>
                <w:sz w:val="18"/>
                <w:szCs w:val="18"/>
              </w:rPr>
              <w:t>20.6</w:t>
            </w:r>
          </w:p>
        </w:tc>
        <w:tc>
          <w:tcPr>
            <w:tcW w:w="630" w:type="dxa"/>
            <w:vAlign w:val="bottom"/>
          </w:tcPr>
          <w:p w14:paraId="083D9492" w14:textId="54A4E200" w:rsidR="00B03EE2" w:rsidRPr="00C15C33" w:rsidRDefault="00946F53" w:rsidP="00EC21FB">
            <w:pPr>
              <w:jc w:val="right"/>
              <w:rPr>
                <w:color w:val="000000"/>
                <w:sz w:val="18"/>
                <w:szCs w:val="18"/>
              </w:rPr>
            </w:pPr>
            <w:r>
              <w:rPr>
                <w:color w:val="000000"/>
                <w:sz w:val="18"/>
                <w:szCs w:val="18"/>
              </w:rPr>
              <w:t>1.02</w:t>
            </w:r>
          </w:p>
        </w:tc>
        <w:tc>
          <w:tcPr>
            <w:tcW w:w="630" w:type="dxa"/>
          </w:tcPr>
          <w:p w14:paraId="3D7955BE" w14:textId="2AE7737A" w:rsidR="00B03EE2" w:rsidRPr="00C15C33" w:rsidRDefault="00946F53" w:rsidP="00EC21FB">
            <w:pPr>
              <w:jc w:val="right"/>
              <w:rPr>
                <w:color w:val="000000"/>
                <w:sz w:val="18"/>
                <w:szCs w:val="18"/>
              </w:rPr>
            </w:pPr>
            <w:r>
              <w:rPr>
                <w:color w:val="000000"/>
                <w:sz w:val="18"/>
                <w:szCs w:val="18"/>
              </w:rPr>
              <w:t>832</w:t>
            </w:r>
          </w:p>
        </w:tc>
        <w:tc>
          <w:tcPr>
            <w:tcW w:w="1080" w:type="dxa"/>
            <w:vAlign w:val="bottom"/>
          </w:tcPr>
          <w:p w14:paraId="72DB3668" w14:textId="1953AA88"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5EC3328F" w14:textId="39C1D96E" w:rsidR="00B03EE2" w:rsidRPr="00EC21FB" w:rsidRDefault="00B03EE2" w:rsidP="00EC21FB">
            <w:pPr>
              <w:jc w:val="right"/>
              <w:rPr>
                <w:color w:val="000000"/>
                <w:sz w:val="18"/>
                <w:szCs w:val="18"/>
              </w:rPr>
            </w:pPr>
            <w:r w:rsidRPr="00EC21FB">
              <w:rPr>
                <w:color w:val="000000"/>
                <w:sz w:val="18"/>
                <w:szCs w:val="18"/>
              </w:rPr>
              <w:t>field</w:t>
            </w:r>
          </w:p>
        </w:tc>
        <w:tc>
          <w:tcPr>
            <w:tcW w:w="1080" w:type="dxa"/>
          </w:tcPr>
          <w:p w14:paraId="01777EAE" w14:textId="5CBF2960" w:rsidR="00B03EE2" w:rsidRPr="00EC21FB" w:rsidRDefault="00B03EE2" w:rsidP="00EC21FB">
            <w:pPr>
              <w:jc w:val="right"/>
              <w:rPr>
                <w:color w:val="000000"/>
                <w:sz w:val="18"/>
                <w:szCs w:val="18"/>
              </w:rPr>
            </w:pPr>
            <w:r w:rsidRPr="00EC21FB">
              <w:rPr>
                <w:color w:val="000000"/>
                <w:sz w:val="18"/>
                <w:szCs w:val="18"/>
              </w:rPr>
              <w:t>10</w:t>
            </w:r>
          </w:p>
        </w:tc>
        <w:tc>
          <w:tcPr>
            <w:tcW w:w="1170" w:type="dxa"/>
          </w:tcPr>
          <w:p w14:paraId="60438DCF" w14:textId="2CA32E9A" w:rsidR="00B03EE2" w:rsidRPr="00EC21FB" w:rsidRDefault="00B03EE2" w:rsidP="00EC21FB">
            <w:pPr>
              <w:jc w:val="right"/>
              <w:rPr>
                <w:color w:val="000000"/>
                <w:sz w:val="18"/>
                <w:szCs w:val="18"/>
              </w:rPr>
            </w:pPr>
            <w:r w:rsidRPr="00EC21FB">
              <w:rPr>
                <w:color w:val="000000"/>
                <w:sz w:val="18"/>
                <w:szCs w:val="18"/>
              </w:rPr>
              <w:t>10</w:t>
            </w:r>
          </w:p>
        </w:tc>
      </w:tr>
      <w:tr w:rsidR="00B03EE2" w:rsidRPr="00380AE9" w14:paraId="1160F4D5" w14:textId="77777777" w:rsidTr="005E42F0">
        <w:tc>
          <w:tcPr>
            <w:tcW w:w="2335" w:type="dxa"/>
            <w:vMerge/>
          </w:tcPr>
          <w:p w14:paraId="272C32E3" w14:textId="1BB5CEC0" w:rsidR="00B03EE2" w:rsidRPr="00EC21FB" w:rsidRDefault="00B03EE2" w:rsidP="00EC21FB">
            <w:pPr>
              <w:rPr>
                <w:sz w:val="18"/>
                <w:szCs w:val="18"/>
              </w:rPr>
            </w:pPr>
          </w:p>
        </w:tc>
        <w:tc>
          <w:tcPr>
            <w:tcW w:w="1260" w:type="dxa"/>
          </w:tcPr>
          <w:p w14:paraId="65A8FA4A" w14:textId="48A4B8B9" w:rsidR="00B03EE2" w:rsidRPr="00EC21FB" w:rsidRDefault="00B03EE2" w:rsidP="00EC21FB">
            <w:pPr>
              <w:rPr>
                <w:color w:val="000000"/>
                <w:sz w:val="18"/>
                <w:szCs w:val="18"/>
              </w:rPr>
            </w:pPr>
            <w:r w:rsidRPr="00EC21FB">
              <w:rPr>
                <w:color w:val="000000"/>
                <w:sz w:val="18"/>
                <w:szCs w:val="18"/>
              </w:rPr>
              <w:t>secondary</w:t>
            </w:r>
          </w:p>
        </w:tc>
        <w:tc>
          <w:tcPr>
            <w:tcW w:w="810" w:type="dxa"/>
            <w:vAlign w:val="bottom"/>
          </w:tcPr>
          <w:p w14:paraId="1E96E232" w14:textId="724F6161" w:rsidR="00B03EE2" w:rsidRPr="00EC21FB" w:rsidRDefault="00B03EE2" w:rsidP="00EC21FB">
            <w:pPr>
              <w:jc w:val="right"/>
              <w:rPr>
                <w:color w:val="000000"/>
                <w:sz w:val="18"/>
                <w:szCs w:val="18"/>
              </w:rPr>
            </w:pPr>
            <w:r w:rsidRPr="00EC21FB">
              <w:rPr>
                <w:color w:val="000000"/>
                <w:sz w:val="18"/>
                <w:szCs w:val="18"/>
              </w:rPr>
              <w:t>18.74</w:t>
            </w:r>
          </w:p>
        </w:tc>
        <w:tc>
          <w:tcPr>
            <w:tcW w:w="1080" w:type="dxa"/>
            <w:vAlign w:val="bottom"/>
          </w:tcPr>
          <w:p w14:paraId="1D704E90" w14:textId="6A57ADB6" w:rsidR="00B03EE2" w:rsidRPr="00EC21FB" w:rsidRDefault="00B03EE2" w:rsidP="00EC21FB">
            <w:pPr>
              <w:jc w:val="right"/>
              <w:rPr>
                <w:color w:val="000000"/>
                <w:sz w:val="18"/>
                <w:szCs w:val="18"/>
              </w:rPr>
            </w:pPr>
            <w:r w:rsidRPr="00EC21FB">
              <w:rPr>
                <w:color w:val="000000"/>
                <w:sz w:val="18"/>
                <w:szCs w:val="18"/>
              </w:rPr>
              <w:t>108.86</w:t>
            </w:r>
          </w:p>
        </w:tc>
        <w:tc>
          <w:tcPr>
            <w:tcW w:w="990" w:type="dxa"/>
          </w:tcPr>
          <w:p w14:paraId="1010D2EC" w14:textId="1C2704E9" w:rsidR="00B03EE2" w:rsidRPr="00C15C33" w:rsidRDefault="00946F53" w:rsidP="00EC21FB">
            <w:pPr>
              <w:jc w:val="right"/>
              <w:rPr>
                <w:color w:val="000000"/>
                <w:sz w:val="18"/>
                <w:szCs w:val="18"/>
              </w:rPr>
            </w:pPr>
            <w:r>
              <w:rPr>
                <w:color w:val="000000"/>
                <w:sz w:val="18"/>
                <w:szCs w:val="18"/>
              </w:rPr>
              <w:t>845</w:t>
            </w:r>
          </w:p>
        </w:tc>
        <w:tc>
          <w:tcPr>
            <w:tcW w:w="630" w:type="dxa"/>
            <w:vAlign w:val="center"/>
          </w:tcPr>
          <w:p w14:paraId="7882BF34" w14:textId="2EE41F63" w:rsidR="00B03EE2" w:rsidRPr="00C15C33" w:rsidRDefault="00946F53" w:rsidP="00EC21FB">
            <w:pPr>
              <w:jc w:val="right"/>
              <w:rPr>
                <w:color w:val="000000"/>
                <w:sz w:val="18"/>
                <w:szCs w:val="18"/>
              </w:rPr>
            </w:pPr>
            <w:r>
              <w:rPr>
                <w:color w:val="000000"/>
                <w:sz w:val="18"/>
                <w:szCs w:val="18"/>
              </w:rPr>
              <w:t>20.9</w:t>
            </w:r>
          </w:p>
        </w:tc>
        <w:tc>
          <w:tcPr>
            <w:tcW w:w="630" w:type="dxa"/>
            <w:vAlign w:val="center"/>
          </w:tcPr>
          <w:p w14:paraId="4AEE2660" w14:textId="35EAEE58" w:rsidR="00B03EE2" w:rsidRPr="00C15C33" w:rsidRDefault="00946F53" w:rsidP="00EC21FB">
            <w:pPr>
              <w:jc w:val="right"/>
              <w:rPr>
                <w:color w:val="000000"/>
                <w:sz w:val="18"/>
                <w:szCs w:val="18"/>
              </w:rPr>
            </w:pPr>
            <w:r>
              <w:rPr>
                <w:color w:val="000000"/>
                <w:sz w:val="18"/>
                <w:szCs w:val="18"/>
              </w:rPr>
              <w:t>1.03</w:t>
            </w:r>
          </w:p>
        </w:tc>
        <w:tc>
          <w:tcPr>
            <w:tcW w:w="630" w:type="dxa"/>
          </w:tcPr>
          <w:p w14:paraId="2D430DB6" w14:textId="180E02BB" w:rsidR="00B03EE2" w:rsidRPr="00C15C33" w:rsidRDefault="00946F53" w:rsidP="00EC21FB">
            <w:pPr>
              <w:jc w:val="right"/>
              <w:rPr>
                <w:color w:val="000000"/>
                <w:sz w:val="18"/>
                <w:szCs w:val="18"/>
              </w:rPr>
            </w:pPr>
            <w:r>
              <w:rPr>
                <w:color w:val="000000"/>
                <w:sz w:val="18"/>
                <w:szCs w:val="18"/>
              </w:rPr>
              <w:t>833</w:t>
            </w:r>
          </w:p>
        </w:tc>
        <w:tc>
          <w:tcPr>
            <w:tcW w:w="1080" w:type="dxa"/>
            <w:vAlign w:val="bottom"/>
          </w:tcPr>
          <w:p w14:paraId="0071DAFC" w14:textId="0B3FA4E9"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2AEA9D30" w14:textId="23A645C1" w:rsidR="00B03EE2" w:rsidRPr="00EC21FB" w:rsidRDefault="00B03EE2" w:rsidP="00EC21FB">
            <w:pPr>
              <w:jc w:val="right"/>
              <w:rPr>
                <w:color w:val="000000"/>
                <w:sz w:val="18"/>
                <w:szCs w:val="18"/>
              </w:rPr>
            </w:pPr>
            <w:r w:rsidRPr="00EC21FB">
              <w:rPr>
                <w:color w:val="000000"/>
                <w:sz w:val="18"/>
                <w:szCs w:val="18"/>
              </w:rPr>
              <w:t>field</w:t>
            </w:r>
          </w:p>
        </w:tc>
        <w:tc>
          <w:tcPr>
            <w:tcW w:w="1080" w:type="dxa"/>
          </w:tcPr>
          <w:p w14:paraId="059CF14A" w14:textId="3CCEBF0D" w:rsidR="00B03EE2" w:rsidRPr="00EC21FB" w:rsidRDefault="00B03EE2" w:rsidP="00EC21FB">
            <w:pPr>
              <w:jc w:val="right"/>
              <w:rPr>
                <w:color w:val="000000"/>
                <w:sz w:val="18"/>
                <w:szCs w:val="18"/>
              </w:rPr>
            </w:pPr>
            <w:r w:rsidRPr="00EC21FB">
              <w:rPr>
                <w:color w:val="000000"/>
                <w:sz w:val="18"/>
                <w:szCs w:val="18"/>
              </w:rPr>
              <w:t>10</w:t>
            </w:r>
          </w:p>
        </w:tc>
        <w:tc>
          <w:tcPr>
            <w:tcW w:w="1170" w:type="dxa"/>
          </w:tcPr>
          <w:p w14:paraId="70E1615C" w14:textId="62842991" w:rsidR="00B03EE2" w:rsidRPr="00EC21FB" w:rsidRDefault="00B03EE2" w:rsidP="00EC21FB">
            <w:pPr>
              <w:jc w:val="right"/>
              <w:rPr>
                <w:color w:val="000000"/>
                <w:sz w:val="18"/>
                <w:szCs w:val="18"/>
              </w:rPr>
            </w:pPr>
            <w:r w:rsidRPr="00EC21FB">
              <w:rPr>
                <w:color w:val="000000"/>
                <w:sz w:val="18"/>
                <w:szCs w:val="18"/>
              </w:rPr>
              <w:t>10</w:t>
            </w:r>
          </w:p>
        </w:tc>
      </w:tr>
      <w:tr w:rsidR="00B03EE2" w:rsidRPr="00380AE9" w14:paraId="677C2E8C" w14:textId="77777777" w:rsidTr="005E42F0">
        <w:sdt>
          <w:sdtPr>
            <w:rPr>
              <w:color w:val="000000"/>
              <w:sz w:val="18"/>
              <w:szCs w:val="18"/>
            </w:rPr>
            <w:tag w:val="MENDELEY_CITATION_v3_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"/>
            <w:id w:val="2078239470"/>
            <w:placeholder>
              <w:docPart w:val="209E21C77C5A6D439F549BE3B4C6AF87"/>
            </w:placeholder>
          </w:sdtPr>
          <w:sdtContent>
            <w:tc>
              <w:tcPr>
                <w:tcW w:w="2335" w:type="dxa"/>
              </w:tcPr>
              <w:p w14:paraId="4F9D488C" w14:textId="0F411B03" w:rsidR="00B03EE2" w:rsidRPr="00EC21FB" w:rsidRDefault="00E807B5" w:rsidP="00EC21FB">
                <w:pPr>
                  <w:rPr>
                    <w:sz w:val="18"/>
                    <w:szCs w:val="18"/>
                  </w:rPr>
                </w:pPr>
                <w:r w:rsidRPr="00E807B5">
                  <w:rPr>
                    <w:rFonts w:eastAsia="Times New Roman"/>
                    <w:color w:val="000000"/>
                    <w:sz w:val="18"/>
                  </w:rPr>
                  <w:t>(Zeng &amp; Wang, 2015)</w:t>
                </w:r>
              </w:p>
            </w:tc>
          </w:sdtContent>
        </w:sdt>
        <w:tc>
          <w:tcPr>
            <w:tcW w:w="1260" w:type="dxa"/>
          </w:tcPr>
          <w:p w14:paraId="5FF51366" w14:textId="06076BF6" w:rsidR="00B03EE2" w:rsidRPr="00EC21FB" w:rsidRDefault="00B03EE2" w:rsidP="00EC21FB">
            <w:pPr>
              <w:rPr>
                <w:color w:val="000000"/>
                <w:sz w:val="18"/>
                <w:szCs w:val="18"/>
              </w:rPr>
            </w:pPr>
            <w:proofErr w:type="spellStart"/>
            <w:r w:rsidRPr="00EC21FB">
              <w:rPr>
                <w:color w:val="000000"/>
                <w:sz w:val="18"/>
                <w:szCs w:val="18"/>
              </w:rPr>
              <w:t>saihanba</w:t>
            </w:r>
            <w:proofErr w:type="spellEnd"/>
          </w:p>
        </w:tc>
        <w:tc>
          <w:tcPr>
            <w:tcW w:w="810" w:type="dxa"/>
            <w:vAlign w:val="bottom"/>
          </w:tcPr>
          <w:p w14:paraId="57F62983" w14:textId="65C572B0" w:rsidR="00B03EE2" w:rsidRPr="00EC21FB" w:rsidRDefault="00B03EE2" w:rsidP="00EC21FB">
            <w:pPr>
              <w:jc w:val="right"/>
              <w:rPr>
                <w:color w:val="000000"/>
                <w:sz w:val="18"/>
                <w:szCs w:val="18"/>
              </w:rPr>
            </w:pPr>
            <w:r w:rsidRPr="00EC21FB">
              <w:rPr>
                <w:color w:val="000000"/>
                <w:sz w:val="18"/>
                <w:szCs w:val="18"/>
              </w:rPr>
              <w:t>42.42</w:t>
            </w:r>
          </w:p>
        </w:tc>
        <w:tc>
          <w:tcPr>
            <w:tcW w:w="1080" w:type="dxa"/>
            <w:vAlign w:val="bottom"/>
          </w:tcPr>
          <w:p w14:paraId="19A3714A" w14:textId="62CDBE39" w:rsidR="00B03EE2" w:rsidRPr="00EC21FB" w:rsidRDefault="00B03EE2" w:rsidP="00EC21FB">
            <w:pPr>
              <w:jc w:val="right"/>
              <w:rPr>
                <w:color w:val="000000"/>
                <w:sz w:val="18"/>
                <w:szCs w:val="18"/>
              </w:rPr>
            </w:pPr>
            <w:r w:rsidRPr="00EC21FB">
              <w:rPr>
                <w:color w:val="000000"/>
                <w:sz w:val="18"/>
                <w:szCs w:val="18"/>
              </w:rPr>
              <w:t>117.35</w:t>
            </w:r>
          </w:p>
        </w:tc>
        <w:tc>
          <w:tcPr>
            <w:tcW w:w="990" w:type="dxa"/>
          </w:tcPr>
          <w:p w14:paraId="56B43CBE" w14:textId="089B7754" w:rsidR="00B03EE2" w:rsidRPr="00C15C33" w:rsidRDefault="005E42F0" w:rsidP="00EC21FB">
            <w:pPr>
              <w:jc w:val="right"/>
              <w:rPr>
                <w:color w:val="000000"/>
                <w:sz w:val="18"/>
                <w:szCs w:val="18"/>
              </w:rPr>
            </w:pPr>
            <w:r>
              <w:rPr>
                <w:color w:val="000000"/>
                <w:sz w:val="18"/>
                <w:szCs w:val="18"/>
              </w:rPr>
              <w:t>1684</w:t>
            </w:r>
          </w:p>
        </w:tc>
        <w:tc>
          <w:tcPr>
            <w:tcW w:w="630" w:type="dxa"/>
            <w:vAlign w:val="center"/>
          </w:tcPr>
          <w:p w14:paraId="2E3DF089" w14:textId="7E10145B" w:rsidR="00B03EE2" w:rsidRPr="00C15C33" w:rsidRDefault="005E42F0" w:rsidP="00EC21FB">
            <w:pPr>
              <w:jc w:val="right"/>
              <w:rPr>
                <w:color w:val="000000"/>
                <w:sz w:val="18"/>
                <w:szCs w:val="18"/>
              </w:rPr>
            </w:pPr>
            <w:r>
              <w:rPr>
                <w:color w:val="000000"/>
                <w:sz w:val="18"/>
                <w:szCs w:val="18"/>
              </w:rPr>
              <w:t>9.7</w:t>
            </w:r>
          </w:p>
        </w:tc>
        <w:tc>
          <w:tcPr>
            <w:tcW w:w="630" w:type="dxa"/>
            <w:vAlign w:val="center"/>
          </w:tcPr>
          <w:p w14:paraId="19418AA5" w14:textId="1DE030C5" w:rsidR="00B03EE2" w:rsidRPr="00C15C33" w:rsidRDefault="005E42F0" w:rsidP="00EC21FB">
            <w:pPr>
              <w:jc w:val="right"/>
              <w:rPr>
                <w:color w:val="000000"/>
                <w:sz w:val="18"/>
                <w:szCs w:val="18"/>
              </w:rPr>
            </w:pPr>
            <w:r>
              <w:rPr>
                <w:color w:val="000000"/>
                <w:sz w:val="18"/>
                <w:szCs w:val="18"/>
              </w:rPr>
              <w:t>0.46</w:t>
            </w:r>
          </w:p>
        </w:tc>
        <w:tc>
          <w:tcPr>
            <w:tcW w:w="630" w:type="dxa"/>
          </w:tcPr>
          <w:p w14:paraId="02708B60" w14:textId="5EF743B8" w:rsidR="00B03EE2" w:rsidRPr="00C15C33" w:rsidRDefault="005E42F0" w:rsidP="00EC21FB">
            <w:pPr>
              <w:jc w:val="right"/>
              <w:rPr>
                <w:color w:val="000000"/>
                <w:sz w:val="18"/>
                <w:szCs w:val="18"/>
              </w:rPr>
            </w:pPr>
            <w:r>
              <w:rPr>
                <w:color w:val="000000"/>
                <w:sz w:val="18"/>
                <w:szCs w:val="18"/>
              </w:rPr>
              <w:t>924</w:t>
            </w:r>
          </w:p>
        </w:tc>
        <w:tc>
          <w:tcPr>
            <w:tcW w:w="1080" w:type="dxa"/>
            <w:vAlign w:val="bottom"/>
          </w:tcPr>
          <w:p w14:paraId="329F9487" w14:textId="11BA0943"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2F11D0CB" w14:textId="290215A0" w:rsidR="00B03EE2" w:rsidRPr="00EC21FB" w:rsidRDefault="00B03EE2" w:rsidP="00EC21FB">
            <w:pPr>
              <w:jc w:val="right"/>
              <w:rPr>
                <w:color w:val="000000"/>
                <w:sz w:val="18"/>
                <w:szCs w:val="18"/>
              </w:rPr>
            </w:pPr>
            <w:r w:rsidRPr="00EC21FB">
              <w:rPr>
                <w:color w:val="000000"/>
                <w:sz w:val="18"/>
                <w:szCs w:val="18"/>
              </w:rPr>
              <w:t>field</w:t>
            </w:r>
          </w:p>
        </w:tc>
        <w:tc>
          <w:tcPr>
            <w:tcW w:w="1080" w:type="dxa"/>
            <w:vAlign w:val="bottom"/>
          </w:tcPr>
          <w:p w14:paraId="5983CCBE" w14:textId="50045D23" w:rsidR="00B03EE2" w:rsidRPr="00EC21FB" w:rsidRDefault="00B03EE2" w:rsidP="00EC21FB">
            <w:pPr>
              <w:jc w:val="right"/>
              <w:rPr>
                <w:color w:val="000000"/>
                <w:sz w:val="18"/>
                <w:szCs w:val="18"/>
              </w:rPr>
            </w:pPr>
            <w:r w:rsidRPr="00EC21FB">
              <w:rPr>
                <w:color w:val="000000"/>
                <w:sz w:val="18"/>
                <w:szCs w:val="18"/>
              </w:rPr>
              <w:t>5</w:t>
            </w:r>
          </w:p>
        </w:tc>
        <w:tc>
          <w:tcPr>
            <w:tcW w:w="1170" w:type="dxa"/>
          </w:tcPr>
          <w:p w14:paraId="30527C6D" w14:textId="5275E287" w:rsidR="00B03EE2" w:rsidRPr="00EC21FB" w:rsidRDefault="00B03EE2" w:rsidP="00EC21FB">
            <w:pPr>
              <w:jc w:val="right"/>
              <w:rPr>
                <w:color w:val="000000"/>
                <w:sz w:val="18"/>
                <w:szCs w:val="18"/>
              </w:rPr>
            </w:pPr>
            <w:r w:rsidRPr="00EC21FB">
              <w:rPr>
                <w:color w:val="000000"/>
                <w:sz w:val="18"/>
                <w:szCs w:val="18"/>
              </w:rPr>
              <w:t>5</w:t>
            </w:r>
          </w:p>
        </w:tc>
      </w:tr>
    </w:tbl>
    <w:p w14:paraId="7F0841FF" w14:textId="138B276D" w:rsidR="00EC21FB" w:rsidRPr="008B6C18" w:rsidRDefault="008B6C18">
      <w:r>
        <w:rPr>
          <w:b/>
          <w:bCs/>
          <w:vertAlign w:val="superscript"/>
        </w:rPr>
        <w:t>*</w:t>
      </w:r>
      <w:r>
        <w:t xml:space="preserve">Key: </w:t>
      </w:r>
      <w:proofErr w:type="spellStart"/>
      <w:r>
        <w:rPr>
          <w:i/>
          <w:iCs/>
        </w:rPr>
        <w:t>T</w:t>
      </w:r>
      <w:r>
        <w:rPr>
          <w:vertAlign w:val="subscript"/>
        </w:rPr>
        <w:t>g</w:t>
      </w:r>
      <w:proofErr w:type="spellEnd"/>
      <w:r>
        <w:t>=1970-2000 growing season temperature (</w:t>
      </w:r>
      <w:r>
        <w:sym w:font="Symbol" w:char="F0B0"/>
      </w:r>
      <w:r>
        <w:t xml:space="preserve">C), </w:t>
      </w:r>
      <w:proofErr w:type="spellStart"/>
      <w:r>
        <w:rPr>
          <w:i/>
          <w:iCs/>
        </w:rPr>
        <w:t>AI</w:t>
      </w:r>
      <w:r>
        <w:rPr>
          <w:vertAlign w:val="subscript"/>
        </w:rPr>
        <w:t>g</w:t>
      </w:r>
      <w:proofErr w:type="spellEnd"/>
      <w:r>
        <w:t xml:space="preserve">=growing season aridity index (unitless), </w:t>
      </w:r>
      <w:proofErr w:type="spellStart"/>
      <w:r>
        <w:rPr>
          <w:i/>
          <w:iCs/>
        </w:rPr>
        <w:t>PAR</w:t>
      </w:r>
      <w:r>
        <w:rPr>
          <w:vertAlign w:val="subscript"/>
        </w:rPr>
        <w:t>g</w:t>
      </w:r>
      <w:proofErr w:type="spellEnd"/>
      <w:r>
        <w:t>=growing season photosynthetically active radiation (</w:t>
      </w:r>
      <w:r>
        <w:rPr>
          <w:lang w:val="el-GR"/>
        </w:rPr>
        <w:t>μ</w:t>
      </w:r>
      <w:r>
        <w:t>mol m</w:t>
      </w:r>
      <w:r>
        <w:rPr>
          <w:vertAlign w:val="superscript"/>
        </w:rPr>
        <w:t>-2</w:t>
      </w:r>
      <w:r>
        <w:t xml:space="preserve"> s</w:t>
      </w:r>
      <w:r>
        <w:rPr>
          <w:vertAlign w:val="superscript"/>
        </w:rPr>
        <w:t>-1</w:t>
      </w:r>
      <w:r>
        <w:t>)</w:t>
      </w:r>
    </w:p>
    <w:p w14:paraId="727D5646" w14:textId="77777777" w:rsidR="006A54CA" w:rsidRDefault="006A54CA">
      <w:pPr>
        <w:rPr>
          <w:b/>
          <w:bCs/>
        </w:rPr>
        <w:sectPr w:rsidR="006A54CA" w:rsidSect="00A52A32">
          <w:pgSz w:w="15840" w:h="12240" w:orient="landscape"/>
          <w:pgMar w:top="1440" w:right="1440" w:bottom="1440" w:left="1440" w:header="720" w:footer="720" w:gutter="0"/>
          <w:cols w:space="720"/>
          <w:docGrid w:linePitch="360"/>
        </w:sectPr>
      </w:pPr>
    </w:p>
    <w:p w14:paraId="6EC8009D" w14:textId="15F55BD0" w:rsidR="006A54CA" w:rsidRPr="001A72B5" w:rsidRDefault="006A54CA" w:rsidP="006A54CA">
      <w:r w:rsidRPr="00025211">
        <w:rPr>
          <w:b/>
        </w:rPr>
        <w:lastRenderedPageBreak/>
        <w:t>Table S</w:t>
      </w:r>
      <w:r>
        <w:rPr>
          <w:b/>
        </w:rPr>
        <w:t>2</w:t>
      </w:r>
      <w:r>
        <w:t xml:space="preserve"> Meta-analytic results summarizing the effects of N, P, and N+P on traits related to leaf chemistry</w:t>
      </w:r>
      <w:r w:rsidR="001A72B5">
        <w:rPr>
          <w:vertAlign w:val="superscript"/>
        </w:rPr>
        <w:t>*</w:t>
      </w:r>
    </w:p>
    <w:tbl>
      <w:tblPr>
        <w:tblStyle w:val="TableGrid"/>
        <w:tblW w:w="83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1096"/>
        <w:gridCol w:w="576"/>
        <w:gridCol w:w="1668"/>
        <w:gridCol w:w="1080"/>
        <w:gridCol w:w="990"/>
        <w:gridCol w:w="2160"/>
      </w:tblGrid>
      <w:tr w:rsidR="006A54CA" w:rsidRPr="00025211" w14:paraId="6FD0BC98" w14:textId="77777777" w:rsidTr="00FB5AE2">
        <w:trPr>
          <w:trHeight w:val="320"/>
        </w:trPr>
        <w:tc>
          <w:tcPr>
            <w:tcW w:w="805" w:type="dxa"/>
            <w:tcBorders>
              <w:top w:val="single" w:sz="4" w:space="0" w:color="auto"/>
              <w:bottom w:val="single" w:sz="4" w:space="0" w:color="auto"/>
            </w:tcBorders>
            <w:noWrap/>
            <w:vAlign w:val="center"/>
            <w:hideMark/>
          </w:tcPr>
          <w:p w14:paraId="09CC7509" w14:textId="77777777" w:rsidR="006A54CA" w:rsidRPr="00025211" w:rsidRDefault="006A54CA" w:rsidP="00E951AB">
            <w:pPr>
              <w:rPr>
                <w:b/>
                <w:bCs w:val="0"/>
              </w:rPr>
            </w:pPr>
            <w:r w:rsidRPr="00025211">
              <w:rPr>
                <w:b/>
                <w:bCs w:val="0"/>
              </w:rPr>
              <w:t>Trait</w:t>
            </w:r>
          </w:p>
        </w:tc>
        <w:tc>
          <w:tcPr>
            <w:tcW w:w="1096" w:type="dxa"/>
            <w:tcBorders>
              <w:top w:val="single" w:sz="4" w:space="0" w:color="auto"/>
              <w:bottom w:val="single" w:sz="4" w:space="0" w:color="auto"/>
            </w:tcBorders>
            <w:noWrap/>
            <w:vAlign w:val="center"/>
            <w:hideMark/>
          </w:tcPr>
          <w:p w14:paraId="03B28043" w14:textId="77777777" w:rsidR="006A54CA" w:rsidRPr="00025211" w:rsidRDefault="006A54CA" w:rsidP="00E951AB">
            <w:pPr>
              <w:rPr>
                <w:b/>
                <w:bCs w:val="0"/>
              </w:rPr>
            </w:pPr>
            <w:r w:rsidRPr="00025211">
              <w:rPr>
                <w:b/>
                <w:bCs w:val="0"/>
              </w:rPr>
              <w:t>Nutrient addition</w:t>
            </w:r>
          </w:p>
        </w:tc>
        <w:tc>
          <w:tcPr>
            <w:tcW w:w="576" w:type="dxa"/>
            <w:tcBorders>
              <w:top w:val="single" w:sz="4" w:space="0" w:color="auto"/>
              <w:bottom w:val="single" w:sz="4" w:space="0" w:color="auto"/>
            </w:tcBorders>
            <w:noWrap/>
            <w:vAlign w:val="center"/>
            <w:hideMark/>
          </w:tcPr>
          <w:p w14:paraId="71EF4156" w14:textId="77777777" w:rsidR="006A54CA" w:rsidRPr="00025211" w:rsidRDefault="006A54CA" w:rsidP="00E951AB">
            <w:pPr>
              <w:rPr>
                <w:b/>
                <w:bCs w:val="0"/>
              </w:rPr>
            </w:pPr>
            <w:r>
              <w:rPr>
                <w:b/>
                <w:bCs w:val="0"/>
              </w:rPr>
              <w:t>k</w:t>
            </w:r>
          </w:p>
        </w:tc>
        <w:tc>
          <w:tcPr>
            <w:tcW w:w="1668" w:type="dxa"/>
            <w:tcBorders>
              <w:top w:val="single" w:sz="4" w:space="0" w:color="auto"/>
              <w:bottom w:val="single" w:sz="4" w:space="0" w:color="auto"/>
            </w:tcBorders>
            <w:noWrap/>
            <w:vAlign w:val="center"/>
            <w:hideMark/>
          </w:tcPr>
          <w:p w14:paraId="02AA6686" w14:textId="77777777" w:rsidR="006A54CA" w:rsidRPr="00025211" w:rsidRDefault="006A54CA" w:rsidP="00E951AB">
            <w:pPr>
              <w:rPr>
                <w:b/>
                <w:bCs w:val="0"/>
              </w:rPr>
            </w:pPr>
            <w:r>
              <w:rPr>
                <w:b/>
                <w:bCs w:val="0"/>
              </w:rPr>
              <w:t>C</w:t>
            </w:r>
            <w:r w:rsidRPr="00025211">
              <w:rPr>
                <w:b/>
                <w:bCs w:val="0"/>
              </w:rPr>
              <w:t>oefficient (±SE)</w:t>
            </w:r>
          </w:p>
        </w:tc>
        <w:tc>
          <w:tcPr>
            <w:tcW w:w="1080" w:type="dxa"/>
            <w:tcBorders>
              <w:top w:val="single" w:sz="4" w:space="0" w:color="auto"/>
              <w:bottom w:val="single" w:sz="4" w:space="0" w:color="auto"/>
            </w:tcBorders>
            <w:noWrap/>
            <w:vAlign w:val="center"/>
            <w:hideMark/>
          </w:tcPr>
          <w:p w14:paraId="5E2BD3E8" w14:textId="77777777" w:rsidR="006A54CA" w:rsidRPr="00025211" w:rsidRDefault="006A54CA" w:rsidP="00E951AB">
            <w:pPr>
              <w:rPr>
                <w:b/>
                <w:bCs w:val="0"/>
              </w:rPr>
            </w:pPr>
            <w:r w:rsidRPr="00025211">
              <w:rPr>
                <w:b/>
                <w:bCs w:val="0"/>
              </w:rPr>
              <w:t>Z-value</w:t>
            </w:r>
          </w:p>
        </w:tc>
        <w:tc>
          <w:tcPr>
            <w:tcW w:w="990" w:type="dxa"/>
            <w:tcBorders>
              <w:top w:val="single" w:sz="4" w:space="0" w:color="auto"/>
              <w:bottom w:val="single" w:sz="4" w:space="0" w:color="auto"/>
            </w:tcBorders>
            <w:noWrap/>
            <w:vAlign w:val="center"/>
            <w:hideMark/>
          </w:tcPr>
          <w:p w14:paraId="526D5216" w14:textId="77777777" w:rsidR="006A54CA" w:rsidRPr="00025211" w:rsidRDefault="006A54CA" w:rsidP="00E951AB">
            <w:pPr>
              <w:rPr>
                <w:b/>
                <w:bCs w:val="0"/>
              </w:rPr>
            </w:pPr>
            <w:r w:rsidRPr="00025211">
              <w:rPr>
                <w:b/>
                <w:bCs w:val="0"/>
                <w:i/>
                <w:iCs/>
              </w:rPr>
              <w:t>p</w:t>
            </w:r>
            <w:r w:rsidRPr="00025211">
              <w:rPr>
                <w:b/>
                <w:bCs w:val="0"/>
              </w:rPr>
              <w:t>-value</w:t>
            </w:r>
          </w:p>
        </w:tc>
        <w:tc>
          <w:tcPr>
            <w:tcW w:w="2160" w:type="dxa"/>
            <w:tcBorders>
              <w:top w:val="single" w:sz="4" w:space="0" w:color="auto"/>
              <w:bottom w:val="single" w:sz="4" w:space="0" w:color="auto"/>
            </w:tcBorders>
            <w:noWrap/>
            <w:vAlign w:val="center"/>
            <w:hideMark/>
          </w:tcPr>
          <w:p w14:paraId="46F2E890" w14:textId="77777777" w:rsidR="006A54CA" w:rsidRPr="00025211" w:rsidRDefault="006A54CA" w:rsidP="00E951AB">
            <w:pPr>
              <w:rPr>
                <w:b/>
                <w:bCs w:val="0"/>
              </w:rPr>
            </w:pPr>
            <w:r w:rsidRPr="00025211">
              <w:rPr>
                <w:b/>
                <w:bCs w:val="0"/>
              </w:rPr>
              <w:t>95% CI range</w:t>
            </w:r>
          </w:p>
        </w:tc>
      </w:tr>
      <w:tr w:rsidR="00FB5AE2" w:rsidRPr="00025211" w14:paraId="15C26D91" w14:textId="77777777" w:rsidTr="00FB5AE2">
        <w:trPr>
          <w:trHeight w:val="320"/>
        </w:trPr>
        <w:tc>
          <w:tcPr>
            <w:tcW w:w="805" w:type="dxa"/>
            <w:vMerge w:val="restart"/>
            <w:tcBorders>
              <w:top w:val="single" w:sz="4" w:space="0" w:color="auto"/>
            </w:tcBorders>
            <w:noWrap/>
            <w:vAlign w:val="center"/>
            <w:hideMark/>
          </w:tcPr>
          <w:p w14:paraId="35DFFCB8" w14:textId="77777777" w:rsidR="00FB5AE2" w:rsidRPr="00025211" w:rsidRDefault="00FB5AE2" w:rsidP="00FB5AE2">
            <w:r>
              <w:rPr>
                <w:i/>
                <w:iCs/>
              </w:rPr>
              <w:t>M</w:t>
            </w:r>
            <w:r>
              <w:rPr>
                <w:vertAlign w:val="subscript"/>
              </w:rPr>
              <w:t>area</w:t>
            </w:r>
          </w:p>
        </w:tc>
        <w:tc>
          <w:tcPr>
            <w:tcW w:w="1096" w:type="dxa"/>
            <w:tcBorders>
              <w:top w:val="single" w:sz="4" w:space="0" w:color="auto"/>
            </w:tcBorders>
            <w:noWrap/>
            <w:vAlign w:val="center"/>
            <w:hideMark/>
          </w:tcPr>
          <w:p w14:paraId="6CEEEF17" w14:textId="77777777" w:rsidR="00FB5AE2" w:rsidRPr="00025211" w:rsidRDefault="00FB5AE2" w:rsidP="00FB5AE2">
            <w:r>
              <w:t>N</w:t>
            </w:r>
          </w:p>
        </w:tc>
        <w:tc>
          <w:tcPr>
            <w:tcW w:w="576" w:type="dxa"/>
            <w:vMerge w:val="restart"/>
            <w:tcBorders>
              <w:top w:val="single" w:sz="4" w:space="0" w:color="auto"/>
            </w:tcBorders>
            <w:noWrap/>
            <w:vAlign w:val="center"/>
            <w:hideMark/>
          </w:tcPr>
          <w:p w14:paraId="255733CD" w14:textId="77777777" w:rsidR="00FB5AE2" w:rsidRPr="00025211" w:rsidRDefault="00FB5AE2" w:rsidP="00FB5AE2">
            <w:pPr>
              <w:jc w:val="center"/>
            </w:pPr>
            <w:r w:rsidRPr="00025211">
              <w:t>113</w:t>
            </w:r>
          </w:p>
        </w:tc>
        <w:tc>
          <w:tcPr>
            <w:tcW w:w="1668" w:type="dxa"/>
            <w:tcBorders>
              <w:top w:val="single" w:sz="4" w:space="0" w:color="auto"/>
            </w:tcBorders>
            <w:noWrap/>
            <w:vAlign w:val="bottom"/>
            <w:hideMark/>
          </w:tcPr>
          <w:p w14:paraId="1D6B0F46" w14:textId="19939E90" w:rsidR="00FB5AE2" w:rsidRPr="00FB5AE2" w:rsidRDefault="00FB5AE2" w:rsidP="00FB5AE2">
            <w:pPr>
              <w:jc w:val="right"/>
              <w:rPr>
                <w:b/>
                <w:bCs w:val="0"/>
                <w:highlight w:val="yellow"/>
              </w:rPr>
            </w:pPr>
            <w:r w:rsidRPr="00FB5AE2">
              <w:rPr>
                <w:b/>
                <w:bCs w:val="0"/>
                <w:color w:val="000000"/>
              </w:rPr>
              <w:t>-3.536±1.613</w:t>
            </w:r>
          </w:p>
        </w:tc>
        <w:tc>
          <w:tcPr>
            <w:tcW w:w="1080" w:type="dxa"/>
            <w:tcBorders>
              <w:top w:val="single" w:sz="4" w:space="0" w:color="auto"/>
            </w:tcBorders>
            <w:noWrap/>
            <w:vAlign w:val="bottom"/>
            <w:hideMark/>
          </w:tcPr>
          <w:p w14:paraId="2F35B511" w14:textId="576F153A" w:rsidR="00FB5AE2" w:rsidRPr="00FB5AE2" w:rsidRDefault="00FB5AE2" w:rsidP="00FB5AE2">
            <w:pPr>
              <w:jc w:val="right"/>
              <w:rPr>
                <w:b/>
                <w:bCs w:val="0"/>
                <w:highlight w:val="yellow"/>
              </w:rPr>
            </w:pPr>
            <w:r w:rsidRPr="00FB5AE2">
              <w:rPr>
                <w:b/>
                <w:bCs w:val="0"/>
                <w:color w:val="000000"/>
              </w:rPr>
              <w:t>-2.318</w:t>
            </w:r>
          </w:p>
        </w:tc>
        <w:tc>
          <w:tcPr>
            <w:tcW w:w="990" w:type="dxa"/>
            <w:tcBorders>
              <w:top w:val="single" w:sz="4" w:space="0" w:color="auto"/>
            </w:tcBorders>
            <w:noWrap/>
            <w:vAlign w:val="bottom"/>
            <w:hideMark/>
          </w:tcPr>
          <w:p w14:paraId="3A700F57" w14:textId="784E5A47" w:rsidR="00FB5AE2" w:rsidRPr="00FB5AE2" w:rsidRDefault="00FB5AE2" w:rsidP="00FB5AE2">
            <w:pPr>
              <w:jc w:val="right"/>
              <w:rPr>
                <w:b/>
                <w:bCs w:val="0"/>
                <w:highlight w:val="yellow"/>
              </w:rPr>
            </w:pPr>
            <w:r w:rsidRPr="00FB5AE2">
              <w:rPr>
                <w:b/>
                <w:bCs w:val="0"/>
                <w:color w:val="000000"/>
              </w:rPr>
              <w:t>0.020</w:t>
            </w:r>
          </w:p>
        </w:tc>
        <w:tc>
          <w:tcPr>
            <w:tcW w:w="2160" w:type="dxa"/>
            <w:tcBorders>
              <w:top w:val="single" w:sz="4" w:space="0" w:color="auto"/>
            </w:tcBorders>
            <w:noWrap/>
            <w:vAlign w:val="bottom"/>
            <w:hideMark/>
          </w:tcPr>
          <w:p w14:paraId="78093EFD" w14:textId="590C5393" w:rsidR="00FB5AE2" w:rsidRPr="00FB5AE2" w:rsidRDefault="00FB5AE2" w:rsidP="00FB5AE2">
            <w:pPr>
              <w:jc w:val="right"/>
              <w:rPr>
                <w:b/>
                <w:bCs w:val="0"/>
                <w:highlight w:val="yellow"/>
              </w:rPr>
            </w:pPr>
            <w:r w:rsidRPr="00FB5AE2">
              <w:rPr>
                <w:b/>
                <w:bCs w:val="0"/>
                <w:color w:val="000000"/>
              </w:rPr>
              <w:t>[-6.574, -0.598]</w:t>
            </w:r>
          </w:p>
        </w:tc>
      </w:tr>
      <w:tr w:rsidR="00FB5AE2" w:rsidRPr="00025211" w14:paraId="37B9E676" w14:textId="77777777" w:rsidTr="00FB5AE2">
        <w:trPr>
          <w:trHeight w:val="320"/>
        </w:trPr>
        <w:tc>
          <w:tcPr>
            <w:tcW w:w="805" w:type="dxa"/>
            <w:vMerge/>
            <w:vAlign w:val="center"/>
            <w:hideMark/>
          </w:tcPr>
          <w:p w14:paraId="5EF21EAD" w14:textId="77777777" w:rsidR="00FB5AE2" w:rsidRPr="00025211" w:rsidRDefault="00FB5AE2" w:rsidP="00FB5AE2"/>
        </w:tc>
        <w:tc>
          <w:tcPr>
            <w:tcW w:w="1096" w:type="dxa"/>
            <w:noWrap/>
            <w:vAlign w:val="center"/>
            <w:hideMark/>
          </w:tcPr>
          <w:p w14:paraId="098FCC3C" w14:textId="77777777" w:rsidR="00FB5AE2" w:rsidRPr="00025211" w:rsidRDefault="00FB5AE2" w:rsidP="00FB5AE2">
            <w:r>
              <w:t>P</w:t>
            </w:r>
          </w:p>
        </w:tc>
        <w:tc>
          <w:tcPr>
            <w:tcW w:w="576" w:type="dxa"/>
            <w:vMerge/>
            <w:vAlign w:val="center"/>
            <w:hideMark/>
          </w:tcPr>
          <w:p w14:paraId="6C9AD729" w14:textId="77777777" w:rsidR="00FB5AE2" w:rsidRPr="00025211" w:rsidRDefault="00FB5AE2" w:rsidP="00FB5AE2">
            <w:pPr>
              <w:jc w:val="center"/>
            </w:pPr>
          </w:p>
        </w:tc>
        <w:tc>
          <w:tcPr>
            <w:tcW w:w="1668" w:type="dxa"/>
            <w:noWrap/>
            <w:vAlign w:val="bottom"/>
            <w:hideMark/>
          </w:tcPr>
          <w:p w14:paraId="0B3D3709" w14:textId="0208F54A" w:rsidR="00FB5AE2" w:rsidRPr="00FB5AE2" w:rsidRDefault="00FB5AE2" w:rsidP="00FB5AE2">
            <w:pPr>
              <w:jc w:val="right"/>
              <w:rPr>
                <w:highlight w:val="yellow"/>
              </w:rPr>
            </w:pPr>
            <w:r w:rsidRPr="00FB5AE2">
              <w:rPr>
                <w:color w:val="000000"/>
              </w:rPr>
              <w:t>-1.489±1.511</w:t>
            </w:r>
          </w:p>
        </w:tc>
        <w:tc>
          <w:tcPr>
            <w:tcW w:w="1080" w:type="dxa"/>
            <w:noWrap/>
            <w:vAlign w:val="bottom"/>
            <w:hideMark/>
          </w:tcPr>
          <w:p w14:paraId="46750067" w14:textId="69AFA0D9" w:rsidR="00FB5AE2" w:rsidRPr="00FB5AE2" w:rsidRDefault="00FB5AE2" w:rsidP="00FB5AE2">
            <w:pPr>
              <w:jc w:val="right"/>
              <w:rPr>
                <w:highlight w:val="yellow"/>
              </w:rPr>
            </w:pPr>
            <w:r w:rsidRPr="00FB5AE2">
              <w:rPr>
                <w:color w:val="000000"/>
              </w:rPr>
              <w:t>-1.019</w:t>
            </w:r>
          </w:p>
        </w:tc>
        <w:tc>
          <w:tcPr>
            <w:tcW w:w="990" w:type="dxa"/>
            <w:noWrap/>
            <w:vAlign w:val="bottom"/>
            <w:hideMark/>
          </w:tcPr>
          <w:p w14:paraId="119D48BC" w14:textId="3B1318BA" w:rsidR="00FB5AE2" w:rsidRPr="00FB5AE2" w:rsidRDefault="00FB5AE2" w:rsidP="00FB5AE2">
            <w:pPr>
              <w:jc w:val="right"/>
              <w:rPr>
                <w:highlight w:val="yellow"/>
              </w:rPr>
            </w:pPr>
            <w:r w:rsidRPr="00FB5AE2">
              <w:rPr>
                <w:color w:val="000000"/>
              </w:rPr>
              <w:t>0.308</w:t>
            </w:r>
          </w:p>
        </w:tc>
        <w:tc>
          <w:tcPr>
            <w:tcW w:w="2160" w:type="dxa"/>
            <w:noWrap/>
            <w:vAlign w:val="bottom"/>
            <w:hideMark/>
          </w:tcPr>
          <w:p w14:paraId="59FC1B8D" w14:textId="3C955D1B" w:rsidR="00FB5AE2" w:rsidRPr="00FB5AE2" w:rsidRDefault="00FB5AE2" w:rsidP="00FB5AE2">
            <w:pPr>
              <w:jc w:val="right"/>
              <w:rPr>
                <w:highlight w:val="yellow"/>
              </w:rPr>
            </w:pPr>
            <w:r w:rsidRPr="00FB5AE2">
              <w:rPr>
                <w:color w:val="000000"/>
              </w:rPr>
              <w:t>[-4.305, 1.41</w:t>
            </w:r>
            <w:r>
              <w:rPr>
                <w:color w:val="000000"/>
              </w:rPr>
              <w:t>0</w:t>
            </w:r>
            <w:r w:rsidRPr="00FB5AE2">
              <w:rPr>
                <w:color w:val="000000"/>
              </w:rPr>
              <w:t>]</w:t>
            </w:r>
          </w:p>
        </w:tc>
      </w:tr>
      <w:tr w:rsidR="00FB5AE2" w:rsidRPr="00025211" w14:paraId="6BC1D7A0" w14:textId="77777777" w:rsidTr="00FB5AE2">
        <w:trPr>
          <w:trHeight w:val="320"/>
        </w:trPr>
        <w:tc>
          <w:tcPr>
            <w:tcW w:w="805" w:type="dxa"/>
            <w:vMerge/>
            <w:tcBorders>
              <w:bottom w:val="single" w:sz="4" w:space="0" w:color="auto"/>
            </w:tcBorders>
            <w:vAlign w:val="center"/>
            <w:hideMark/>
          </w:tcPr>
          <w:p w14:paraId="71CB0878" w14:textId="77777777" w:rsidR="00FB5AE2" w:rsidRPr="00025211" w:rsidRDefault="00FB5AE2" w:rsidP="00FB5AE2"/>
        </w:tc>
        <w:tc>
          <w:tcPr>
            <w:tcW w:w="1096" w:type="dxa"/>
            <w:tcBorders>
              <w:bottom w:val="single" w:sz="4" w:space="0" w:color="auto"/>
            </w:tcBorders>
            <w:noWrap/>
            <w:vAlign w:val="center"/>
            <w:hideMark/>
          </w:tcPr>
          <w:p w14:paraId="1510C800" w14:textId="77777777" w:rsidR="00FB5AE2" w:rsidRPr="00025211" w:rsidRDefault="00FB5AE2" w:rsidP="00FB5AE2">
            <w:r>
              <w:t>N+P</w:t>
            </w:r>
          </w:p>
        </w:tc>
        <w:tc>
          <w:tcPr>
            <w:tcW w:w="576" w:type="dxa"/>
            <w:vMerge/>
            <w:tcBorders>
              <w:bottom w:val="single" w:sz="4" w:space="0" w:color="auto"/>
            </w:tcBorders>
            <w:vAlign w:val="center"/>
            <w:hideMark/>
          </w:tcPr>
          <w:p w14:paraId="3FD56AC3" w14:textId="77777777" w:rsidR="00FB5AE2" w:rsidRPr="00025211" w:rsidRDefault="00FB5AE2" w:rsidP="00FB5AE2">
            <w:pPr>
              <w:jc w:val="center"/>
            </w:pPr>
          </w:p>
        </w:tc>
        <w:tc>
          <w:tcPr>
            <w:tcW w:w="1668" w:type="dxa"/>
            <w:tcBorders>
              <w:bottom w:val="single" w:sz="4" w:space="0" w:color="auto"/>
            </w:tcBorders>
            <w:noWrap/>
            <w:vAlign w:val="bottom"/>
            <w:hideMark/>
          </w:tcPr>
          <w:p w14:paraId="796D8E9B" w14:textId="7A374A84" w:rsidR="00FB5AE2" w:rsidRPr="00FB5AE2" w:rsidRDefault="00FB5AE2" w:rsidP="00FB5AE2">
            <w:pPr>
              <w:jc w:val="right"/>
              <w:rPr>
                <w:b/>
                <w:bCs w:val="0"/>
                <w:highlight w:val="yellow"/>
              </w:rPr>
            </w:pPr>
            <w:r w:rsidRPr="00FB5AE2">
              <w:rPr>
                <w:b/>
                <w:bCs w:val="0"/>
                <w:color w:val="000000"/>
              </w:rPr>
              <w:t>-5.067±1.816</w:t>
            </w:r>
          </w:p>
        </w:tc>
        <w:tc>
          <w:tcPr>
            <w:tcW w:w="1080" w:type="dxa"/>
            <w:tcBorders>
              <w:bottom w:val="single" w:sz="4" w:space="0" w:color="auto"/>
            </w:tcBorders>
            <w:noWrap/>
            <w:vAlign w:val="bottom"/>
            <w:hideMark/>
          </w:tcPr>
          <w:p w14:paraId="7B04D35B" w14:textId="64113D79" w:rsidR="00FB5AE2" w:rsidRPr="00FB5AE2" w:rsidRDefault="00FB5AE2" w:rsidP="00FB5AE2">
            <w:pPr>
              <w:jc w:val="right"/>
              <w:rPr>
                <w:b/>
                <w:bCs w:val="0"/>
                <w:highlight w:val="yellow"/>
              </w:rPr>
            </w:pPr>
            <w:r w:rsidRPr="00FB5AE2">
              <w:rPr>
                <w:b/>
                <w:bCs w:val="0"/>
                <w:color w:val="000000"/>
              </w:rPr>
              <w:t>-2.880</w:t>
            </w:r>
          </w:p>
        </w:tc>
        <w:tc>
          <w:tcPr>
            <w:tcW w:w="990" w:type="dxa"/>
            <w:tcBorders>
              <w:bottom w:val="single" w:sz="4" w:space="0" w:color="auto"/>
            </w:tcBorders>
            <w:noWrap/>
            <w:vAlign w:val="bottom"/>
            <w:hideMark/>
          </w:tcPr>
          <w:p w14:paraId="032D3E6D" w14:textId="61B8844F" w:rsidR="00FB5AE2" w:rsidRPr="00FB5AE2" w:rsidRDefault="00FB5AE2" w:rsidP="00FB5AE2">
            <w:pPr>
              <w:jc w:val="right"/>
              <w:rPr>
                <w:b/>
                <w:bCs w:val="0"/>
                <w:highlight w:val="yellow"/>
              </w:rPr>
            </w:pPr>
            <w:r w:rsidRPr="00FB5AE2">
              <w:rPr>
                <w:b/>
                <w:bCs w:val="0"/>
                <w:color w:val="000000"/>
              </w:rPr>
              <w:t>0.004</w:t>
            </w:r>
          </w:p>
        </w:tc>
        <w:tc>
          <w:tcPr>
            <w:tcW w:w="2160" w:type="dxa"/>
            <w:tcBorders>
              <w:bottom w:val="single" w:sz="4" w:space="0" w:color="auto"/>
            </w:tcBorders>
            <w:noWrap/>
            <w:vAlign w:val="bottom"/>
            <w:hideMark/>
          </w:tcPr>
          <w:p w14:paraId="79C09284" w14:textId="366EB533" w:rsidR="00FB5AE2" w:rsidRPr="00FB5AE2" w:rsidRDefault="00FB5AE2" w:rsidP="00FB5AE2">
            <w:pPr>
              <w:jc w:val="right"/>
              <w:rPr>
                <w:b/>
                <w:bCs w:val="0"/>
                <w:highlight w:val="yellow"/>
              </w:rPr>
            </w:pPr>
            <w:r w:rsidRPr="00FB5AE2">
              <w:rPr>
                <w:b/>
                <w:bCs w:val="0"/>
                <w:color w:val="000000"/>
              </w:rPr>
              <w:t>[-8.424, -1.686]</w:t>
            </w:r>
          </w:p>
        </w:tc>
      </w:tr>
      <w:tr w:rsidR="00FB5AE2" w:rsidRPr="00025211" w14:paraId="4A78A972" w14:textId="77777777" w:rsidTr="00FB5AE2">
        <w:trPr>
          <w:trHeight w:val="320"/>
        </w:trPr>
        <w:tc>
          <w:tcPr>
            <w:tcW w:w="805" w:type="dxa"/>
            <w:vMerge w:val="restart"/>
            <w:tcBorders>
              <w:top w:val="single" w:sz="4" w:space="0" w:color="auto"/>
            </w:tcBorders>
            <w:noWrap/>
            <w:vAlign w:val="center"/>
            <w:hideMark/>
          </w:tcPr>
          <w:p w14:paraId="067A07B2" w14:textId="77777777" w:rsidR="00FB5AE2" w:rsidRPr="00025211" w:rsidRDefault="00FB5AE2" w:rsidP="00FB5AE2">
            <w:pPr>
              <w:rPr>
                <w:vertAlign w:val="subscript"/>
              </w:rPr>
            </w:pPr>
            <w:proofErr w:type="spellStart"/>
            <w:r>
              <w:rPr>
                <w:i/>
                <w:iCs/>
              </w:rPr>
              <w:t>N</w:t>
            </w:r>
            <w:r>
              <w:rPr>
                <w:vertAlign w:val="subscript"/>
              </w:rPr>
              <w:t>mass</w:t>
            </w:r>
            <w:proofErr w:type="spellEnd"/>
          </w:p>
        </w:tc>
        <w:tc>
          <w:tcPr>
            <w:tcW w:w="1096" w:type="dxa"/>
            <w:tcBorders>
              <w:top w:val="single" w:sz="4" w:space="0" w:color="auto"/>
            </w:tcBorders>
            <w:noWrap/>
            <w:vAlign w:val="center"/>
            <w:hideMark/>
          </w:tcPr>
          <w:p w14:paraId="1285E0CE" w14:textId="77777777" w:rsidR="00FB5AE2" w:rsidRPr="00025211" w:rsidRDefault="00FB5AE2" w:rsidP="00FB5AE2">
            <w:r>
              <w:t>N</w:t>
            </w:r>
          </w:p>
        </w:tc>
        <w:tc>
          <w:tcPr>
            <w:tcW w:w="576" w:type="dxa"/>
            <w:vMerge w:val="restart"/>
            <w:tcBorders>
              <w:top w:val="single" w:sz="4" w:space="0" w:color="auto"/>
            </w:tcBorders>
            <w:noWrap/>
            <w:vAlign w:val="center"/>
            <w:hideMark/>
          </w:tcPr>
          <w:p w14:paraId="350DE799" w14:textId="77777777" w:rsidR="00FB5AE2" w:rsidRPr="00025211" w:rsidRDefault="00FB5AE2" w:rsidP="00FB5AE2">
            <w:pPr>
              <w:jc w:val="center"/>
            </w:pPr>
            <w:r w:rsidRPr="00025211">
              <w:t>139</w:t>
            </w:r>
          </w:p>
        </w:tc>
        <w:tc>
          <w:tcPr>
            <w:tcW w:w="1668" w:type="dxa"/>
            <w:tcBorders>
              <w:top w:val="single" w:sz="4" w:space="0" w:color="auto"/>
            </w:tcBorders>
            <w:noWrap/>
            <w:vAlign w:val="bottom"/>
            <w:hideMark/>
          </w:tcPr>
          <w:p w14:paraId="717AAB3A" w14:textId="5209C304" w:rsidR="00FB5AE2" w:rsidRPr="00FB5AE2" w:rsidRDefault="00FB5AE2" w:rsidP="00FB5AE2">
            <w:pPr>
              <w:jc w:val="right"/>
              <w:rPr>
                <w:b/>
                <w:bCs w:val="0"/>
                <w:highlight w:val="yellow"/>
              </w:rPr>
            </w:pPr>
            <w:r w:rsidRPr="00FB5AE2">
              <w:rPr>
                <w:b/>
                <w:bCs w:val="0"/>
                <w:color w:val="000000"/>
              </w:rPr>
              <w:t>13.202±2.122</w:t>
            </w:r>
          </w:p>
        </w:tc>
        <w:tc>
          <w:tcPr>
            <w:tcW w:w="1080" w:type="dxa"/>
            <w:tcBorders>
              <w:top w:val="single" w:sz="4" w:space="0" w:color="auto"/>
            </w:tcBorders>
            <w:noWrap/>
            <w:vAlign w:val="bottom"/>
            <w:hideMark/>
          </w:tcPr>
          <w:p w14:paraId="0A07B753" w14:textId="0DE6044A" w:rsidR="00FB5AE2" w:rsidRPr="00FB5AE2" w:rsidRDefault="00FB5AE2" w:rsidP="00FB5AE2">
            <w:pPr>
              <w:jc w:val="right"/>
              <w:rPr>
                <w:b/>
                <w:bCs w:val="0"/>
                <w:highlight w:val="yellow"/>
              </w:rPr>
            </w:pPr>
            <w:r w:rsidRPr="00FB5AE2">
              <w:rPr>
                <w:b/>
                <w:bCs w:val="0"/>
                <w:color w:val="000000"/>
              </w:rPr>
              <w:t>5.937</w:t>
            </w:r>
          </w:p>
        </w:tc>
        <w:tc>
          <w:tcPr>
            <w:tcW w:w="990" w:type="dxa"/>
            <w:tcBorders>
              <w:top w:val="single" w:sz="4" w:space="0" w:color="auto"/>
            </w:tcBorders>
            <w:noWrap/>
            <w:vAlign w:val="bottom"/>
            <w:hideMark/>
          </w:tcPr>
          <w:p w14:paraId="6510AA2A" w14:textId="31D7DAA1" w:rsidR="00FB5AE2" w:rsidRPr="00FB5AE2" w:rsidRDefault="00FB5AE2" w:rsidP="00FB5AE2">
            <w:pPr>
              <w:jc w:val="right"/>
              <w:rPr>
                <w:b/>
                <w:bCs w:val="0"/>
                <w:highlight w:val="yellow"/>
              </w:rPr>
            </w:pPr>
            <w:r w:rsidRPr="00FB5AE2">
              <w:rPr>
                <w:b/>
                <w:bCs w:val="0"/>
                <w:color w:val="000000"/>
              </w:rPr>
              <w:t>&lt;0.001</w:t>
            </w:r>
          </w:p>
        </w:tc>
        <w:tc>
          <w:tcPr>
            <w:tcW w:w="2160" w:type="dxa"/>
            <w:tcBorders>
              <w:top w:val="single" w:sz="4" w:space="0" w:color="auto"/>
            </w:tcBorders>
            <w:noWrap/>
            <w:vAlign w:val="bottom"/>
            <w:hideMark/>
          </w:tcPr>
          <w:p w14:paraId="4B5D043E" w14:textId="7E15FE9B" w:rsidR="00FB5AE2" w:rsidRPr="00FB5AE2" w:rsidRDefault="00FB5AE2" w:rsidP="00FB5AE2">
            <w:pPr>
              <w:jc w:val="right"/>
              <w:rPr>
                <w:b/>
                <w:bCs w:val="0"/>
                <w:highlight w:val="yellow"/>
              </w:rPr>
            </w:pPr>
            <w:r w:rsidRPr="00FB5AE2">
              <w:rPr>
                <w:b/>
                <w:bCs w:val="0"/>
                <w:color w:val="000000"/>
              </w:rPr>
              <w:t>[8.654, 17.939]</w:t>
            </w:r>
          </w:p>
        </w:tc>
      </w:tr>
      <w:tr w:rsidR="00FB5AE2" w:rsidRPr="00025211" w14:paraId="7282B8D1" w14:textId="77777777" w:rsidTr="00FB5AE2">
        <w:trPr>
          <w:trHeight w:val="320"/>
        </w:trPr>
        <w:tc>
          <w:tcPr>
            <w:tcW w:w="805" w:type="dxa"/>
            <w:vMerge/>
            <w:vAlign w:val="center"/>
            <w:hideMark/>
          </w:tcPr>
          <w:p w14:paraId="12095BF9" w14:textId="77777777" w:rsidR="00FB5AE2" w:rsidRPr="00025211" w:rsidRDefault="00FB5AE2" w:rsidP="00FB5AE2"/>
        </w:tc>
        <w:tc>
          <w:tcPr>
            <w:tcW w:w="1096" w:type="dxa"/>
            <w:noWrap/>
            <w:vAlign w:val="center"/>
            <w:hideMark/>
          </w:tcPr>
          <w:p w14:paraId="0C1A25F8" w14:textId="77777777" w:rsidR="00FB5AE2" w:rsidRPr="00025211" w:rsidRDefault="00FB5AE2" w:rsidP="00FB5AE2">
            <w:r>
              <w:t>P</w:t>
            </w:r>
          </w:p>
        </w:tc>
        <w:tc>
          <w:tcPr>
            <w:tcW w:w="576" w:type="dxa"/>
            <w:vMerge/>
            <w:vAlign w:val="center"/>
            <w:hideMark/>
          </w:tcPr>
          <w:p w14:paraId="622F4BA5" w14:textId="77777777" w:rsidR="00FB5AE2" w:rsidRPr="00025211" w:rsidRDefault="00FB5AE2" w:rsidP="00FB5AE2">
            <w:pPr>
              <w:jc w:val="center"/>
            </w:pPr>
          </w:p>
        </w:tc>
        <w:tc>
          <w:tcPr>
            <w:tcW w:w="1668" w:type="dxa"/>
            <w:noWrap/>
            <w:vAlign w:val="bottom"/>
            <w:hideMark/>
          </w:tcPr>
          <w:p w14:paraId="4B75EDC1" w14:textId="7E0EDF60" w:rsidR="00FB5AE2" w:rsidRPr="00FB5AE2" w:rsidRDefault="00FB5AE2" w:rsidP="00FB5AE2">
            <w:pPr>
              <w:jc w:val="right"/>
              <w:rPr>
                <w:highlight w:val="yellow"/>
              </w:rPr>
            </w:pPr>
            <w:r w:rsidRPr="00FB5AE2">
              <w:rPr>
                <w:color w:val="000000"/>
              </w:rPr>
              <w:t>-0.2</w:t>
            </w:r>
            <w:r>
              <w:rPr>
                <w:color w:val="000000"/>
              </w:rPr>
              <w:t>00</w:t>
            </w:r>
            <w:r w:rsidRPr="00FB5AE2">
              <w:rPr>
                <w:color w:val="000000"/>
              </w:rPr>
              <w:t>±1.207</w:t>
            </w:r>
          </w:p>
        </w:tc>
        <w:tc>
          <w:tcPr>
            <w:tcW w:w="1080" w:type="dxa"/>
            <w:noWrap/>
            <w:vAlign w:val="bottom"/>
            <w:hideMark/>
          </w:tcPr>
          <w:p w14:paraId="062EE5C6" w14:textId="16DCFD8A" w:rsidR="00FB5AE2" w:rsidRPr="00FB5AE2" w:rsidRDefault="00FB5AE2" w:rsidP="00FB5AE2">
            <w:pPr>
              <w:jc w:val="right"/>
              <w:rPr>
                <w:highlight w:val="yellow"/>
              </w:rPr>
            </w:pPr>
            <w:r w:rsidRPr="00FB5AE2">
              <w:rPr>
                <w:color w:val="000000"/>
              </w:rPr>
              <w:t>-0.127</w:t>
            </w:r>
          </w:p>
        </w:tc>
        <w:tc>
          <w:tcPr>
            <w:tcW w:w="990" w:type="dxa"/>
            <w:noWrap/>
            <w:vAlign w:val="bottom"/>
            <w:hideMark/>
          </w:tcPr>
          <w:p w14:paraId="50319C8B" w14:textId="48355180" w:rsidR="00FB5AE2" w:rsidRPr="00FB5AE2" w:rsidRDefault="00FB5AE2" w:rsidP="00FB5AE2">
            <w:pPr>
              <w:jc w:val="right"/>
              <w:rPr>
                <w:highlight w:val="yellow"/>
              </w:rPr>
            </w:pPr>
            <w:r w:rsidRPr="00FB5AE2">
              <w:rPr>
                <w:color w:val="000000"/>
              </w:rPr>
              <w:t>0.899</w:t>
            </w:r>
          </w:p>
        </w:tc>
        <w:tc>
          <w:tcPr>
            <w:tcW w:w="2160" w:type="dxa"/>
            <w:noWrap/>
            <w:vAlign w:val="bottom"/>
            <w:hideMark/>
          </w:tcPr>
          <w:p w14:paraId="1A4F6281" w14:textId="125FF96A" w:rsidR="00FB5AE2" w:rsidRPr="00FB5AE2" w:rsidRDefault="00FB5AE2" w:rsidP="00FB5AE2">
            <w:pPr>
              <w:jc w:val="right"/>
              <w:rPr>
                <w:highlight w:val="yellow"/>
              </w:rPr>
            </w:pPr>
            <w:r w:rsidRPr="00FB5AE2">
              <w:rPr>
                <w:color w:val="000000"/>
              </w:rPr>
              <w:t>[-2.469, 2.224]</w:t>
            </w:r>
          </w:p>
        </w:tc>
      </w:tr>
      <w:tr w:rsidR="00FB5AE2" w:rsidRPr="00025211" w14:paraId="3148907D" w14:textId="77777777" w:rsidTr="00FB5AE2">
        <w:trPr>
          <w:trHeight w:val="320"/>
        </w:trPr>
        <w:tc>
          <w:tcPr>
            <w:tcW w:w="805" w:type="dxa"/>
            <w:vMerge/>
            <w:tcBorders>
              <w:bottom w:val="single" w:sz="4" w:space="0" w:color="auto"/>
            </w:tcBorders>
            <w:vAlign w:val="center"/>
            <w:hideMark/>
          </w:tcPr>
          <w:p w14:paraId="1BF90E7B" w14:textId="77777777" w:rsidR="00FB5AE2" w:rsidRPr="00025211" w:rsidRDefault="00FB5AE2" w:rsidP="00FB5AE2"/>
        </w:tc>
        <w:tc>
          <w:tcPr>
            <w:tcW w:w="1096" w:type="dxa"/>
            <w:tcBorders>
              <w:bottom w:val="single" w:sz="4" w:space="0" w:color="auto"/>
            </w:tcBorders>
            <w:noWrap/>
            <w:vAlign w:val="center"/>
            <w:hideMark/>
          </w:tcPr>
          <w:p w14:paraId="3CAD5562" w14:textId="77777777" w:rsidR="00FB5AE2" w:rsidRPr="00025211" w:rsidRDefault="00FB5AE2" w:rsidP="00FB5AE2">
            <w:r>
              <w:t>N+P</w:t>
            </w:r>
          </w:p>
        </w:tc>
        <w:tc>
          <w:tcPr>
            <w:tcW w:w="576" w:type="dxa"/>
            <w:vMerge/>
            <w:tcBorders>
              <w:bottom w:val="single" w:sz="4" w:space="0" w:color="auto"/>
            </w:tcBorders>
            <w:vAlign w:val="center"/>
            <w:hideMark/>
          </w:tcPr>
          <w:p w14:paraId="60B15C21" w14:textId="77777777" w:rsidR="00FB5AE2" w:rsidRPr="00025211" w:rsidRDefault="00FB5AE2" w:rsidP="00FB5AE2">
            <w:pPr>
              <w:jc w:val="center"/>
            </w:pPr>
          </w:p>
        </w:tc>
        <w:tc>
          <w:tcPr>
            <w:tcW w:w="1668" w:type="dxa"/>
            <w:tcBorders>
              <w:bottom w:val="single" w:sz="4" w:space="0" w:color="auto"/>
            </w:tcBorders>
            <w:noWrap/>
            <w:vAlign w:val="bottom"/>
            <w:hideMark/>
          </w:tcPr>
          <w:p w14:paraId="0F283B6D" w14:textId="742C8A5D" w:rsidR="00FB5AE2" w:rsidRPr="00FB5AE2" w:rsidRDefault="00FB5AE2" w:rsidP="00FB5AE2">
            <w:pPr>
              <w:jc w:val="right"/>
              <w:rPr>
                <w:b/>
                <w:bCs w:val="0"/>
                <w:highlight w:val="yellow"/>
              </w:rPr>
            </w:pPr>
            <w:r w:rsidRPr="00FB5AE2">
              <w:rPr>
                <w:b/>
                <w:bCs w:val="0"/>
                <w:color w:val="000000"/>
              </w:rPr>
              <w:t>12.524±2.224</w:t>
            </w:r>
          </w:p>
        </w:tc>
        <w:tc>
          <w:tcPr>
            <w:tcW w:w="1080" w:type="dxa"/>
            <w:tcBorders>
              <w:bottom w:val="single" w:sz="4" w:space="0" w:color="auto"/>
            </w:tcBorders>
            <w:noWrap/>
            <w:vAlign w:val="bottom"/>
            <w:hideMark/>
          </w:tcPr>
          <w:p w14:paraId="157C8B7C" w14:textId="326E751C" w:rsidR="00FB5AE2" w:rsidRPr="00FB5AE2" w:rsidRDefault="00FB5AE2" w:rsidP="00FB5AE2">
            <w:pPr>
              <w:jc w:val="right"/>
              <w:rPr>
                <w:b/>
                <w:bCs w:val="0"/>
                <w:highlight w:val="yellow"/>
              </w:rPr>
            </w:pPr>
            <w:r w:rsidRPr="00FB5AE2">
              <w:rPr>
                <w:b/>
                <w:bCs w:val="0"/>
                <w:color w:val="000000"/>
              </w:rPr>
              <w:t>5.462</w:t>
            </w:r>
          </w:p>
        </w:tc>
        <w:tc>
          <w:tcPr>
            <w:tcW w:w="990" w:type="dxa"/>
            <w:tcBorders>
              <w:bottom w:val="single" w:sz="4" w:space="0" w:color="auto"/>
            </w:tcBorders>
            <w:noWrap/>
            <w:vAlign w:val="bottom"/>
            <w:hideMark/>
          </w:tcPr>
          <w:p w14:paraId="65FFC114" w14:textId="65E8575E" w:rsidR="00FB5AE2" w:rsidRPr="00FB5AE2" w:rsidRDefault="00FB5AE2" w:rsidP="00FB5AE2">
            <w:pPr>
              <w:jc w:val="right"/>
              <w:rPr>
                <w:b/>
                <w:bCs w:val="0"/>
                <w:highlight w:val="yellow"/>
              </w:rPr>
            </w:pPr>
            <w:r w:rsidRPr="00FB5AE2">
              <w:rPr>
                <w:b/>
                <w:bCs w:val="0"/>
                <w:color w:val="000000"/>
              </w:rPr>
              <w:t>&lt;0.001</w:t>
            </w:r>
          </w:p>
        </w:tc>
        <w:tc>
          <w:tcPr>
            <w:tcW w:w="2160" w:type="dxa"/>
            <w:tcBorders>
              <w:bottom w:val="single" w:sz="4" w:space="0" w:color="auto"/>
            </w:tcBorders>
            <w:noWrap/>
            <w:vAlign w:val="bottom"/>
            <w:hideMark/>
          </w:tcPr>
          <w:p w14:paraId="1F9EFC7A" w14:textId="45C7AA58" w:rsidR="00FB5AE2" w:rsidRPr="00FB5AE2" w:rsidRDefault="00FB5AE2" w:rsidP="00FB5AE2">
            <w:pPr>
              <w:jc w:val="right"/>
              <w:rPr>
                <w:b/>
                <w:bCs w:val="0"/>
                <w:highlight w:val="yellow"/>
              </w:rPr>
            </w:pPr>
            <w:r w:rsidRPr="00FB5AE2">
              <w:rPr>
                <w:b/>
                <w:bCs w:val="0"/>
                <w:color w:val="000000"/>
              </w:rPr>
              <w:t>[7.788, 17.351]</w:t>
            </w:r>
          </w:p>
        </w:tc>
      </w:tr>
      <w:tr w:rsidR="00FB5AE2" w:rsidRPr="00025211" w14:paraId="168CBC7A" w14:textId="77777777" w:rsidTr="00FB5AE2">
        <w:trPr>
          <w:trHeight w:val="320"/>
        </w:trPr>
        <w:tc>
          <w:tcPr>
            <w:tcW w:w="805" w:type="dxa"/>
            <w:vMerge w:val="restart"/>
            <w:tcBorders>
              <w:top w:val="single" w:sz="4" w:space="0" w:color="auto"/>
            </w:tcBorders>
            <w:noWrap/>
            <w:vAlign w:val="center"/>
            <w:hideMark/>
          </w:tcPr>
          <w:p w14:paraId="47DBDFC7" w14:textId="77777777" w:rsidR="00FB5AE2" w:rsidRPr="00025211" w:rsidRDefault="00FB5AE2" w:rsidP="00FB5AE2">
            <w:r>
              <w:rPr>
                <w:i/>
                <w:iCs/>
              </w:rPr>
              <w:t>N</w:t>
            </w:r>
            <w:r>
              <w:rPr>
                <w:vertAlign w:val="subscript"/>
              </w:rPr>
              <w:t>area</w:t>
            </w:r>
          </w:p>
        </w:tc>
        <w:tc>
          <w:tcPr>
            <w:tcW w:w="1096" w:type="dxa"/>
            <w:tcBorders>
              <w:top w:val="single" w:sz="4" w:space="0" w:color="auto"/>
            </w:tcBorders>
            <w:noWrap/>
            <w:vAlign w:val="center"/>
            <w:hideMark/>
          </w:tcPr>
          <w:p w14:paraId="5924C35D" w14:textId="77777777" w:rsidR="00FB5AE2" w:rsidRPr="00025211" w:rsidRDefault="00FB5AE2" w:rsidP="00FB5AE2">
            <w:r>
              <w:t>N</w:t>
            </w:r>
          </w:p>
        </w:tc>
        <w:tc>
          <w:tcPr>
            <w:tcW w:w="576" w:type="dxa"/>
            <w:vMerge w:val="restart"/>
            <w:tcBorders>
              <w:top w:val="single" w:sz="4" w:space="0" w:color="auto"/>
            </w:tcBorders>
            <w:noWrap/>
            <w:vAlign w:val="center"/>
            <w:hideMark/>
          </w:tcPr>
          <w:p w14:paraId="72679A1A" w14:textId="43475986" w:rsidR="00FB5AE2" w:rsidRPr="00025211" w:rsidRDefault="00FB5AE2" w:rsidP="00FB5AE2">
            <w:pPr>
              <w:jc w:val="center"/>
            </w:pPr>
            <w:r w:rsidRPr="00025211">
              <w:t>8</w:t>
            </w:r>
            <w:r>
              <w:t>7</w:t>
            </w:r>
          </w:p>
        </w:tc>
        <w:tc>
          <w:tcPr>
            <w:tcW w:w="1668" w:type="dxa"/>
            <w:tcBorders>
              <w:top w:val="single" w:sz="4" w:space="0" w:color="auto"/>
            </w:tcBorders>
            <w:noWrap/>
            <w:vAlign w:val="bottom"/>
            <w:hideMark/>
          </w:tcPr>
          <w:p w14:paraId="0B8FD70D" w14:textId="7EEBCFB6" w:rsidR="00FB5AE2" w:rsidRPr="00FB5AE2" w:rsidRDefault="00FB5AE2" w:rsidP="00FB5AE2">
            <w:pPr>
              <w:jc w:val="right"/>
              <w:rPr>
                <w:b/>
                <w:bCs w:val="0"/>
                <w:highlight w:val="yellow"/>
              </w:rPr>
            </w:pPr>
            <w:r w:rsidRPr="00FB5AE2">
              <w:rPr>
                <w:color w:val="000000"/>
              </w:rPr>
              <w:t>13.428±4.081</w:t>
            </w:r>
          </w:p>
        </w:tc>
        <w:tc>
          <w:tcPr>
            <w:tcW w:w="1080" w:type="dxa"/>
            <w:tcBorders>
              <w:top w:val="single" w:sz="4" w:space="0" w:color="auto"/>
            </w:tcBorders>
            <w:noWrap/>
            <w:vAlign w:val="bottom"/>
            <w:hideMark/>
          </w:tcPr>
          <w:p w14:paraId="2839CE16" w14:textId="69984C82" w:rsidR="00FB5AE2" w:rsidRPr="00FB5AE2" w:rsidRDefault="00FB5AE2" w:rsidP="00FB5AE2">
            <w:pPr>
              <w:jc w:val="right"/>
              <w:rPr>
                <w:b/>
                <w:bCs w:val="0"/>
                <w:highlight w:val="yellow"/>
              </w:rPr>
            </w:pPr>
            <w:r w:rsidRPr="00FB5AE2">
              <w:rPr>
                <w:b/>
                <w:bCs w:val="0"/>
                <w:color w:val="000000"/>
              </w:rPr>
              <w:t>3.164</w:t>
            </w:r>
          </w:p>
        </w:tc>
        <w:tc>
          <w:tcPr>
            <w:tcW w:w="990" w:type="dxa"/>
            <w:tcBorders>
              <w:top w:val="single" w:sz="4" w:space="0" w:color="auto"/>
            </w:tcBorders>
            <w:noWrap/>
            <w:vAlign w:val="bottom"/>
            <w:hideMark/>
          </w:tcPr>
          <w:p w14:paraId="4CA3FCF4" w14:textId="53C1F54E" w:rsidR="00FB5AE2" w:rsidRPr="00FB5AE2" w:rsidRDefault="00FB5AE2" w:rsidP="00FB5AE2">
            <w:pPr>
              <w:jc w:val="right"/>
              <w:rPr>
                <w:b/>
                <w:bCs w:val="0"/>
                <w:highlight w:val="yellow"/>
              </w:rPr>
            </w:pPr>
            <w:r w:rsidRPr="00FB5AE2">
              <w:rPr>
                <w:b/>
                <w:bCs w:val="0"/>
                <w:color w:val="000000"/>
              </w:rPr>
              <w:t>0.002</w:t>
            </w:r>
          </w:p>
        </w:tc>
        <w:tc>
          <w:tcPr>
            <w:tcW w:w="2160" w:type="dxa"/>
            <w:tcBorders>
              <w:top w:val="single" w:sz="4" w:space="0" w:color="auto"/>
            </w:tcBorders>
            <w:noWrap/>
            <w:vAlign w:val="bottom"/>
            <w:hideMark/>
          </w:tcPr>
          <w:p w14:paraId="4A2C0A1C" w14:textId="384B51FE" w:rsidR="00FB5AE2" w:rsidRPr="00FB5AE2" w:rsidRDefault="00FB5AE2" w:rsidP="00FB5AE2">
            <w:pPr>
              <w:jc w:val="right"/>
              <w:rPr>
                <w:b/>
                <w:bCs w:val="0"/>
                <w:highlight w:val="yellow"/>
              </w:rPr>
            </w:pPr>
            <w:r w:rsidRPr="00FB5AE2">
              <w:rPr>
                <w:b/>
                <w:bCs w:val="0"/>
                <w:color w:val="000000"/>
              </w:rPr>
              <w:t>[4.917, 22.630]</w:t>
            </w:r>
          </w:p>
        </w:tc>
      </w:tr>
      <w:tr w:rsidR="00FB5AE2" w:rsidRPr="00025211" w14:paraId="100BD2AA" w14:textId="77777777" w:rsidTr="00FB5AE2">
        <w:trPr>
          <w:trHeight w:val="320"/>
        </w:trPr>
        <w:tc>
          <w:tcPr>
            <w:tcW w:w="805" w:type="dxa"/>
            <w:vMerge/>
            <w:vAlign w:val="center"/>
            <w:hideMark/>
          </w:tcPr>
          <w:p w14:paraId="302741CE" w14:textId="77777777" w:rsidR="00FB5AE2" w:rsidRPr="00025211" w:rsidRDefault="00FB5AE2" w:rsidP="00FB5AE2"/>
        </w:tc>
        <w:tc>
          <w:tcPr>
            <w:tcW w:w="1096" w:type="dxa"/>
            <w:noWrap/>
            <w:vAlign w:val="center"/>
            <w:hideMark/>
          </w:tcPr>
          <w:p w14:paraId="6D143920" w14:textId="77777777" w:rsidR="00FB5AE2" w:rsidRPr="00025211" w:rsidRDefault="00FB5AE2" w:rsidP="00FB5AE2">
            <w:r>
              <w:t>P</w:t>
            </w:r>
          </w:p>
        </w:tc>
        <w:tc>
          <w:tcPr>
            <w:tcW w:w="576" w:type="dxa"/>
            <w:vMerge/>
            <w:vAlign w:val="center"/>
            <w:hideMark/>
          </w:tcPr>
          <w:p w14:paraId="3BE070CB" w14:textId="77777777" w:rsidR="00FB5AE2" w:rsidRPr="00025211" w:rsidRDefault="00FB5AE2" w:rsidP="00FB5AE2">
            <w:pPr>
              <w:jc w:val="center"/>
            </w:pPr>
          </w:p>
        </w:tc>
        <w:tc>
          <w:tcPr>
            <w:tcW w:w="1668" w:type="dxa"/>
            <w:noWrap/>
            <w:vAlign w:val="bottom"/>
            <w:hideMark/>
          </w:tcPr>
          <w:p w14:paraId="2C53F271" w14:textId="20DDEA25" w:rsidR="00FB5AE2" w:rsidRPr="00FB5AE2" w:rsidRDefault="00FB5AE2" w:rsidP="00FB5AE2">
            <w:pPr>
              <w:jc w:val="right"/>
              <w:rPr>
                <w:highlight w:val="yellow"/>
              </w:rPr>
            </w:pPr>
            <w:r w:rsidRPr="00FB5AE2">
              <w:rPr>
                <w:color w:val="000000"/>
              </w:rPr>
              <w:t>3.045±3.977</w:t>
            </w:r>
          </w:p>
        </w:tc>
        <w:tc>
          <w:tcPr>
            <w:tcW w:w="1080" w:type="dxa"/>
            <w:noWrap/>
            <w:vAlign w:val="bottom"/>
            <w:hideMark/>
          </w:tcPr>
          <w:p w14:paraId="2B889299" w14:textId="5A9AECE0" w:rsidR="00FB5AE2" w:rsidRPr="00FB5AE2" w:rsidRDefault="00FB5AE2" w:rsidP="00FB5AE2">
            <w:pPr>
              <w:jc w:val="right"/>
              <w:rPr>
                <w:highlight w:val="yellow"/>
              </w:rPr>
            </w:pPr>
            <w:r w:rsidRPr="00FB5AE2">
              <w:rPr>
                <w:color w:val="000000"/>
              </w:rPr>
              <w:t>0.771</w:t>
            </w:r>
          </w:p>
        </w:tc>
        <w:tc>
          <w:tcPr>
            <w:tcW w:w="990" w:type="dxa"/>
            <w:noWrap/>
            <w:vAlign w:val="bottom"/>
            <w:hideMark/>
          </w:tcPr>
          <w:p w14:paraId="316CBE3E" w14:textId="7A50D102" w:rsidR="00FB5AE2" w:rsidRPr="00FB5AE2" w:rsidRDefault="00FB5AE2" w:rsidP="00FB5AE2">
            <w:pPr>
              <w:jc w:val="right"/>
              <w:rPr>
                <w:highlight w:val="yellow"/>
              </w:rPr>
            </w:pPr>
            <w:r w:rsidRPr="00FB5AE2">
              <w:rPr>
                <w:color w:val="000000"/>
              </w:rPr>
              <w:t>0.441</w:t>
            </w:r>
          </w:p>
        </w:tc>
        <w:tc>
          <w:tcPr>
            <w:tcW w:w="2160" w:type="dxa"/>
            <w:noWrap/>
            <w:vAlign w:val="bottom"/>
            <w:hideMark/>
          </w:tcPr>
          <w:p w14:paraId="33CB0F04" w14:textId="278BE0D7" w:rsidR="00FB5AE2" w:rsidRPr="00FB5AE2" w:rsidRDefault="00FB5AE2" w:rsidP="00FB5AE2">
            <w:pPr>
              <w:jc w:val="right"/>
              <w:rPr>
                <w:highlight w:val="yellow"/>
              </w:rPr>
            </w:pPr>
            <w:r w:rsidRPr="00FB5AE2">
              <w:rPr>
                <w:color w:val="000000"/>
              </w:rPr>
              <w:t>[-4.591, 11.405]</w:t>
            </w:r>
          </w:p>
        </w:tc>
      </w:tr>
      <w:tr w:rsidR="00FB5AE2" w:rsidRPr="00025211" w14:paraId="45D8926F" w14:textId="77777777" w:rsidTr="00FB5AE2">
        <w:trPr>
          <w:trHeight w:val="320"/>
        </w:trPr>
        <w:tc>
          <w:tcPr>
            <w:tcW w:w="805" w:type="dxa"/>
            <w:vMerge/>
            <w:tcBorders>
              <w:bottom w:val="single" w:sz="4" w:space="0" w:color="auto"/>
            </w:tcBorders>
            <w:vAlign w:val="center"/>
            <w:hideMark/>
          </w:tcPr>
          <w:p w14:paraId="309D7ECD" w14:textId="77777777" w:rsidR="00FB5AE2" w:rsidRPr="00025211" w:rsidRDefault="00FB5AE2" w:rsidP="00FB5AE2"/>
        </w:tc>
        <w:tc>
          <w:tcPr>
            <w:tcW w:w="1096" w:type="dxa"/>
            <w:tcBorders>
              <w:bottom w:val="single" w:sz="4" w:space="0" w:color="auto"/>
            </w:tcBorders>
            <w:noWrap/>
            <w:vAlign w:val="center"/>
            <w:hideMark/>
          </w:tcPr>
          <w:p w14:paraId="25165D69" w14:textId="77777777" w:rsidR="00FB5AE2" w:rsidRPr="00025211" w:rsidRDefault="00FB5AE2" w:rsidP="00FB5AE2">
            <w:r>
              <w:t>N+P</w:t>
            </w:r>
          </w:p>
        </w:tc>
        <w:tc>
          <w:tcPr>
            <w:tcW w:w="576" w:type="dxa"/>
            <w:vMerge/>
            <w:tcBorders>
              <w:bottom w:val="single" w:sz="4" w:space="0" w:color="auto"/>
            </w:tcBorders>
            <w:vAlign w:val="center"/>
            <w:hideMark/>
          </w:tcPr>
          <w:p w14:paraId="660A3DF0" w14:textId="77777777" w:rsidR="00FB5AE2" w:rsidRPr="00025211" w:rsidRDefault="00FB5AE2" w:rsidP="00FB5AE2">
            <w:pPr>
              <w:jc w:val="center"/>
            </w:pPr>
          </w:p>
        </w:tc>
        <w:tc>
          <w:tcPr>
            <w:tcW w:w="1668" w:type="dxa"/>
            <w:tcBorders>
              <w:bottom w:val="single" w:sz="4" w:space="0" w:color="auto"/>
            </w:tcBorders>
            <w:noWrap/>
            <w:vAlign w:val="bottom"/>
            <w:hideMark/>
          </w:tcPr>
          <w:p w14:paraId="31F71441" w14:textId="628A0BF1" w:rsidR="00FB5AE2" w:rsidRPr="00FB5AE2" w:rsidRDefault="00FB5AE2" w:rsidP="00FB5AE2">
            <w:pPr>
              <w:jc w:val="right"/>
              <w:rPr>
                <w:b/>
                <w:bCs w:val="0"/>
                <w:highlight w:val="yellow"/>
              </w:rPr>
            </w:pPr>
            <w:r w:rsidRPr="00FB5AE2">
              <w:rPr>
                <w:color w:val="000000"/>
              </w:rPr>
              <w:t>16.649±3.458</w:t>
            </w:r>
          </w:p>
        </w:tc>
        <w:tc>
          <w:tcPr>
            <w:tcW w:w="1080" w:type="dxa"/>
            <w:tcBorders>
              <w:bottom w:val="single" w:sz="4" w:space="0" w:color="auto"/>
            </w:tcBorders>
            <w:noWrap/>
            <w:vAlign w:val="bottom"/>
            <w:hideMark/>
          </w:tcPr>
          <w:p w14:paraId="6ED0C2F3" w14:textId="0798D90B" w:rsidR="00FB5AE2" w:rsidRPr="00FB5AE2" w:rsidRDefault="00FB5AE2" w:rsidP="00FB5AE2">
            <w:pPr>
              <w:jc w:val="right"/>
              <w:rPr>
                <w:b/>
                <w:bCs w:val="0"/>
                <w:highlight w:val="yellow"/>
              </w:rPr>
            </w:pPr>
            <w:r w:rsidRPr="00FB5AE2">
              <w:rPr>
                <w:b/>
                <w:bCs w:val="0"/>
                <w:color w:val="000000"/>
              </w:rPr>
              <w:t>4.523</w:t>
            </w:r>
          </w:p>
        </w:tc>
        <w:tc>
          <w:tcPr>
            <w:tcW w:w="990" w:type="dxa"/>
            <w:tcBorders>
              <w:bottom w:val="single" w:sz="4" w:space="0" w:color="auto"/>
            </w:tcBorders>
            <w:noWrap/>
            <w:vAlign w:val="bottom"/>
            <w:hideMark/>
          </w:tcPr>
          <w:p w14:paraId="59D3CD1A" w14:textId="483B38B0" w:rsidR="00FB5AE2" w:rsidRPr="00FB5AE2" w:rsidRDefault="00FB5AE2" w:rsidP="00FB5AE2">
            <w:pPr>
              <w:jc w:val="right"/>
              <w:rPr>
                <w:b/>
                <w:bCs w:val="0"/>
                <w:highlight w:val="yellow"/>
              </w:rPr>
            </w:pPr>
            <w:r w:rsidRPr="00FB5AE2">
              <w:rPr>
                <w:b/>
                <w:bCs w:val="0"/>
                <w:color w:val="000000"/>
              </w:rPr>
              <w:t>&lt;0.001</w:t>
            </w:r>
          </w:p>
        </w:tc>
        <w:tc>
          <w:tcPr>
            <w:tcW w:w="2160" w:type="dxa"/>
            <w:tcBorders>
              <w:bottom w:val="single" w:sz="4" w:space="0" w:color="auto"/>
            </w:tcBorders>
            <w:noWrap/>
            <w:vAlign w:val="bottom"/>
            <w:hideMark/>
          </w:tcPr>
          <w:p w14:paraId="2D703CC8" w14:textId="4921BADC" w:rsidR="00FB5AE2" w:rsidRPr="00FB5AE2" w:rsidRDefault="00FB5AE2" w:rsidP="00FB5AE2">
            <w:pPr>
              <w:jc w:val="right"/>
              <w:rPr>
                <w:b/>
                <w:bCs w:val="0"/>
                <w:highlight w:val="yellow"/>
              </w:rPr>
            </w:pPr>
            <w:r w:rsidRPr="00FB5AE2">
              <w:rPr>
                <w:b/>
                <w:bCs w:val="0"/>
                <w:color w:val="000000"/>
              </w:rPr>
              <w:t>[9.090, 24.732]</w:t>
            </w:r>
          </w:p>
        </w:tc>
      </w:tr>
      <w:tr w:rsidR="00FB5AE2" w:rsidRPr="00025211" w14:paraId="53A93C6A" w14:textId="77777777" w:rsidTr="00FB5AE2">
        <w:trPr>
          <w:trHeight w:val="320"/>
        </w:trPr>
        <w:tc>
          <w:tcPr>
            <w:tcW w:w="805" w:type="dxa"/>
            <w:vMerge w:val="restart"/>
            <w:tcBorders>
              <w:top w:val="single" w:sz="4" w:space="0" w:color="auto"/>
            </w:tcBorders>
            <w:noWrap/>
            <w:vAlign w:val="center"/>
            <w:hideMark/>
          </w:tcPr>
          <w:p w14:paraId="207674A2" w14:textId="77777777" w:rsidR="00FB5AE2" w:rsidRPr="00025211" w:rsidRDefault="00FB5AE2" w:rsidP="00FB5AE2">
            <w:pPr>
              <w:rPr>
                <w:vertAlign w:val="subscript"/>
              </w:rPr>
            </w:pPr>
            <w:proofErr w:type="spellStart"/>
            <w:r>
              <w:rPr>
                <w:i/>
                <w:iCs/>
              </w:rPr>
              <w:t>P</w:t>
            </w:r>
            <w:r>
              <w:rPr>
                <w:vertAlign w:val="subscript"/>
              </w:rPr>
              <w:t>mass</w:t>
            </w:r>
            <w:proofErr w:type="spellEnd"/>
          </w:p>
        </w:tc>
        <w:tc>
          <w:tcPr>
            <w:tcW w:w="1096" w:type="dxa"/>
            <w:tcBorders>
              <w:top w:val="single" w:sz="4" w:space="0" w:color="auto"/>
            </w:tcBorders>
            <w:noWrap/>
            <w:vAlign w:val="center"/>
            <w:hideMark/>
          </w:tcPr>
          <w:p w14:paraId="7B652930" w14:textId="77777777" w:rsidR="00FB5AE2" w:rsidRPr="00025211" w:rsidRDefault="00FB5AE2" w:rsidP="00FB5AE2">
            <w:r>
              <w:t>N</w:t>
            </w:r>
          </w:p>
        </w:tc>
        <w:tc>
          <w:tcPr>
            <w:tcW w:w="576" w:type="dxa"/>
            <w:vMerge w:val="restart"/>
            <w:tcBorders>
              <w:top w:val="single" w:sz="4" w:space="0" w:color="auto"/>
            </w:tcBorders>
            <w:noWrap/>
            <w:vAlign w:val="center"/>
            <w:hideMark/>
          </w:tcPr>
          <w:p w14:paraId="72EA1B6F" w14:textId="77777777" w:rsidR="00FB5AE2" w:rsidRPr="00025211" w:rsidRDefault="00FB5AE2" w:rsidP="00FB5AE2">
            <w:pPr>
              <w:jc w:val="center"/>
            </w:pPr>
            <w:r w:rsidRPr="00025211">
              <w:t>133</w:t>
            </w:r>
          </w:p>
        </w:tc>
        <w:tc>
          <w:tcPr>
            <w:tcW w:w="1668" w:type="dxa"/>
            <w:tcBorders>
              <w:top w:val="single" w:sz="4" w:space="0" w:color="auto"/>
            </w:tcBorders>
            <w:noWrap/>
            <w:vAlign w:val="bottom"/>
            <w:hideMark/>
          </w:tcPr>
          <w:p w14:paraId="1A2B5B0D" w14:textId="42C875AF" w:rsidR="00FB5AE2" w:rsidRPr="00FB5AE2" w:rsidRDefault="00FB5AE2" w:rsidP="00FB5AE2">
            <w:pPr>
              <w:jc w:val="right"/>
              <w:rPr>
                <w:b/>
                <w:bCs w:val="0"/>
                <w:highlight w:val="yellow"/>
              </w:rPr>
            </w:pPr>
            <w:r w:rsidRPr="00FB5AE2">
              <w:rPr>
                <w:color w:val="000000"/>
              </w:rPr>
              <w:t>-7.226±3.252</w:t>
            </w:r>
          </w:p>
        </w:tc>
        <w:tc>
          <w:tcPr>
            <w:tcW w:w="1080" w:type="dxa"/>
            <w:tcBorders>
              <w:top w:val="single" w:sz="4" w:space="0" w:color="auto"/>
            </w:tcBorders>
            <w:noWrap/>
            <w:vAlign w:val="bottom"/>
            <w:hideMark/>
          </w:tcPr>
          <w:p w14:paraId="0C50C097" w14:textId="013BB688" w:rsidR="00FB5AE2" w:rsidRPr="00FB5AE2" w:rsidRDefault="00FB5AE2" w:rsidP="00FB5AE2">
            <w:pPr>
              <w:jc w:val="right"/>
              <w:rPr>
                <w:b/>
                <w:bCs w:val="0"/>
                <w:highlight w:val="yellow"/>
              </w:rPr>
            </w:pPr>
            <w:r w:rsidRPr="00FB5AE2">
              <w:rPr>
                <w:b/>
                <w:bCs w:val="0"/>
                <w:color w:val="000000"/>
              </w:rPr>
              <w:t>-2.365</w:t>
            </w:r>
          </w:p>
        </w:tc>
        <w:tc>
          <w:tcPr>
            <w:tcW w:w="990" w:type="dxa"/>
            <w:tcBorders>
              <w:top w:val="single" w:sz="4" w:space="0" w:color="auto"/>
            </w:tcBorders>
            <w:noWrap/>
            <w:vAlign w:val="bottom"/>
            <w:hideMark/>
          </w:tcPr>
          <w:p w14:paraId="10F9238B" w14:textId="342913C5" w:rsidR="00FB5AE2" w:rsidRPr="00FB5AE2" w:rsidRDefault="00FB5AE2" w:rsidP="00FB5AE2">
            <w:pPr>
              <w:jc w:val="right"/>
              <w:rPr>
                <w:b/>
                <w:bCs w:val="0"/>
                <w:highlight w:val="yellow"/>
              </w:rPr>
            </w:pPr>
            <w:r w:rsidRPr="00FB5AE2">
              <w:rPr>
                <w:b/>
                <w:bCs w:val="0"/>
                <w:color w:val="000000"/>
              </w:rPr>
              <w:t>0.018</w:t>
            </w:r>
          </w:p>
        </w:tc>
        <w:tc>
          <w:tcPr>
            <w:tcW w:w="2160" w:type="dxa"/>
            <w:tcBorders>
              <w:top w:val="single" w:sz="4" w:space="0" w:color="auto"/>
            </w:tcBorders>
            <w:noWrap/>
            <w:vAlign w:val="bottom"/>
            <w:hideMark/>
          </w:tcPr>
          <w:p w14:paraId="40D5584C" w14:textId="049B7AB2" w:rsidR="00FB5AE2" w:rsidRPr="00FB5AE2" w:rsidRDefault="00FB5AE2" w:rsidP="00FB5AE2">
            <w:pPr>
              <w:jc w:val="right"/>
              <w:rPr>
                <w:b/>
                <w:bCs w:val="0"/>
                <w:highlight w:val="yellow"/>
              </w:rPr>
            </w:pPr>
            <w:r w:rsidRPr="00FB5AE2">
              <w:rPr>
                <w:b/>
                <w:bCs w:val="0"/>
                <w:color w:val="000000"/>
              </w:rPr>
              <w:t>[-12.716, -1.292]</w:t>
            </w:r>
          </w:p>
        </w:tc>
      </w:tr>
      <w:tr w:rsidR="00FB5AE2" w:rsidRPr="00025211" w14:paraId="2C48E506" w14:textId="77777777" w:rsidTr="00FB5AE2">
        <w:trPr>
          <w:trHeight w:val="320"/>
        </w:trPr>
        <w:tc>
          <w:tcPr>
            <w:tcW w:w="805" w:type="dxa"/>
            <w:vMerge/>
            <w:vAlign w:val="center"/>
            <w:hideMark/>
          </w:tcPr>
          <w:p w14:paraId="1E7FA26D" w14:textId="77777777" w:rsidR="00FB5AE2" w:rsidRPr="00025211" w:rsidRDefault="00FB5AE2" w:rsidP="00FB5AE2"/>
        </w:tc>
        <w:tc>
          <w:tcPr>
            <w:tcW w:w="1096" w:type="dxa"/>
            <w:noWrap/>
            <w:vAlign w:val="center"/>
            <w:hideMark/>
          </w:tcPr>
          <w:p w14:paraId="2186E300" w14:textId="77777777" w:rsidR="00FB5AE2" w:rsidRPr="00025211" w:rsidRDefault="00FB5AE2" w:rsidP="00FB5AE2">
            <w:r>
              <w:t>P</w:t>
            </w:r>
          </w:p>
        </w:tc>
        <w:tc>
          <w:tcPr>
            <w:tcW w:w="576" w:type="dxa"/>
            <w:vMerge/>
            <w:vAlign w:val="center"/>
            <w:hideMark/>
          </w:tcPr>
          <w:p w14:paraId="4EBF41B4" w14:textId="77777777" w:rsidR="00FB5AE2" w:rsidRPr="00025211" w:rsidRDefault="00FB5AE2" w:rsidP="00FB5AE2">
            <w:pPr>
              <w:jc w:val="center"/>
            </w:pPr>
          </w:p>
        </w:tc>
        <w:tc>
          <w:tcPr>
            <w:tcW w:w="1668" w:type="dxa"/>
            <w:noWrap/>
            <w:vAlign w:val="bottom"/>
            <w:hideMark/>
          </w:tcPr>
          <w:p w14:paraId="1A4873E7" w14:textId="7D27C0B6" w:rsidR="00FB5AE2" w:rsidRPr="00FB5AE2" w:rsidRDefault="00FB5AE2" w:rsidP="00FB5AE2">
            <w:pPr>
              <w:jc w:val="right"/>
              <w:rPr>
                <w:b/>
                <w:bCs w:val="0"/>
                <w:highlight w:val="yellow"/>
              </w:rPr>
            </w:pPr>
            <w:r w:rsidRPr="00FB5AE2">
              <w:rPr>
                <w:color w:val="000000"/>
              </w:rPr>
              <w:t>56.674±6.823</w:t>
            </w:r>
          </w:p>
        </w:tc>
        <w:tc>
          <w:tcPr>
            <w:tcW w:w="1080" w:type="dxa"/>
            <w:noWrap/>
            <w:vAlign w:val="bottom"/>
            <w:hideMark/>
          </w:tcPr>
          <w:p w14:paraId="689332C4" w14:textId="372F9D79" w:rsidR="00FB5AE2" w:rsidRPr="00FB5AE2" w:rsidRDefault="00FB5AE2" w:rsidP="00FB5AE2">
            <w:pPr>
              <w:jc w:val="right"/>
              <w:rPr>
                <w:b/>
                <w:bCs w:val="0"/>
                <w:highlight w:val="yellow"/>
              </w:rPr>
            </w:pPr>
            <w:r w:rsidRPr="00FB5AE2">
              <w:rPr>
                <w:b/>
                <w:bCs w:val="0"/>
                <w:color w:val="000000"/>
              </w:rPr>
              <w:t>6.808</w:t>
            </w:r>
          </w:p>
        </w:tc>
        <w:tc>
          <w:tcPr>
            <w:tcW w:w="990" w:type="dxa"/>
            <w:noWrap/>
            <w:vAlign w:val="bottom"/>
            <w:hideMark/>
          </w:tcPr>
          <w:p w14:paraId="720F7ED6" w14:textId="2AF46F10" w:rsidR="00FB5AE2" w:rsidRPr="00FB5AE2" w:rsidRDefault="00FB5AE2" w:rsidP="00FB5AE2">
            <w:pPr>
              <w:jc w:val="right"/>
              <w:rPr>
                <w:b/>
                <w:bCs w:val="0"/>
                <w:highlight w:val="yellow"/>
              </w:rPr>
            </w:pPr>
            <w:r w:rsidRPr="00FB5AE2">
              <w:rPr>
                <w:b/>
                <w:bCs w:val="0"/>
                <w:color w:val="000000"/>
              </w:rPr>
              <w:t>&lt;0.001</w:t>
            </w:r>
          </w:p>
        </w:tc>
        <w:tc>
          <w:tcPr>
            <w:tcW w:w="2160" w:type="dxa"/>
            <w:noWrap/>
            <w:vAlign w:val="bottom"/>
            <w:hideMark/>
          </w:tcPr>
          <w:p w14:paraId="5781DEB0" w14:textId="3BD956DE" w:rsidR="00FB5AE2" w:rsidRPr="00FB5AE2" w:rsidRDefault="00FB5AE2" w:rsidP="00FB5AE2">
            <w:pPr>
              <w:jc w:val="right"/>
              <w:rPr>
                <w:b/>
                <w:bCs w:val="0"/>
                <w:highlight w:val="yellow"/>
              </w:rPr>
            </w:pPr>
            <w:r w:rsidRPr="00FB5AE2">
              <w:rPr>
                <w:b/>
                <w:bCs w:val="0"/>
                <w:color w:val="000000"/>
              </w:rPr>
              <w:t>[37.713, 78.247]</w:t>
            </w:r>
          </w:p>
        </w:tc>
      </w:tr>
      <w:tr w:rsidR="00FB5AE2" w:rsidRPr="00025211" w14:paraId="53453E6C" w14:textId="77777777" w:rsidTr="00FB5AE2">
        <w:trPr>
          <w:trHeight w:val="320"/>
        </w:trPr>
        <w:tc>
          <w:tcPr>
            <w:tcW w:w="805" w:type="dxa"/>
            <w:vMerge/>
            <w:tcBorders>
              <w:bottom w:val="single" w:sz="4" w:space="0" w:color="auto"/>
            </w:tcBorders>
            <w:vAlign w:val="center"/>
            <w:hideMark/>
          </w:tcPr>
          <w:p w14:paraId="0386DDEA" w14:textId="77777777" w:rsidR="00FB5AE2" w:rsidRPr="00025211" w:rsidRDefault="00FB5AE2" w:rsidP="00FB5AE2"/>
        </w:tc>
        <w:tc>
          <w:tcPr>
            <w:tcW w:w="1096" w:type="dxa"/>
            <w:tcBorders>
              <w:bottom w:val="single" w:sz="4" w:space="0" w:color="auto"/>
            </w:tcBorders>
            <w:noWrap/>
            <w:vAlign w:val="center"/>
            <w:hideMark/>
          </w:tcPr>
          <w:p w14:paraId="67FC1F77" w14:textId="77777777" w:rsidR="00FB5AE2" w:rsidRPr="00025211" w:rsidRDefault="00FB5AE2" w:rsidP="00FB5AE2">
            <w:r>
              <w:t>N+P</w:t>
            </w:r>
          </w:p>
        </w:tc>
        <w:tc>
          <w:tcPr>
            <w:tcW w:w="576" w:type="dxa"/>
            <w:vMerge/>
            <w:tcBorders>
              <w:bottom w:val="single" w:sz="4" w:space="0" w:color="auto"/>
            </w:tcBorders>
            <w:vAlign w:val="center"/>
            <w:hideMark/>
          </w:tcPr>
          <w:p w14:paraId="4E5000AE" w14:textId="77777777" w:rsidR="00FB5AE2" w:rsidRPr="00025211" w:rsidRDefault="00FB5AE2" w:rsidP="00FB5AE2">
            <w:pPr>
              <w:jc w:val="center"/>
            </w:pPr>
          </w:p>
        </w:tc>
        <w:tc>
          <w:tcPr>
            <w:tcW w:w="1668" w:type="dxa"/>
            <w:tcBorders>
              <w:bottom w:val="single" w:sz="4" w:space="0" w:color="auto"/>
            </w:tcBorders>
            <w:noWrap/>
            <w:vAlign w:val="bottom"/>
            <w:hideMark/>
          </w:tcPr>
          <w:p w14:paraId="6E36F4FD" w14:textId="5087445D" w:rsidR="00FB5AE2" w:rsidRPr="00FB5AE2" w:rsidRDefault="00FB5AE2" w:rsidP="00FB5AE2">
            <w:pPr>
              <w:jc w:val="right"/>
              <w:rPr>
                <w:b/>
                <w:bCs w:val="0"/>
                <w:highlight w:val="yellow"/>
              </w:rPr>
            </w:pPr>
            <w:r w:rsidRPr="00FB5AE2">
              <w:rPr>
                <w:color w:val="000000"/>
              </w:rPr>
              <w:t>44.196±5.866</w:t>
            </w:r>
          </w:p>
        </w:tc>
        <w:tc>
          <w:tcPr>
            <w:tcW w:w="1080" w:type="dxa"/>
            <w:tcBorders>
              <w:bottom w:val="single" w:sz="4" w:space="0" w:color="auto"/>
            </w:tcBorders>
            <w:noWrap/>
            <w:vAlign w:val="bottom"/>
            <w:hideMark/>
          </w:tcPr>
          <w:p w14:paraId="4D618FAF" w14:textId="30054F16" w:rsidR="00FB5AE2" w:rsidRPr="00FB5AE2" w:rsidRDefault="00FB5AE2" w:rsidP="00FB5AE2">
            <w:pPr>
              <w:jc w:val="right"/>
              <w:rPr>
                <w:b/>
                <w:bCs w:val="0"/>
                <w:highlight w:val="yellow"/>
              </w:rPr>
            </w:pPr>
            <w:r w:rsidRPr="00FB5AE2">
              <w:rPr>
                <w:b/>
                <w:bCs w:val="0"/>
                <w:color w:val="000000"/>
              </w:rPr>
              <w:t>6.387</w:t>
            </w:r>
          </w:p>
        </w:tc>
        <w:tc>
          <w:tcPr>
            <w:tcW w:w="990" w:type="dxa"/>
            <w:tcBorders>
              <w:bottom w:val="single" w:sz="4" w:space="0" w:color="auto"/>
            </w:tcBorders>
            <w:noWrap/>
            <w:vAlign w:val="bottom"/>
            <w:hideMark/>
          </w:tcPr>
          <w:p w14:paraId="32D21D7E" w14:textId="66EC2AB4" w:rsidR="00FB5AE2" w:rsidRPr="00FB5AE2" w:rsidRDefault="00FB5AE2" w:rsidP="00FB5AE2">
            <w:pPr>
              <w:jc w:val="right"/>
              <w:rPr>
                <w:b/>
                <w:bCs w:val="0"/>
                <w:highlight w:val="yellow"/>
              </w:rPr>
            </w:pPr>
            <w:r w:rsidRPr="00FB5AE2">
              <w:rPr>
                <w:b/>
                <w:bCs w:val="0"/>
                <w:color w:val="000000"/>
              </w:rPr>
              <w:t>&lt;0.001</w:t>
            </w:r>
          </w:p>
        </w:tc>
        <w:tc>
          <w:tcPr>
            <w:tcW w:w="2160" w:type="dxa"/>
            <w:tcBorders>
              <w:bottom w:val="single" w:sz="4" w:space="0" w:color="auto"/>
            </w:tcBorders>
            <w:noWrap/>
            <w:vAlign w:val="bottom"/>
            <w:hideMark/>
          </w:tcPr>
          <w:p w14:paraId="41C23A59" w14:textId="6BC543A1" w:rsidR="00FB5AE2" w:rsidRPr="00FB5AE2" w:rsidRDefault="00FB5AE2" w:rsidP="00FB5AE2">
            <w:pPr>
              <w:jc w:val="right"/>
              <w:rPr>
                <w:b/>
                <w:bCs w:val="0"/>
                <w:highlight w:val="yellow"/>
              </w:rPr>
            </w:pPr>
            <w:r w:rsidRPr="00FB5AE2">
              <w:rPr>
                <w:b/>
                <w:bCs w:val="0"/>
                <w:color w:val="000000"/>
              </w:rPr>
              <w:t>[28.788, 61.285]</w:t>
            </w:r>
          </w:p>
        </w:tc>
      </w:tr>
      <w:tr w:rsidR="00FB5AE2" w:rsidRPr="00025211" w14:paraId="4F95A034" w14:textId="77777777" w:rsidTr="00FB5AE2">
        <w:trPr>
          <w:trHeight w:val="320"/>
        </w:trPr>
        <w:tc>
          <w:tcPr>
            <w:tcW w:w="805" w:type="dxa"/>
            <w:vMerge w:val="restart"/>
            <w:tcBorders>
              <w:top w:val="single" w:sz="4" w:space="0" w:color="auto"/>
            </w:tcBorders>
            <w:noWrap/>
            <w:vAlign w:val="center"/>
            <w:hideMark/>
          </w:tcPr>
          <w:p w14:paraId="2278AA20" w14:textId="77777777" w:rsidR="00FB5AE2" w:rsidRPr="00025211" w:rsidRDefault="00FB5AE2" w:rsidP="00FB5AE2">
            <w:proofErr w:type="spellStart"/>
            <w:r>
              <w:rPr>
                <w:i/>
                <w:iCs/>
              </w:rPr>
              <w:t>P</w:t>
            </w:r>
            <w:r>
              <w:rPr>
                <w:vertAlign w:val="subscript"/>
              </w:rPr>
              <w:t>area</w:t>
            </w:r>
            <w:proofErr w:type="spellEnd"/>
          </w:p>
        </w:tc>
        <w:tc>
          <w:tcPr>
            <w:tcW w:w="1096" w:type="dxa"/>
            <w:tcBorders>
              <w:top w:val="single" w:sz="4" w:space="0" w:color="auto"/>
            </w:tcBorders>
            <w:noWrap/>
            <w:vAlign w:val="center"/>
            <w:hideMark/>
          </w:tcPr>
          <w:p w14:paraId="0A234EE4" w14:textId="77777777" w:rsidR="00FB5AE2" w:rsidRPr="00025211" w:rsidRDefault="00FB5AE2" w:rsidP="00FB5AE2">
            <w:r>
              <w:t>N</w:t>
            </w:r>
          </w:p>
        </w:tc>
        <w:tc>
          <w:tcPr>
            <w:tcW w:w="576" w:type="dxa"/>
            <w:vMerge w:val="restart"/>
            <w:tcBorders>
              <w:top w:val="single" w:sz="4" w:space="0" w:color="auto"/>
            </w:tcBorders>
            <w:noWrap/>
            <w:vAlign w:val="center"/>
            <w:hideMark/>
          </w:tcPr>
          <w:p w14:paraId="07963C53" w14:textId="63DCE842" w:rsidR="00FB5AE2" w:rsidRPr="00025211" w:rsidRDefault="00FB5AE2" w:rsidP="00FB5AE2">
            <w:pPr>
              <w:jc w:val="center"/>
            </w:pPr>
            <w:r>
              <w:t>82</w:t>
            </w:r>
          </w:p>
        </w:tc>
        <w:tc>
          <w:tcPr>
            <w:tcW w:w="1668" w:type="dxa"/>
            <w:tcBorders>
              <w:top w:val="single" w:sz="4" w:space="0" w:color="auto"/>
            </w:tcBorders>
            <w:noWrap/>
            <w:vAlign w:val="bottom"/>
            <w:hideMark/>
          </w:tcPr>
          <w:p w14:paraId="2994F82C" w14:textId="40663D13" w:rsidR="00FB5AE2" w:rsidRPr="00FB5AE2" w:rsidRDefault="00FB5AE2" w:rsidP="00FB5AE2">
            <w:pPr>
              <w:jc w:val="right"/>
              <w:rPr>
                <w:highlight w:val="yellow"/>
              </w:rPr>
            </w:pPr>
            <w:r w:rsidRPr="00FB5AE2">
              <w:rPr>
                <w:color w:val="000000"/>
              </w:rPr>
              <w:t>-5.446±7.358</w:t>
            </w:r>
          </w:p>
        </w:tc>
        <w:tc>
          <w:tcPr>
            <w:tcW w:w="1080" w:type="dxa"/>
            <w:tcBorders>
              <w:top w:val="single" w:sz="4" w:space="0" w:color="auto"/>
            </w:tcBorders>
            <w:noWrap/>
            <w:vAlign w:val="bottom"/>
            <w:hideMark/>
          </w:tcPr>
          <w:p w14:paraId="5301766B" w14:textId="2C060709" w:rsidR="00FB5AE2" w:rsidRPr="00FB5AE2" w:rsidRDefault="00FB5AE2" w:rsidP="00FB5AE2">
            <w:pPr>
              <w:jc w:val="right"/>
              <w:rPr>
                <w:highlight w:val="yellow"/>
              </w:rPr>
            </w:pPr>
            <w:r w:rsidRPr="00FB5AE2">
              <w:rPr>
                <w:color w:val="000000"/>
              </w:rPr>
              <w:t>-0.781</w:t>
            </w:r>
          </w:p>
        </w:tc>
        <w:tc>
          <w:tcPr>
            <w:tcW w:w="990" w:type="dxa"/>
            <w:tcBorders>
              <w:top w:val="single" w:sz="4" w:space="0" w:color="auto"/>
            </w:tcBorders>
            <w:noWrap/>
            <w:vAlign w:val="bottom"/>
            <w:hideMark/>
          </w:tcPr>
          <w:p w14:paraId="7A28B6D1" w14:textId="4508C87E" w:rsidR="00FB5AE2" w:rsidRPr="00FB5AE2" w:rsidRDefault="00FB5AE2" w:rsidP="00FB5AE2">
            <w:pPr>
              <w:jc w:val="right"/>
              <w:rPr>
                <w:highlight w:val="yellow"/>
              </w:rPr>
            </w:pPr>
            <w:r w:rsidRPr="00FB5AE2">
              <w:rPr>
                <w:color w:val="000000"/>
              </w:rPr>
              <w:t>0.435</w:t>
            </w:r>
          </w:p>
        </w:tc>
        <w:tc>
          <w:tcPr>
            <w:tcW w:w="2160" w:type="dxa"/>
            <w:tcBorders>
              <w:top w:val="single" w:sz="4" w:space="0" w:color="auto"/>
            </w:tcBorders>
            <w:noWrap/>
            <w:vAlign w:val="bottom"/>
            <w:hideMark/>
          </w:tcPr>
          <w:p w14:paraId="06FA68DD" w14:textId="33E29F55" w:rsidR="00FB5AE2" w:rsidRPr="00FB5AE2" w:rsidRDefault="00FB5AE2" w:rsidP="00FB5AE2">
            <w:pPr>
              <w:jc w:val="right"/>
              <w:rPr>
                <w:highlight w:val="yellow"/>
              </w:rPr>
            </w:pPr>
            <w:r w:rsidRPr="00FB5AE2">
              <w:rPr>
                <w:color w:val="000000"/>
              </w:rPr>
              <w:t>[-17.717, 8.763]</w:t>
            </w:r>
          </w:p>
        </w:tc>
      </w:tr>
      <w:tr w:rsidR="00FB5AE2" w:rsidRPr="00025211" w14:paraId="75DD32AC" w14:textId="77777777" w:rsidTr="00FB5AE2">
        <w:trPr>
          <w:trHeight w:val="320"/>
        </w:trPr>
        <w:tc>
          <w:tcPr>
            <w:tcW w:w="805" w:type="dxa"/>
            <w:vMerge/>
            <w:vAlign w:val="center"/>
            <w:hideMark/>
          </w:tcPr>
          <w:p w14:paraId="3A2FD464" w14:textId="77777777" w:rsidR="00FB5AE2" w:rsidRPr="00025211" w:rsidRDefault="00FB5AE2" w:rsidP="00FB5AE2"/>
        </w:tc>
        <w:tc>
          <w:tcPr>
            <w:tcW w:w="1096" w:type="dxa"/>
            <w:noWrap/>
            <w:vAlign w:val="center"/>
            <w:hideMark/>
          </w:tcPr>
          <w:p w14:paraId="57F3D093" w14:textId="77777777" w:rsidR="00FB5AE2" w:rsidRPr="00025211" w:rsidRDefault="00FB5AE2" w:rsidP="00FB5AE2">
            <w:r>
              <w:t>P</w:t>
            </w:r>
          </w:p>
        </w:tc>
        <w:tc>
          <w:tcPr>
            <w:tcW w:w="576" w:type="dxa"/>
            <w:vMerge/>
            <w:vAlign w:val="center"/>
            <w:hideMark/>
          </w:tcPr>
          <w:p w14:paraId="3F9585D9" w14:textId="77777777" w:rsidR="00FB5AE2" w:rsidRPr="00025211" w:rsidRDefault="00FB5AE2" w:rsidP="00FB5AE2">
            <w:pPr>
              <w:jc w:val="center"/>
            </w:pPr>
          </w:p>
        </w:tc>
        <w:tc>
          <w:tcPr>
            <w:tcW w:w="1668" w:type="dxa"/>
            <w:noWrap/>
            <w:vAlign w:val="bottom"/>
            <w:hideMark/>
          </w:tcPr>
          <w:p w14:paraId="663CA5A1" w14:textId="51CEA2BF" w:rsidR="00FB5AE2" w:rsidRPr="00FB5AE2" w:rsidRDefault="00FB5AE2" w:rsidP="00FB5AE2">
            <w:pPr>
              <w:jc w:val="right"/>
              <w:rPr>
                <w:b/>
                <w:bCs w:val="0"/>
                <w:highlight w:val="yellow"/>
              </w:rPr>
            </w:pPr>
            <w:r w:rsidRPr="00FB5AE2">
              <w:rPr>
                <w:color w:val="000000"/>
              </w:rPr>
              <w:t>71.258±11.293</w:t>
            </w:r>
          </w:p>
        </w:tc>
        <w:tc>
          <w:tcPr>
            <w:tcW w:w="1080" w:type="dxa"/>
            <w:noWrap/>
            <w:vAlign w:val="bottom"/>
            <w:hideMark/>
          </w:tcPr>
          <w:p w14:paraId="3FAAFC7C" w14:textId="158F71F7" w:rsidR="00FB5AE2" w:rsidRPr="00FB5AE2" w:rsidRDefault="00FB5AE2" w:rsidP="00FB5AE2">
            <w:pPr>
              <w:jc w:val="right"/>
              <w:rPr>
                <w:b/>
                <w:bCs w:val="0"/>
                <w:highlight w:val="yellow"/>
              </w:rPr>
            </w:pPr>
            <w:r w:rsidRPr="00FB5AE2">
              <w:rPr>
                <w:b/>
                <w:bCs w:val="0"/>
                <w:color w:val="000000"/>
              </w:rPr>
              <w:t>5.031</w:t>
            </w:r>
          </w:p>
        </w:tc>
        <w:tc>
          <w:tcPr>
            <w:tcW w:w="990" w:type="dxa"/>
            <w:noWrap/>
            <w:vAlign w:val="bottom"/>
            <w:hideMark/>
          </w:tcPr>
          <w:p w14:paraId="1DA50993" w14:textId="01F8E44F" w:rsidR="00FB5AE2" w:rsidRPr="00FB5AE2" w:rsidRDefault="00FB5AE2" w:rsidP="00FB5AE2">
            <w:pPr>
              <w:jc w:val="right"/>
              <w:rPr>
                <w:b/>
                <w:bCs w:val="0"/>
                <w:highlight w:val="yellow"/>
              </w:rPr>
            </w:pPr>
            <w:r w:rsidRPr="00FB5AE2">
              <w:rPr>
                <w:b/>
                <w:bCs w:val="0"/>
                <w:color w:val="000000"/>
              </w:rPr>
              <w:t>&lt;0.001</w:t>
            </w:r>
          </w:p>
        </w:tc>
        <w:tc>
          <w:tcPr>
            <w:tcW w:w="2160" w:type="dxa"/>
            <w:noWrap/>
            <w:vAlign w:val="bottom"/>
            <w:hideMark/>
          </w:tcPr>
          <w:p w14:paraId="5F6D0ECA" w14:textId="6C156482" w:rsidR="00FB5AE2" w:rsidRPr="00FB5AE2" w:rsidRDefault="00FB5AE2" w:rsidP="00FB5AE2">
            <w:pPr>
              <w:jc w:val="right"/>
              <w:rPr>
                <w:b/>
                <w:bCs w:val="0"/>
                <w:highlight w:val="yellow"/>
              </w:rPr>
            </w:pPr>
            <w:r w:rsidRPr="00FB5AE2">
              <w:rPr>
                <w:b/>
                <w:bCs w:val="0"/>
                <w:color w:val="000000"/>
              </w:rPr>
              <w:t>[38.819, 111.277]</w:t>
            </w:r>
          </w:p>
        </w:tc>
      </w:tr>
      <w:tr w:rsidR="00FB5AE2" w:rsidRPr="00025211" w14:paraId="5E8EB004" w14:textId="77777777" w:rsidTr="00FB5AE2">
        <w:trPr>
          <w:trHeight w:val="320"/>
        </w:trPr>
        <w:tc>
          <w:tcPr>
            <w:tcW w:w="805" w:type="dxa"/>
            <w:vMerge/>
            <w:tcBorders>
              <w:bottom w:val="single" w:sz="4" w:space="0" w:color="auto"/>
            </w:tcBorders>
            <w:vAlign w:val="center"/>
            <w:hideMark/>
          </w:tcPr>
          <w:p w14:paraId="41EDE1C7" w14:textId="77777777" w:rsidR="00FB5AE2" w:rsidRPr="00025211" w:rsidRDefault="00FB5AE2" w:rsidP="00FB5AE2"/>
        </w:tc>
        <w:tc>
          <w:tcPr>
            <w:tcW w:w="1096" w:type="dxa"/>
            <w:tcBorders>
              <w:bottom w:val="single" w:sz="4" w:space="0" w:color="auto"/>
            </w:tcBorders>
            <w:noWrap/>
            <w:vAlign w:val="center"/>
            <w:hideMark/>
          </w:tcPr>
          <w:p w14:paraId="5DFB5B58" w14:textId="77777777" w:rsidR="00FB5AE2" w:rsidRPr="00025211" w:rsidRDefault="00FB5AE2" w:rsidP="00FB5AE2">
            <w:r>
              <w:t>N+P</w:t>
            </w:r>
          </w:p>
        </w:tc>
        <w:tc>
          <w:tcPr>
            <w:tcW w:w="576" w:type="dxa"/>
            <w:vMerge/>
            <w:tcBorders>
              <w:bottom w:val="single" w:sz="4" w:space="0" w:color="auto"/>
            </w:tcBorders>
            <w:vAlign w:val="center"/>
            <w:hideMark/>
          </w:tcPr>
          <w:p w14:paraId="0EEC26D3" w14:textId="77777777" w:rsidR="00FB5AE2" w:rsidRPr="00025211" w:rsidRDefault="00FB5AE2" w:rsidP="00FB5AE2">
            <w:pPr>
              <w:jc w:val="center"/>
            </w:pPr>
          </w:p>
        </w:tc>
        <w:tc>
          <w:tcPr>
            <w:tcW w:w="1668" w:type="dxa"/>
            <w:tcBorders>
              <w:bottom w:val="single" w:sz="4" w:space="0" w:color="auto"/>
            </w:tcBorders>
            <w:noWrap/>
            <w:vAlign w:val="bottom"/>
            <w:hideMark/>
          </w:tcPr>
          <w:p w14:paraId="149A16B1" w14:textId="1B9C5A77" w:rsidR="00FB5AE2" w:rsidRPr="00FB5AE2" w:rsidRDefault="00FB5AE2" w:rsidP="00FB5AE2">
            <w:pPr>
              <w:jc w:val="right"/>
              <w:rPr>
                <w:b/>
                <w:bCs w:val="0"/>
                <w:highlight w:val="yellow"/>
              </w:rPr>
            </w:pPr>
            <w:r w:rsidRPr="00FB5AE2">
              <w:rPr>
                <w:color w:val="000000"/>
              </w:rPr>
              <w:t>47.55±10.96</w:t>
            </w:r>
            <w:r>
              <w:rPr>
                <w:color w:val="000000"/>
              </w:rPr>
              <w:t>0</w:t>
            </w:r>
          </w:p>
        </w:tc>
        <w:tc>
          <w:tcPr>
            <w:tcW w:w="1080" w:type="dxa"/>
            <w:tcBorders>
              <w:bottom w:val="single" w:sz="4" w:space="0" w:color="auto"/>
            </w:tcBorders>
            <w:noWrap/>
            <w:vAlign w:val="bottom"/>
            <w:hideMark/>
          </w:tcPr>
          <w:p w14:paraId="766533F4" w14:textId="7D7595D5" w:rsidR="00FB5AE2" w:rsidRPr="00FB5AE2" w:rsidRDefault="00FB5AE2" w:rsidP="00FB5AE2">
            <w:pPr>
              <w:jc w:val="right"/>
              <w:rPr>
                <w:b/>
                <w:bCs w:val="0"/>
                <w:highlight w:val="yellow"/>
              </w:rPr>
            </w:pPr>
            <w:r w:rsidRPr="00FB5AE2">
              <w:rPr>
                <w:b/>
                <w:bCs w:val="0"/>
                <w:color w:val="000000"/>
              </w:rPr>
              <w:t>3.730</w:t>
            </w:r>
          </w:p>
        </w:tc>
        <w:tc>
          <w:tcPr>
            <w:tcW w:w="990" w:type="dxa"/>
            <w:tcBorders>
              <w:bottom w:val="single" w:sz="4" w:space="0" w:color="auto"/>
            </w:tcBorders>
            <w:noWrap/>
            <w:vAlign w:val="bottom"/>
            <w:hideMark/>
          </w:tcPr>
          <w:p w14:paraId="23870590" w14:textId="20BDA0E6" w:rsidR="00FB5AE2" w:rsidRPr="00FB5AE2" w:rsidRDefault="00FB5AE2" w:rsidP="00FB5AE2">
            <w:pPr>
              <w:jc w:val="right"/>
              <w:rPr>
                <w:b/>
                <w:bCs w:val="0"/>
                <w:highlight w:val="yellow"/>
              </w:rPr>
            </w:pPr>
            <w:r w:rsidRPr="00FB5AE2">
              <w:rPr>
                <w:b/>
                <w:bCs w:val="0"/>
                <w:color w:val="000000"/>
              </w:rPr>
              <w:t>&lt;0.001</w:t>
            </w:r>
          </w:p>
        </w:tc>
        <w:tc>
          <w:tcPr>
            <w:tcW w:w="2160" w:type="dxa"/>
            <w:tcBorders>
              <w:bottom w:val="single" w:sz="4" w:space="0" w:color="auto"/>
            </w:tcBorders>
            <w:noWrap/>
            <w:vAlign w:val="bottom"/>
            <w:hideMark/>
          </w:tcPr>
          <w:p w14:paraId="0DED2AC6" w14:textId="06BB1AF6" w:rsidR="00FB5AE2" w:rsidRPr="00FB5AE2" w:rsidRDefault="00FB5AE2" w:rsidP="00FB5AE2">
            <w:pPr>
              <w:jc w:val="right"/>
              <w:rPr>
                <w:b/>
                <w:bCs w:val="0"/>
                <w:highlight w:val="yellow"/>
              </w:rPr>
            </w:pPr>
            <w:r w:rsidRPr="00FB5AE2">
              <w:rPr>
                <w:b/>
                <w:bCs w:val="0"/>
                <w:color w:val="000000"/>
              </w:rPr>
              <w:t>[20.322, 80.941]</w:t>
            </w:r>
          </w:p>
        </w:tc>
      </w:tr>
      <w:tr w:rsidR="00FB5AE2" w:rsidRPr="00025211" w14:paraId="53D93EDB" w14:textId="77777777" w:rsidTr="00FB5AE2">
        <w:trPr>
          <w:trHeight w:val="320"/>
        </w:trPr>
        <w:tc>
          <w:tcPr>
            <w:tcW w:w="805" w:type="dxa"/>
            <w:vMerge w:val="restart"/>
            <w:tcBorders>
              <w:top w:val="single" w:sz="4" w:space="0" w:color="auto"/>
            </w:tcBorders>
            <w:vAlign w:val="center"/>
          </w:tcPr>
          <w:p w14:paraId="52320A2F" w14:textId="43169082" w:rsidR="00FB5AE2" w:rsidRPr="00FB5AE2" w:rsidRDefault="00FB5AE2" w:rsidP="00FB5AE2">
            <w:pPr>
              <w:rPr>
                <w:i/>
                <w:iCs/>
              </w:rPr>
            </w:pPr>
            <w:r>
              <w:rPr>
                <w:i/>
                <w:iCs/>
              </w:rPr>
              <w:t>Leaf N:P</w:t>
            </w:r>
          </w:p>
        </w:tc>
        <w:tc>
          <w:tcPr>
            <w:tcW w:w="1096" w:type="dxa"/>
            <w:tcBorders>
              <w:top w:val="single" w:sz="4" w:space="0" w:color="auto"/>
            </w:tcBorders>
            <w:noWrap/>
            <w:vAlign w:val="center"/>
          </w:tcPr>
          <w:p w14:paraId="64BD7C1F" w14:textId="5E029F16" w:rsidR="00FB5AE2" w:rsidRDefault="00FB5AE2" w:rsidP="00FB5AE2">
            <w:r>
              <w:t>N</w:t>
            </w:r>
          </w:p>
        </w:tc>
        <w:tc>
          <w:tcPr>
            <w:tcW w:w="576" w:type="dxa"/>
            <w:vMerge w:val="restart"/>
            <w:tcBorders>
              <w:top w:val="single" w:sz="4" w:space="0" w:color="auto"/>
            </w:tcBorders>
            <w:vAlign w:val="center"/>
          </w:tcPr>
          <w:p w14:paraId="544FA34D" w14:textId="0B3FAA01" w:rsidR="00FB5AE2" w:rsidRPr="00025211" w:rsidRDefault="00FB5AE2" w:rsidP="00FB5AE2">
            <w:pPr>
              <w:jc w:val="center"/>
            </w:pPr>
            <w:r>
              <w:t>118</w:t>
            </w:r>
          </w:p>
        </w:tc>
        <w:tc>
          <w:tcPr>
            <w:tcW w:w="1668" w:type="dxa"/>
            <w:tcBorders>
              <w:top w:val="single" w:sz="4" w:space="0" w:color="auto"/>
            </w:tcBorders>
            <w:noWrap/>
            <w:vAlign w:val="bottom"/>
          </w:tcPr>
          <w:p w14:paraId="0E38AC59" w14:textId="0DCD42A8" w:rsidR="00FB5AE2" w:rsidRPr="00FB5AE2" w:rsidRDefault="00FB5AE2" w:rsidP="00FB5AE2">
            <w:pPr>
              <w:jc w:val="right"/>
              <w:rPr>
                <w:b/>
                <w:bCs w:val="0"/>
                <w:color w:val="000000"/>
              </w:rPr>
            </w:pPr>
            <w:r w:rsidRPr="00FB5AE2">
              <w:rPr>
                <w:b/>
                <w:bCs w:val="0"/>
                <w:color w:val="000000"/>
              </w:rPr>
              <w:t>15.142±4.707</w:t>
            </w:r>
          </w:p>
        </w:tc>
        <w:tc>
          <w:tcPr>
            <w:tcW w:w="1080" w:type="dxa"/>
            <w:tcBorders>
              <w:top w:val="single" w:sz="4" w:space="0" w:color="auto"/>
            </w:tcBorders>
            <w:noWrap/>
            <w:vAlign w:val="bottom"/>
          </w:tcPr>
          <w:p w14:paraId="2F3890F9" w14:textId="1682D26B" w:rsidR="00FB5AE2" w:rsidRPr="00FB5AE2" w:rsidRDefault="00FB5AE2" w:rsidP="00FB5AE2">
            <w:pPr>
              <w:jc w:val="right"/>
              <w:rPr>
                <w:b/>
                <w:bCs w:val="0"/>
                <w:color w:val="000000"/>
              </w:rPr>
            </w:pPr>
            <w:r w:rsidRPr="00FB5AE2">
              <w:rPr>
                <w:b/>
                <w:bCs w:val="0"/>
                <w:color w:val="000000"/>
              </w:rPr>
              <w:t>3.049</w:t>
            </w:r>
          </w:p>
        </w:tc>
        <w:tc>
          <w:tcPr>
            <w:tcW w:w="990" w:type="dxa"/>
            <w:tcBorders>
              <w:top w:val="single" w:sz="4" w:space="0" w:color="auto"/>
            </w:tcBorders>
            <w:noWrap/>
            <w:vAlign w:val="bottom"/>
          </w:tcPr>
          <w:p w14:paraId="281E749A" w14:textId="33CF0CDE" w:rsidR="00FB5AE2" w:rsidRPr="00FB5AE2" w:rsidRDefault="00FB5AE2" w:rsidP="00FB5AE2">
            <w:pPr>
              <w:jc w:val="right"/>
              <w:rPr>
                <w:b/>
                <w:bCs w:val="0"/>
                <w:color w:val="000000"/>
              </w:rPr>
            </w:pPr>
            <w:r w:rsidRPr="00FB5AE2">
              <w:rPr>
                <w:b/>
                <w:bCs w:val="0"/>
                <w:color w:val="000000"/>
              </w:rPr>
              <w:t>0.002</w:t>
            </w:r>
          </w:p>
        </w:tc>
        <w:tc>
          <w:tcPr>
            <w:tcW w:w="2160" w:type="dxa"/>
            <w:tcBorders>
              <w:top w:val="single" w:sz="4" w:space="0" w:color="auto"/>
            </w:tcBorders>
            <w:noWrap/>
            <w:vAlign w:val="bottom"/>
          </w:tcPr>
          <w:p w14:paraId="336C111C" w14:textId="07845DD7" w:rsidR="00FB5AE2" w:rsidRPr="00FB5AE2" w:rsidRDefault="00FB5AE2" w:rsidP="00FB5AE2">
            <w:pPr>
              <w:jc w:val="right"/>
              <w:rPr>
                <w:b/>
                <w:bCs w:val="0"/>
                <w:color w:val="000000"/>
              </w:rPr>
            </w:pPr>
            <w:r w:rsidRPr="00FB5AE2">
              <w:rPr>
                <w:b/>
                <w:bCs w:val="0"/>
                <w:color w:val="000000"/>
              </w:rPr>
              <w:t>[5.127, 26.112]</w:t>
            </w:r>
          </w:p>
        </w:tc>
      </w:tr>
      <w:tr w:rsidR="00FB5AE2" w:rsidRPr="00025211" w14:paraId="0D1B2B8C" w14:textId="77777777" w:rsidTr="00FB5AE2">
        <w:trPr>
          <w:trHeight w:val="320"/>
        </w:trPr>
        <w:tc>
          <w:tcPr>
            <w:tcW w:w="805" w:type="dxa"/>
            <w:vMerge/>
            <w:vAlign w:val="center"/>
          </w:tcPr>
          <w:p w14:paraId="504D2FAC" w14:textId="77777777" w:rsidR="00FB5AE2" w:rsidRPr="00025211" w:rsidRDefault="00FB5AE2" w:rsidP="00FB5AE2"/>
        </w:tc>
        <w:tc>
          <w:tcPr>
            <w:tcW w:w="1096" w:type="dxa"/>
            <w:noWrap/>
            <w:vAlign w:val="center"/>
          </w:tcPr>
          <w:p w14:paraId="3C2ACAB4" w14:textId="259E0827" w:rsidR="00FB5AE2" w:rsidRDefault="00FB5AE2" w:rsidP="00FB5AE2">
            <w:r>
              <w:t>P</w:t>
            </w:r>
          </w:p>
        </w:tc>
        <w:tc>
          <w:tcPr>
            <w:tcW w:w="576" w:type="dxa"/>
            <w:vMerge/>
            <w:vAlign w:val="center"/>
          </w:tcPr>
          <w:p w14:paraId="50AF2079" w14:textId="77777777" w:rsidR="00FB5AE2" w:rsidRPr="00025211" w:rsidRDefault="00FB5AE2" w:rsidP="00FB5AE2">
            <w:pPr>
              <w:jc w:val="center"/>
            </w:pPr>
          </w:p>
        </w:tc>
        <w:tc>
          <w:tcPr>
            <w:tcW w:w="1668" w:type="dxa"/>
            <w:noWrap/>
            <w:vAlign w:val="bottom"/>
          </w:tcPr>
          <w:p w14:paraId="697DADED" w14:textId="292D6AC1" w:rsidR="00FB5AE2" w:rsidRPr="00FB5AE2" w:rsidRDefault="00FB5AE2" w:rsidP="00FB5AE2">
            <w:pPr>
              <w:jc w:val="right"/>
              <w:rPr>
                <w:b/>
                <w:bCs w:val="0"/>
                <w:color w:val="000000"/>
              </w:rPr>
            </w:pPr>
            <w:r w:rsidRPr="00FB5AE2">
              <w:rPr>
                <w:b/>
                <w:bCs w:val="0"/>
                <w:color w:val="000000"/>
              </w:rPr>
              <w:t>-29.107±6.503</w:t>
            </w:r>
          </w:p>
        </w:tc>
        <w:tc>
          <w:tcPr>
            <w:tcW w:w="1080" w:type="dxa"/>
            <w:noWrap/>
            <w:vAlign w:val="bottom"/>
          </w:tcPr>
          <w:p w14:paraId="1586537D" w14:textId="4E653A3D" w:rsidR="00FB5AE2" w:rsidRPr="00FB5AE2" w:rsidRDefault="00FB5AE2" w:rsidP="00FB5AE2">
            <w:pPr>
              <w:jc w:val="right"/>
              <w:rPr>
                <w:b/>
                <w:bCs w:val="0"/>
                <w:color w:val="000000"/>
              </w:rPr>
            </w:pPr>
            <w:r w:rsidRPr="00FB5AE2">
              <w:rPr>
                <w:b/>
                <w:bCs w:val="0"/>
                <w:color w:val="000000"/>
              </w:rPr>
              <w:t>-5.476</w:t>
            </w:r>
          </w:p>
        </w:tc>
        <w:tc>
          <w:tcPr>
            <w:tcW w:w="990" w:type="dxa"/>
            <w:noWrap/>
            <w:vAlign w:val="bottom"/>
          </w:tcPr>
          <w:p w14:paraId="5D3D9596" w14:textId="1C7824FB" w:rsidR="00FB5AE2" w:rsidRPr="00FB5AE2" w:rsidRDefault="00FB5AE2" w:rsidP="00FB5AE2">
            <w:pPr>
              <w:jc w:val="right"/>
              <w:rPr>
                <w:b/>
                <w:bCs w:val="0"/>
                <w:color w:val="000000"/>
              </w:rPr>
            </w:pPr>
            <w:r w:rsidRPr="00FB5AE2">
              <w:rPr>
                <w:b/>
                <w:bCs w:val="0"/>
                <w:color w:val="000000"/>
              </w:rPr>
              <w:t>&lt;0.001</w:t>
            </w:r>
          </w:p>
        </w:tc>
        <w:tc>
          <w:tcPr>
            <w:tcW w:w="2160" w:type="dxa"/>
            <w:noWrap/>
            <w:vAlign w:val="bottom"/>
          </w:tcPr>
          <w:p w14:paraId="1EA077A8" w14:textId="7C10C61C" w:rsidR="00FB5AE2" w:rsidRPr="00FB5AE2" w:rsidRDefault="00FB5AE2" w:rsidP="00FB5AE2">
            <w:pPr>
              <w:jc w:val="right"/>
              <w:rPr>
                <w:b/>
                <w:bCs w:val="0"/>
                <w:color w:val="000000"/>
              </w:rPr>
            </w:pPr>
            <w:r w:rsidRPr="00FB5AE2">
              <w:rPr>
                <w:b/>
                <w:bCs w:val="0"/>
                <w:color w:val="000000"/>
              </w:rPr>
              <w:t>[-37.312, -19.828]</w:t>
            </w:r>
          </w:p>
        </w:tc>
      </w:tr>
      <w:tr w:rsidR="00FB5AE2" w:rsidRPr="00025211" w14:paraId="74C55A9C" w14:textId="77777777" w:rsidTr="00FB5AE2">
        <w:trPr>
          <w:trHeight w:val="320"/>
        </w:trPr>
        <w:tc>
          <w:tcPr>
            <w:tcW w:w="805" w:type="dxa"/>
            <w:vMerge/>
            <w:tcBorders>
              <w:bottom w:val="single" w:sz="4" w:space="0" w:color="auto"/>
            </w:tcBorders>
            <w:vAlign w:val="center"/>
          </w:tcPr>
          <w:p w14:paraId="68AE8065" w14:textId="77777777" w:rsidR="00FB5AE2" w:rsidRPr="00025211" w:rsidRDefault="00FB5AE2" w:rsidP="00FB5AE2"/>
        </w:tc>
        <w:tc>
          <w:tcPr>
            <w:tcW w:w="1096" w:type="dxa"/>
            <w:tcBorders>
              <w:bottom w:val="single" w:sz="4" w:space="0" w:color="auto"/>
            </w:tcBorders>
            <w:noWrap/>
            <w:vAlign w:val="center"/>
          </w:tcPr>
          <w:p w14:paraId="09809077" w14:textId="3AAB8EFE" w:rsidR="00FB5AE2" w:rsidRDefault="00FB5AE2" w:rsidP="00FB5AE2">
            <w:r>
              <w:t>N+P</w:t>
            </w:r>
          </w:p>
        </w:tc>
        <w:tc>
          <w:tcPr>
            <w:tcW w:w="576" w:type="dxa"/>
            <w:vMerge/>
            <w:tcBorders>
              <w:bottom w:val="single" w:sz="4" w:space="0" w:color="auto"/>
            </w:tcBorders>
            <w:vAlign w:val="center"/>
          </w:tcPr>
          <w:p w14:paraId="2432DCAE" w14:textId="77777777" w:rsidR="00FB5AE2" w:rsidRPr="00025211" w:rsidRDefault="00FB5AE2" w:rsidP="00FB5AE2">
            <w:pPr>
              <w:jc w:val="center"/>
            </w:pPr>
          </w:p>
        </w:tc>
        <w:tc>
          <w:tcPr>
            <w:tcW w:w="1668" w:type="dxa"/>
            <w:tcBorders>
              <w:bottom w:val="single" w:sz="4" w:space="0" w:color="auto"/>
            </w:tcBorders>
            <w:noWrap/>
            <w:vAlign w:val="bottom"/>
          </w:tcPr>
          <w:p w14:paraId="4E48C292" w14:textId="482F7D76" w:rsidR="00FB5AE2" w:rsidRPr="00FB5AE2" w:rsidRDefault="00FB5AE2" w:rsidP="00FB5AE2">
            <w:pPr>
              <w:jc w:val="right"/>
              <w:rPr>
                <w:b/>
                <w:bCs w:val="0"/>
                <w:color w:val="000000"/>
              </w:rPr>
            </w:pPr>
            <w:r w:rsidRPr="00FB5AE2">
              <w:rPr>
                <w:b/>
                <w:bCs w:val="0"/>
                <w:color w:val="000000"/>
              </w:rPr>
              <w:t>-18.291±4.707</w:t>
            </w:r>
          </w:p>
        </w:tc>
        <w:tc>
          <w:tcPr>
            <w:tcW w:w="1080" w:type="dxa"/>
            <w:tcBorders>
              <w:bottom w:val="single" w:sz="4" w:space="0" w:color="auto"/>
            </w:tcBorders>
            <w:noWrap/>
            <w:vAlign w:val="bottom"/>
          </w:tcPr>
          <w:p w14:paraId="585D4031" w14:textId="60ECEE42" w:rsidR="00FB5AE2" w:rsidRPr="00FB5AE2" w:rsidRDefault="00FB5AE2" w:rsidP="00FB5AE2">
            <w:pPr>
              <w:jc w:val="right"/>
              <w:rPr>
                <w:b/>
                <w:bCs w:val="0"/>
                <w:color w:val="000000"/>
              </w:rPr>
            </w:pPr>
            <w:r w:rsidRPr="00FB5AE2">
              <w:rPr>
                <w:b/>
                <w:bCs w:val="0"/>
                <w:color w:val="000000"/>
              </w:rPr>
              <w:t>-4.429</w:t>
            </w:r>
          </w:p>
        </w:tc>
        <w:tc>
          <w:tcPr>
            <w:tcW w:w="990" w:type="dxa"/>
            <w:tcBorders>
              <w:bottom w:val="single" w:sz="4" w:space="0" w:color="auto"/>
            </w:tcBorders>
            <w:noWrap/>
            <w:vAlign w:val="bottom"/>
          </w:tcPr>
          <w:p w14:paraId="0C7479E3" w14:textId="7C7D445F" w:rsidR="00FB5AE2" w:rsidRPr="00FB5AE2" w:rsidRDefault="00FB5AE2" w:rsidP="00FB5AE2">
            <w:pPr>
              <w:jc w:val="right"/>
              <w:rPr>
                <w:b/>
                <w:bCs w:val="0"/>
                <w:color w:val="000000"/>
              </w:rPr>
            </w:pPr>
            <w:r w:rsidRPr="00FB5AE2">
              <w:rPr>
                <w:b/>
                <w:bCs w:val="0"/>
                <w:color w:val="000000"/>
              </w:rPr>
              <w:t>&lt;0.001</w:t>
            </w:r>
          </w:p>
        </w:tc>
        <w:tc>
          <w:tcPr>
            <w:tcW w:w="2160" w:type="dxa"/>
            <w:tcBorders>
              <w:bottom w:val="single" w:sz="4" w:space="0" w:color="auto"/>
            </w:tcBorders>
            <w:noWrap/>
            <w:vAlign w:val="bottom"/>
          </w:tcPr>
          <w:p w14:paraId="6B74A406" w14:textId="2A8D2B8A" w:rsidR="00FB5AE2" w:rsidRPr="00FB5AE2" w:rsidRDefault="00FB5AE2" w:rsidP="00FB5AE2">
            <w:pPr>
              <w:jc w:val="right"/>
              <w:rPr>
                <w:b/>
                <w:bCs w:val="0"/>
                <w:color w:val="000000"/>
              </w:rPr>
            </w:pPr>
            <w:r w:rsidRPr="00FB5AE2">
              <w:rPr>
                <w:b/>
                <w:bCs w:val="0"/>
                <w:color w:val="000000"/>
              </w:rPr>
              <w:t>[-25.323, -10.685]</w:t>
            </w:r>
          </w:p>
        </w:tc>
      </w:tr>
    </w:tbl>
    <w:p w14:paraId="05608DC0" w14:textId="50BFBF59" w:rsidR="006A54CA" w:rsidRPr="001A72B5" w:rsidRDefault="001A72B5" w:rsidP="006A54CA">
      <w:r>
        <w:rPr>
          <w:vertAlign w:val="superscript"/>
        </w:rPr>
        <w:t>*</w:t>
      </w:r>
      <w:r>
        <w:t>Significant effects noted in bold font.</w:t>
      </w:r>
      <w:r w:rsidR="008D14B0">
        <w:t xml:space="preserve"> Model coefficients have been transformed to percent change to mimic figures.</w:t>
      </w:r>
      <w:r>
        <w:t xml:space="preserve"> Key: </w:t>
      </w:r>
      <w:r>
        <w:rPr>
          <w:i/>
          <w:iCs/>
        </w:rPr>
        <w:t>M</w:t>
      </w:r>
      <w:r>
        <w:rPr>
          <w:iCs/>
          <w:vertAlign w:val="subscript"/>
        </w:rPr>
        <w:t>area</w:t>
      </w:r>
      <w:r>
        <w:rPr>
          <w:iCs/>
        </w:rPr>
        <w:t>=leaf biomass per unit leaf area (g m</w:t>
      </w:r>
      <w:r>
        <w:rPr>
          <w:iCs/>
          <w:vertAlign w:val="superscript"/>
        </w:rPr>
        <w:t>-2</w:t>
      </w:r>
      <w:r>
        <w:rPr>
          <w:iCs/>
        </w:rPr>
        <w:t xml:space="preserve">); </w:t>
      </w:r>
      <w:proofErr w:type="spellStart"/>
      <w:r>
        <w:rPr>
          <w:i/>
        </w:rPr>
        <w:t>N</w:t>
      </w:r>
      <w:r>
        <w:rPr>
          <w:iCs/>
          <w:vertAlign w:val="subscript"/>
        </w:rPr>
        <w:t>mass</w:t>
      </w:r>
      <w:proofErr w:type="spellEnd"/>
      <w:r>
        <w:t>=leaf nitrogen content per unit leaf biomass (</w:t>
      </w:r>
      <w:proofErr w:type="spellStart"/>
      <w:r>
        <w:t>gN</w:t>
      </w:r>
      <w:proofErr w:type="spellEnd"/>
      <w:r>
        <w:t xml:space="preserve"> g</w:t>
      </w:r>
      <w:r>
        <w:rPr>
          <w:vertAlign w:val="superscript"/>
        </w:rPr>
        <w:t>-1</w:t>
      </w:r>
      <w:r>
        <w:t xml:space="preserve">); </w:t>
      </w:r>
      <w:r>
        <w:rPr>
          <w:i/>
          <w:iCs/>
        </w:rPr>
        <w:t>N</w:t>
      </w:r>
      <w:r>
        <w:rPr>
          <w:vertAlign w:val="subscript"/>
        </w:rPr>
        <w:t>area</w:t>
      </w:r>
      <w:r>
        <w:t>=leaf nitrogen content per unit leaf area (</w:t>
      </w:r>
      <w:proofErr w:type="spellStart"/>
      <w:r>
        <w:t>gN</w:t>
      </w:r>
      <w:proofErr w:type="spellEnd"/>
      <w:r>
        <w:t xml:space="preserve"> m</w:t>
      </w:r>
      <w:r>
        <w:rPr>
          <w:vertAlign w:val="superscript"/>
        </w:rPr>
        <w:t>-2</w:t>
      </w:r>
      <w:r>
        <w:t xml:space="preserve">); </w:t>
      </w:r>
      <w:proofErr w:type="spellStart"/>
      <w:r>
        <w:rPr>
          <w:i/>
          <w:iCs/>
        </w:rPr>
        <w:t>P</w:t>
      </w:r>
      <w:r>
        <w:rPr>
          <w:vertAlign w:val="subscript"/>
        </w:rPr>
        <w:t>mass</w:t>
      </w:r>
      <w:proofErr w:type="spellEnd"/>
      <w:r>
        <w:t>=leaf phosphorus content per unit leaf biomass (</w:t>
      </w:r>
      <w:proofErr w:type="spellStart"/>
      <w:r>
        <w:t>gP</w:t>
      </w:r>
      <w:proofErr w:type="spellEnd"/>
      <w:r>
        <w:t xml:space="preserve"> g</w:t>
      </w:r>
      <w:r>
        <w:rPr>
          <w:vertAlign w:val="superscript"/>
        </w:rPr>
        <w:t>-1</w:t>
      </w:r>
      <w:r>
        <w:t xml:space="preserve">); </w:t>
      </w:r>
      <w:proofErr w:type="spellStart"/>
      <w:r>
        <w:rPr>
          <w:i/>
          <w:iCs/>
        </w:rPr>
        <w:t>P</w:t>
      </w:r>
      <w:r>
        <w:rPr>
          <w:vertAlign w:val="subscript"/>
        </w:rPr>
        <w:t>area</w:t>
      </w:r>
      <w:proofErr w:type="spellEnd"/>
      <w:r>
        <w:t>=leaf phosphorus content per unit leaf area (</w:t>
      </w:r>
      <w:proofErr w:type="spellStart"/>
      <w:r>
        <w:t>gP</w:t>
      </w:r>
      <w:proofErr w:type="spellEnd"/>
      <w:r>
        <w:t xml:space="preserve"> m</w:t>
      </w:r>
      <w:r>
        <w:rPr>
          <w:vertAlign w:val="superscript"/>
        </w:rPr>
        <w:t>-2</w:t>
      </w:r>
      <w:r>
        <w:t>).</w:t>
      </w:r>
    </w:p>
    <w:p w14:paraId="642AB3CC" w14:textId="5B09808D" w:rsidR="006A54CA" w:rsidRDefault="006A54CA" w:rsidP="006A54CA">
      <w:r>
        <w:br w:type="page"/>
      </w:r>
    </w:p>
    <w:p w14:paraId="3235DA64" w14:textId="1841DAC1" w:rsidR="006A54CA" w:rsidRDefault="006A54CA" w:rsidP="006A54CA">
      <w:r w:rsidRPr="00202B59">
        <w:rPr>
          <w:b/>
        </w:rPr>
        <w:lastRenderedPageBreak/>
        <w:t>Table S</w:t>
      </w:r>
      <w:r>
        <w:rPr>
          <w:b/>
        </w:rPr>
        <w:t>3</w:t>
      </w:r>
      <w:r w:rsidRPr="00202B59">
        <w:t xml:space="preserve"> </w:t>
      </w:r>
      <w:r>
        <w:t>Meta-analytic results summarizing the effects of N, P, and N+P on traits related to leaf photosynthesis</w:t>
      </w:r>
    </w:p>
    <w:p w14:paraId="5708010C" w14:textId="77777777" w:rsidR="006A54CA" w:rsidRDefault="006A54CA" w:rsidP="006A54CA"/>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8"/>
        <w:gridCol w:w="1096"/>
        <w:gridCol w:w="576"/>
        <w:gridCol w:w="1760"/>
        <w:gridCol w:w="1080"/>
        <w:gridCol w:w="990"/>
        <w:gridCol w:w="2070"/>
      </w:tblGrid>
      <w:tr w:rsidR="006A54CA" w:rsidRPr="00025211" w14:paraId="7275E8AC" w14:textId="77777777" w:rsidTr="00FB5014">
        <w:trPr>
          <w:trHeight w:val="320"/>
        </w:trPr>
        <w:tc>
          <w:tcPr>
            <w:tcW w:w="1158" w:type="dxa"/>
            <w:tcBorders>
              <w:top w:val="single" w:sz="4" w:space="0" w:color="auto"/>
              <w:bottom w:val="single" w:sz="4" w:space="0" w:color="auto"/>
            </w:tcBorders>
            <w:noWrap/>
            <w:vAlign w:val="center"/>
            <w:hideMark/>
          </w:tcPr>
          <w:p w14:paraId="691D1794" w14:textId="77777777" w:rsidR="006A54CA" w:rsidRPr="00025211" w:rsidRDefault="006A54CA" w:rsidP="00E951AB">
            <w:pPr>
              <w:rPr>
                <w:b/>
                <w:bCs w:val="0"/>
              </w:rPr>
            </w:pPr>
            <w:r w:rsidRPr="00025211">
              <w:rPr>
                <w:b/>
                <w:bCs w:val="0"/>
              </w:rPr>
              <w:t>Trait</w:t>
            </w:r>
          </w:p>
        </w:tc>
        <w:tc>
          <w:tcPr>
            <w:tcW w:w="1096" w:type="dxa"/>
            <w:tcBorders>
              <w:top w:val="single" w:sz="4" w:space="0" w:color="auto"/>
              <w:bottom w:val="single" w:sz="4" w:space="0" w:color="auto"/>
            </w:tcBorders>
            <w:noWrap/>
            <w:vAlign w:val="center"/>
            <w:hideMark/>
          </w:tcPr>
          <w:p w14:paraId="1C1E6A06" w14:textId="77777777" w:rsidR="006A54CA" w:rsidRPr="00025211" w:rsidRDefault="006A54CA" w:rsidP="00E951AB">
            <w:pPr>
              <w:rPr>
                <w:b/>
                <w:bCs w:val="0"/>
              </w:rPr>
            </w:pPr>
            <w:r w:rsidRPr="00025211">
              <w:rPr>
                <w:b/>
                <w:bCs w:val="0"/>
              </w:rPr>
              <w:t>Nutrient addition</w:t>
            </w:r>
          </w:p>
        </w:tc>
        <w:tc>
          <w:tcPr>
            <w:tcW w:w="576" w:type="dxa"/>
            <w:tcBorders>
              <w:top w:val="single" w:sz="4" w:space="0" w:color="auto"/>
              <w:bottom w:val="single" w:sz="4" w:space="0" w:color="auto"/>
            </w:tcBorders>
            <w:noWrap/>
            <w:vAlign w:val="center"/>
            <w:hideMark/>
          </w:tcPr>
          <w:p w14:paraId="55D6392D" w14:textId="77777777" w:rsidR="006A54CA" w:rsidRPr="00025211" w:rsidRDefault="006A54CA" w:rsidP="00E951AB">
            <w:pPr>
              <w:rPr>
                <w:b/>
                <w:bCs w:val="0"/>
              </w:rPr>
            </w:pPr>
            <w:r>
              <w:rPr>
                <w:b/>
                <w:bCs w:val="0"/>
              </w:rPr>
              <w:t>k</w:t>
            </w:r>
          </w:p>
        </w:tc>
        <w:tc>
          <w:tcPr>
            <w:tcW w:w="1760" w:type="dxa"/>
            <w:tcBorders>
              <w:top w:val="single" w:sz="4" w:space="0" w:color="auto"/>
              <w:bottom w:val="single" w:sz="4" w:space="0" w:color="auto"/>
            </w:tcBorders>
            <w:noWrap/>
            <w:vAlign w:val="center"/>
            <w:hideMark/>
          </w:tcPr>
          <w:p w14:paraId="165C5AC0" w14:textId="77777777" w:rsidR="006A54CA" w:rsidRPr="00025211" w:rsidRDefault="006A54CA" w:rsidP="00E951AB">
            <w:pPr>
              <w:rPr>
                <w:b/>
                <w:bCs w:val="0"/>
              </w:rPr>
            </w:pPr>
            <w:r>
              <w:rPr>
                <w:b/>
                <w:bCs w:val="0"/>
              </w:rPr>
              <w:t>C</w:t>
            </w:r>
            <w:r w:rsidRPr="00025211">
              <w:rPr>
                <w:b/>
                <w:bCs w:val="0"/>
              </w:rPr>
              <w:t>oefficient (±SE)</w:t>
            </w:r>
          </w:p>
        </w:tc>
        <w:tc>
          <w:tcPr>
            <w:tcW w:w="1080" w:type="dxa"/>
            <w:tcBorders>
              <w:top w:val="single" w:sz="4" w:space="0" w:color="auto"/>
              <w:bottom w:val="single" w:sz="4" w:space="0" w:color="auto"/>
            </w:tcBorders>
            <w:noWrap/>
            <w:vAlign w:val="center"/>
            <w:hideMark/>
          </w:tcPr>
          <w:p w14:paraId="701244B3" w14:textId="77777777" w:rsidR="006A54CA" w:rsidRPr="00025211" w:rsidRDefault="006A54CA" w:rsidP="00E951AB">
            <w:pPr>
              <w:rPr>
                <w:b/>
                <w:bCs w:val="0"/>
              </w:rPr>
            </w:pPr>
            <w:r w:rsidRPr="00025211">
              <w:rPr>
                <w:b/>
                <w:bCs w:val="0"/>
              </w:rPr>
              <w:t>Z-value</w:t>
            </w:r>
          </w:p>
        </w:tc>
        <w:tc>
          <w:tcPr>
            <w:tcW w:w="990" w:type="dxa"/>
            <w:tcBorders>
              <w:top w:val="single" w:sz="4" w:space="0" w:color="auto"/>
              <w:bottom w:val="single" w:sz="4" w:space="0" w:color="auto"/>
            </w:tcBorders>
            <w:noWrap/>
            <w:vAlign w:val="center"/>
            <w:hideMark/>
          </w:tcPr>
          <w:p w14:paraId="07E275C6" w14:textId="77777777" w:rsidR="006A54CA" w:rsidRPr="00025211" w:rsidRDefault="006A54CA" w:rsidP="00E951AB">
            <w:pPr>
              <w:rPr>
                <w:b/>
                <w:bCs w:val="0"/>
              </w:rPr>
            </w:pPr>
            <w:r w:rsidRPr="00025211">
              <w:rPr>
                <w:b/>
                <w:bCs w:val="0"/>
                <w:i/>
                <w:iCs/>
              </w:rPr>
              <w:t>p</w:t>
            </w:r>
            <w:r w:rsidRPr="00025211">
              <w:rPr>
                <w:b/>
                <w:bCs w:val="0"/>
              </w:rPr>
              <w:t>-value</w:t>
            </w:r>
          </w:p>
        </w:tc>
        <w:tc>
          <w:tcPr>
            <w:tcW w:w="2070" w:type="dxa"/>
            <w:tcBorders>
              <w:top w:val="single" w:sz="4" w:space="0" w:color="auto"/>
              <w:bottom w:val="single" w:sz="4" w:space="0" w:color="auto"/>
            </w:tcBorders>
            <w:noWrap/>
            <w:vAlign w:val="center"/>
            <w:hideMark/>
          </w:tcPr>
          <w:p w14:paraId="15CCF23E" w14:textId="77777777" w:rsidR="006A54CA" w:rsidRPr="00025211" w:rsidRDefault="006A54CA" w:rsidP="00E951AB">
            <w:pPr>
              <w:rPr>
                <w:b/>
                <w:bCs w:val="0"/>
              </w:rPr>
            </w:pPr>
            <w:r w:rsidRPr="00025211">
              <w:rPr>
                <w:b/>
                <w:bCs w:val="0"/>
              </w:rPr>
              <w:t>95% CI range</w:t>
            </w:r>
          </w:p>
        </w:tc>
      </w:tr>
      <w:tr w:rsidR="00805216" w:rsidRPr="00025211" w14:paraId="644A80C2" w14:textId="77777777" w:rsidTr="00FB5014">
        <w:trPr>
          <w:trHeight w:val="320"/>
        </w:trPr>
        <w:tc>
          <w:tcPr>
            <w:tcW w:w="1158" w:type="dxa"/>
            <w:vMerge w:val="restart"/>
            <w:tcBorders>
              <w:top w:val="single" w:sz="4" w:space="0" w:color="auto"/>
            </w:tcBorders>
            <w:noWrap/>
            <w:vAlign w:val="center"/>
            <w:hideMark/>
          </w:tcPr>
          <w:p w14:paraId="306BF882" w14:textId="77777777" w:rsidR="00805216" w:rsidRPr="00025211" w:rsidRDefault="00805216" w:rsidP="00805216">
            <w:r>
              <w:rPr>
                <w:i/>
                <w:iCs/>
              </w:rPr>
              <w:t>A</w:t>
            </w:r>
            <w:r>
              <w:rPr>
                <w:vertAlign w:val="subscript"/>
              </w:rPr>
              <w:t>sat</w:t>
            </w:r>
          </w:p>
        </w:tc>
        <w:tc>
          <w:tcPr>
            <w:tcW w:w="1096" w:type="dxa"/>
            <w:tcBorders>
              <w:top w:val="single" w:sz="4" w:space="0" w:color="auto"/>
            </w:tcBorders>
            <w:noWrap/>
            <w:vAlign w:val="center"/>
            <w:hideMark/>
          </w:tcPr>
          <w:p w14:paraId="39296DF7" w14:textId="77777777" w:rsidR="00805216" w:rsidRPr="00025211" w:rsidRDefault="00805216" w:rsidP="00805216">
            <w:r>
              <w:t>N</w:t>
            </w:r>
          </w:p>
        </w:tc>
        <w:tc>
          <w:tcPr>
            <w:tcW w:w="576" w:type="dxa"/>
            <w:vMerge w:val="restart"/>
            <w:tcBorders>
              <w:top w:val="single" w:sz="4" w:space="0" w:color="auto"/>
            </w:tcBorders>
            <w:noWrap/>
            <w:vAlign w:val="center"/>
          </w:tcPr>
          <w:p w14:paraId="056C754D" w14:textId="77777777" w:rsidR="00805216" w:rsidRPr="00025211" w:rsidRDefault="00805216" w:rsidP="00805216">
            <w:pPr>
              <w:jc w:val="center"/>
            </w:pPr>
            <w:r>
              <w:t>85</w:t>
            </w:r>
          </w:p>
        </w:tc>
        <w:tc>
          <w:tcPr>
            <w:tcW w:w="1760" w:type="dxa"/>
            <w:tcBorders>
              <w:top w:val="single" w:sz="4" w:space="0" w:color="auto"/>
            </w:tcBorders>
            <w:noWrap/>
            <w:vAlign w:val="bottom"/>
          </w:tcPr>
          <w:p w14:paraId="2CDCB2E9" w14:textId="7A2A8C90" w:rsidR="00805216" w:rsidRPr="00805216" w:rsidRDefault="00805216" w:rsidP="00805216">
            <w:pPr>
              <w:jc w:val="right"/>
              <w:rPr>
                <w:b/>
                <w:bCs w:val="0"/>
                <w:i/>
                <w:iCs/>
                <w:highlight w:val="yellow"/>
              </w:rPr>
            </w:pPr>
            <w:r w:rsidRPr="00805216">
              <w:rPr>
                <w:i/>
                <w:iCs/>
                <w:color w:val="000000"/>
              </w:rPr>
              <w:t>11.405±6.716</w:t>
            </w:r>
          </w:p>
        </w:tc>
        <w:tc>
          <w:tcPr>
            <w:tcW w:w="1080" w:type="dxa"/>
            <w:tcBorders>
              <w:top w:val="single" w:sz="4" w:space="0" w:color="auto"/>
            </w:tcBorders>
            <w:noWrap/>
            <w:vAlign w:val="bottom"/>
          </w:tcPr>
          <w:p w14:paraId="29C8675E" w14:textId="60699556" w:rsidR="00805216" w:rsidRPr="00805216" w:rsidRDefault="00805216" w:rsidP="00805216">
            <w:pPr>
              <w:jc w:val="right"/>
              <w:rPr>
                <w:b/>
                <w:bCs w:val="0"/>
                <w:i/>
                <w:iCs/>
                <w:highlight w:val="yellow"/>
              </w:rPr>
            </w:pPr>
            <w:r w:rsidRPr="00805216">
              <w:rPr>
                <w:i/>
                <w:iCs/>
                <w:color w:val="000000"/>
              </w:rPr>
              <w:t>1.659</w:t>
            </w:r>
          </w:p>
        </w:tc>
        <w:tc>
          <w:tcPr>
            <w:tcW w:w="990" w:type="dxa"/>
            <w:tcBorders>
              <w:top w:val="single" w:sz="4" w:space="0" w:color="auto"/>
            </w:tcBorders>
            <w:noWrap/>
            <w:vAlign w:val="bottom"/>
          </w:tcPr>
          <w:p w14:paraId="08324902" w14:textId="5C99E96C" w:rsidR="00805216" w:rsidRPr="00805216" w:rsidRDefault="00805216" w:rsidP="00805216">
            <w:pPr>
              <w:jc w:val="right"/>
              <w:rPr>
                <w:b/>
                <w:bCs w:val="0"/>
                <w:i/>
                <w:iCs/>
                <w:highlight w:val="yellow"/>
              </w:rPr>
            </w:pPr>
            <w:r w:rsidRPr="00805216">
              <w:rPr>
                <w:i/>
                <w:iCs/>
                <w:color w:val="000000"/>
              </w:rPr>
              <w:t>0.097</w:t>
            </w:r>
          </w:p>
        </w:tc>
        <w:tc>
          <w:tcPr>
            <w:tcW w:w="2070" w:type="dxa"/>
            <w:tcBorders>
              <w:top w:val="single" w:sz="4" w:space="0" w:color="auto"/>
            </w:tcBorders>
            <w:noWrap/>
            <w:vAlign w:val="bottom"/>
          </w:tcPr>
          <w:p w14:paraId="0C278CA0" w14:textId="0F451326" w:rsidR="00805216" w:rsidRPr="00805216" w:rsidRDefault="00805216" w:rsidP="00805216">
            <w:pPr>
              <w:jc w:val="right"/>
              <w:rPr>
                <w:b/>
                <w:bCs w:val="0"/>
                <w:i/>
                <w:iCs/>
                <w:highlight w:val="yellow"/>
              </w:rPr>
            </w:pPr>
            <w:r w:rsidRPr="00805216">
              <w:rPr>
                <w:i/>
                <w:iCs/>
                <w:color w:val="000000"/>
              </w:rPr>
              <w:t>[-1.882, 26.491]</w:t>
            </w:r>
          </w:p>
        </w:tc>
      </w:tr>
      <w:tr w:rsidR="00805216" w:rsidRPr="00025211" w14:paraId="26BD5223" w14:textId="77777777" w:rsidTr="00FB5014">
        <w:trPr>
          <w:trHeight w:val="320"/>
        </w:trPr>
        <w:tc>
          <w:tcPr>
            <w:tcW w:w="1158" w:type="dxa"/>
            <w:vMerge/>
            <w:vAlign w:val="center"/>
            <w:hideMark/>
          </w:tcPr>
          <w:p w14:paraId="193A79E1" w14:textId="77777777" w:rsidR="00805216" w:rsidRPr="00025211" w:rsidRDefault="00805216" w:rsidP="00805216"/>
        </w:tc>
        <w:tc>
          <w:tcPr>
            <w:tcW w:w="1096" w:type="dxa"/>
            <w:noWrap/>
            <w:vAlign w:val="center"/>
            <w:hideMark/>
          </w:tcPr>
          <w:p w14:paraId="736279B0" w14:textId="77777777" w:rsidR="00805216" w:rsidRPr="00025211" w:rsidRDefault="00805216" w:rsidP="00805216">
            <w:r>
              <w:t>P</w:t>
            </w:r>
          </w:p>
        </w:tc>
        <w:tc>
          <w:tcPr>
            <w:tcW w:w="576" w:type="dxa"/>
            <w:vMerge/>
            <w:vAlign w:val="center"/>
          </w:tcPr>
          <w:p w14:paraId="23E343AF" w14:textId="77777777" w:rsidR="00805216" w:rsidRPr="00025211" w:rsidRDefault="00805216" w:rsidP="00805216">
            <w:pPr>
              <w:jc w:val="center"/>
            </w:pPr>
          </w:p>
        </w:tc>
        <w:tc>
          <w:tcPr>
            <w:tcW w:w="1760" w:type="dxa"/>
            <w:noWrap/>
            <w:vAlign w:val="bottom"/>
          </w:tcPr>
          <w:p w14:paraId="60A855E2" w14:textId="25BD6100" w:rsidR="00805216" w:rsidRPr="00805216" w:rsidRDefault="00805216" w:rsidP="00805216">
            <w:pPr>
              <w:jc w:val="right"/>
              <w:rPr>
                <w:highlight w:val="yellow"/>
              </w:rPr>
            </w:pPr>
            <w:r w:rsidRPr="00805216">
              <w:rPr>
                <w:color w:val="000000"/>
              </w:rPr>
              <w:t>9.527±7.358</w:t>
            </w:r>
          </w:p>
        </w:tc>
        <w:tc>
          <w:tcPr>
            <w:tcW w:w="1080" w:type="dxa"/>
            <w:noWrap/>
            <w:vAlign w:val="bottom"/>
          </w:tcPr>
          <w:p w14:paraId="34F3999E" w14:textId="240F1950" w:rsidR="00805216" w:rsidRPr="00805216" w:rsidRDefault="00805216" w:rsidP="00805216">
            <w:pPr>
              <w:jc w:val="right"/>
              <w:rPr>
                <w:highlight w:val="yellow"/>
              </w:rPr>
            </w:pPr>
            <w:r w:rsidRPr="00805216">
              <w:rPr>
                <w:color w:val="000000"/>
              </w:rPr>
              <w:t>1.284</w:t>
            </w:r>
          </w:p>
        </w:tc>
        <w:tc>
          <w:tcPr>
            <w:tcW w:w="990" w:type="dxa"/>
            <w:noWrap/>
            <w:vAlign w:val="bottom"/>
          </w:tcPr>
          <w:p w14:paraId="00590610" w14:textId="1EEDD4FF" w:rsidR="00805216" w:rsidRPr="00805216" w:rsidRDefault="00805216" w:rsidP="00805216">
            <w:pPr>
              <w:jc w:val="right"/>
              <w:rPr>
                <w:highlight w:val="yellow"/>
              </w:rPr>
            </w:pPr>
            <w:r w:rsidRPr="00805216">
              <w:rPr>
                <w:color w:val="000000"/>
              </w:rPr>
              <w:t>0.199</w:t>
            </w:r>
          </w:p>
        </w:tc>
        <w:tc>
          <w:tcPr>
            <w:tcW w:w="2070" w:type="dxa"/>
            <w:noWrap/>
            <w:vAlign w:val="bottom"/>
          </w:tcPr>
          <w:p w14:paraId="724A481C" w14:textId="552C9625" w:rsidR="00805216" w:rsidRPr="00805216" w:rsidRDefault="00805216" w:rsidP="00805216">
            <w:pPr>
              <w:jc w:val="right"/>
              <w:rPr>
                <w:highlight w:val="yellow"/>
              </w:rPr>
            </w:pPr>
            <w:r w:rsidRPr="00805216">
              <w:rPr>
                <w:color w:val="000000"/>
              </w:rPr>
              <w:t>[-4.687, 25.734]</w:t>
            </w:r>
          </w:p>
        </w:tc>
      </w:tr>
      <w:tr w:rsidR="00805216" w:rsidRPr="00025211" w14:paraId="2A2C9898" w14:textId="77777777" w:rsidTr="00FB5014">
        <w:trPr>
          <w:trHeight w:val="320"/>
        </w:trPr>
        <w:tc>
          <w:tcPr>
            <w:tcW w:w="1158" w:type="dxa"/>
            <w:vMerge/>
            <w:tcBorders>
              <w:bottom w:val="single" w:sz="4" w:space="0" w:color="auto"/>
            </w:tcBorders>
            <w:vAlign w:val="center"/>
            <w:hideMark/>
          </w:tcPr>
          <w:p w14:paraId="4804C315" w14:textId="77777777" w:rsidR="00805216" w:rsidRPr="00025211" w:rsidRDefault="00805216" w:rsidP="00805216"/>
        </w:tc>
        <w:tc>
          <w:tcPr>
            <w:tcW w:w="1096" w:type="dxa"/>
            <w:tcBorders>
              <w:bottom w:val="single" w:sz="4" w:space="0" w:color="auto"/>
            </w:tcBorders>
            <w:noWrap/>
            <w:vAlign w:val="center"/>
            <w:hideMark/>
          </w:tcPr>
          <w:p w14:paraId="79BCE992" w14:textId="77777777" w:rsidR="00805216" w:rsidRPr="00025211" w:rsidRDefault="00805216" w:rsidP="00805216">
            <w:r>
              <w:t>N+P</w:t>
            </w:r>
          </w:p>
        </w:tc>
        <w:tc>
          <w:tcPr>
            <w:tcW w:w="576" w:type="dxa"/>
            <w:vMerge/>
            <w:tcBorders>
              <w:bottom w:val="single" w:sz="4" w:space="0" w:color="auto"/>
            </w:tcBorders>
            <w:vAlign w:val="center"/>
          </w:tcPr>
          <w:p w14:paraId="5F598A49" w14:textId="77777777" w:rsidR="00805216" w:rsidRPr="00025211" w:rsidRDefault="00805216" w:rsidP="00805216">
            <w:pPr>
              <w:jc w:val="center"/>
            </w:pPr>
          </w:p>
        </w:tc>
        <w:tc>
          <w:tcPr>
            <w:tcW w:w="1760" w:type="dxa"/>
            <w:tcBorders>
              <w:bottom w:val="single" w:sz="4" w:space="0" w:color="auto"/>
            </w:tcBorders>
            <w:noWrap/>
            <w:vAlign w:val="bottom"/>
          </w:tcPr>
          <w:p w14:paraId="091B034A" w14:textId="24FA3516" w:rsidR="00805216" w:rsidRPr="00805216" w:rsidRDefault="00805216" w:rsidP="00805216">
            <w:pPr>
              <w:jc w:val="right"/>
              <w:rPr>
                <w:b/>
                <w:bCs w:val="0"/>
                <w:highlight w:val="yellow"/>
              </w:rPr>
            </w:pPr>
            <w:r w:rsidRPr="00805216">
              <w:rPr>
                <w:b/>
                <w:bCs w:val="0"/>
                <w:color w:val="000000"/>
              </w:rPr>
              <w:t>27.89±9.527</w:t>
            </w:r>
          </w:p>
        </w:tc>
        <w:tc>
          <w:tcPr>
            <w:tcW w:w="1080" w:type="dxa"/>
            <w:tcBorders>
              <w:bottom w:val="single" w:sz="4" w:space="0" w:color="auto"/>
            </w:tcBorders>
            <w:noWrap/>
            <w:vAlign w:val="bottom"/>
          </w:tcPr>
          <w:p w14:paraId="6C59EF85" w14:textId="1E9BF367" w:rsidR="00805216" w:rsidRPr="00805216" w:rsidRDefault="00805216" w:rsidP="00805216">
            <w:pPr>
              <w:jc w:val="right"/>
              <w:rPr>
                <w:b/>
                <w:bCs w:val="0"/>
                <w:highlight w:val="yellow"/>
              </w:rPr>
            </w:pPr>
            <w:r w:rsidRPr="00805216">
              <w:rPr>
                <w:b/>
                <w:bCs w:val="0"/>
                <w:color w:val="000000"/>
              </w:rPr>
              <w:t>2.702</w:t>
            </w:r>
          </w:p>
        </w:tc>
        <w:tc>
          <w:tcPr>
            <w:tcW w:w="990" w:type="dxa"/>
            <w:tcBorders>
              <w:bottom w:val="single" w:sz="4" w:space="0" w:color="auto"/>
            </w:tcBorders>
            <w:noWrap/>
            <w:vAlign w:val="bottom"/>
          </w:tcPr>
          <w:p w14:paraId="51469FA7" w14:textId="088B2F3C" w:rsidR="00805216" w:rsidRPr="00805216" w:rsidRDefault="00805216" w:rsidP="00805216">
            <w:pPr>
              <w:jc w:val="right"/>
              <w:rPr>
                <w:b/>
                <w:bCs w:val="0"/>
                <w:highlight w:val="yellow"/>
              </w:rPr>
            </w:pPr>
            <w:r w:rsidRPr="00805216">
              <w:rPr>
                <w:b/>
                <w:bCs w:val="0"/>
                <w:color w:val="000000"/>
              </w:rPr>
              <w:t>0.007</w:t>
            </w:r>
          </w:p>
        </w:tc>
        <w:tc>
          <w:tcPr>
            <w:tcW w:w="2070" w:type="dxa"/>
            <w:tcBorders>
              <w:bottom w:val="single" w:sz="4" w:space="0" w:color="auto"/>
            </w:tcBorders>
            <w:noWrap/>
            <w:vAlign w:val="bottom"/>
          </w:tcPr>
          <w:p w14:paraId="1D679785" w14:textId="63EB0BA4" w:rsidR="00805216" w:rsidRPr="00805216" w:rsidRDefault="00805216" w:rsidP="00805216">
            <w:pPr>
              <w:jc w:val="right"/>
              <w:rPr>
                <w:b/>
                <w:bCs w:val="0"/>
                <w:highlight w:val="yellow"/>
              </w:rPr>
            </w:pPr>
            <w:r w:rsidRPr="00805216">
              <w:rPr>
                <w:b/>
                <w:bCs w:val="0"/>
                <w:color w:val="000000"/>
              </w:rPr>
              <w:t>[7.037, 52.806]</w:t>
            </w:r>
          </w:p>
        </w:tc>
      </w:tr>
      <w:tr w:rsidR="00805216" w:rsidRPr="00025211" w14:paraId="43848F16" w14:textId="77777777" w:rsidTr="00FB5014">
        <w:trPr>
          <w:trHeight w:val="320"/>
        </w:trPr>
        <w:tc>
          <w:tcPr>
            <w:tcW w:w="1158" w:type="dxa"/>
            <w:vMerge w:val="restart"/>
            <w:tcBorders>
              <w:top w:val="single" w:sz="4" w:space="0" w:color="auto"/>
            </w:tcBorders>
            <w:noWrap/>
            <w:vAlign w:val="center"/>
            <w:hideMark/>
          </w:tcPr>
          <w:p w14:paraId="0BE6B971" w14:textId="77777777" w:rsidR="00805216" w:rsidRPr="00485186" w:rsidRDefault="00805216" w:rsidP="00805216">
            <w:proofErr w:type="spellStart"/>
            <w:r>
              <w:rPr>
                <w:i/>
                <w:iCs/>
              </w:rPr>
              <w:t>V</w:t>
            </w:r>
            <w:r>
              <w:rPr>
                <w:vertAlign w:val="subscript"/>
              </w:rPr>
              <w:t>cmax</w:t>
            </w:r>
            <w:proofErr w:type="spellEnd"/>
          </w:p>
        </w:tc>
        <w:tc>
          <w:tcPr>
            <w:tcW w:w="1096" w:type="dxa"/>
            <w:tcBorders>
              <w:top w:val="single" w:sz="4" w:space="0" w:color="auto"/>
            </w:tcBorders>
            <w:noWrap/>
            <w:vAlign w:val="center"/>
            <w:hideMark/>
          </w:tcPr>
          <w:p w14:paraId="2D64DCB3" w14:textId="77777777" w:rsidR="00805216" w:rsidRPr="00025211" w:rsidRDefault="00805216" w:rsidP="00805216">
            <w:r>
              <w:t>N</w:t>
            </w:r>
          </w:p>
        </w:tc>
        <w:tc>
          <w:tcPr>
            <w:tcW w:w="576" w:type="dxa"/>
            <w:vMerge w:val="restart"/>
            <w:tcBorders>
              <w:top w:val="single" w:sz="4" w:space="0" w:color="auto"/>
            </w:tcBorders>
            <w:noWrap/>
            <w:vAlign w:val="center"/>
          </w:tcPr>
          <w:p w14:paraId="11737ECB" w14:textId="77777777" w:rsidR="00805216" w:rsidRPr="00025211" w:rsidRDefault="00805216" w:rsidP="00805216">
            <w:pPr>
              <w:jc w:val="center"/>
            </w:pPr>
            <w:r>
              <w:t>42</w:t>
            </w:r>
          </w:p>
        </w:tc>
        <w:tc>
          <w:tcPr>
            <w:tcW w:w="1760" w:type="dxa"/>
            <w:tcBorders>
              <w:top w:val="single" w:sz="4" w:space="0" w:color="auto"/>
            </w:tcBorders>
            <w:noWrap/>
            <w:vAlign w:val="bottom"/>
          </w:tcPr>
          <w:p w14:paraId="16D3FB54" w14:textId="46BB0963" w:rsidR="00805216" w:rsidRPr="00805216" w:rsidRDefault="00805216" w:rsidP="00805216">
            <w:pPr>
              <w:jc w:val="right"/>
              <w:rPr>
                <w:b/>
                <w:bCs w:val="0"/>
                <w:highlight w:val="yellow"/>
              </w:rPr>
            </w:pPr>
            <w:r w:rsidRPr="00805216">
              <w:rPr>
                <w:color w:val="000000"/>
              </w:rPr>
              <w:t>0.702±9.746</w:t>
            </w:r>
          </w:p>
        </w:tc>
        <w:tc>
          <w:tcPr>
            <w:tcW w:w="1080" w:type="dxa"/>
            <w:tcBorders>
              <w:top w:val="single" w:sz="4" w:space="0" w:color="auto"/>
            </w:tcBorders>
            <w:noWrap/>
            <w:vAlign w:val="bottom"/>
          </w:tcPr>
          <w:p w14:paraId="5D5D873A" w14:textId="656897DE" w:rsidR="00805216" w:rsidRPr="00805216" w:rsidRDefault="00805216" w:rsidP="00805216">
            <w:pPr>
              <w:jc w:val="right"/>
              <w:rPr>
                <w:b/>
                <w:bCs w:val="0"/>
                <w:highlight w:val="yellow"/>
              </w:rPr>
            </w:pPr>
            <w:r w:rsidRPr="00805216">
              <w:rPr>
                <w:color w:val="000000"/>
              </w:rPr>
              <w:t>0.078</w:t>
            </w:r>
          </w:p>
        </w:tc>
        <w:tc>
          <w:tcPr>
            <w:tcW w:w="990" w:type="dxa"/>
            <w:tcBorders>
              <w:top w:val="single" w:sz="4" w:space="0" w:color="auto"/>
            </w:tcBorders>
            <w:noWrap/>
            <w:vAlign w:val="bottom"/>
          </w:tcPr>
          <w:p w14:paraId="6819A15F" w14:textId="72ECACB3" w:rsidR="00805216" w:rsidRPr="00805216" w:rsidRDefault="00805216" w:rsidP="00805216">
            <w:pPr>
              <w:jc w:val="right"/>
              <w:rPr>
                <w:b/>
                <w:bCs w:val="0"/>
                <w:highlight w:val="yellow"/>
              </w:rPr>
            </w:pPr>
            <w:r w:rsidRPr="00805216">
              <w:rPr>
                <w:color w:val="000000"/>
              </w:rPr>
              <w:t>0.938</w:t>
            </w:r>
          </w:p>
        </w:tc>
        <w:tc>
          <w:tcPr>
            <w:tcW w:w="2070" w:type="dxa"/>
            <w:tcBorders>
              <w:top w:val="single" w:sz="4" w:space="0" w:color="auto"/>
            </w:tcBorders>
            <w:noWrap/>
            <w:vAlign w:val="bottom"/>
          </w:tcPr>
          <w:p w14:paraId="3A50A988" w14:textId="3814D972" w:rsidR="00805216" w:rsidRPr="00805216" w:rsidRDefault="00805216" w:rsidP="00805216">
            <w:pPr>
              <w:jc w:val="right"/>
              <w:rPr>
                <w:b/>
                <w:bCs w:val="0"/>
                <w:highlight w:val="yellow"/>
              </w:rPr>
            </w:pPr>
            <w:r w:rsidRPr="00805216">
              <w:rPr>
                <w:color w:val="000000"/>
              </w:rPr>
              <w:t>[-16.054, 20.925]</w:t>
            </w:r>
          </w:p>
        </w:tc>
      </w:tr>
      <w:tr w:rsidR="00805216" w:rsidRPr="00025211" w14:paraId="57762457" w14:textId="77777777" w:rsidTr="00FB5014">
        <w:trPr>
          <w:trHeight w:val="320"/>
        </w:trPr>
        <w:tc>
          <w:tcPr>
            <w:tcW w:w="1158" w:type="dxa"/>
            <w:vMerge/>
            <w:vAlign w:val="center"/>
            <w:hideMark/>
          </w:tcPr>
          <w:p w14:paraId="4F72202C" w14:textId="77777777" w:rsidR="00805216" w:rsidRPr="00025211" w:rsidRDefault="00805216" w:rsidP="00805216"/>
        </w:tc>
        <w:tc>
          <w:tcPr>
            <w:tcW w:w="1096" w:type="dxa"/>
            <w:noWrap/>
            <w:vAlign w:val="center"/>
            <w:hideMark/>
          </w:tcPr>
          <w:p w14:paraId="68492860" w14:textId="77777777" w:rsidR="00805216" w:rsidRPr="00025211" w:rsidRDefault="00805216" w:rsidP="00805216">
            <w:r>
              <w:t>P</w:t>
            </w:r>
          </w:p>
        </w:tc>
        <w:tc>
          <w:tcPr>
            <w:tcW w:w="576" w:type="dxa"/>
            <w:vMerge/>
            <w:vAlign w:val="center"/>
          </w:tcPr>
          <w:p w14:paraId="599ED665" w14:textId="77777777" w:rsidR="00805216" w:rsidRPr="00025211" w:rsidRDefault="00805216" w:rsidP="00805216">
            <w:pPr>
              <w:jc w:val="center"/>
            </w:pPr>
          </w:p>
        </w:tc>
        <w:tc>
          <w:tcPr>
            <w:tcW w:w="1760" w:type="dxa"/>
            <w:noWrap/>
            <w:vAlign w:val="bottom"/>
          </w:tcPr>
          <w:p w14:paraId="3D93D3A2" w14:textId="494E1426" w:rsidR="00805216" w:rsidRPr="00805216" w:rsidRDefault="00805216" w:rsidP="00805216">
            <w:pPr>
              <w:jc w:val="right"/>
              <w:rPr>
                <w:highlight w:val="yellow"/>
              </w:rPr>
            </w:pPr>
            <w:r w:rsidRPr="00805216">
              <w:rPr>
                <w:color w:val="000000"/>
              </w:rPr>
              <w:t>12.187±7.466</w:t>
            </w:r>
          </w:p>
        </w:tc>
        <w:tc>
          <w:tcPr>
            <w:tcW w:w="1080" w:type="dxa"/>
            <w:noWrap/>
            <w:vAlign w:val="bottom"/>
          </w:tcPr>
          <w:p w14:paraId="6B2AB9C0" w14:textId="5017444E" w:rsidR="00805216" w:rsidRPr="00805216" w:rsidRDefault="00805216" w:rsidP="00805216">
            <w:pPr>
              <w:jc w:val="right"/>
              <w:rPr>
                <w:highlight w:val="yellow"/>
              </w:rPr>
            </w:pPr>
            <w:r w:rsidRPr="00805216">
              <w:rPr>
                <w:color w:val="000000"/>
              </w:rPr>
              <w:t>1.607</w:t>
            </w:r>
          </w:p>
        </w:tc>
        <w:tc>
          <w:tcPr>
            <w:tcW w:w="990" w:type="dxa"/>
            <w:noWrap/>
            <w:vAlign w:val="bottom"/>
          </w:tcPr>
          <w:p w14:paraId="6124FB07" w14:textId="6BD2A3F6" w:rsidR="00805216" w:rsidRPr="00805216" w:rsidRDefault="00805216" w:rsidP="00805216">
            <w:pPr>
              <w:jc w:val="right"/>
              <w:rPr>
                <w:highlight w:val="yellow"/>
              </w:rPr>
            </w:pPr>
            <w:r w:rsidRPr="00805216">
              <w:rPr>
                <w:color w:val="000000"/>
              </w:rPr>
              <w:t>0.108</w:t>
            </w:r>
          </w:p>
        </w:tc>
        <w:tc>
          <w:tcPr>
            <w:tcW w:w="2070" w:type="dxa"/>
            <w:noWrap/>
            <w:vAlign w:val="bottom"/>
          </w:tcPr>
          <w:p w14:paraId="62BF142E" w14:textId="38F86F50" w:rsidR="00805216" w:rsidRPr="00805216" w:rsidRDefault="00805216" w:rsidP="00805216">
            <w:pPr>
              <w:jc w:val="right"/>
              <w:rPr>
                <w:highlight w:val="yellow"/>
              </w:rPr>
            </w:pPr>
            <w:r w:rsidRPr="00805216">
              <w:rPr>
                <w:color w:val="000000"/>
              </w:rPr>
              <w:t>[-2.469, 29.175]</w:t>
            </w:r>
          </w:p>
        </w:tc>
      </w:tr>
      <w:tr w:rsidR="00805216" w:rsidRPr="00025211" w14:paraId="653E5D24" w14:textId="77777777" w:rsidTr="00FB5014">
        <w:trPr>
          <w:trHeight w:val="320"/>
        </w:trPr>
        <w:tc>
          <w:tcPr>
            <w:tcW w:w="1158" w:type="dxa"/>
            <w:vMerge/>
            <w:tcBorders>
              <w:bottom w:val="single" w:sz="4" w:space="0" w:color="auto"/>
            </w:tcBorders>
            <w:vAlign w:val="center"/>
            <w:hideMark/>
          </w:tcPr>
          <w:p w14:paraId="6A5D1291" w14:textId="77777777" w:rsidR="00805216" w:rsidRPr="00025211" w:rsidRDefault="00805216" w:rsidP="00805216"/>
        </w:tc>
        <w:tc>
          <w:tcPr>
            <w:tcW w:w="1096" w:type="dxa"/>
            <w:tcBorders>
              <w:bottom w:val="single" w:sz="4" w:space="0" w:color="auto"/>
            </w:tcBorders>
            <w:noWrap/>
            <w:vAlign w:val="center"/>
            <w:hideMark/>
          </w:tcPr>
          <w:p w14:paraId="0F9E3346" w14:textId="77777777" w:rsidR="00805216" w:rsidRPr="00025211" w:rsidRDefault="00805216" w:rsidP="00805216">
            <w:r>
              <w:t>N+P</w:t>
            </w:r>
          </w:p>
        </w:tc>
        <w:tc>
          <w:tcPr>
            <w:tcW w:w="576" w:type="dxa"/>
            <w:vMerge/>
            <w:tcBorders>
              <w:bottom w:val="single" w:sz="4" w:space="0" w:color="auto"/>
            </w:tcBorders>
            <w:vAlign w:val="center"/>
          </w:tcPr>
          <w:p w14:paraId="4321BBCD" w14:textId="77777777" w:rsidR="00805216" w:rsidRPr="00025211" w:rsidRDefault="00805216" w:rsidP="00805216">
            <w:pPr>
              <w:jc w:val="center"/>
            </w:pPr>
          </w:p>
        </w:tc>
        <w:tc>
          <w:tcPr>
            <w:tcW w:w="1760" w:type="dxa"/>
            <w:tcBorders>
              <w:bottom w:val="single" w:sz="4" w:space="0" w:color="auto"/>
            </w:tcBorders>
            <w:noWrap/>
            <w:vAlign w:val="bottom"/>
          </w:tcPr>
          <w:p w14:paraId="002E8A3B" w14:textId="6686DCE0" w:rsidR="00805216" w:rsidRPr="00805216" w:rsidRDefault="00805216" w:rsidP="00805216">
            <w:pPr>
              <w:jc w:val="right"/>
              <w:rPr>
                <w:b/>
                <w:bCs w:val="0"/>
                <w:i/>
                <w:iCs/>
                <w:highlight w:val="yellow"/>
              </w:rPr>
            </w:pPr>
            <w:r w:rsidRPr="00805216">
              <w:rPr>
                <w:i/>
                <w:iCs/>
                <w:color w:val="000000"/>
              </w:rPr>
              <w:t>17.821±8.872</w:t>
            </w:r>
          </w:p>
        </w:tc>
        <w:tc>
          <w:tcPr>
            <w:tcW w:w="1080" w:type="dxa"/>
            <w:tcBorders>
              <w:bottom w:val="single" w:sz="4" w:space="0" w:color="auto"/>
            </w:tcBorders>
            <w:noWrap/>
            <w:vAlign w:val="bottom"/>
          </w:tcPr>
          <w:p w14:paraId="1479BC59" w14:textId="13566854" w:rsidR="00805216" w:rsidRPr="00805216" w:rsidRDefault="00805216" w:rsidP="00805216">
            <w:pPr>
              <w:jc w:val="right"/>
              <w:rPr>
                <w:b/>
                <w:bCs w:val="0"/>
                <w:i/>
                <w:iCs/>
                <w:highlight w:val="yellow"/>
              </w:rPr>
            </w:pPr>
            <w:r w:rsidRPr="00805216">
              <w:rPr>
                <w:i/>
                <w:iCs/>
                <w:color w:val="000000"/>
              </w:rPr>
              <w:t>1.937</w:t>
            </w:r>
          </w:p>
        </w:tc>
        <w:tc>
          <w:tcPr>
            <w:tcW w:w="990" w:type="dxa"/>
            <w:tcBorders>
              <w:bottom w:val="single" w:sz="4" w:space="0" w:color="auto"/>
            </w:tcBorders>
            <w:noWrap/>
            <w:vAlign w:val="bottom"/>
          </w:tcPr>
          <w:p w14:paraId="1D3B5DAE" w14:textId="0AE91300" w:rsidR="00805216" w:rsidRPr="00805216" w:rsidRDefault="00805216" w:rsidP="00805216">
            <w:pPr>
              <w:jc w:val="right"/>
              <w:rPr>
                <w:b/>
                <w:bCs w:val="0"/>
                <w:i/>
                <w:iCs/>
                <w:highlight w:val="yellow"/>
              </w:rPr>
            </w:pPr>
            <w:r w:rsidRPr="00805216">
              <w:rPr>
                <w:i/>
                <w:iCs/>
                <w:color w:val="000000"/>
              </w:rPr>
              <w:t>0.053</w:t>
            </w:r>
          </w:p>
        </w:tc>
        <w:tc>
          <w:tcPr>
            <w:tcW w:w="2070" w:type="dxa"/>
            <w:tcBorders>
              <w:bottom w:val="single" w:sz="4" w:space="0" w:color="auto"/>
            </w:tcBorders>
            <w:noWrap/>
            <w:vAlign w:val="bottom"/>
          </w:tcPr>
          <w:p w14:paraId="098598AA" w14:textId="4E54C46D" w:rsidR="00805216" w:rsidRPr="00805216" w:rsidRDefault="00805216" w:rsidP="00805216">
            <w:pPr>
              <w:jc w:val="right"/>
              <w:rPr>
                <w:b/>
                <w:bCs w:val="0"/>
                <w:i/>
                <w:iCs/>
                <w:highlight w:val="yellow"/>
              </w:rPr>
            </w:pPr>
            <w:r w:rsidRPr="00805216">
              <w:rPr>
                <w:i/>
                <w:iCs/>
                <w:color w:val="000000"/>
              </w:rPr>
              <w:t>[-0.200, 39.236]</w:t>
            </w:r>
          </w:p>
        </w:tc>
      </w:tr>
      <w:tr w:rsidR="00805216" w:rsidRPr="00025211" w14:paraId="5FF0D716" w14:textId="77777777" w:rsidTr="00FB5014">
        <w:trPr>
          <w:trHeight w:val="320"/>
        </w:trPr>
        <w:tc>
          <w:tcPr>
            <w:tcW w:w="1158" w:type="dxa"/>
            <w:vMerge w:val="restart"/>
            <w:tcBorders>
              <w:top w:val="single" w:sz="4" w:space="0" w:color="auto"/>
            </w:tcBorders>
            <w:noWrap/>
            <w:vAlign w:val="center"/>
            <w:hideMark/>
          </w:tcPr>
          <w:p w14:paraId="24880E70" w14:textId="77777777" w:rsidR="00805216" w:rsidRPr="00485186" w:rsidRDefault="00805216" w:rsidP="00805216">
            <w:proofErr w:type="spellStart"/>
            <w:r>
              <w:rPr>
                <w:i/>
                <w:iCs/>
              </w:rPr>
              <w:t>J</w:t>
            </w:r>
            <w:r>
              <w:rPr>
                <w:vertAlign w:val="subscript"/>
              </w:rPr>
              <w:t>max</w:t>
            </w:r>
            <w:proofErr w:type="spellEnd"/>
          </w:p>
        </w:tc>
        <w:tc>
          <w:tcPr>
            <w:tcW w:w="1096" w:type="dxa"/>
            <w:tcBorders>
              <w:top w:val="single" w:sz="4" w:space="0" w:color="auto"/>
            </w:tcBorders>
            <w:noWrap/>
            <w:vAlign w:val="center"/>
            <w:hideMark/>
          </w:tcPr>
          <w:p w14:paraId="129EA8CB" w14:textId="77777777" w:rsidR="00805216" w:rsidRPr="00025211" w:rsidRDefault="00805216" w:rsidP="00805216">
            <w:r>
              <w:t>N</w:t>
            </w:r>
          </w:p>
        </w:tc>
        <w:tc>
          <w:tcPr>
            <w:tcW w:w="576" w:type="dxa"/>
            <w:vMerge w:val="restart"/>
            <w:tcBorders>
              <w:top w:val="single" w:sz="4" w:space="0" w:color="auto"/>
            </w:tcBorders>
            <w:noWrap/>
            <w:vAlign w:val="center"/>
          </w:tcPr>
          <w:p w14:paraId="6BBE3FDF" w14:textId="77777777" w:rsidR="00805216" w:rsidRPr="00025211" w:rsidRDefault="00805216" w:rsidP="00805216">
            <w:pPr>
              <w:jc w:val="center"/>
            </w:pPr>
            <w:r>
              <w:t>40</w:t>
            </w:r>
          </w:p>
        </w:tc>
        <w:tc>
          <w:tcPr>
            <w:tcW w:w="1760" w:type="dxa"/>
            <w:tcBorders>
              <w:top w:val="single" w:sz="4" w:space="0" w:color="auto"/>
            </w:tcBorders>
            <w:noWrap/>
            <w:vAlign w:val="bottom"/>
          </w:tcPr>
          <w:p w14:paraId="7CA53CD4" w14:textId="37CE7E0E" w:rsidR="00805216" w:rsidRPr="00805216" w:rsidRDefault="00805216" w:rsidP="00805216">
            <w:pPr>
              <w:jc w:val="right"/>
              <w:rPr>
                <w:b/>
                <w:bCs w:val="0"/>
                <w:highlight w:val="yellow"/>
              </w:rPr>
            </w:pPr>
            <w:r w:rsidRPr="00805216">
              <w:rPr>
                <w:color w:val="000000"/>
              </w:rPr>
              <w:t>9.527±6.290</w:t>
            </w:r>
          </w:p>
        </w:tc>
        <w:tc>
          <w:tcPr>
            <w:tcW w:w="1080" w:type="dxa"/>
            <w:tcBorders>
              <w:top w:val="single" w:sz="4" w:space="0" w:color="auto"/>
            </w:tcBorders>
            <w:noWrap/>
            <w:vAlign w:val="bottom"/>
          </w:tcPr>
          <w:p w14:paraId="6A1B83BB" w14:textId="59DF769B" w:rsidR="00805216" w:rsidRPr="00805216" w:rsidRDefault="00805216" w:rsidP="00805216">
            <w:pPr>
              <w:jc w:val="right"/>
              <w:rPr>
                <w:b/>
                <w:bCs w:val="0"/>
                <w:highlight w:val="yellow"/>
              </w:rPr>
            </w:pPr>
            <w:r w:rsidRPr="00805216">
              <w:rPr>
                <w:color w:val="000000"/>
              </w:rPr>
              <w:t>1.502</w:t>
            </w:r>
          </w:p>
        </w:tc>
        <w:tc>
          <w:tcPr>
            <w:tcW w:w="990" w:type="dxa"/>
            <w:tcBorders>
              <w:top w:val="single" w:sz="4" w:space="0" w:color="auto"/>
            </w:tcBorders>
            <w:noWrap/>
            <w:vAlign w:val="bottom"/>
          </w:tcPr>
          <w:p w14:paraId="3C997A5F" w14:textId="2A8A996E" w:rsidR="00805216" w:rsidRPr="00805216" w:rsidRDefault="00805216" w:rsidP="00805216">
            <w:pPr>
              <w:jc w:val="right"/>
              <w:rPr>
                <w:b/>
                <w:bCs w:val="0"/>
                <w:highlight w:val="yellow"/>
              </w:rPr>
            </w:pPr>
            <w:r w:rsidRPr="00805216">
              <w:rPr>
                <w:color w:val="000000"/>
              </w:rPr>
              <w:t>0.133</w:t>
            </w:r>
          </w:p>
        </w:tc>
        <w:tc>
          <w:tcPr>
            <w:tcW w:w="2070" w:type="dxa"/>
            <w:tcBorders>
              <w:top w:val="single" w:sz="4" w:space="0" w:color="auto"/>
            </w:tcBorders>
            <w:noWrap/>
            <w:vAlign w:val="bottom"/>
          </w:tcPr>
          <w:p w14:paraId="66F85564" w14:textId="6D2712E1" w:rsidR="00805216" w:rsidRPr="00805216" w:rsidRDefault="00805216" w:rsidP="00805216">
            <w:pPr>
              <w:jc w:val="right"/>
              <w:rPr>
                <w:b/>
                <w:bCs w:val="0"/>
                <w:highlight w:val="yellow"/>
              </w:rPr>
            </w:pPr>
            <w:r w:rsidRPr="00805216">
              <w:rPr>
                <w:color w:val="000000"/>
              </w:rPr>
              <w:t>[-2.761, 23.368]</w:t>
            </w:r>
          </w:p>
        </w:tc>
      </w:tr>
      <w:tr w:rsidR="00805216" w:rsidRPr="00025211" w14:paraId="4C83A458" w14:textId="77777777" w:rsidTr="00FB5014">
        <w:trPr>
          <w:trHeight w:val="320"/>
        </w:trPr>
        <w:tc>
          <w:tcPr>
            <w:tcW w:w="1158" w:type="dxa"/>
            <w:vMerge/>
            <w:vAlign w:val="center"/>
            <w:hideMark/>
          </w:tcPr>
          <w:p w14:paraId="35784733" w14:textId="77777777" w:rsidR="00805216" w:rsidRPr="00025211" w:rsidRDefault="00805216" w:rsidP="00805216"/>
        </w:tc>
        <w:tc>
          <w:tcPr>
            <w:tcW w:w="1096" w:type="dxa"/>
            <w:noWrap/>
            <w:vAlign w:val="center"/>
            <w:hideMark/>
          </w:tcPr>
          <w:p w14:paraId="6250520E" w14:textId="77777777" w:rsidR="00805216" w:rsidRPr="00025211" w:rsidRDefault="00805216" w:rsidP="00805216">
            <w:r>
              <w:t>P</w:t>
            </w:r>
          </w:p>
        </w:tc>
        <w:tc>
          <w:tcPr>
            <w:tcW w:w="576" w:type="dxa"/>
            <w:vMerge/>
            <w:vAlign w:val="center"/>
          </w:tcPr>
          <w:p w14:paraId="3E68DDD2" w14:textId="77777777" w:rsidR="00805216" w:rsidRPr="00025211" w:rsidRDefault="00805216" w:rsidP="00805216">
            <w:pPr>
              <w:jc w:val="center"/>
            </w:pPr>
          </w:p>
        </w:tc>
        <w:tc>
          <w:tcPr>
            <w:tcW w:w="1760" w:type="dxa"/>
            <w:noWrap/>
            <w:vAlign w:val="bottom"/>
          </w:tcPr>
          <w:p w14:paraId="581288FF" w14:textId="07C6A48C" w:rsidR="00805216" w:rsidRPr="00805216" w:rsidRDefault="00805216" w:rsidP="00805216">
            <w:pPr>
              <w:jc w:val="right"/>
              <w:rPr>
                <w:b/>
                <w:bCs w:val="0"/>
                <w:highlight w:val="yellow"/>
              </w:rPr>
            </w:pPr>
            <w:r w:rsidRPr="00805216">
              <w:rPr>
                <w:b/>
                <w:bCs w:val="0"/>
                <w:color w:val="000000"/>
              </w:rPr>
              <w:t>19.363±8.220</w:t>
            </w:r>
          </w:p>
        </w:tc>
        <w:tc>
          <w:tcPr>
            <w:tcW w:w="1080" w:type="dxa"/>
            <w:noWrap/>
            <w:vAlign w:val="bottom"/>
          </w:tcPr>
          <w:p w14:paraId="5A1E71F5" w14:textId="7873C631" w:rsidR="00805216" w:rsidRPr="00805216" w:rsidRDefault="00805216" w:rsidP="00805216">
            <w:pPr>
              <w:jc w:val="right"/>
              <w:rPr>
                <w:b/>
                <w:bCs w:val="0"/>
                <w:highlight w:val="yellow"/>
              </w:rPr>
            </w:pPr>
            <w:r w:rsidRPr="00805216">
              <w:rPr>
                <w:b/>
                <w:bCs w:val="0"/>
                <w:color w:val="000000"/>
              </w:rPr>
              <w:t>2.248</w:t>
            </w:r>
          </w:p>
        </w:tc>
        <w:tc>
          <w:tcPr>
            <w:tcW w:w="990" w:type="dxa"/>
            <w:noWrap/>
            <w:vAlign w:val="bottom"/>
          </w:tcPr>
          <w:p w14:paraId="5D069D3E" w14:textId="4FF32D25" w:rsidR="00805216" w:rsidRPr="00805216" w:rsidRDefault="00805216" w:rsidP="00805216">
            <w:pPr>
              <w:jc w:val="right"/>
              <w:rPr>
                <w:b/>
                <w:bCs w:val="0"/>
                <w:highlight w:val="yellow"/>
              </w:rPr>
            </w:pPr>
            <w:r w:rsidRPr="00805216">
              <w:rPr>
                <w:b/>
                <w:bCs w:val="0"/>
                <w:color w:val="000000"/>
              </w:rPr>
              <w:t>0.025</w:t>
            </w:r>
          </w:p>
        </w:tc>
        <w:tc>
          <w:tcPr>
            <w:tcW w:w="2070" w:type="dxa"/>
            <w:noWrap/>
            <w:vAlign w:val="bottom"/>
          </w:tcPr>
          <w:p w14:paraId="61CB3A2C" w14:textId="623C83E3" w:rsidR="00805216" w:rsidRPr="00805216" w:rsidRDefault="00805216" w:rsidP="00805216">
            <w:pPr>
              <w:jc w:val="right"/>
              <w:rPr>
                <w:b/>
                <w:bCs w:val="0"/>
                <w:highlight w:val="yellow"/>
              </w:rPr>
            </w:pPr>
            <w:r w:rsidRPr="00805216">
              <w:rPr>
                <w:b/>
                <w:bCs w:val="0"/>
                <w:color w:val="000000"/>
              </w:rPr>
              <w:t>[2.327, 39.375]</w:t>
            </w:r>
          </w:p>
        </w:tc>
      </w:tr>
      <w:tr w:rsidR="00805216" w:rsidRPr="00025211" w14:paraId="01DA62A9" w14:textId="77777777" w:rsidTr="00FB5014">
        <w:trPr>
          <w:trHeight w:val="320"/>
        </w:trPr>
        <w:tc>
          <w:tcPr>
            <w:tcW w:w="1158" w:type="dxa"/>
            <w:vMerge/>
            <w:tcBorders>
              <w:bottom w:val="single" w:sz="4" w:space="0" w:color="auto"/>
            </w:tcBorders>
            <w:vAlign w:val="center"/>
            <w:hideMark/>
          </w:tcPr>
          <w:p w14:paraId="71448F32" w14:textId="77777777" w:rsidR="00805216" w:rsidRPr="00025211" w:rsidRDefault="00805216" w:rsidP="00805216"/>
        </w:tc>
        <w:tc>
          <w:tcPr>
            <w:tcW w:w="1096" w:type="dxa"/>
            <w:tcBorders>
              <w:bottom w:val="single" w:sz="4" w:space="0" w:color="auto"/>
            </w:tcBorders>
            <w:noWrap/>
            <w:vAlign w:val="center"/>
            <w:hideMark/>
          </w:tcPr>
          <w:p w14:paraId="6E365916" w14:textId="77777777" w:rsidR="00805216" w:rsidRPr="00025211" w:rsidRDefault="00805216" w:rsidP="00805216">
            <w:r>
              <w:t>N+P</w:t>
            </w:r>
          </w:p>
        </w:tc>
        <w:tc>
          <w:tcPr>
            <w:tcW w:w="576" w:type="dxa"/>
            <w:vMerge/>
            <w:tcBorders>
              <w:bottom w:val="single" w:sz="4" w:space="0" w:color="auto"/>
            </w:tcBorders>
            <w:vAlign w:val="center"/>
          </w:tcPr>
          <w:p w14:paraId="36049ECC" w14:textId="77777777" w:rsidR="00805216" w:rsidRPr="00025211" w:rsidRDefault="00805216" w:rsidP="00805216">
            <w:pPr>
              <w:jc w:val="center"/>
            </w:pPr>
          </w:p>
        </w:tc>
        <w:tc>
          <w:tcPr>
            <w:tcW w:w="1760" w:type="dxa"/>
            <w:tcBorders>
              <w:bottom w:val="single" w:sz="4" w:space="0" w:color="auto"/>
            </w:tcBorders>
            <w:noWrap/>
            <w:vAlign w:val="bottom"/>
          </w:tcPr>
          <w:p w14:paraId="6A4CD10C" w14:textId="219B1497" w:rsidR="00805216" w:rsidRPr="00805216" w:rsidRDefault="00805216" w:rsidP="00805216">
            <w:pPr>
              <w:jc w:val="right"/>
              <w:rPr>
                <w:b/>
                <w:bCs w:val="0"/>
                <w:highlight w:val="yellow"/>
              </w:rPr>
            </w:pPr>
            <w:r w:rsidRPr="00805216">
              <w:rPr>
                <w:b/>
                <w:bCs w:val="0"/>
                <w:color w:val="000000"/>
              </w:rPr>
              <w:t>29.823±2.737</w:t>
            </w:r>
          </w:p>
        </w:tc>
        <w:tc>
          <w:tcPr>
            <w:tcW w:w="1080" w:type="dxa"/>
            <w:tcBorders>
              <w:bottom w:val="single" w:sz="4" w:space="0" w:color="auto"/>
            </w:tcBorders>
            <w:noWrap/>
            <w:vAlign w:val="bottom"/>
          </w:tcPr>
          <w:p w14:paraId="1FFCAA81" w14:textId="0371D519" w:rsidR="00805216" w:rsidRPr="00805216" w:rsidRDefault="00805216" w:rsidP="00805216">
            <w:pPr>
              <w:jc w:val="right"/>
              <w:rPr>
                <w:b/>
                <w:bCs w:val="0"/>
                <w:highlight w:val="yellow"/>
              </w:rPr>
            </w:pPr>
            <w:r w:rsidRPr="00805216">
              <w:rPr>
                <w:b/>
                <w:bCs w:val="0"/>
                <w:color w:val="000000"/>
              </w:rPr>
              <w:t>9.601</w:t>
            </w:r>
          </w:p>
        </w:tc>
        <w:tc>
          <w:tcPr>
            <w:tcW w:w="990" w:type="dxa"/>
            <w:tcBorders>
              <w:bottom w:val="single" w:sz="4" w:space="0" w:color="auto"/>
            </w:tcBorders>
            <w:noWrap/>
            <w:vAlign w:val="bottom"/>
          </w:tcPr>
          <w:p w14:paraId="3B25D4FB" w14:textId="096417B7" w:rsidR="00805216" w:rsidRPr="00805216" w:rsidRDefault="00805216" w:rsidP="00805216">
            <w:pPr>
              <w:jc w:val="right"/>
              <w:rPr>
                <w:b/>
                <w:bCs w:val="0"/>
                <w:highlight w:val="yellow"/>
              </w:rPr>
            </w:pPr>
            <w:r w:rsidRPr="00805216">
              <w:rPr>
                <w:b/>
                <w:bCs w:val="0"/>
                <w:color w:val="000000"/>
              </w:rPr>
              <w:t>&lt;0.001</w:t>
            </w:r>
          </w:p>
        </w:tc>
        <w:tc>
          <w:tcPr>
            <w:tcW w:w="2070" w:type="dxa"/>
            <w:tcBorders>
              <w:bottom w:val="single" w:sz="4" w:space="0" w:color="auto"/>
            </w:tcBorders>
            <w:noWrap/>
            <w:vAlign w:val="bottom"/>
          </w:tcPr>
          <w:p w14:paraId="35686AEA" w14:textId="7F047833" w:rsidR="00805216" w:rsidRPr="00805216" w:rsidRDefault="00805216" w:rsidP="00805216">
            <w:pPr>
              <w:jc w:val="right"/>
              <w:rPr>
                <w:b/>
                <w:bCs w:val="0"/>
                <w:highlight w:val="yellow"/>
              </w:rPr>
            </w:pPr>
            <w:r w:rsidRPr="00805216">
              <w:rPr>
                <w:b/>
                <w:bCs w:val="0"/>
                <w:color w:val="000000"/>
              </w:rPr>
              <w:t>[23.121, 37.026]</w:t>
            </w:r>
          </w:p>
        </w:tc>
      </w:tr>
      <w:tr w:rsidR="00805216" w:rsidRPr="00025211" w14:paraId="63F978AB" w14:textId="77777777" w:rsidTr="00FB5014">
        <w:trPr>
          <w:trHeight w:val="320"/>
        </w:trPr>
        <w:tc>
          <w:tcPr>
            <w:tcW w:w="1158" w:type="dxa"/>
            <w:vMerge w:val="restart"/>
            <w:tcBorders>
              <w:top w:val="single" w:sz="4" w:space="0" w:color="auto"/>
            </w:tcBorders>
            <w:noWrap/>
            <w:vAlign w:val="center"/>
            <w:hideMark/>
          </w:tcPr>
          <w:p w14:paraId="3207A418" w14:textId="77777777" w:rsidR="00805216" w:rsidRPr="00485186" w:rsidRDefault="00805216" w:rsidP="00805216">
            <w:proofErr w:type="spellStart"/>
            <w:proofErr w:type="gramStart"/>
            <w:r>
              <w:rPr>
                <w:i/>
                <w:iCs/>
              </w:rPr>
              <w:t>J</w:t>
            </w:r>
            <w:r>
              <w:rPr>
                <w:vertAlign w:val="subscript"/>
              </w:rPr>
              <w:t>max</w:t>
            </w:r>
            <w:r>
              <w:t>:</w:t>
            </w:r>
            <w:r>
              <w:rPr>
                <w:i/>
                <w:iCs/>
              </w:rPr>
              <w:t>V</w:t>
            </w:r>
            <w:r>
              <w:rPr>
                <w:vertAlign w:val="subscript"/>
              </w:rPr>
              <w:t>cmax</w:t>
            </w:r>
            <w:proofErr w:type="spellEnd"/>
            <w:proofErr w:type="gramEnd"/>
            <w:r>
              <w:rPr>
                <w:vertAlign w:val="subscript"/>
              </w:rPr>
              <w:t xml:space="preserve"> </w:t>
            </w:r>
          </w:p>
        </w:tc>
        <w:tc>
          <w:tcPr>
            <w:tcW w:w="1096" w:type="dxa"/>
            <w:tcBorders>
              <w:top w:val="single" w:sz="4" w:space="0" w:color="auto"/>
            </w:tcBorders>
            <w:noWrap/>
            <w:vAlign w:val="center"/>
            <w:hideMark/>
          </w:tcPr>
          <w:p w14:paraId="6A2EF71F" w14:textId="77777777" w:rsidR="00805216" w:rsidRPr="00025211" w:rsidRDefault="00805216" w:rsidP="00805216">
            <w:r>
              <w:t>N</w:t>
            </w:r>
          </w:p>
        </w:tc>
        <w:tc>
          <w:tcPr>
            <w:tcW w:w="576" w:type="dxa"/>
            <w:vMerge w:val="restart"/>
            <w:tcBorders>
              <w:top w:val="single" w:sz="4" w:space="0" w:color="auto"/>
            </w:tcBorders>
            <w:noWrap/>
            <w:vAlign w:val="center"/>
          </w:tcPr>
          <w:p w14:paraId="26CB5F44" w14:textId="77777777" w:rsidR="00805216" w:rsidRPr="00025211" w:rsidRDefault="00805216" w:rsidP="00805216">
            <w:pPr>
              <w:jc w:val="center"/>
            </w:pPr>
            <w:r>
              <w:t>32</w:t>
            </w:r>
          </w:p>
        </w:tc>
        <w:tc>
          <w:tcPr>
            <w:tcW w:w="1760" w:type="dxa"/>
            <w:tcBorders>
              <w:top w:val="single" w:sz="4" w:space="0" w:color="auto"/>
            </w:tcBorders>
            <w:noWrap/>
            <w:vAlign w:val="bottom"/>
          </w:tcPr>
          <w:p w14:paraId="631288F8" w14:textId="2F33CED2" w:rsidR="00805216" w:rsidRPr="00805216" w:rsidRDefault="00805216" w:rsidP="00805216">
            <w:pPr>
              <w:jc w:val="right"/>
              <w:rPr>
                <w:b/>
                <w:bCs w:val="0"/>
                <w:i/>
                <w:iCs/>
                <w:highlight w:val="yellow"/>
              </w:rPr>
            </w:pPr>
            <w:r w:rsidRPr="00805216">
              <w:rPr>
                <w:i/>
                <w:iCs/>
                <w:color w:val="000000"/>
              </w:rPr>
              <w:t>0.300±0.200</w:t>
            </w:r>
          </w:p>
        </w:tc>
        <w:tc>
          <w:tcPr>
            <w:tcW w:w="1080" w:type="dxa"/>
            <w:tcBorders>
              <w:top w:val="single" w:sz="4" w:space="0" w:color="auto"/>
            </w:tcBorders>
            <w:noWrap/>
            <w:vAlign w:val="bottom"/>
          </w:tcPr>
          <w:p w14:paraId="591D870E" w14:textId="470817FF" w:rsidR="00805216" w:rsidRPr="00805216" w:rsidRDefault="00805216" w:rsidP="00805216">
            <w:pPr>
              <w:jc w:val="right"/>
              <w:rPr>
                <w:b/>
                <w:bCs w:val="0"/>
                <w:i/>
                <w:iCs/>
                <w:highlight w:val="yellow"/>
              </w:rPr>
            </w:pPr>
            <w:r w:rsidRPr="00805216">
              <w:rPr>
                <w:i/>
                <w:iCs/>
                <w:color w:val="000000"/>
              </w:rPr>
              <w:t>1.695</w:t>
            </w:r>
          </w:p>
        </w:tc>
        <w:tc>
          <w:tcPr>
            <w:tcW w:w="990" w:type="dxa"/>
            <w:tcBorders>
              <w:top w:val="single" w:sz="4" w:space="0" w:color="auto"/>
            </w:tcBorders>
            <w:noWrap/>
            <w:vAlign w:val="bottom"/>
          </w:tcPr>
          <w:p w14:paraId="5CD312AE" w14:textId="3F17BB22" w:rsidR="00805216" w:rsidRPr="00805216" w:rsidRDefault="00805216" w:rsidP="00805216">
            <w:pPr>
              <w:jc w:val="right"/>
              <w:rPr>
                <w:b/>
                <w:bCs w:val="0"/>
                <w:i/>
                <w:iCs/>
                <w:highlight w:val="yellow"/>
              </w:rPr>
            </w:pPr>
            <w:r w:rsidRPr="00805216">
              <w:rPr>
                <w:i/>
                <w:iCs/>
                <w:color w:val="000000"/>
              </w:rPr>
              <w:t>0.090</w:t>
            </w:r>
          </w:p>
        </w:tc>
        <w:tc>
          <w:tcPr>
            <w:tcW w:w="2070" w:type="dxa"/>
            <w:tcBorders>
              <w:top w:val="single" w:sz="4" w:space="0" w:color="auto"/>
            </w:tcBorders>
            <w:noWrap/>
            <w:vAlign w:val="bottom"/>
          </w:tcPr>
          <w:p w14:paraId="28807AF3" w14:textId="3E8744A9" w:rsidR="00805216" w:rsidRPr="00805216" w:rsidRDefault="00805216" w:rsidP="00805216">
            <w:pPr>
              <w:jc w:val="right"/>
              <w:rPr>
                <w:b/>
                <w:bCs w:val="0"/>
                <w:i/>
                <w:iCs/>
                <w:highlight w:val="yellow"/>
              </w:rPr>
            </w:pPr>
            <w:r w:rsidRPr="00805216">
              <w:rPr>
                <w:i/>
                <w:iCs/>
                <w:color w:val="000000"/>
              </w:rPr>
              <w:t>[0.000, 0.702]</w:t>
            </w:r>
          </w:p>
        </w:tc>
      </w:tr>
      <w:tr w:rsidR="00805216" w:rsidRPr="00025211" w14:paraId="507CB6BE" w14:textId="77777777" w:rsidTr="00FB5014">
        <w:trPr>
          <w:trHeight w:val="320"/>
        </w:trPr>
        <w:tc>
          <w:tcPr>
            <w:tcW w:w="1158" w:type="dxa"/>
            <w:vMerge/>
            <w:vAlign w:val="center"/>
            <w:hideMark/>
          </w:tcPr>
          <w:p w14:paraId="74972164" w14:textId="77777777" w:rsidR="00805216" w:rsidRPr="00025211" w:rsidRDefault="00805216" w:rsidP="00805216"/>
        </w:tc>
        <w:tc>
          <w:tcPr>
            <w:tcW w:w="1096" w:type="dxa"/>
            <w:noWrap/>
            <w:vAlign w:val="center"/>
            <w:hideMark/>
          </w:tcPr>
          <w:p w14:paraId="64E90165" w14:textId="77777777" w:rsidR="00805216" w:rsidRPr="00025211" w:rsidRDefault="00805216" w:rsidP="00805216">
            <w:r>
              <w:t>P</w:t>
            </w:r>
          </w:p>
        </w:tc>
        <w:tc>
          <w:tcPr>
            <w:tcW w:w="576" w:type="dxa"/>
            <w:vMerge/>
            <w:vAlign w:val="center"/>
          </w:tcPr>
          <w:p w14:paraId="59E77A7F" w14:textId="77777777" w:rsidR="00805216" w:rsidRPr="00025211" w:rsidRDefault="00805216" w:rsidP="00805216">
            <w:pPr>
              <w:jc w:val="center"/>
            </w:pPr>
          </w:p>
        </w:tc>
        <w:tc>
          <w:tcPr>
            <w:tcW w:w="1760" w:type="dxa"/>
            <w:noWrap/>
            <w:vAlign w:val="bottom"/>
          </w:tcPr>
          <w:p w14:paraId="20534F2D" w14:textId="3BD25F8E" w:rsidR="00805216" w:rsidRPr="00805216" w:rsidRDefault="00805216" w:rsidP="00805216">
            <w:pPr>
              <w:jc w:val="right"/>
              <w:rPr>
                <w:b/>
                <w:bCs w:val="0"/>
                <w:highlight w:val="yellow"/>
              </w:rPr>
            </w:pPr>
            <w:r w:rsidRPr="00805216">
              <w:rPr>
                <w:color w:val="000000"/>
              </w:rPr>
              <w:t>0.000±0.200</w:t>
            </w:r>
          </w:p>
        </w:tc>
        <w:tc>
          <w:tcPr>
            <w:tcW w:w="1080" w:type="dxa"/>
            <w:noWrap/>
            <w:vAlign w:val="bottom"/>
          </w:tcPr>
          <w:p w14:paraId="3711408C" w14:textId="2C09C994" w:rsidR="00805216" w:rsidRPr="00805216" w:rsidRDefault="00805216" w:rsidP="00805216">
            <w:pPr>
              <w:jc w:val="right"/>
              <w:rPr>
                <w:b/>
                <w:bCs w:val="0"/>
                <w:highlight w:val="yellow"/>
              </w:rPr>
            </w:pPr>
            <w:r w:rsidRPr="00805216">
              <w:rPr>
                <w:color w:val="000000"/>
              </w:rPr>
              <w:t>-0.298</w:t>
            </w:r>
          </w:p>
        </w:tc>
        <w:tc>
          <w:tcPr>
            <w:tcW w:w="990" w:type="dxa"/>
            <w:noWrap/>
            <w:vAlign w:val="bottom"/>
          </w:tcPr>
          <w:p w14:paraId="2BE6147A" w14:textId="491F0A7D" w:rsidR="00805216" w:rsidRPr="00805216" w:rsidRDefault="00805216" w:rsidP="00805216">
            <w:pPr>
              <w:jc w:val="right"/>
              <w:rPr>
                <w:b/>
                <w:bCs w:val="0"/>
                <w:highlight w:val="yellow"/>
              </w:rPr>
            </w:pPr>
            <w:r w:rsidRPr="00805216">
              <w:rPr>
                <w:color w:val="000000"/>
              </w:rPr>
              <w:t>0.766</w:t>
            </w:r>
          </w:p>
        </w:tc>
        <w:tc>
          <w:tcPr>
            <w:tcW w:w="2070" w:type="dxa"/>
            <w:noWrap/>
            <w:vAlign w:val="bottom"/>
          </w:tcPr>
          <w:p w14:paraId="34AC4917" w14:textId="525B5FDE" w:rsidR="00805216" w:rsidRPr="00805216" w:rsidRDefault="00805216" w:rsidP="00805216">
            <w:pPr>
              <w:jc w:val="right"/>
              <w:rPr>
                <w:b/>
                <w:bCs w:val="0"/>
                <w:highlight w:val="yellow"/>
              </w:rPr>
            </w:pPr>
            <w:r w:rsidRPr="00805216">
              <w:rPr>
                <w:color w:val="000000"/>
              </w:rPr>
              <w:t>[-0.399, 0.300]</w:t>
            </w:r>
          </w:p>
        </w:tc>
      </w:tr>
      <w:tr w:rsidR="00805216" w:rsidRPr="00025211" w14:paraId="0D55A63D" w14:textId="77777777" w:rsidTr="00FB5014">
        <w:trPr>
          <w:trHeight w:val="320"/>
        </w:trPr>
        <w:tc>
          <w:tcPr>
            <w:tcW w:w="1158" w:type="dxa"/>
            <w:vMerge/>
            <w:tcBorders>
              <w:bottom w:val="single" w:sz="4" w:space="0" w:color="auto"/>
            </w:tcBorders>
            <w:vAlign w:val="center"/>
            <w:hideMark/>
          </w:tcPr>
          <w:p w14:paraId="5B7B8A7D" w14:textId="77777777" w:rsidR="00805216" w:rsidRPr="00025211" w:rsidRDefault="00805216" w:rsidP="00805216"/>
        </w:tc>
        <w:tc>
          <w:tcPr>
            <w:tcW w:w="1096" w:type="dxa"/>
            <w:tcBorders>
              <w:bottom w:val="single" w:sz="4" w:space="0" w:color="auto"/>
            </w:tcBorders>
            <w:noWrap/>
            <w:vAlign w:val="center"/>
            <w:hideMark/>
          </w:tcPr>
          <w:p w14:paraId="2D7CB3BB" w14:textId="77777777" w:rsidR="00805216" w:rsidRPr="00025211" w:rsidRDefault="00805216" w:rsidP="00805216">
            <w:r>
              <w:t>N+P</w:t>
            </w:r>
          </w:p>
        </w:tc>
        <w:tc>
          <w:tcPr>
            <w:tcW w:w="576" w:type="dxa"/>
            <w:vMerge/>
            <w:tcBorders>
              <w:bottom w:val="single" w:sz="4" w:space="0" w:color="auto"/>
            </w:tcBorders>
            <w:vAlign w:val="center"/>
          </w:tcPr>
          <w:p w14:paraId="2407CA01" w14:textId="77777777" w:rsidR="00805216" w:rsidRPr="00025211" w:rsidRDefault="00805216" w:rsidP="00805216">
            <w:pPr>
              <w:jc w:val="center"/>
            </w:pPr>
          </w:p>
        </w:tc>
        <w:tc>
          <w:tcPr>
            <w:tcW w:w="1760" w:type="dxa"/>
            <w:tcBorders>
              <w:bottom w:val="single" w:sz="4" w:space="0" w:color="auto"/>
            </w:tcBorders>
            <w:noWrap/>
            <w:vAlign w:val="bottom"/>
          </w:tcPr>
          <w:p w14:paraId="59DD3D43" w14:textId="2FE9C495" w:rsidR="00805216" w:rsidRPr="00805216" w:rsidRDefault="00805216" w:rsidP="00805216">
            <w:pPr>
              <w:jc w:val="right"/>
              <w:rPr>
                <w:b/>
                <w:bCs w:val="0"/>
                <w:highlight w:val="yellow"/>
              </w:rPr>
            </w:pPr>
            <w:r w:rsidRPr="00805216">
              <w:rPr>
                <w:b/>
                <w:bCs w:val="0"/>
                <w:color w:val="000000"/>
              </w:rPr>
              <w:t>1.207±0.200</w:t>
            </w:r>
          </w:p>
        </w:tc>
        <w:tc>
          <w:tcPr>
            <w:tcW w:w="1080" w:type="dxa"/>
            <w:tcBorders>
              <w:bottom w:val="single" w:sz="4" w:space="0" w:color="auto"/>
            </w:tcBorders>
            <w:noWrap/>
            <w:vAlign w:val="bottom"/>
          </w:tcPr>
          <w:p w14:paraId="17841653" w14:textId="5127AD2C" w:rsidR="00805216" w:rsidRPr="00805216" w:rsidRDefault="00805216" w:rsidP="00805216">
            <w:pPr>
              <w:jc w:val="right"/>
              <w:rPr>
                <w:b/>
                <w:bCs w:val="0"/>
                <w:highlight w:val="yellow"/>
              </w:rPr>
            </w:pPr>
            <w:r w:rsidRPr="00805216">
              <w:rPr>
                <w:b/>
                <w:bCs w:val="0"/>
                <w:color w:val="000000"/>
              </w:rPr>
              <w:t>5.291</w:t>
            </w:r>
          </w:p>
        </w:tc>
        <w:tc>
          <w:tcPr>
            <w:tcW w:w="990" w:type="dxa"/>
            <w:tcBorders>
              <w:bottom w:val="single" w:sz="4" w:space="0" w:color="auto"/>
            </w:tcBorders>
            <w:noWrap/>
            <w:vAlign w:val="bottom"/>
          </w:tcPr>
          <w:p w14:paraId="41591F9B" w14:textId="69757A7F" w:rsidR="00805216" w:rsidRPr="00805216" w:rsidRDefault="00805216" w:rsidP="00805216">
            <w:pPr>
              <w:jc w:val="right"/>
              <w:rPr>
                <w:b/>
                <w:bCs w:val="0"/>
                <w:highlight w:val="yellow"/>
              </w:rPr>
            </w:pPr>
            <w:r w:rsidRPr="00805216">
              <w:rPr>
                <w:b/>
                <w:bCs w:val="0"/>
                <w:color w:val="000000"/>
              </w:rPr>
              <w:t>&lt;0.001</w:t>
            </w:r>
          </w:p>
        </w:tc>
        <w:tc>
          <w:tcPr>
            <w:tcW w:w="2070" w:type="dxa"/>
            <w:tcBorders>
              <w:bottom w:val="single" w:sz="4" w:space="0" w:color="auto"/>
            </w:tcBorders>
            <w:noWrap/>
            <w:vAlign w:val="bottom"/>
          </w:tcPr>
          <w:p w14:paraId="131E52A8" w14:textId="1F405439" w:rsidR="00805216" w:rsidRPr="00805216" w:rsidRDefault="00805216" w:rsidP="00805216">
            <w:pPr>
              <w:jc w:val="right"/>
              <w:rPr>
                <w:b/>
                <w:bCs w:val="0"/>
                <w:highlight w:val="yellow"/>
              </w:rPr>
            </w:pPr>
            <w:r w:rsidRPr="00805216">
              <w:rPr>
                <w:b/>
                <w:bCs w:val="0"/>
                <w:color w:val="000000"/>
              </w:rPr>
              <w:t>[0.702, 1.613]</w:t>
            </w:r>
          </w:p>
        </w:tc>
      </w:tr>
      <w:tr w:rsidR="00805216" w:rsidRPr="00025211" w14:paraId="314B85B5" w14:textId="77777777" w:rsidTr="00FB5014">
        <w:trPr>
          <w:trHeight w:val="320"/>
        </w:trPr>
        <w:tc>
          <w:tcPr>
            <w:tcW w:w="1158" w:type="dxa"/>
            <w:vMerge w:val="restart"/>
            <w:tcBorders>
              <w:top w:val="single" w:sz="4" w:space="0" w:color="auto"/>
            </w:tcBorders>
            <w:noWrap/>
            <w:vAlign w:val="center"/>
            <w:hideMark/>
          </w:tcPr>
          <w:p w14:paraId="29D73646" w14:textId="77777777" w:rsidR="00805216" w:rsidRPr="00025211" w:rsidRDefault="00805216" w:rsidP="00805216">
            <w:r>
              <w:rPr>
                <w:i/>
                <w:iCs/>
              </w:rPr>
              <w:t>PNUE</w:t>
            </w:r>
          </w:p>
        </w:tc>
        <w:tc>
          <w:tcPr>
            <w:tcW w:w="1096" w:type="dxa"/>
            <w:tcBorders>
              <w:top w:val="single" w:sz="4" w:space="0" w:color="auto"/>
            </w:tcBorders>
            <w:noWrap/>
            <w:vAlign w:val="center"/>
            <w:hideMark/>
          </w:tcPr>
          <w:p w14:paraId="4049D32D" w14:textId="77777777" w:rsidR="00805216" w:rsidRPr="00025211" w:rsidRDefault="00805216" w:rsidP="00805216">
            <w:r>
              <w:t>N</w:t>
            </w:r>
          </w:p>
        </w:tc>
        <w:tc>
          <w:tcPr>
            <w:tcW w:w="576" w:type="dxa"/>
            <w:vMerge w:val="restart"/>
            <w:tcBorders>
              <w:top w:val="single" w:sz="4" w:space="0" w:color="auto"/>
            </w:tcBorders>
            <w:noWrap/>
            <w:vAlign w:val="center"/>
          </w:tcPr>
          <w:p w14:paraId="6B374494" w14:textId="4C96EECB" w:rsidR="00805216" w:rsidRPr="00025211" w:rsidRDefault="00805216" w:rsidP="00805216">
            <w:pPr>
              <w:jc w:val="center"/>
            </w:pPr>
            <w:r>
              <w:t>61</w:t>
            </w:r>
          </w:p>
        </w:tc>
        <w:tc>
          <w:tcPr>
            <w:tcW w:w="1760" w:type="dxa"/>
            <w:tcBorders>
              <w:top w:val="single" w:sz="4" w:space="0" w:color="auto"/>
            </w:tcBorders>
            <w:noWrap/>
            <w:vAlign w:val="bottom"/>
          </w:tcPr>
          <w:p w14:paraId="424EDCCC" w14:textId="57D899F5" w:rsidR="00805216" w:rsidRPr="00805216" w:rsidRDefault="00805216" w:rsidP="00805216">
            <w:pPr>
              <w:jc w:val="right"/>
              <w:rPr>
                <w:highlight w:val="yellow"/>
              </w:rPr>
            </w:pPr>
            <w:r w:rsidRPr="00805216">
              <w:rPr>
                <w:color w:val="000000"/>
              </w:rPr>
              <w:t>7.358±10.738</w:t>
            </w:r>
          </w:p>
        </w:tc>
        <w:tc>
          <w:tcPr>
            <w:tcW w:w="1080" w:type="dxa"/>
            <w:tcBorders>
              <w:top w:val="single" w:sz="4" w:space="0" w:color="auto"/>
            </w:tcBorders>
            <w:noWrap/>
            <w:vAlign w:val="bottom"/>
          </w:tcPr>
          <w:p w14:paraId="667961B0" w14:textId="62D28746" w:rsidR="00805216" w:rsidRPr="00805216" w:rsidRDefault="00805216" w:rsidP="00805216">
            <w:pPr>
              <w:jc w:val="right"/>
              <w:rPr>
                <w:highlight w:val="yellow"/>
              </w:rPr>
            </w:pPr>
            <w:r w:rsidRPr="00805216">
              <w:rPr>
                <w:color w:val="000000"/>
              </w:rPr>
              <w:t>0.698</w:t>
            </w:r>
          </w:p>
        </w:tc>
        <w:tc>
          <w:tcPr>
            <w:tcW w:w="990" w:type="dxa"/>
            <w:tcBorders>
              <w:top w:val="single" w:sz="4" w:space="0" w:color="auto"/>
            </w:tcBorders>
            <w:noWrap/>
            <w:vAlign w:val="bottom"/>
          </w:tcPr>
          <w:p w14:paraId="59A58623" w14:textId="29BF96CB" w:rsidR="00805216" w:rsidRPr="00805216" w:rsidRDefault="00805216" w:rsidP="00805216">
            <w:pPr>
              <w:jc w:val="right"/>
              <w:rPr>
                <w:highlight w:val="yellow"/>
              </w:rPr>
            </w:pPr>
            <w:r w:rsidRPr="00805216">
              <w:rPr>
                <w:color w:val="000000"/>
              </w:rPr>
              <w:t>0.486</w:t>
            </w:r>
          </w:p>
        </w:tc>
        <w:tc>
          <w:tcPr>
            <w:tcW w:w="2070" w:type="dxa"/>
            <w:tcBorders>
              <w:top w:val="single" w:sz="4" w:space="0" w:color="auto"/>
            </w:tcBorders>
            <w:noWrap/>
            <w:vAlign w:val="bottom"/>
          </w:tcPr>
          <w:p w14:paraId="3E17C774" w14:textId="51819D53" w:rsidR="00805216" w:rsidRPr="00805216" w:rsidRDefault="00805216" w:rsidP="00805216">
            <w:pPr>
              <w:jc w:val="right"/>
              <w:rPr>
                <w:highlight w:val="yellow"/>
              </w:rPr>
            </w:pPr>
            <w:r w:rsidRPr="00805216">
              <w:rPr>
                <w:color w:val="000000"/>
              </w:rPr>
              <w:t>[-12.015, 30.996]</w:t>
            </w:r>
          </w:p>
        </w:tc>
      </w:tr>
      <w:tr w:rsidR="00805216" w:rsidRPr="00025211" w14:paraId="5C862DB7" w14:textId="77777777" w:rsidTr="00FB5014">
        <w:trPr>
          <w:trHeight w:val="320"/>
        </w:trPr>
        <w:tc>
          <w:tcPr>
            <w:tcW w:w="1158" w:type="dxa"/>
            <w:vMerge/>
            <w:vAlign w:val="center"/>
            <w:hideMark/>
          </w:tcPr>
          <w:p w14:paraId="39553F0E" w14:textId="77777777" w:rsidR="00805216" w:rsidRPr="00025211" w:rsidRDefault="00805216" w:rsidP="00805216"/>
        </w:tc>
        <w:tc>
          <w:tcPr>
            <w:tcW w:w="1096" w:type="dxa"/>
            <w:noWrap/>
            <w:vAlign w:val="center"/>
            <w:hideMark/>
          </w:tcPr>
          <w:p w14:paraId="1660CECF" w14:textId="77777777" w:rsidR="00805216" w:rsidRPr="00025211" w:rsidRDefault="00805216" w:rsidP="00805216">
            <w:r>
              <w:t>P</w:t>
            </w:r>
          </w:p>
        </w:tc>
        <w:tc>
          <w:tcPr>
            <w:tcW w:w="576" w:type="dxa"/>
            <w:vMerge/>
            <w:vAlign w:val="center"/>
          </w:tcPr>
          <w:p w14:paraId="1AEAA30F" w14:textId="77777777" w:rsidR="00805216" w:rsidRPr="00025211" w:rsidRDefault="00805216" w:rsidP="00805216">
            <w:pPr>
              <w:jc w:val="center"/>
            </w:pPr>
          </w:p>
        </w:tc>
        <w:tc>
          <w:tcPr>
            <w:tcW w:w="1760" w:type="dxa"/>
            <w:noWrap/>
            <w:vAlign w:val="bottom"/>
          </w:tcPr>
          <w:p w14:paraId="367E3158" w14:textId="58C8E343" w:rsidR="00805216" w:rsidRPr="00805216" w:rsidRDefault="00805216" w:rsidP="00805216">
            <w:pPr>
              <w:jc w:val="right"/>
              <w:rPr>
                <w:b/>
                <w:bCs w:val="0"/>
                <w:highlight w:val="yellow"/>
              </w:rPr>
            </w:pPr>
            <w:r w:rsidRPr="00805216">
              <w:rPr>
                <w:color w:val="000000"/>
              </w:rPr>
              <w:t>18.057±12.075</w:t>
            </w:r>
          </w:p>
        </w:tc>
        <w:tc>
          <w:tcPr>
            <w:tcW w:w="1080" w:type="dxa"/>
            <w:noWrap/>
            <w:vAlign w:val="bottom"/>
          </w:tcPr>
          <w:p w14:paraId="2237CDF8" w14:textId="3A4308BF" w:rsidR="00805216" w:rsidRPr="00805216" w:rsidRDefault="00805216" w:rsidP="00805216">
            <w:pPr>
              <w:jc w:val="right"/>
              <w:rPr>
                <w:b/>
                <w:bCs w:val="0"/>
                <w:highlight w:val="yellow"/>
              </w:rPr>
            </w:pPr>
            <w:r w:rsidRPr="00805216">
              <w:rPr>
                <w:color w:val="000000"/>
              </w:rPr>
              <w:t>1.463</w:t>
            </w:r>
          </w:p>
        </w:tc>
        <w:tc>
          <w:tcPr>
            <w:tcW w:w="990" w:type="dxa"/>
            <w:noWrap/>
            <w:vAlign w:val="bottom"/>
          </w:tcPr>
          <w:p w14:paraId="51E56421" w14:textId="3608A29E" w:rsidR="00805216" w:rsidRPr="00805216" w:rsidRDefault="00805216" w:rsidP="00805216">
            <w:pPr>
              <w:jc w:val="right"/>
              <w:rPr>
                <w:b/>
                <w:bCs w:val="0"/>
                <w:highlight w:val="yellow"/>
              </w:rPr>
            </w:pPr>
            <w:r w:rsidRPr="00805216">
              <w:rPr>
                <w:color w:val="000000"/>
              </w:rPr>
              <w:t>0.144</w:t>
            </w:r>
          </w:p>
        </w:tc>
        <w:tc>
          <w:tcPr>
            <w:tcW w:w="2070" w:type="dxa"/>
            <w:noWrap/>
            <w:vAlign w:val="bottom"/>
          </w:tcPr>
          <w:p w14:paraId="683F394D" w14:textId="0894EF8E" w:rsidR="00805216" w:rsidRPr="00805216" w:rsidRDefault="00805216" w:rsidP="00805216">
            <w:pPr>
              <w:jc w:val="right"/>
              <w:rPr>
                <w:b/>
                <w:bCs w:val="0"/>
                <w:highlight w:val="yellow"/>
              </w:rPr>
            </w:pPr>
            <w:r w:rsidRPr="00805216">
              <w:rPr>
                <w:color w:val="000000"/>
              </w:rPr>
              <w:t>[-5.446, 47.403]</w:t>
            </w:r>
          </w:p>
        </w:tc>
      </w:tr>
      <w:tr w:rsidR="00805216" w:rsidRPr="00025211" w14:paraId="20DE50E8" w14:textId="77777777" w:rsidTr="00FB5014">
        <w:trPr>
          <w:trHeight w:val="320"/>
        </w:trPr>
        <w:tc>
          <w:tcPr>
            <w:tcW w:w="1158" w:type="dxa"/>
            <w:vMerge/>
            <w:tcBorders>
              <w:bottom w:val="single" w:sz="4" w:space="0" w:color="auto"/>
            </w:tcBorders>
            <w:vAlign w:val="center"/>
            <w:hideMark/>
          </w:tcPr>
          <w:p w14:paraId="2294B128" w14:textId="77777777" w:rsidR="00805216" w:rsidRPr="00025211" w:rsidRDefault="00805216" w:rsidP="00805216"/>
        </w:tc>
        <w:tc>
          <w:tcPr>
            <w:tcW w:w="1096" w:type="dxa"/>
            <w:tcBorders>
              <w:bottom w:val="single" w:sz="4" w:space="0" w:color="auto"/>
            </w:tcBorders>
            <w:noWrap/>
            <w:vAlign w:val="center"/>
            <w:hideMark/>
          </w:tcPr>
          <w:p w14:paraId="3D5CFFAF" w14:textId="77777777" w:rsidR="00805216" w:rsidRPr="00025211" w:rsidRDefault="00805216" w:rsidP="00805216">
            <w:r>
              <w:t>N+P</w:t>
            </w:r>
          </w:p>
        </w:tc>
        <w:tc>
          <w:tcPr>
            <w:tcW w:w="576" w:type="dxa"/>
            <w:vMerge/>
            <w:tcBorders>
              <w:bottom w:val="single" w:sz="4" w:space="0" w:color="auto"/>
            </w:tcBorders>
            <w:vAlign w:val="center"/>
          </w:tcPr>
          <w:p w14:paraId="33C9A03C" w14:textId="77777777" w:rsidR="00805216" w:rsidRPr="00025211" w:rsidRDefault="00805216" w:rsidP="00805216">
            <w:pPr>
              <w:jc w:val="center"/>
            </w:pPr>
          </w:p>
        </w:tc>
        <w:tc>
          <w:tcPr>
            <w:tcW w:w="1760" w:type="dxa"/>
            <w:tcBorders>
              <w:bottom w:val="single" w:sz="4" w:space="0" w:color="auto"/>
            </w:tcBorders>
            <w:noWrap/>
            <w:vAlign w:val="bottom"/>
          </w:tcPr>
          <w:p w14:paraId="5914F875" w14:textId="7F0E5B05" w:rsidR="00805216" w:rsidRPr="00805216" w:rsidRDefault="00805216" w:rsidP="00805216">
            <w:pPr>
              <w:jc w:val="right"/>
              <w:rPr>
                <w:b/>
                <w:bCs w:val="0"/>
                <w:highlight w:val="yellow"/>
              </w:rPr>
            </w:pPr>
            <w:r w:rsidRPr="00805216">
              <w:rPr>
                <w:color w:val="000000"/>
              </w:rPr>
              <w:t>20.322±18.887</w:t>
            </w:r>
          </w:p>
        </w:tc>
        <w:tc>
          <w:tcPr>
            <w:tcW w:w="1080" w:type="dxa"/>
            <w:tcBorders>
              <w:bottom w:val="single" w:sz="4" w:space="0" w:color="auto"/>
            </w:tcBorders>
            <w:noWrap/>
            <w:vAlign w:val="bottom"/>
          </w:tcPr>
          <w:p w14:paraId="148C9878" w14:textId="39824A41" w:rsidR="00805216" w:rsidRPr="00805216" w:rsidRDefault="00805216" w:rsidP="00805216">
            <w:pPr>
              <w:jc w:val="right"/>
              <w:rPr>
                <w:b/>
                <w:bCs w:val="0"/>
                <w:highlight w:val="yellow"/>
              </w:rPr>
            </w:pPr>
            <w:r w:rsidRPr="00805216">
              <w:rPr>
                <w:color w:val="000000"/>
              </w:rPr>
              <w:t>1.704</w:t>
            </w:r>
          </w:p>
        </w:tc>
        <w:tc>
          <w:tcPr>
            <w:tcW w:w="990" w:type="dxa"/>
            <w:tcBorders>
              <w:bottom w:val="single" w:sz="4" w:space="0" w:color="auto"/>
            </w:tcBorders>
            <w:noWrap/>
            <w:vAlign w:val="bottom"/>
          </w:tcPr>
          <w:p w14:paraId="70C1DFA6" w14:textId="04535C12" w:rsidR="00805216" w:rsidRPr="00805216" w:rsidRDefault="00805216" w:rsidP="00805216">
            <w:pPr>
              <w:jc w:val="right"/>
              <w:rPr>
                <w:b/>
                <w:bCs w:val="0"/>
                <w:highlight w:val="yellow"/>
              </w:rPr>
            </w:pPr>
            <w:r w:rsidRPr="00805216">
              <w:rPr>
                <w:color w:val="000000"/>
              </w:rPr>
              <w:t>0.283</w:t>
            </w:r>
          </w:p>
        </w:tc>
        <w:tc>
          <w:tcPr>
            <w:tcW w:w="2070" w:type="dxa"/>
            <w:tcBorders>
              <w:bottom w:val="single" w:sz="4" w:space="0" w:color="auto"/>
            </w:tcBorders>
            <w:noWrap/>
            <w:vAlign w:val="bottom"/>
          </w:tcPr>
          <w:p w14:paraId="58ADDC03" w14:textId="01FB2549" w:rsidR="00805216" w:rsidRPr="00805216" w:rsidRDefault="00805216" w:rsidP="00805216">
            <w:pPr>
              <w:jc w:val="right"/>
              <w:rPr>
                <w:b/>
                <w:bCs w:val="0"/>
                <w:highlight w:val="yellow"/>
              </w:rPr>
            </w:pPr>
            <w:r w:rsidRPr="00805216">
              <w:rPr>
                <w:color w:val="000000"/>
              </w:rPr>
              <w:t>[-14.187, 68.877]</w:t>
            </w:r>
          </w:p>
        </w:tc>
      </w:tr>
      <w:tr w:rsidR="00805216" w:rsidRPr="00025211" w14:paraId="2AB2A169" w14:textId="77777777" w:rsidTr="00FB5014">
        <w:trPr>
          <w:trHeight w:val="320"/>
        </w:trPr>
        <w:tc>
          <w:tcPr>
            <w:tcW w:w="1158" w:type="dxa"/>
            <w:vMerge w:val="restart"/>
            <w:tcBorders>
              <w:top w:val="single" w:sz="4" w:space="0" w:color="auto"/>
            </w:tcBorders>
            <w:noWrap/>
            <w:vAlign w:val="center"/>
            <w:hideMark/>
          </w:tcPr>
          <w:p w14:paraId="0BD2AAC1" w14:textId="77777777" w:rsidR="00805216" w:rsidRPr="00485186" w:rsidRDefault="00805216" w:rsidP="00805216">
            <w:r>
              <w:rPr>
                <w:i/>
                <w:iCs/>
              </w:rPr>
              <w:t>PPUE</w:t>
            </w:r>
          </w:p>
        </w:tc>
        <w:tc>
          <w:tcPr>
            <w:tcW w:w="1096" w:type="dxa"/>
            <w:tcBorders>
              <w:top w:val="single" w:sz="4" w:space="0" w:color="auto"/>
            </w:tcBorders>
            <w:noWrap/>
            <w:vAlign w:val="center"/>
            <w:hideMark/>
          </w:tcPr>
          <w:p w14:paraId="2BED52C1" w14:textId="77777777" w:rsidR="00805216" w:rsidRPr="00025211" w:rsidRDefault="00805216" w:rsidP="00805216">
            <w:r>
              <w:t>N</w:t>
            </w:r>
          </w:p>
        </w:tc>
        <w:tc>
          <w:tcPr>
            <w:tcW w:w="576" w:type="dxa"/>
            <w:vMerge w:val="restart"/>
            <w:tcBorders>
              <w:top w:val="single" w:sz="4" w:space="0" w:color="auto"/>
            </w:tcBorders>
            <w:noWrap/>
            <w:vAlign w:val="center"/>
          </w:tcPr>
          <w:p w14:paraId="4A8C8922" w14:textId="3792D7F7" w:rsidR="00805216" w:rsidRPr="00025211" w:rsidRDefault="00805216" w:rsidP="00805216">
            <w:pPr>
              <w:jc w:val="center"/>
            </w:pPr>
            <w:r>
              <w:t>62</w:t>
            </w:r>
          </w:p>
        </w:tc>
        <w:tc>
          <w:tcPr>
            <w:tcW w:w="1760" w:type="dxa"/>
            <w:tcBorders>
              <w:top w:val="single" w:sz="4" w:space="0" w:color="auto"/>
            </w:tcBorders>
            <w:noWrap/>
            <w:vAlign w:val="bottom"/>
          </w:tcPr>
          <w:p w14:paraId="0C75C116" w14:textId="38E4A01F" w:rsidR="00805216" w:rsidRPr="00805216" w:rsidRDefault="00805216" w:rsidP="00805216">
            <w:pPr>
              <w:jc w:val="right"/>
              <w:rPr>
                <w:b/>
                <w:bCs w:val="0"/>
                <w:i/>
                <w:iCs/>
                <w:highlight w:val="yellow"/>
              </w:rPr>
            </w:pPr>
            <w:r w:rsidRPr="00805216">
              <w:rPr>
                <w:i/>
                <w:iCs/>
                <w:color w:val="000000"/>
              </w:rPr>
              <w:t>24.857±12.187</w:t>
            </w:r>
          </w:p>
        </w:tc>
        <w:tc>
          <w:tcPr>
            <w:tcW w:w="1080" w:type="dxa"/>
            <w:tcBorders>
              <w:top w:val="single" w:sz="4" w:space="0" w:color="auto"/>
            </w:tcBorders>
            <w:noWrap/>
            <w:vAlign w:val="bottom"/>
          </w:tcPr>
          <w:p w14:paraId="1C7D1367" w14:textId="5C04BB5A" w:rsidR="00805216" w:rsidRPr="00805216" w:rsidRDefault="00805216" w:rsidP="00805216">
            <w:pPr>
              <w:jc w:val="right"/>
              <w:rPr>
                <w:b/>
                <w:bCs w:val="0"/>
                <w:i/>
                <w:iCs/>
                <w:highlight w:val="yellow"/>
              </w:rPr>
            </w:pPr>
            <w:r w:rsidRPr="00805216">
              <w:rPr>
                <w:i/>
                <w:iCs/>
                <w:color w:val="000000"/>
              </w:rPr>
              <w:t>1.933</w:t>
            </w:r>
          </w:p>
        </w:tc>
        <w:tc>
          <w:tcPr>
            <w:tcW w:w="990" w:type="dxa"/>
            <w:tcBorders>
              <w:top w:val="single" w:sz="4" w:space="0" w:color="auto"/>
            </w:tcBorders>
            <w:noWrap/>
            <w:vAlign w:val="bottom"/>
          </w:tcPr>
          <w:p w14:paraId="055E28EB" w14:textId="0CFFDBC2" w:rsidR="00805216" w:rsidRPr="00805216" w:rsidRDefault="00805216" w:rsidP="00805216">
            <w:pPr>
              <w:jc w:val="right"/>
              <w:rPr>
                <w:b/>
                <w:bCs w:val="0"/>
                <w:i/>
                <w:iCs/>
                <w:highlight w:val="yellow"/>
              </w:rPr>
            </w:pPr>
            <w:r w:rsidRPr="00805216">
              <w:rPr>
                <w:i/>
                <w:iCs/>
                <w:color w:val="000000"/>
              </w:rPr>
              <w:t>0.053</w:t>
            </w:r>
          </w:p>
        </w:tc>
        <w:tc>
          <w:tcPr>
            <w:tcW w:w="2070" w:type="dxa"/>
            <w:tcBorders>
              <w:top w:val="single" w:sz="4" w:space="0" w:color="auto"/>
            </w:tcBorders>
            <w:noWrap/>
            <w:vAlign w:val="bottom"/>
          </w:tcPr>
          <w:p w14:paraId="08547253" w14:textId="53CA835B" w:rsidR="00805216" w:rsidRPr="00805216" w:rsidRDefault="00805216" w:rsidP="00805216">
            <w:pPr>
              <w:jc w:val="right"/>
              <w:rPr>
                <w:b/>
                <w:bCs w:val="0"/>
                <w:i/>
                <w:iCs/>
                <w:highlight w:val="yellow"/>
              </w:rPr>
            </w:pPr>
            <w:r w:rsidRPr="00805216">
              <w:rPr>
                <w:i/>
                <w:iCs/>
                <w:color w:val="000000"/>
              </w:rPr>
              <w:t>[-0.300, 56.361]</w:t>
            </w:r>
          </w:p>
        </w:tc>
      </w:tr>
      <w:tr w:rsidR="00805216" w:rsidRPr="00025211" w14:paraId="4B9BA94E" w14:textId="77777777" w:rsidTr="00FB5014">
        <w:trPr>
          <w:trHeight w:val="320"/>
        </w:trPr>
        <w:tc>
          <w:tcPr>
            <w:tcW w:w="1158" w:type="dxa"/>
            <w:vMerge/>
            <w:vAlign w:val="center"/>
            <w:hideMark/>
          </w:tcPr>
          <w:p w14:paraId="21E70905" w14:textId="77777777" w:rsidR="00805216" w:rsidRPr="00025211" w:rsidRDefault="00805216" w:rsidP="00805216"/>
        </w:tc>
        <w:tc>
          <w:tcPr>
            <w:tcW w:w="1096" w:type="dxa"/>
            <w:noWrap/>
            <w:vAlign w:val="center"/>
            <w:hideMark/>
          </w:tcPr>
          <w:p w14:paraId="3751D06B" w14:textId="77777777" w:rsidR="00805216" w:rsidRPr="00025211" w:rsidRDefault="00805216" w:rsidP="00805216">
            <w:r>
              <w:t>P</w:t>
            </w:r>
          </w:p>
        </w:tc>
        <w:tc>
          <w:tcPr>
            <w:tcW w:w="576" w:type="dxa"/>
            <w:vMerge/>
          </w:tcPr>
          <w:p w14:paraId="58B57D46" w14:textId="77777777" w:rsidR="00805216" w:rsidRPr="00025211" w:rsidRDefault="00805216" w:rsidP="00805216"/>
        </w:tc>
        <w:tc>
          <w:tcPr>
            <w:tcW w:w="1760" w:type="dxa"/>
            <w:noWrap/>
            <w:vAlign w:val="bottom"/>
          </w:tcPr>
          <w:p w14:paraId="4593CF8E" w14:textId="348F68A7" w:rsidR="00805216" w:rsidRPr="00805216" w:rsidRDefault="00805216" w:rsidP="00805216">
            <w:pPr>
              <w:jc w:val="right"/>
              <w:rPr>
                <w:b/>
                <w:bCs w:val="0"/>
                <w:highlight w:val="yellow"/>
              </w:rPr>
            </w:pPr>
            <w:r w:rsidRPr="00805216">
              <w:rPr>
                <w:color w:val="000000"/>
              </w:rPr>
              <w:t>-17.963±17.000</w:t>
            </w:r>
          </w:p>
        </w:tc>
        <w:tc>
          <w:tcPr>
            <w:tcW w:w="1080" w:type="dxa"/>
            <w:noWrap/>
            <w:vAlign w:val="bottom"/>
          </w:tcPr>
          <w:p w14:paraId="528E4E5B" w14:textId="23A4A74E" w:rsidR="00805216" w:rsidRPr="00805216" w:rsidRDefault="00805216" w:rsidP="00805216">
            <w:pPr>
              <w:jc w:val="right"/>
              <w:rPr>
                <w:b/>
                <w:bCs w:val="0"/>
                <w:highlight w:val="yellow"/>
              </w:rPr>
            </w:pPr>
            <w:r w:rsidRPr="00805216">
              <w:rPr>
                <w:color w:val="000000"/>
              </w:rPr>
              <w:t>-1.255</w:t>
            </w:r>
          </w:p>
        </w:tc>
        <w:tc>
          <w:tcPr>
            <w:tcW w:w="990" w:type="dxa"/>
            <w:noWrap/>
            <w:vAlign w:val="bottom"/>
          </w:tcPr>
          <w:p w14:paraId="3860D5BF" w14:textId="4E9E6450" w:rsidR="00805216" w:rsidRPr="00805216" w:rsidRDefault="00805216" w:rsidP="00805216">
            <w:pPr>
              <w:jc w:val="right"/>
              <w:rPr>
                <w:b/>
                <w:bCs w:val="0"/>
                <w:highlight w:val="yellow"/>
              </w:rPr>
            </w:pPr>
            <w:r w:rsidRPr="00805216">
              <w:rPr>
                <w:color w:val="000000"/>
              </w:rPr>
              <w:t>0.210</w:t>
            </w:r>
          </w:p>
        </w:tc>
        <w:tc>
          <w:tcPr>
            <w:tcW w:w="2070" w:type="dxa"/>
            <w:noWrap/>
            <w:vAlign w:val="bottom"/>
          </w:tcPr>
          <w:p w14:paraId="75F4CE4F" w14:textId="1B1E2356" w:rsidR="00805216" w:rsidRPr="00805216" w:rsidRDefault="00805216" w:rsidP="00805216">
            <w:pPr>
              <w:jc w:val="right"/>
              <w:rPr>
                <w:b/>
                <w:bCs w:val="0"/>
                <w:highlight w:val="yellow"/>
              </w:rPr>
            </w:pPr>
            <w:r w:rsidRPr="00805216">
              <w:rPr>
                <w:color w:val="000000"/>
              </w:rPr>
              <w:t>[-39.710, 11.739]</w:t>
            </w:r>
          </w:p>
        </w:tc>
      </w:tr>
      <w:tr w:rsidR="00805216" w:rsidRPr="00025211" w14:paraId="2A69D7B3" w14:textId="77777777" w:rsidTr="00FB5014">
        <w:trPr>
          <w:trHeight w:val="320"/>
        </w:trPr>
        <w:tc>
          <w:tcPr>
            <w:tcW w:w="1158" w:type="dxa"/>
            <w:vMerge/>
            <w:tcBorders>
              <w:bottom w:val="single" w:sz="4" w:space="0" w:color="auto"/>
            </w:tcBorders>
            <w:vAlign w:val="center"/>
            <w:hideMark/>
          </w:tcPr>
          <w:p w14:paraId="2DBAF1E0" w14:textId="77777777" w:rsidR="00805216" w:rsidRPr="00025211" w:rsidRDefault="00805216" w:rsidP="00805216"/>
        </w:tc>
        <w:tc>
          <w:tcPr>
            <w:tcW w:w="1096" w:type="dxa"/>
            <w:tcBorders>
              <w:bottom w:val="single" w:sz="4" w:space="0" w:color="auto"/>
            </w:tcBorders>
            <w:noWrap/>
            <w:vAlign w:val="center"/>
            <w:hideMark/>
          </w:tcPr>
          <w:p w14:paraId="77DDDE5C" w14:textId="77777777" w:rsidR="00805216" w:rsidRPr="00025211" w:rsidRDefault="00805216" w:rsidP="00805216">
            <w:r>
              <w:t>N+P</w:t>
            </w:r>
          </w:p>
        </w:tc>
        <w:tc>
          <w:tcPr>
            <w:tcW w:w="576" w:type="dxa"/>
            <w:vMerge/>
            <w:tcBorders>
              <w:bottom w:val="single" w:sz="4" w:space="0" w:color="auto"/>
            </w:tcBorders>
          </w:tcPr>
          <w:p w14:paraId="15A87446" w14:textId="77777777" w:rsidR="00805216" w:rsidRPr="00025211" w:rsidRDefault="00805216" w:rsidP="00805216"/>
        </w:tc>
        <w:tc>
          <w:tcPr>
            <w:tcW w:w="1760" w:type="dxa"/>
            <w:tcBorders>
              <w:bottom w:val="single" w:sz="4" w:space="0" w:color="auto"/>
            </w:tcBorders>
            <w:noWrap/>
            <w:vAlign w:val="bottom"/>
          </w:tcPr>
          <w:p w14:paraId="7A8156DA" w14:textId="2C9B8DC6" w:rsidR="00805216" w:rsidRPr="00805216" w:rsidRDefault="00805216" w:rsidP="00805216">
            <w:pPr>
              <w:jc w:val="right"/>
              <w:rPr>
                <w:b/>
                <w:bCs w:val="0"/>
                <w:highlight w:val="yellow"/>
              </w:rPr>
            </w:pPr>
            <w:r w:rsidRPr="00805216">
              <w:rPr>
                <w:color w:val="000000"/>
              </w:rPr>
              <w:t>-2.955±17.234</w:t>
            </w:r>
          </w:p>
        </w:tc>
        <w:tc>
          <w:tcPr>
            <w:tcW w:w="1080" w:type="dxa"/>
            <w:tcBorders>
              <w:bottom w:val="single" w:sz="4" w:space="0" w:color="auto"/>
            </w:tcBorders>
            <w:noWrap/>
            <w:vAlign w:val="bottom"/>
          </w:tcPr>
          <w:p w14:paraId="4EEDD697" w14:textId="595BDFD3" w:rsidR="00805216" w:rsidRPr="00805216" w:rsidRDefault="00805216" w:rsidP="00805216">
            <w:pPr>
              <w:jc w:val="right"/>
              <w:rPr>
                <w:b/>
                <w:bCs w:val="0"/>
                <w:highlight w:val="yellow"/>
              </w:rPr>
            </w:pPr>
            <w:r w:rsidRPr="00805216">
              <w:rPr>
                <w:color w:val="000000"/>
              </w:rPr>
              <w:t>-0.191</w:t>
            </w:r>
          </w:p>
        </w:tc>
        <w:tc>
          <w:tcPr>
            <w:tcW w:w="990" w:type="dxa"/>
            <w:tcBorders>
              <w:bottom w:val="single" w:sz="4" w:space="0" w:color="auto"/>
            </w:tcBorders>
            <w:noWrap/>
            <w:vAlign w:val="bottom"/>
          </w:tcPr>
          <w:p w14:paraId="154E4031" w14:textId="2ADBBDEF" w:rsidR="00805216" w:rsidRPr="00805216" w:rsidRDefault="00805216" w:rsidP="00805216">
            <w:pPr>
              <w:jc w:val="right"/>
              <w:rPr>
                <w:b/>
                <w:bCs w:val="0"/>
                <w:highlight w:val="yellow"/>
              </w:rPr>
            </w:pPr>
            <w:r w:rsidRPr="00805216">
              <w:rPr>
                <w:color w:val="000000"/>
              </w:rPr>
              <w:t>0.849</w:t>
            </w:r>
          </w:p>
        </w:tc>
        <w:tc>
          <w:tcPr>
            <w:tcW w:w="2070" w:type="dxa"/>
            <w:tcBorders>
              <w:bottom w:val="single" w:sz="4" w:space="0" w:color="auto"/>
            </w:tcBorders>
            <w:noWrap/>
            <w:vAlign w:val="bottom"/>
          </w:tcPr>
          <w:p w14:paraId="76014966" w14:textId="4FC5E91E" w:rsidR="00805216" w:rsidRPr="00805216" w:rsidRDefault="00805216" w:rsidP="00805216">
            <w:pPr>
              <w:jc w:val="right"/>
              <w:rPr>
                <w:b/>
                <w:bCs w:val="0"/>
                <w:highlight w:val="yellow"/>
              </w:rPr>
            </w:pPr>
            <w:r w:rsidRPr="00805216">
              <w:rPr>
                <w:color w:val="000000"/>
              </w:rPr>
              <w:t>[-28.894, 32.445]</w:t>
            </w:r>
          </w:p>
        </w:tc>
      </w:tr>
    </w:tbl>
    <w:p w14:paraId="79041CAF" w14:textId="0B03D2E4" w:rsidR="009E5FB6" w:rsidRPr="001A72B5" w:rsidRDefault="009E5FB6" w:rsidP="009E5FB6">
      <w:r>
        <w:rPr>
          <w:vertAlign w:val="superscript"/>
        </w:rPr>
        <w:t>*</w:t>
      </w:r>
      <w:r>
        <w:t>Significant effects noted in bold font</w:t>
      </w:r>
      <w:r w:rsidR="00805216">
        <w:t>, marginal effects noted in italic font</w:t>
      </w:r>
      <w:r>
        <w:t>.</w:t>
      </w:r>
      <w:r w:rsidR="00805216" w:rsidRPr="00805216">
        <w:t xml:space="preserve"> </w:t>
      </w:r>
      <w:r w:rsidR="00805216">
        <w:t>Model coefficients have been transformed to percent change to mimic figures.</w:t>
      </w:r>
      <w:r>
        <w:t xml:space="preserve"> Key: </w:t>
      </w:r>
      <w:r>
        <w:rPr>
          <w:i/>
          <w:iCs/>
        </w:rPr>
        <w:t>A</w:t>
      </w:r>
      <w:r>
        <w:rPr>
          <w:vertAlign w:val="subscript"/>
        </w:rPr>
        <w:t>sat</w:t>
      </w:r>
      <w:r>
        <w:t>=light-saturated net photosynthesis rate (</w:t>
      </w:r>
      <w:r>
        <w:rPr>
          <w:lang w:val="el-GR"/>
        </w:rPr>
        <w:t>μ</w:t>
      </w:r>
      <w:r>
        <w:t>mol m</w:t>
      </w:r>
      <w:r>
        <w:rPr>
          <w:vertAlign w:val="superscript"/>
        </w:rPr>
        <w:t>-2</w:t>
      </w:r>
      <w:r>
        <w:t xml:space="preserve"> s</w:t>
      </w:r>
      <w:r>
        <w:rPr>
          <w:vertAlign w:val="superscript"/>
        </w:rPr>
        <w:t>-1</w:t>
      </w:r>
      <w:r>
        <w:t xml:space="preserve">); </w:t>
      </w:r>
      <w:proofErr w:type="spellStart"/>
      <w:r>
        <w:rPr>
          <w:i/>
          <w:iCs/>
        </w:rPr>
        <w:t>V</w:t>
      </w:r>
      <w:r>
        <w:rPr>
          <w:vertAlign w:val="subscript"/>
        </w:rPr>
        <w:t>cmax</w:t>
      </w:r>
      <w:proofErr w:type="spellEnd"/>
      <w:r>
        <w:t>=maximum rate of Rubisco carboxylation (</w:t>
      </w:r>
      <w:r>
        <w:rPr>
          <w:lang w:val="el-GR"/>
        </w:rPr>
        <w:t>μ</w:t>
      </w:r>
      <w:r>
        <w:t>mol m</w:t>
      </w:r>
      <w:r>
        <w:rPr>
          <w:vertAlign w:val="superscript"/>
        </w:rPr>
        <w:t>-2</w:t>
      </w:r>
      <w:r>
        <w:t xml:space="preserve"> s</w:t>
      </w:r>
      <w:r>
        <w:rPr>
          <w:vertAlign w:val="superscript"/>
        </w:rPr>
        <w:t>-1</w:t>
      </w:r>
      <w:r>
        <w:t xml:space="preserve">); </w:t>
      </w:r>
      <w:proofErr w:type="spellStart"/>
      <w:r>
        <w:rPr>
          <w:i/>
          <w:iCs/>
        </w:rPr>
        <w:t>J</w:t>
      </w:r>
      <w:r>
        <w:rPr>
          <w:vertAlign w:val="subscript"/>
        </w:rPr>
        <w:t>max</w:t>
      </w:r>
      <w:proofErr w:type="spellEnd"/>
      <w:r>
        <w:t>=maximum rate of electron transport for RuBP regeneration (</w:t>
      </w:r>
      <w:r>
        <w:rPr>
          <w:lang w:val="el-GR"/>
        </w:rPr>
        <w:t>μ</w:t>
      </w:r>
      <w:r>
        <w:t>mol m</w:t>
      </w:r>
      <w:r>
        <w:rPr>
          <w:vertAlign w:val="superscript"/>
        </w:rPr>
        <w:t>-2</w:t>
      </w:r>
      <w:r>
        <w:t xml:space="preserve"> s</w:t>
      </w:r>
      <w:r>
        <w:rPr>
          <w:vertAlign w:val="superscript"/>
        </w:rPr>
        <w:t>-1</w:t>
      </w:r>
      <w:r>
        <w:t xml:space="preserve">); </w:t>
      </w:r>
      <w:proofErr w:type="spellStart"/>
      <w:r>
        <w:rPr>
          <w:i/>
          <w:iCs/>
        </w:rPr>
        <w:t>J</w:t>
      </w:r>
      <w:r>
        <w:rPr>
          <w:vertAlign w:val="subscript"/>
        </w:rPr>
        <w:t>max</w:t>
      </w:r>
      <w:r>
        <w:t>:</w:t>
      </w:r>
      <w:r>
        <w:rPr>
          <w:i/>
          <w:iCs/>
        </w:rPr>
        <w:t>V</w:t>
      </w:r>
      <w:r>
        <w:rPr>
          <w:vertAlign w:val="subscript"/>
        </w:rPr>
        <w:t>cmax</w:t>
      </w:r>
      <w:proofErr w:type="spellEnd"/>
      <w:r>
        <w:t xml:space="preserve">=ratio of the maximum rate of electron transport for RuBP regeneration to the maximum rate of Rubisco carboxylation (unitless); </w:t>
      </w:r>
      <w:r>
        <w:rPr>
          <w:i/>
          <w:iCs/>
        </w:rPr>
        <w:t>PNUE</w:t>
      </w:r>
      <w:r>
        <w:t>=photosynthetic nitrogen use efficiency (</w:t>
      </w:r>
      <w:r>
        <w:rPr>
          <w:lang w:val="el-GR"/>
        </w:rPr>
        <w:t>μ</w:t>
      </w:r>
      <w:r>
        <w:t>mol gN</w:t>
      </w:r>
      <w:r>
        <w:rPr>
          <w:vertAlign w:val="superscript"/>
        </w:rPr>
        <w:t>-1</w:t>
      </w:r>
      <w:r>
        <w:t xml:space="preserve"> s</w:t>
      </w:r>
      <w:r>
        <w:rPr>
          <w:vertAlign w:val="superscript"/>
        </w:rPr>
        <w:t>-1</w:t>
      </w:r>
      <w:r>
        <w:t xml:space="preserve">); </w:t>
      </w:r>
      <w:r>
        <w:rPr>
          <w:i/>
          <w:iCs/>
        </w:rPr>
        <w:t>PPUE</w:t>
      </w:r>
      <w:r>
        <w:t>=photosynthetic phosphorus use efficiency (</w:t>
      </w:r>
      <w:r>
        <w:rPr>
          <w:lang w:val="el-GR"/>
        </w:rPr>
        <w:t>μ</w:t>
      </w:r>
      <w:r>
        <w:t>mol gP</w:t>
      </w:r>
      <w:r>
        <w:rPr>
          <w:vertAlign w:val="superscript"/>
        </w:rPr>
        <w:t>-1</w:t>
      </w:r>
      <w:r>
        <w:t xml:space="preserve"> s</w:t>
      </w:r>
      <w:r>
        <w:rPr>
          <w:vertAlign w:val="superscript"/>
        </w:rPr>
        <w:t>-1</w:t>
      </w:r>
      <w:r>
        <w:t>)</w:t>
      </w:r>
    </w:p>
    <w:p w14:paraId="3984BB6E" w14:textId="2DCD596A" w:rsidR="006A54CA" w:rsidRDefault="006A54CA" w:rsidP="006A54CA"/>
    <w:p w14:paraId="24E966F7" w14:textId="7887C83F" w:rsidR="006A54CA" w:rsidRDefault="006A54CA" w:rsidP="006A54CA">
      <w:r>
        <w:br w:type="page"/>
      </w:r>
      <w:r w:rsidRPr="00202B59">
        <w:rPr>
          <w:b/>
        </w:rPr>
        <w:lastRenderedPageBreak/>
        <w:t>Table S</w:t>
      </w:r>
      <w:r>
        <w:rPr>
          <w:b/>
        </w:rPr>
        <w:t>4</w:t>
      </w:r>
      <w:r w:rsidRPr="00202B59">
        <w:t xml:space="preserve"> </w:t>
      </w:r>
      <w:r>
        <w:t>Meta-analytic results summarizing the effects of N, P, and N+P on whole-plant traits</w:t>
      </w:r>
    </w:p>
    <w:tbl>
      <w:tblPr>
        <w:tblStyle w:val="TableGrid"/>
        <w:tblW w:w="9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1096"/>
        <w:gridCol w:w="576"/>
        <w:gridCol w:w="1768"/>
        <w:gridCol w:w="991"/>
        <w:gridCol w:w="990"/>
        <w:gridCol w:w="2069"/>
      </w:tblGrid>
      <w:tr w:rsidR="006A54CA" w:rsidRPr="00025211" w14:paraId="7CEF9F44" w14:textId="77777777" w:rsidTr="00A22B61">
        <w:trPr>
          <w:trHeight w:val="320"/>
        </w:trPr>
        <w:tc>
          <w:tcPr>
            <w:tcW w:w="1510" w:type="dxa"/>
            <w:tcBorders>
              <w:top w:val="single" w:sz="4" w:space="0" w:color="auto"/>
              <w:bottom w:val="single" w:sz="4" w:space="0" w:color="auto"/>
            </w:tcBorders>
            <w:noWrap/>
            <w:vAlign w:val="center"/>
            <w:hideMark/>
          </w:tcPr>
          <w:p w14:paraId="291FD877" w14:textId="77777777" w:rsidR="006A54CA" w:rsidRPr="00025211" w:rsidRDefault="006A54CA" w:rsidP="00E951AB">
            <w:pPr>
              <w:rPr>
                <w:b/>
                <w:bCs w:val="0"/>
              </w:rPr>
            </w:pPr>
            <w:r w:rsidRPr="00025211">
              <w:rPr>
                <w:b/>
                <w:bCs w:val="0"/>
              </w:rPr>
              <w:t>Trait</w:t>
            </w:r>
          </w:p>
        </w:tc>
        <w:tc>
          <w:tcPr>
            <w:tcW w:w="1096" w:type="dxa"/>
            <w:tcBorders>
              <w:top w:val="single" w:sz="4" w:space="0" w:color="auto"/>
              <w:bottom w:val="single" w:sz="4" w:space="0" w:color="auto"/>
            </w:tcBorders>
            <w:noWrap/>
            <w:vAlign w:val="center"/>
            <w:hideMark/>
          </w:tcPr>
          <w:p w14:paraId="45C012B0" w14:textId="77777777" w:rsidR="006A54CA" w:rsidRPr="00025211" w:rsidRDefault="006A54CA" w:rsidP="00E951AB">
            <w:pPr>
              <w:rPr>
                <w:b/>
                <w:bCs w:val="0"/>
              </w:rPr>
            </w:pPr>
            <w:r w:rsidRPr="00025211">
              <w:rPr>
                <w:b/>
                <w:bCs w:val="0"/>
              </w:rPr>
              <w:t>Nutrient addition</w:t>
            </w:r>
          </w:p>
        </w:tc>
        <w:tc>
          <w:tcPr>
            <w:tcW w:w="576" w:type="dxa"/>
            <w:tcBorders>
              <w:top w:val="single" w:sz="4" w:space="0" w:color="auto"/>
              <w:bottom w:val="single" w:sz="4" w:space="0" w:color="auto"/>
            </w:tcBorders>
            <w:noWrap/>
            <w:vAlign w:val="center"/>
            <w:hideMark/>
          </w:tcPr>
          <w:p w14:paraId="7499D262" w14:textId="77777777" w:rsidR="006A54CA" w:rsidRPr="00025211" w:rsidRDefault="006A54CA" w:rsidP="00E951AB">
            <w:pPr>
              <w:rPr>
                <w:b/>
                <w:bCs w:val="0"/>
              </w:rPr>
            </w:pPr>
            <w:r>
              <w:rPr>
                <w:b/>
                <w:bCs w:val="0"/>
              </w:rPr>
              <w:t>k</w:t>
            </w:r>
          </w:p>
        </w:tc>
        <w:tc>
          <w:tcPr>
            <w:tcW w:w="1768" w:type="dxa"/>
            <w:tcBorders>
              <w:top w:val="single" w:sz="4" w:space="0" w:color="auto"/>
              <w:bottom w:val="single" w:sz="4" w:space="0" w:color="auto"/>
            </w:tcBorders>
            <w:noWrap/>
            <w:vAlign w:val="center"/>
            <w:hideMark/>
          </w:tcPr>
          <w:p w14:paraId="4C2901BF" w14:textId="77777777" w:rsidR="006A54CA" w:rsidRPr="00025211" w:rsidRDefault="006A54CA" w:rsidP="00E951AB">
            <w:pPr>
              <w:rPr>
                <w:b/>
                <w:bCs w:val="0"/>
              </w:rPr>
            </w:pPr>
            <w:r>
              <w:rPr>
                <w:b/>
                <w:bCs w:val="0"/>
              </w:rPr>
              <w:t>C</w:t>
            </w:r>
            <w:r w:rsidRPr="00025211">
              <w:rPr>
                <w:b/>
                <w:bCs w:val="0"/>
              </w:rPr>
              <w:t>oefficient (±SE)</w:t>
            </w:r>
          </w:p>
        </w:tc>
        <w:tc>
          <w:tcPr>
            <w:tcW w:w="991" w:type="dxa"/>
            <w:tcBorders>
              <w:top w:val="single" w:sz="4" w:space="0" w:color="auto"/>
              <w:bottom w:val="single" w:sz="4" w:space="0" w:color="auto"/>
            </w:tcBorders>
            <w:noWrap/>
            <w:vAlign w:val="center"/>
            <w:hideMark/>
          </w:tcPr>
          <w:p w14:paraId="5C34D7DF" w14:textId="77777777" w:rsidR="006A54CA" w:rsidRPr="00025211" w:rsidRDefault="006A54CA" w:rsidP="00E951AB">
            <w:pPr>
              <w:rPr>
                <w:b/>
                <w:bCs w:val="0"/>
              </w:rPr>
            </w:pPr>
            <w:r w:rsidRPr="00025211">
              <w:rPr>
                <w:b/>
                <w:bCs w:val="0"/>
              </w:rPr>
              <w:t>Z-value</w:t>
            </w:r>
          </w:p>
        </w:tc>
        <w:tc>
          <w:tcPr>
            <w:tcW w:w="990" w:type="dxa"/>
            <w:tcBorders>
              <w:top w:val="single" w:sz="4" w:space="0" w:color="auto"/>
              <w:bottom w:val="single" w:sz="4" w:space="0" w:color="auto"/>
            </w:tcBorders>
            <w:noWrap/>
            <w:vAlign w:val="center"/>
            <w:hideMark/>
          </w:tcPr>
          <w:p w14:paraId="724A7DE5" w14:textId="77777777" w:rsidR="006A54CA" w:rsidRPr="00025211" w:rsidRDefault="006A54CA" w:rsidP="00E951AB">
            <w:pPr>
              <w:rPr>
                <w:b/>
                <w:bCs w:val="0"/>
              </w:rPr>
            </w:pPr>
            <w:r w:rsidRPr="00025211">
              <w:rPr>
                <w:b/>
                <w:bCs w:val="0"/>
                <w:i/>
                <w:iCs/>
              </w:rPr>
              <w:t>p</w:t>
            </w:r>
            <w:r w:rsidRPr="00025211">
              <w:rPr>
                <w:b/>
                <w:bCs w:val="0"/>
              </w:rPr>
              <w:t>-value</w:t>
            </w:r>
          </w:p>
        </w:tc>
        <w:tc>
          <w:tcPr>
            <w:tcW w:w="2069" w:type="dxa"/>
            <w:tcBorders>
              <w:top w:val="single" w:sz="4" w:space="0" w:color="auto"/>
              <w:bottom w:val="single" w:sz="4" w:space="0" w:color="auto"/>
            </w:tcBorders>
            <w:noWrap/>
            <w:vAlign w:val="center"/>
            <w:hideMark/>
          </w:tcPr>
          <w:p w14:paraId="2ECCAC02" w14:textId="77777777" w:rsidR="006A54CA" w:rsidRPr="00025211" w:rsidRDefault="006A54CA" w:rsidP="00E951AB">
            <w:pPr>
              <w:rPr>
                <w:b/>
                <w:bCs w:val="0"/>
              </w:rPr>
            </w:pPr>
            <w:r w:rsidRPr="00025211">
              <w:rPr>
                <w:b/>
                <w:bCs w:val="0"/>
              </w:rPr>
              <w:t>95% CI range</w:t>
            </w:r>
          </w:p>
        </w:tc>
      </w:tr>
      <w:tr w:rsidR="00A22B61" w:rsidRPr="00025211" w14:paraId="155BDA84" w14:textId="77777777" w:rsidTr="00A22B61">
        <w:trPr>
          <w:trHeight w:val="320"/>
        </w:trPr>
        <w:tc>
          <w:tcPr>
            <w:tcW w:w="1510" w:type="dxa"/>
            <w:vMerge w:val="restart"/>
            <w:tcBorders>
              <w:top w:val="single" w:sz="4" w:space="0" w:color="auto"/>
            </w:tcBorders>
            <w:noWrap/>
            <w:vAlign w:val="center"/>
            <w:hideMark/>
          </w:tcPr>
          <w:p w14:paraId="0FBDEC0B" w14:textId="77777777" w:rsidR="00A22B61" w:rsidRPr="00025211" w:rsidRDefault="00A22B61" w:rsidP="00A22B61">
            <w:r>
              <w:rPr>
                <w:i/>
                <w:iCs/>
              </w:rPr>
              <w:t>Total biomass</w:t>
            </w:r>
          </w:p>
        </w:tc>
        <w:tc>
          <w:tcPr>
            <w:tcW w:w="1096" w:type="dxa"/>
            <w:tcBorders>
              <w:top w:val="single" w:sz="4" w:space="0" w:color="auto"/>
            </w:tcBorders>
            <w:noWrap/>
            <w:vAlign w:val="center"/>
            <w:hideMark/>
          </w:tcPr>
          <w:p w14:paraId="04150A89" w14:textId="77777777" w:rsidR="00A22B61" w:rsidRPr="00025211" w:rsidRDefault="00A22B61" w:rsidP="00A22B61">
            <w:r>
              <w:t>N</w:t>
            </w:r>
          </w:p>
        </w:tc>
        <w:tc>
          <w:tcPr>
            <w:tcW w:w="576" w:type="dxa"/>
            <w:vMerge w:val="restart"/>
            <w:tcBorders>
              <w:top w:val="single" w:sz="4" w:space="0" w:color="auto"/>
            </w:tcBorders>
            <w:noWrap/>
            <w:vAlign w:val="center"/>
          </w:tcPr>
          <w:p w14:paraId="3641E783" w14:textId="77777777" w:rsidR="00A22B61" w:rsidRPr="00025211" w:rsidRDefault="00A22B61" w:rsidP="00A22B61">
            <w:pPr>
              <w:jc w:val="center"/>
            </w:pPr>
            <w:r>
              <w:t>42</w:t>
            </w:r>
          </w:p>
        </w:tc>
        <w:tc>
          <w:tcPr>
            <w:tcW w:w="1768" w:type="dxa"/>
            <w:tcBorders>
              <w:top w:val="single" w:sz="4" w:space="0" w:color="auto"/>
            </w:tcBorders>
            <w:noWrap/>
            <w:vAlign w:val="bottom"/>
          </w:tcPr>
          <w:p w14:paraId="195B59D8" w14:textId="2AA04388" w:rsidR="00A22B61" w:rsidRPr="00A22B61" w:rsidRDefault="00A22B61" w:rsidP="00A22B61">
            <w:pPr>
              <w:jc w:val="right"/>
              <w:rPr>
                <w:b/>
                <w:bCs w:val="0"/>
                <w:highlight w:val="yellow"/>
              </w:rPr>
            </w:pPr>
            <w:r w:rsidRPr="00A22B61">
              <w:rPr>
                <w:color w:val="000000"/>
              </w:rPr>
              <w:t>3.458±5.443</w:t>
            </w:r>
          </w:p>
        </w:tc>
        <w:tc>
          <w:tcPr>
            <w:tcW w:w="991" w:type="dxa"/>
            <w:tcBorders>
              <w:top w:val="single" w:sz="4" w:space="0" w:color="auto"/>
            </w:tcBorders>
            <w:noWrap/>
            <w:vAlign w:val="bottom"/>
          </w:tcPr>
          <w:p w14:paraId="6092715C" w14:textId="27119C48" w:rsidR="00A22B61" w:rsidRPr="00A22B61" w:rsidRDefault="00A22B61" w:rsidP="00A22B61">
            <w:pPr>
              <w:jc w:val="right"/>
              <w:rPr>
                <w:b/>
                <w:bCs w:val="0"/>
                <w:highlight w:val="yellow"/>
              </w:rPr>
            </w:pPr>
            <w:r w:rsidRPr="00A22B61">
              <w:rPr>
                <w:color w:val="000000"/>
              </w:rPr>
              <w:t>0.643</w:t>
            </w:r>
          </w:p>
        </w:tc>
        <w:tc>
          <w:tcPr>
            <w:tcW w:w="990" w:type="dxa"/>
            <w:tcBorders>
              <w:top w:val="single" w:sz="4" w:space="0" w:color="auto"/>
            </w:tcBorders>
            <w:noWrap/>
            <w:vAlign w:val="bottom"/>
          </w:tcPr>
          <w:p w14:paraId="6D13B19B" w14:textId="03D5B404" w:rsidR="00A22B61" w:rsidRPr="00A22B61" w:rsidRDefault="00A22B61" w:rsidP="00A22B61">
            <w:pPr>
              <w:jc w:val="right"/>
              <w:rPr>
                <w:b/>
                <w:bCs w:val="0"/>
                <w:highlight w:val="yellow"/>
              </w:rPr>
            </w:pPr>
            <w:r w:rsidRPr="00A22B61">
              <w:rPr>
                <w:color w:val="000000"/>
              </w:rPr>
              <w:t>0.520</w:t>
            </w:r>
          </w:p>
        </w:tc>
        <w:tc>
          <w:tcPr>
            <w:tcW w:w="2069" w:type="dxa"/>
            <w:tcBorders>
              <w:top w:val="single" w:sz="4" w:space="0" w:color="auto"/>
            </w:tcBorders>
            <w:noWrap/>
            <w:vAlign w:val="bottom"/>
          </w:tcPr>
          <w:p w14:paraId="279189B0" w14:textId="04FA09F5" w:rsidR="00A22B61" w:rsidRPr="00A22B61" w:rsidRDefault="00A22B61" w:rsidP="00A22B61">
            <w:pPr>
              <w:jc w:val="right"/>
              <w:rPr>
                <w:b/>
                <w:bCs w:val="0"/>
                <w:highlight w:val="yellow"/>
              </w:rPr>
            </w:pPr>
            <w:r w:rsidRPr="00A22B61">
              <w:rPr>
                <w:color w:val="000000"/>
              </w:rPr>
              <w:t>[-6.761, 14.912]</w:t>
            </w:r>
          </w:p>
        </w:tc>
      </w:tr>
      <w:tr w:rsidR="00A22B61" w:rsidRPr="00025211" w14:paraId="5557C274" w14:textId="77777777" w:rsidTr="00A22B61">
        <w:trPr>
          <w:trHeight w:val="320"/>
        </w:trPr>
        <w:tc>
          <w:tcPr>
            <w:tcW w:w="1510" w:type="dxa"/>
            <w:vMerge/>
            <w:vAlign w:val="center"/>
            <w:hideMark/>
          </w:tcPr>
          <w:p w14:paraId="7FDAA88E" w14:textId="77777777" w:rsidR="00A22B61" w:rsidRPr="00025211" w:rsidRDefault="00A22B61" w:rsidP="00A22B61"/>
        </w:tc>
        <w:tc>
          <w:tcPr>
            <w:tcW w:w="1096" w:type="dxa"/>
            <w:noWrap/>
            <w:vAlign w:val="center"/>
            <w:hideMark/>
          </w:tcPr>
          <w:p w14:paraId="02814F0B" w14:textId="77777777" w:rsidR="00A22B61" w:rsidRPr="00025211" w:rsidRDefault="00A22B61" w:rsidP="00A22B61">
            <w:r>
              <w:t>P</w:t>
            </w:r>
          </w:p>
        </w:tc>
        <w:tc>
          <w:tcPr>
            <w:tcW w:w="576" w:type="dxa"/>
            <w:vMerge/>
            <w:vAlign w:val="center"/>
          </w:tcPr>
          <w:p w14:paraId="35C20B6C" w14:textId="77777777" w:rsidR="00A22B61" w:rsidRPr="00025211" w:rsidRDefault="00A22B61" w:rsidP="00A22B61">
            <w:pPr>
              <w:jc w:val="center"/>
            </w:pPr>
          </w:p>
        </w:tc>
        <w:tc>
          <w:tcPr>
            <w:tcW w:w="1768" w:type="dxa"/>
            <w:noWrap/>
            <w:vAlign w:val="bottom"/>
          </w:tcPr>
          <w:p w14:paraId="703D1170" w14:textId="7A242CD9" w:rsidR="00A22B61" w:rsidRPr="00A22B61" w:rsidRDefault="00A22B61" w:rsidP="00A22B61">
            <w:pPr>
              <w:jc w:val="right"/>
              <w:rPr>
                <w:b/>
                <w:bCs w:val="0"/>
                <w:highlight w:val="yellow"/>
              </w:rPr>
            </w:pPr>
            <w:r w:rsidRPr="00A22B61">
              <w:rPr>
                <w:b/>
                <w:bCs w:val="0"/>
                <w:color w:val="000000"/>
              </w:rPr>
              <w:t>16.766±8.004</w:t>
            </w:r>
          </w:p>
        </w:tc>
        <w:tc>
          <w:tcPr>
            <w:tcW w:w="991" w:type="dxa"/>
            <w:noWrap/>
            <w:vAlign w:val="bottom"/>
          </w:tcPr>
          <w:p w14:paraId="71D2F969" w14:textId="2C2C5CF3" w:rsidR="00A22B61" w:rsidRPr="00A22B61" w:rsidRDefault="00A22B61" w:rsidP="00A22B61">
            <w:pPr>
              <w:jc w:val="right"/>
              <w:rPr>
                <w:b/>
                <w:bCs w:val="0"/>
                <w:highlight w:val="yellow"/>
              </w:rPr>
            </w:pPr>
            <w:r w:rsidRPr="00A22B61">
              <w:rPr>
                <w:b/>
                <w:bCs w:val="0"/>
                <w:color w:val="000000"/>
              </w:rPr>
              <w:t>2.007</w:t>
            </w:r>
          </w:p>
        </w:tc>
        <w:tc>
          <w:tcPr>
            <w:tcW w:w="990" w:type="dxa"/>
            <w:noWrap/>
            <w:vAlign w:val="bottom"/>
          </w:tcPr>
          <w:p w14:paraId="45B7176C" w14:textId="5DFD6A02" w:rsidR="00A22B61" w:rsidRPr="00A22B61" w:rsidRDefault="00A22B61" w:rsidP="00A22B61">
            <w:pPr>
              <w:jc w:val="right"/>
              <w:rPr>
                <w:b/>
                <w:bCs w:val="0"/>
                <w:highlight w:val="yellow"/>
              </w:rPr>
            </w:pPr>
            <w:r w:rsidRPr="00A22B61">
              <w:rPr>
                <w:b/>
                <w:bCs w:val="0"/>
                <w:color w:val="000000"/>
              </w:rPr>
              <w:t>0.045</w:t>
            </w:r>
          </w:p>
        </w:tc>
        <w:tc>
          <w:tcPr>
            <w:tcW w:w="2069" w:type="dxa"/>
            <w:noWrap/>
            <w:vAlign w:val="bottom"/>
          </w:tcPr>
          <w:p w14:paraId="1C0A61D4" w14:textId="081886A1" w:rsidR="00A22B61" w:rsidRPr="00A22B61" w:rsidRDefault="00A22B61" w:rsidP="00A22B61">
            <w:pPr>
              <w:jc w:val="right"/>
              <w:rPr>
                <w:b/>
                <w:bCs w:val="0"/>
                <w:highlight w:val="yellow"/>
              </w:rPr>
            </w:pPr>
            <w:r w:rsidRPr="00A22B61">
              <w:rPr>
                <w:b/>
                <w:bCs w:val="0"/>
                <w:color w:val="000000"/>
              </w:rPr>
              <w:t>[0.401, 35.934]</w:t>
            </w:r>
          </w:p>
        </w:tc>
      </w:tr>
      <w:tr w:rsidR="00A22B61" w:rsidRPr="00025211" w14:paraId="738C5B0F" w14:textId="77777777" w:rsidTr="00A22B61">
        <w:trPr>
          <w:trHeight w:val="320"/>
        </w:trPr>
        <w:tc>
          <w:tcPr>
            <w:tcW w:w="1510" w:type="dxa"/>
            <w:vMerge/>
            <w:tcBorders>
              <w:bottom w:val="single" w:sz="4" w:space="0" w:color="auto"/>
            </w:tcBorders>
            <w:vAlign w:val="center"/>
            <w:hideMark/>
          </w:tcPr>
          <w:p w14:paraId="22CBBE13" w14:textId="77777777" w:rsidR="00A22B61" w:rsidRPr="00025211" w:rsidRDefault="00A22B61" w:rsidP="00A22B61"/>
        </w:tc>
        <w:tc>
          <w:tcPr>
            <w:tcW w:w="1096" w:type="dxa"/>
            <w:tcBorders>
              <w:bottom w:val="single" w:sz="4" w:space="0" w:color="auto"/>
            </w:tcBorders>
            <w:noWrap/>
            <w:vAlign w:val="center"/>
            <w:hideMark/>
          </w:tcPr>
          <w:p w14:paraId="7D47A1E3" w14:textId="77777777" w:rsidR="00A22B61" w:rsidRPr="00025211" w:rsidRDefault="00A22B61" w:rsidP="00A22B61">
            <w:r>
              <w:t>N+P</w:t>
            </w:r>
          </w:p>
        </w:tc>
        <w:tc>
          <w:tcPr>
            <w:tcW w:w="576" w:type="dxa"/>
            <w:vMerge/>
            <w:tcBorders>
              <w:bottom w:val="single" w:sz="4" w:space="0" w:color="auto"/>
            </w:tcBorders>
            <w:vAlign w:val="center"/>
          </w:tcPr>
          <w:p w14:paraId="401A6A24" w14:textId="77777777" w:rsidR="00A22B61" w:rsidRPr="00025211" w:rsidRDefault="00A22B61" w:rsidP="00A22B61">
            <w:pPr>
              <w:jc w:val="center"/>
            </w:pPr>
          </w:p>
        </w:tc>
        <w:tc>
          <w:tcPr>
            <w:tcW w:w="1768" w:type="dxa"/>
            <w:tcBorders>
              <w:bottom w:val="single" w:sz="4" w:space="0" w:color="auto"/>
            </w:tcBorders>
            <w:noWrap/>
            <w:vAlign w:val="bottom"/>
          </w:tcPr>
          <w:p w14:paraId="5066B77A" w14:textId="608D3D62" w:rsidR="00A22B61" w:rsidRPr="00A22B61" w:rsidRDefault="00A22B61" w:rsidP="00A22B61">
            <w:pPr>
              <w:jc w:val="right"/>
              <w:rPr>
                <w:b/>
                <w:bCs w:val="0"/>
                <w:highlight w:val="yellow"/>
              </w:rPr>
            </w:pPr>
            <w:r w:rsidRPr="00A22B61">
              <w:rPr>
                <w:b/>
                <w:bCs w:val="0"/>
                <w:color w:val="000000"/>
              </w:rPr>
              <w:t>46.082±8.112</w:t>
            </w:r>
          </w:p>
        </w:tc>
        <w:tc>
          <w:tcPr>
            <w:tcW w:w="991" w:type="dxa"/>
            <w:tcBorders>
              <w:bottom w:val="single" w:sz="4" w:space="0" w:color="auto"/>
            </w:tcBorders>
            <w:noWrap/>
            <w:vAlign w:val="bottom"/>
          </w:tcPr>
          <w:p w14:paraId="0F999957" w14:textId="244DF49C" w:rsidR="00A22B61" w:rsidRPr="00A22B61" w:rsidRDefault="00A22B61" w:rsidP="00A22B61">
            <w:pPr>
              <w:jc w:val="right"/>
              <w:rPr>
                <w:b/>
                <w:bCs w:val="0"/>
                <w:highlight w:val="yellow"/>
              </w:rPr>
            </w:pPr>
            <w:r w:rsidRPr="00A22B61">
              <w:rPr>
                <w:b/>
                <w:bCs w:val="0"/>
                <w:color w:val="000000"/>
              </w:rPr>
              <w:t>4.871</w:t>
            </w:r>
          </w:p>
        </w:tc>
        <w:tc>
          <w:tcPr>
            <w:tcW w:w="990" w:type="dxa"/>
            <w:tcBorders>
              <w:bottom w:val="single" w:sz="4" w:space="0" w:color="auto"/>
            </w:tcBorders>
            <w:noWrap/>
            <w:vAlign w:val="bottom"/>
          </w:tcPr>
          <w:p w14:paraId="129C662A" w14:textId="700D927A" w:rsidR="00A22B61" w:rsidRPr="00A22B61" w:rsidRDefault="00A22B61" w:rsidP="00A22B61">
            <w:pPr>
              <w:jc w:val="right"/>
              <w:rPr>
                <w:b/>
                <w:bCs w:val="0"/>
                <w:highlight w:val="yellow"/>
              </w:rPr>
            </w:pPr>
            <w:r w:rsidRPr="00A22B61">
              <w:rPr>
                <w:b/>
                <w:bCs w:val="0"/>
                <w:color w:val="000000"/>
              </w:rPr>
              <w:t>&lt;0.001</w:t>
            </w:r>
          </w:p>
        </w:tc>
        <w:tc>
          <w:tcPr>
            <w:tcW w:w="2069" w:type="dxa"/>
            <w:tcBorders>
              <w:bottom w:val="single" w:sz="4" w:space="0" w:color="auto"/>
            </w:tcBorders>
            <w:noWrap/>
            <w:vAlign w:val="bottom"/>
          </w:tcPr>
          <w:p w14:paraId="15081EA5" w14:textId="5F0B12CA" w:rsidR="00A22B61" w:rsidRPr="00A22B61" w:rsidRDefault="00A22B61" w:rsidP="00A22B61">
            <w:pPr>
              <w:jc w:val="right"/>
              <w:rPr>
                <w:b/>
                <w:bCs w:val="0"/>
                <w:highlight w:val="yellow"/>
              </w:rPr>
            </w:pPr>
            <w:r w:rsidRPr="00A22B61">
              <w:rPr>
                <w:b/>
                <w:bCs w:val="0"/>
                <w:color w:val="000000"/>
              </w:rPr>
              <w:t>[25.358, 70.063]</w:t>
            </w:r>
          </w:p>
        </w:tc>
      </w:tr>
      <w:tr w:rsidR="00A22B61" w:rsidRPr="00025211" w14:paraId="29E41219" w14:textId="77777777" w:rsidTr="00A22B61">
        <w:trPr>
          <w:trHeight w:val="320"/>
        </w:trPr>
        <w:tc>
          <w:tcPr>
            <w:tcW w:w="1510" w:type="dxa"/>
            <w:vMerge w:val="restart"/>
            <w:tcBorders>
              <w:top w:val="single" w:sz="4" w:space="0" w:color="auto"/>
            </w:tcBorders>
            <w:noWrap/>
            <w:vAlign w:val="center"/>
            <w:hideMark/>
          </w:tcPr>
          <w:p w14:paraId="6A8E3459" w14:textId="77777777" w:rsidR="00A22B61" w:rsidRPr="00485186" w:rsidRDefault="00A22B61" w:rsidP="00A22B61">
            <w:r>
              <w:rPr>
                <w:i/>
                <w:iCs/>
              </w:rPr>
              <w:t>Aboveground biomass</w:t>
            </w:r>
          </w:p>
        </w:tc>
        <w:tc>
          <w:tcPr>
            <w:tcW w:w="1096" w:type="dxa"/>
            <w:tcBorders>
              <w:top w:val="single" w:sz="4" w:space="0" w:color="auto"/>
            </w:tcBorders>
            <w:noWrap/>
            <w:vAlign w:val="center"/>
            <w:hideMark/>
          </w:tcPr>
          <w:p w14:paraId="6C7B3BBB" w14:textId="77777777" w:rsidR="00A22B61" w:rsidRPr="00025211" w:rsidRDefault="00A22B61" w:rsidP="00A22B61">
            <w:r>
              <w:t>N</w:t>
            </w:r>
          </w:p>
        </w:tc>
        <w:tc>
          <w:tcPr>
            <w:tcW w:w="576" w:type="dxa"/>
            <w:vMerge w:val="restart"/>
            <w:tcBorders>
              <w:top w:val="single" w:sz="4" w:space="0" w:color="auto"/>
            </w:tcBorders>
            <w:noWrap/>
            <w:vAlign w:val="center"/>
          </w:tcPr>
          <w:p w14:paraId="4EAF695F" w14:textId="77777777" w:rsidR="00A22B61" w:rsidRPr="00025211" w:rsidRDefault="00A22B61" w:rsidP="00A22B61">
            <w:pPr>
              <w:jc w:val="center"/>
            </w:pPr>
            <w:r>
              <w:t>125</w:t>
            </w:r>
          </w:p>
        </w:tc>
        <w:tc>
          <w:tcPr>
            <w:tcW w:w="1768" w:type="dxa"/>
            <w:tcBorders>
              <w:top w:val="single" w:sz="4" w:space="0" w:color="auto"/>
            </w:tcBorders>
            <w:noWrap/>
            <w:vAlign w:val="bottom"/>
          </w:tcPr>
          <w:p w14:paraId="3A6A45B1" w14:textId="0740D4A0" w:rsidR="00A22B61" w:rsidRPr="00A22B61" w:rsidRDefault="00A22B61" w:rsidP="00A22B61">
            <w:pPr>
              <w:jc w:val="right"/>
              <w:rPr>
                <w:b/>
                <w:bCs w:val="0"/>
                <w:highlight w:val="yellow"/>
              </w:rPr>
            </w:pPr>
            <w:r w:rsidRPr="00A22B61">
              <w:rPr>
                <w:b/>
                <w:bCs w:val="0"/>
                <w:color w:val="000000"/>
              </w:rPr>
              <w:t>38.542±3.769</w:t>
            </w:r>
          </w:p>
        </w:tc>
        <w:tc>
          <w:tcPr>
            <w:tcW w:w="991" w:type="dxa"/>
            <w:tcBorders>
              <w:top w:val="single" w:sz="4" w:space="0" w:color="auto"/>
            </w:tcBorders>
            <w:noWrap/>
            <w:vAlign w:val="bottom"/>
          </w:tcPr>
          <w:p w14:paraId="1A006B86" w14:textId="20E03187" w:rsidR="00A22B61" w:rsidRPr="00A22B61" w:rsidRDefault="00A22B61" w:rsidP="00A22B61">
            <w:pPr>
              <w:jc w:val="right"/>
              <w:rPr>
                <w:b/>
                <w:bCs w:val="0"/>
                <w:highlight w:val="yellow"/>
              </w:rPr>
            </w:pPr>
            <w:r w:rsidRPr="00A22B61">
              <w:rPr>
                <w:b/>
                <w:bCs w:val="0"/>
                <w:color w:val="000000"/>
              </w:rPr>
              <w:t>8.753</w:t>
            </w:r>
          </w:p>
        </w:tc>
        <w:tc>
          <w:tcPr>
            <w:tcW w:w="990" w:type="dxa"/>
            <w:tcBorders>
              <w:top w:val="single" w:sz="4" w:space="0" w:color="auto"/>
            </w:tcBorders>
            <w:noWrap/>
            <w:vAlign w:val="bottom"/>
          </w:tcPr>
          <w:p w14:paraId="1D29AD74" w14:textId="406D2326" w:rsidR="00A22B61" w:rsidRPr="00A22B61" w:rsidRDefault="00A22B61" w:rsidP="00A22B61">
            <w:pPr>
              <w:jc w:val="right"/>
              <w:rPr>
                <w:b/>
                <w:bCs w:val="0"/>
                <w:highlight w:val="yellow"/>
              </w:rPr>
            </w:pPr>
            <w:r w:rsidRPr="00A22B61">
              <w:rPr>
                <w:b/>
                <w:bCs w:val="0"/>
                <w:color w:val="000000"/>
              </w:rPr>
              <w:t>&lt;0.001</w:t>
            </w:r>
          </w:p>
        </w:tc>
        <w:tc>
          <w:tcPr>
            <w:tcW w:w="2069" w:type="dxa"/>
            <w:tcBorders>
              <w:top w:val="single" w:sz="4" w:space="0" w:color="auto"/>
            </w:tcBorders>
            <w:noWrap/>
            <w:vAlign w:val="bottom"/>
          </w:tcPr>
          <w:p w14:paraId="62EFF057" w14:textId="1C1DCCD2" w:rsidR="00A22B61" w:rsidRPr="00A22B61" w:rsidRDefault="00A22B61" w:rsidP="00A22B61">
            <w:pPr>
              <w:jc w:val="right"/>
              <w:rPr>
                <w:b/>
                <w:bCs w:val="0"/>
                <w:highlight w:val="yellow"/>
              </w:rPr>
            </w:pPr>
            <w:r w:rsidRPr="00A22B61">
              <w:rPr>
                <w:b/>
                <w:bCs w:val="0"/>
                <w:color w:val="000000"/>
              </w:rPr>
              <w:t>[28.788, 49.033]</w:t>
            </w:r>
          </w:p>
        </w:tc>
      </w:tr>
      <w:tr w:rsidR="00A22B61" w:rsidRPr="00025211" w14:paraId="028FC0DB" w14:textId="77777777" w:rsidTr="00A22B61">
        <w:trPr>
          <w:trHeight w:val="320"/>
        </w:trPr>
        <w:tc>
          <w:tcPr>
            <w:tcW w:w="1510" w:type="dxa"/>
            <w:vMerge/>
            <w:vAlign w:val="center"/>
            <w:hideMark/>
          </w:tcPr>
          <w:p w14:paraId="2D97106A" w14:textId="77777777" w:rsidR="00A22B61" w:rsidRPr="00025211" w:rsidRDefault="00A22B61" w:rsidP="00A22B61"/>
        </w:tc>
        <w:tc>
          <w:tcPr>
            <w:tcW w:w="1096" w:type="dxa"/>
            <w:noWrap/>
            <w:vAlign w:val="center"/>
            <w:hideMark/>
          </w:tcPr>
          <w:p w14:paraId="175D895A" w14:textId="77777777" w:rsidR="00A22B61" w:rsidRPr="00025211" w:rsidRDefault="00A22B61" w:rsidP="00A22B61">
            <w:r>
              <w:t>P</w:t>
            </w:r>
          </w:p>
        </w:tc>
        <w:tc>
          <w:tcPr>
            <w:tcW w:w="576" w:type="dxa"/>
            <w:vMerge/>
            <w:vAlign w:val="center"/>
          </w:tcPr>
          <w:p w14:paraId="7A6B092C" w14:textId="77777777" w:rsidR="00A22B61" w:rsidRPr="00025211" w:rsidRDefault="00A22B61" w:rsidP="00A22B61">
            <w:pPr>
              <w:jc w:val="center"/>
            </w:pPr>
          </w:p>
        </w:tc>
        <w:tc>
          <w:tcPr>
            <w:tcW w:w="1768" w:type="dxa"/>
            <w:noWrap/>
            <w:vAlign w:val="bottom"/>
          </w:tcPr>
          <w:p w14:paraId="774BE820" w14:textId="749601EF" w:rsidR="00A22B61" w:rsidRPr="00A22B61" w:rsidRDefault="00A22B61" w:rsidP="00A22B61">
            <w:pPr>
              <w:jc w:val="right"/>
              <w:rPr>
                <w:b/>
                <w:bCs w:val="0"/>
                <w:highlight w:val="yellow"/>
              </w:rPr>
            </w:pPr>
            <w:r w:rsidRPr="00A22B61">
              <w:rPr>
                <w:b/>
                <w:bCs w:val="0"/>
                <w:color w:val="000000"/>
              </w:rPr>
              <w:t>21.046±3.355</w:t>
            </w:r>
          </w:p>
        </w:tc>
        <w:tc>
          <w:tcPr>
            <w:tcW w:w="991" w:type="dxa"/>
            <w:noWrap/>
            <w:vAlign w:val="bottom"/>
          </w:tcPr>
          <w:p w14:paraId="3614F94E" w14:textId="3F87D46B" w:rsidR="00A22B61" w:rsidRPr="00A22B61" w:rsidRDefault="00A22B61" w:rsidP="00A22B61">
            <w:pPr>
              <w:jc w:val="right"/>
              <w:rPr>
                <w:b/>
                <w:bCs w:val="0"/>
                <w:highlight w:val="yellow"/>
              </w:rPr>
            </w:pPr>
            <w:r w:rsidRPr="00A22B61">
              <w:rPr>
                <w:b/>
                <w:bCs w:val="0"/>
                <w:color w:val="000000"/>
              </w:rPr>
              <w:t>5.741</w:t>
            </w:r>
          </w:p>
        </w:tc>
        <w:tc>
          <w:tcPr>
            <w:tcW w:w="990" w:type="dxa"/>
            <w:noWrap/>
            <w:vAlign w:val="bottom"/>
          </w:tcPr>
          <w:p w14:paraId="5DACEB8B" w14:textId="11D79740" w:rsidR="00A22B61" w:rsidRPr="00A22B61" w:rsidRDefault="00A22B61" w:rsidP="00A22B61">
            <w:pPr>
              <w:jc w:val="right"/>
              <w:rPr>
                <w:b/>
                <w:bCs w:val="0"/>
                <w:highlight w:val="yellow"/>
              </w:rPr>
            </w:pPr>
            <w:r w:rsidRPr="00A22B61">
              <w:rPr>
                <w:b/>
                <w:bCs w:val="0"/>
                <w:color w:val="000000"/>
              </w:rPr>
              <w:t>&lt;0.001</w:t>
            </w:r>
          </w:p>
        </w:tc>
        <w:tc>
          <w:tcPr>
            <w:tcW w:w="2069" w:type="dxa"/>
            <w:noWrap/>
            <w:vAlign w:val="bottom"/>
          </w:tcPr>
          <w:p w14:paraId="4DD514E7" w14:textId="4F11E1F4" w:rsidR="00A22B61" w:rsidRPr="00A22B61" w:rsidRDefault="00A22B61" w:rsidP="00A22B61">
            <w:pPr>
              <w:jc w:val="right"/>
              <w:rPr>
                <w:b/>
                <w:bCs w:val="0"/>
                <w:highlight w:val="yellow"/>
              </w:rPr>
            </w:pPr>
            <w:r w:rsidRPr="00A22B61">
              <w:rPr>
                <w:b/>
                <w:bCs w:val="0"/>
                <w:color w:val="000000"/>
              </w:rPr>
              <w:t>[13.428, 29.305]</w:t>
            </w:r>
          </w:p>
        </w:tc>
      </w:tr>
      <w:tr w:rsidR="00A22B61" w:rsidRPr="00025211" w14:paraId="609CD009" w14:textId="77777777" w:rsidTr="00A22B61">
        <w:trPr>
          <w:trHeight w:val="320"/>
        </w:trPr>
        <w:tc>
          <w:tcPr>
            <w:tcW w:w="1510" w:type="dxa"/>
            <w:vMerge/>
            <w:tcBorders>
              <w:bottom w:val="single" w:sz="4" w:space="0" w:color="auto"/>
            </w:tcBorders>
            <w:vAlign w:val="center"/>
            <w:hideMark/>
          </w:tcPr>
          <w:p w14:paraId="5FE64A5A" w14:textId="77777777" w:rsidR="00A22B61" w:rsidRPr="00025211" w:rsidRDefault="00A22B61" w:rsidP="00A22B61"/>
        </w:tc>
        <w:tc>
          <w:tcPr>
            <w:tcW w:w="1096" w:type="dxa"/>
            <w:tcBorders>
              <w:bottom w:val="single" w:sz="4" w:space="0" w:color="auto"/>
            </w:tcBorders>
            <w:noWrap/>
            <w:vAlign w:val="center"/>
            <w:hideMark/>
          </w:tcPr>
          <w:p w14:paraId="20BF52C4" w14:textId="77777777" w:rsidR="00A22B61" w:rsidRPr="00025211" w:rsidRDefault="00A22B61" w:rsidP="00A22B61">
            <w:r>
              <w:t>N+P</w:t>
            </w:r>
          </w:p>
        </w:tc>
        <w:tc>
          <w:tcPr>
            <w:tcW w:w="576" w:type="dxa"/>
            <w:vMerge/>
            <w:tcBorders>
              <w:bottom w:val="single" w:sz="4" w:space="0" w:color="auto"/>
            </w:tcBorders>
            <w:vAlign w:val="center"/>
          </w:tcPr>
          <w:p w14:paraId="66D6DB2E" w14:textId="77777777" w:rsidR="00A22B61" w:rsidRPr="00025211" w:rsidRDefault="00A22B61" w:rsidP="00A22B61">
            <w:pPr>
              <w:jc w:val="center"/>
            </w:pPr>
          </w:p>
        </w:tc>
        <w:tc>
          <w:tcPr>
            <w:tcW w:w="1768" w:type="dxa"/>
            <w:tcBorders>
              <w:bottom w:val="single" w:sz="4" w:space="0" w:color="auto"/>
            </w:tcBorders>
            <w:noWrap/>
            <w:vAlign w:val="bottom"/>
          </w:tcPr>
          <w:p w14:paraId="5BA35378" w14:textId="19CFA1C9" w:rsidR="00A22B61" w:rsidRPr="00A22B61" w:rsidRDefault="00A22B61" w:rsidP="00A22B61">
            <w:pPr>
              <w:jc w:val="right"/>
              <w:rPr>
                <w:b/>
                <w:bCs w:val="0"/>
                <w:highlight w:val="yellow"/>
              </w:rPr>
            </w:pPr>
            <w:r w:rsidRPr="00A22B61">
              <w:rPr>
                <w:b/>
                <w:bCs w:val="0"/>
                <w:color w:val="000000"/>
              </w:rPr>
              <w:t>87.199±4.917</w:t>
            </w:r>
          </w:p>
        </w:tc>
        <w:tc>
          <w:tcPr>
            <w:tcW w:w="991" w:type="dxa"/>
            <w:tcBorders>
              <w:bottom w:val="single" w:sz="4" w:space="0" w:color="auto"/>
            </w:tcBorders>
            <w:noWrap/>
            <w:vAlign w:val="bottom"/>
          </w:tcPr>
          <w:p w14:paraId="23C601AE" w14:textId="01E1EB22" w:rsidR="00A22B61" w:rsidRPr="00A22B61" w:rsidRDefault="00A22B61" w:rsidP="00A22B61">
            <w:pPr>
              <w:jc w:val="right"/>
              <w:rPr>
                <w:b/>
                <w:bCs w:val="0"/>
                <w:highlight w:val="yellow"/>
              </w:rPr>
            </w:pPr>
            <w:r w:rsidRPr="00A22B61">
              <w:rPr>
                <w:b/>
                <w:bCs w:val="0"/>
                <w:color w:val="000000"/>
              </w:rPr>
              <w:t>13.106</w:t>
            </w:r>
          </w:p>
        </w:tc>
        <w:tc>
          <w:tcPr>
            <w:tcW w:w="990" w:type="dxa"/>
            <w:tcBorders>
              <w:bottom w:val="single" w:sz="4" w:space="0" w:color="auto"/>
            </w:tcBorders>
            <w:noWrap/>
            <w:vAlign w:val="bottom"/>
          </w:tcPr>
          <w:p w14:paraId="7E3B36F1" w14:textId="2C4D13B8" w:rsidR="00A22B61" w:rsidRPr="00A22B61" w:rsidRDefault="00A22B61" w:rsidP="00A22B61">
            <w:pPr>
              <w:jc w:val="right"/>
              <w:rPr>
                <w:b/>
                <w:bCs w:val="0"/>
                <w:highlight w:val="yellow"/>
              </w:rPr>
            </w:pPr>
            <w:r w:rsidRPr="00A22B61">
              <w:rPr>
                <w:b/>
                <w:bCs w:val="0"/>
                <w:color w:val="000000"/>
              </w:rPr>
              <w:t>&lt;0.001</w:t>
            </w:r>
          </w:p>
        </w:tc>
        <w:tc>
          <w:tcPr>
            <w:tcW w:w="2069" w:type="dxa"/>
            <w:tcBorders>
              <w:bottom w:val="single" w:sz="4" w:space="0" w:color="auto"/>
            </w:tcBorders>
            <w:noWrap/>
            <w:vAlign w:val="bottom"/>
          </w:tcPr>
          <w:p w14:paraId="40B7A75F" w14:textId="792C08E5" w:rsidR="00A22B61" w:rsidRPr="00A22B61" w:rsidRDefault="00A22B61" w:rsidP="00A22B61">
            <w:pPr>
              <w:jc w:val="right"/>
              <w:rPr>
                <w:b/>
                <w:bCs w:val="0"/>
                <w:highlight w:val="yellow"/>
              </w:rPr>
            </w:pPr>
            <w:r w:rsidRPr="00A22B61">
              <w:rPr>
                <w:b/>
                <w:bCs w:val="0"/>
                <w:color w:val="000000"/>
              </w:rPr>
              <w:t>[70.404, 105.649]</w:t>
            </w:r>
          </w:p>
        </w:tc>
      </w:tr>
      <w:tr w:rsidR="00A22B61" w:rsidRPr="00025211" w14:paraId="6FDAEB32" w14:textId="77777777" w:rsidTr="00A22B61">
        <w:trPr>
          <w:trHeight w:val="320"/>
        </w:trPr>
        <w:tc>
          <w:tcPr>
            <w:tcW w:w="1510" w:type="dxa"/>
            <w:vMerge w:val="restart"/>
            <w:tcBorders>
              <w:top w:val="single" w:sz="4" w:space="0" w:color="auto"/>
            </w:tcBorders>
            <w:noWrap/>
            <w:vAlign w:val="center"/>
            <w:hideMark/>
          </w:tcPr>
          <w:p w14:paraId="7AE5D204" w14:textId="77777777" w:rsidR="00A22B61" w:rsidRPr="00025211" w:rsidRDefault="00A22B61" w:rsidP="00A22B61">
            <w:r>
              <w:rPr>
                <w:i/>
                <w:iCs/>
              </w:rPr>
              <w:t>Belowground biomass</w:t>
            </w:r>
          </w:p>
        </w:tc>
        <w:tc>
          <w:tcPr>
            <w:tcW w:w="1096" w:type="dxa"/>
            <w:tcBorders>
              <w:top w:val="single" w:sz="4" w:space="0" w:color="auto"/>
            </w:tcBorders>
            <w:noWrap/>
            <w:vAlign w:val="center"/>
            <w:hideMark/>
          </w:tcPr>
          <w:p w14:paraId="5DB6E11B" w14:textId="77777777" w:rsidR="00A22B61" w:rsidRPr="00025211" w:rsidRDefault="00A22B61" w:rsidP="00A22B61">
            <w:r>
              <w:t>N</w:t>
            </w:r>
          </w:p>
        </w:tc>
        <w:tc>
          <w:tcPr>
            <w:tcW w:w="576" w:type="dxa"/>
            <w:vMerge w:val="restart"/>
            <w:tcBorders>
              <w:top w:val="single" w:sz="4" w:space="0" w:color="auto"/>
            </w:tcBorders>
            <w:noWrap/>
            <w:vAlign w:val="center"/>
          </w:tcPr>
          <w:p w14:paraId="4BE6BA2D" w14:textId="77777777" w:rsidR="00A22B61" w:rsidRPr="00025211" w:rsidRDefault="00A22B61" w:rsidP="00A22B61">
            <w:pPr>
              <w:jc w:val="center"/>
            </w:pPr>
            <w:r>
              <w:t>63</w:t>
            </w:r>
          </w:p>
        </w:tc>
        <w:tc>
          <w:tcPr>
            <w:tcW w:w="1768" w:type="dxa"/>
            <w:tcBorders>
              <w:top w:val="single" w:sz="4" w:space="0" w:color="auto"/>
            </w:tcBorders>
            <w:noWrap/>
            <w:vAlign w:val="bottom"/>
          </w:tcPr>
          <w:p w14:paraId="6D81235E" w14:textId="6B57E444" w:rsidR="00A22B61" w:rsidRPr="00A22B61" w:rsidRDefault="00A22B61" w:rsidP="00A22B61">
            <w:pPr>
              <w:jc w:val="right"/>
              <w:rPr>
                <w:highlight w:val="yellow"/>
              </w:rPr>
            </w:pPr>
            <w:r w:rsidRPr="00A22B61">
              <w:rPr>
                <w:color w:val="000000"/>
              </w:rPr>
              <w:t>-1.489±7.251</w:t>
            </w:r>
          </w:p>
        </w:tc>
        <w:tc>
          <w:tcPr>
            <w:tcW w:w="991" w:type="dxa"/>
            <w:tcBorders>
              <w:top w:val="single" w:sz="4" w:space="0" w:color="auto"/>
            </w:tcBorders>
            <w:noWrap/>
            <w:vAlign w:val="bottom"/>
          </w:tcPr>
          <w:p w14:paraId="0E36B0E2" w14:textId="271E378D" w:rsidR="00A22B61" w:rsidRPr="00A22B61" w:rsidRDefault="00A22B61" w:rsidP="00A22B61">
            <w:pPr>
              <w:jc w:val="right"/>
              <w:rPr>
                <w:highlight w:val="yellow"/>
              </w:rPr>
            </w:pPr>
            <w:r w:rsidRPr="00A22B61">
              <w:rPr>
                <w:color w:val="000000"/>
              </w:rPr>
              <w:t>-0.218</w:t>
            </w:r>
          </w:p>
        </w:tc>
        <w:tc>
          <w:tcPr>
            <w:tcW w:w="990" w:type="dxa"/>
            <w:tcBorders>
              <w:top w:val="single" w:sz="4" w:space="0" w:color="auto"/>
            </w:tcBorders>
            <w:noWrap/>
            <w:vAlign w:val="bottom"/>
          </w:tcPr>
          <w:p w14:paraId="632C7896" w14:textId="0FE3B6A7" w:rsidR="00A22B61" w:rsidRPr="00A22B61" w:rsidRDefault="00A22B61" w:rsidP="00A22B61">
            <w:pPr>
              <w:jc w:val="right"/>
              <w:rPr>
                <w:highlight w:val="yellow"/>
              </w:rPr>
            </w:pPr>
            <w:r w:rsidRPr="00A22B61">
              <w:rPr>
                <w:color w:val="000000"/>
              </w:rPr>
              <w:t>0.828</w:t>
            </w:r>
          </w:p>
        </w:tc>
        <w:tc>
          <w:tcPr>
            <w:tcW w:w="2069" w:type="dxa"/>
            <w:tcBorders>
              <w:top w:val="single" w:sz="4" w:space="0" w:color="auto"/>
            </w:tcBorders>
            <w:noWrap/>
            <w:vAlign w:val="bottom"/>
          </w:tcPr>
          <w:p w14:paraId="3C1AEBF5" w14:textId="7CC171AA" w:rsidR="00A22B61" w:rsidRPr="00A22B61" w:rsidRDefault="00A22B61" w:rsidP="00A22B61">
            <w:pPr>
              <w:jc w:val="right"/>
              <w:rPr>
                <w:highlight w:val="yellow"/>
              </w:rPr>
            </w:pPr>
            <w:r w:rsidRPr="00A22B61">
              <w:rPr>
                <w:color w:val="000000"/>
              </w:rPr>
              <w:t>[-14.015, 12.862]</w:t>
            </w:r>
          </w:p>
        </w:tc>
      </w:tr>
      <w:tr w:rsidR="00A22B61" w:rsidRPr="00025211" w14:paraId="24B233CE" w14:textId="77777777" w:rsidTr="00A22B61">
        <w:trPr>
          <w:trHeight w:val="320"/>
        </w:trPr>
        <w:tc>
          <w:tcPr>
            <w:tcW w:w="1510" w:type="dxa"/>
            <w:vMerge/>
            <w:vAlign w:val="center"/>
            <w:hideMark/>
          </w:tcPr>
          <w:p w14:paraId="3C7DCB29" w14:textId="77777777" w:rsidR="00A22B61" w:rsidRPr="00025211" w:rsidRDefault="00A22B61" w:rsidP="00A22B61"/>
        </w:tc>
        <w:tc>
          <w:tcPr>
            <w:tcW w:w="1096" w:type="dxa"/>
            <w:noWrap/>
            <w:vAlign w:val="center"/>
            <w:hideMark/>
          </w:tcPr>
          <w:p w14:paraId="40E7B03F" w14:textId="77777777" w:rsidR="00A22B61" w:rsidRPr="00025211" w:rsidRDefault="00A22B61" w:rsidP="00A22B61">
            <w:r>
              <w:t>P</w:t>
            </w:r>
          </w:p>
        </w:tc>
        <w:tc>
          <w:tcPr>
            <w:tcW w:w="576" w:type="dxa"/>
            <w:vMerge/>
            <w:vAlign w:val="center"/>
          </w:tcPr>
          <w:p w14:paraId="13613E40" w14:textId="77777777" w:rsidR="00A22B61" w:rsidRPr="00025211" w:rsidRDefault="00A22B61" w:rsidP="00A22B61">
            <w:pPr>
              <w:jc w:val="center"/>
            </w:pPr>
          </w:p>
        </w:tc>
        <w:tc>
          <w:tcPr>
            <w:tcW w:w="1768" w:type="dxa"/>
            <w:noWrap/>
            <w:vAlign w:val="bottom"/>
          </w:tcPr>
          <w:p w14:paraId="149DDD2B" w14:textId="7248B816" w:rsidR="00A22B61" w:rsidRPr="00A22B61" w:rsidRDefault="00A22B61" w:rsidP="00A22B61">
            <w:pPr>
              <w:jc w:val="right"/>
              <w:rPr>
                <w:b/>
                <w:bCs w:val="0"/>
                <w:highlight w:val="yellow"/>
              </w:rPr>
            </w:pPr>
            <w:r w:rsidRPr="00A22B61">
              <w:rPr>
                <w:color w:val="000000"/>
              </w:rPr>
              <w:t>3.252±4.394</w:t>
            </w:r>
          </w:p>
        </w:tc>
        <w:tc>
          <w:tcPr>
            <w:tcW w:w="991" w:type="dxa"/>
            <w:noWrap/>
            <w:vAlign w:val="bottom"/>
          </w:tcPr>
          <w:p w14:paraId="073A6BC7" w14:textId="0B1C27AA" w:rsidR="00A22B61" w:rsidRPr="00A22B61" w:rsidRDefault="00A22B61" w:rsidP="00A22B61">
            <w:pPr>
              <w:jc w:val="right"/>
              <w:rPr>
                <w:b/>
                <w:bCs w:val="0"/>
                <w:highlight w:val="yellow"/>
              </w:rPr>
            </w:pPr>
            <w:r w:rsidRPr="00A22B61">
              <w:rPr>
                <w:color w:val="000000"/>
              </w:rPr>
              <w:t>0.745</w:t>
            </w:r>
          </w:p>
        </w:tc>
        <w:tc>
          <w:tcPr>
            <w:tcW w:w="990" w:type="dxa"/>
            <w:noWrap/>
            <w:vAlign w:val="bottom"/>
          </w:tcPr>
          <w:p w14:paraId="67456AC3" w14:textId="3C121848" w:rsidR="00A22B61" w:rsidRPr="00A22B61" w:rsidRDefault="00A22B61" w:rsidP="00A22B61">
            <w:pPr>
              <w:jc w:val="right"/>
              <w:rPr>
                <w:b/>
                <w:bCs w:val="0"/>
                <w:highlight w:val="yellow"/>
              </w:rPr>
            </w:pPr>
            <w:r w:rsidRPr="00A22B61">
              <w:rPr>
                <w:color w:val="000000"/>
              </w:rPr>
              <w:t>0.456</w:t>
            </w:r>
          </w:p>
        </w:tc>
        <w:tc>
          <w:tcPr>
            <w:tcW w:w="2069" w:type="dxa"/>
            <w:noWrap/>
            <w:vAlign w:val="bottom"/>
          </w:tcPr>
          <w:p w14:paraId="6D1DA0E4" w14:textId="3E9BFDB4" w:rsidR="00A22B61" w:rsidRPr="00A22B61" w:rsidRDefault="00A22B61" w:rsidP="00A22B61">
            <w:pPr>
              <w:jc w:val="right"/>
              <w:rPr>
                <w:b/>
                <w:bCs w:val="0"/>
                <w:highlight w:val="yellow"/>
              </w:rPr>
            </w:pPr>
            <w:r w:rsidRPr="00A22B61">
              <w:rPr>
                <w:color w:val="000000"/>
              </w:rPr>
              <w:t>[-5.162, 12.412]</w:t>
            </w:r>
          </w:p>
        </w:tc>
      </w:tr>
      <w:tr w:rsidR="00A22B61" w:rsidRPr="00025211" w14:paraId="381A85F1" w14:textId="77777777" w:rsidTr="00A22B61">
        <w:trPr>
          <w:trHeight w:val="320"/>
        </w:trPr>
        <w:tc>
          <w:tcPr>
            <w:tcW w:w="1510" w:type="dxa"/>
            <w:vMerge/>
            <w:tcBorders>
              <w:bottom w:val="single" w:sz="4" w:space="0" w:color="auto"/>
            </w:tcBorders>
            <w:vAlign w:val="center"/>
            <w:hideMark/>
          </w:tcPr>
          <w:p w14:paraId="637A2BBE" w14:textId="77777777" w:rsidR="00A22B61" w:rsidRPr="00025211" w:rsidRDefault="00A22B61" w:rsidP="00A22B61"/>
        </w:tc>
        <w:tc>
          <w:tcPr>
            <w:tcW w:w="1096" w:type="dxa"/>
            <w:tcBorders>
              <w:bottom w:val="single" w:sz="4" w:space="0" w:color="auto"/>
            </w:tcBorders>
            <w:noWrap/>
            <w:vAlign w:val="center"/>
            <w:hideMark/>
          </w:tcPr>
          <w:p w14:paraId="60ED03EB" w14:textId="77777777" w:rsidR="00A22B61" w:rsidRPr="00025211" w:rsidRDefault="00A22B61" w:rsidP="00A22B61">
            <w:r>
              <w:t>N+P</w:t>
            </w:r>
          </w:p>
        </w:tc>
        <w:tc>
          <w:tcPr>
            <w:tcW w:w="576" w:type="dxa"/>
            <w:vMerge/>
            <w:tcBorders>
              <w:bottom w:val="single" w:sz="4" w:space="0" w:color="auto"/>
            </w:tcBorders>
            <w:vAlign w:val="center"/>
          </w:tcPr>
          <w:p w14:paraId="7FBC3DC9" w14:textId="77777777" w:rsidR="00A22B61" w:rsidRPr="00025211" w:rsidRDefault="00A22B61" w:rsidP="00A22B61">
            <w:pPr>
              <w:jc w:val="center"/>
            </w:pPr>
          </w:p>
        </w:tc>
        <w:tc>
          <w:tcPr>
            <w:tcW w:w="1768" w:type="dxa"/>
            <w:tcBorders>
              <w:bottom w:val="single" w:sz="4" w:space="0" w:color="auto"/>
            </w:tcBorders>
            <w:noWrap/>
            <w:vAlign w:val="bottom"/>
          </w:tcPr>
          <w:p w14:paraId="739B4C0A" w14:textId="62A31A69" w:rsidR="00A22B61" w:rsidRPr="00A22B61" w:rsidRDefault="00A22B61" w:rsidP="00A22B61">
            <w:pPr>
              <w:jc w:val="right"/>
              <w:rPr>
                <w:b/>
                <w:bCs w:val="0"/>
                <w:highlight w:val="yellow"/>
              </w:rPr>
            </w:pPr>
            <w:r w:rsidRPr="00A22B61">
              <w:rPr>
                <w:color w:val="000000"/>
              </w:rPr>
              <w:t>10.628±7.681</w:t>
            </w:r>
          </w:p>
        </w:tc>
        <w:tc>
          <w:tcPr>
            <w:tcW w:w="991" w:type="dxa"/>
            <w:tcBorders>
              <w:bottom w:val="single" w:sz="4" w:space="0" w:color="auto"/>
            </w:tcBorders>
            <w:noWrap/>
            <w:vAlign w:val="bottom"/>
          </w:tcPr>
          <w:p w14:paraId="27C11DC9" w14:textId="7835BAB6" w:rsidR="00A22B61" w:rsidRPr="00A22B61" w:rsidRDefault="00A22B61" w:rsidP="00A22B61">
            <w:pPr>
              <w:jc w:val="right"/>
              <w:rPr>
                <w:b/>
                <w:bCs w:val="0"/>
                <w:highlight w:val="yellow"/>
              </w:rPr>
            </w:pPr>
            <w:r w:rsidRPr="00A22B61">
              <w:rPr>
                <w:color w:val="000000"/>
              </w:rPr>
              <w:t>1.358</w:t>
            </w:r>
          </w:p>
        </w:tc>
        <w:tc>
          <w:tcPr>
            <w:tcW w:w="990" w:type="dxa"/>
            <w:tcBorders>
              <w:bottom w:val="single" w:sz="4" w:space="0" w:color="auto"/>
            </w:tcBorders>
            <w:noWrap/>
            <w:vAlign w:val="bottom"/>
          </w:tcPr>
          <w:p w14:paraId="36A06F21" w14:textId="44AE1E66" w:rsidR="00A22B61" w:rsidRPr="00A22B61" w:rsidRDefault="00A22B61" w:rsidP="00A22B61">
            <w:pPr>
              <w:jc w:val="right"/>
              <w:rPr>
                <w:b/>
                <w:bCs w:val="0"/>
                <w:highlight w:val="yellow"/>
              </w:rPr>
            </w:pPr>
            <w:r w:rsidRPr="00A22B61">
              <w:rPr>
                <w:color w:val="000000"/>
              </w:rPr>
              <w:t>0.174</w:t>
            </w:r>
          </w:p>
        </w:tc>
        <w:tc>
          <w:tcPr>
            <w:tcW w:w="2069" w:type="dxa"/>
            <w:tcBorders>
              <w:bottom w:val="single" w:sz="4" w:space="0" w:color="auto"/>
            </w:tcBorders>
            <w:noWrap/>
            <w:vAlign w:val="bottom"/>
          </w:tcPr>
          <w:p w14:paraId="43D406ED" w14:textId="60846159" w:rsidR="00A22B61" w:rsidRPr="00A22B61" w:rsidRDefault="00A22B61" w:rsidP="00A22B61">
            <w:pPr>
              <w:jc w:val="right"/>
              <w:rPr>
                <w:b/>
                <w:bCs w:val="0"/>
                <w:highlight w:val="yellow"/>
              </w:rPr>
            </w:pPr>
            <w:r w:rsidRPr="00A22B61">
              <w:rPr>
                <w:color w:val="000000"/>
              </w:rPr>
              <w:t>[-4.4</w:t>
            </w:r>
            <w:r>
              <w:rPr>
                <w:color w:val="000000"/>
              </w:rPr>
              <w:t>00</w:t>
            </w:r>
            <w:r w:rsidRPr="00A22B61">
              <w:rPr>
                <w:color w:val="000000"/>
              </w:rPr>
              <w:t>, 27.762]</w:t>
            </w:r>
          </w:p>
        </w:tc>
      </w:tr>
      <w:tr w:rsidR="00A22B61" w:rsidRPr="00943CD5" w14:paraId="00A8E1E9" w14:textId="77777777" w:rsidTr="00A22B61">
        <w:trPr>
          <w:trHeight w:val="320"/>
        </w:trPr>
        <w:tc>
          <w:tcPr>
            <w:tcW w:w="1510" w:type="dxa"/>
            <w:vMerge w:val="restart"/>
            <w:tcBorders>
              <w:top w:val="single" w:sz="4" w:space="0" w:color="auto"/>
            </w:tcBorders>
            <w:noWrap/>
            <w:vAlign w:val="center"/>
            <w:hideMark/>
          </w:tcPr>
          <w:p w14:paraId="6C915234" w14:textId="77777777" w:rsidR="00A22B61" w:rsidRPr="00485186" w:rsidRDefault="00A22B61" w:rsidP="00A22B61">
            <w:r>
              <w:rPr>
                <w:i/>
                <w:iCs/>
              </w:rPr>
              <w:t>Root mass fraction</w:t>
            </w:r>
          </w:p>
        </w:tc>
        <w:tc>
          <w:tcPr>
            <w:tcW w:w="1096" w:type="dxa"/>
            <w:tcBorders>
              <w:top w:val="single" w:sz="4" w:space="0" w:color="auto"/>
            </w:tcBorders>
            <w:noWrap/>
            <w:vAlign w:val="center"/>
            <w:hideMark/>
          </w:tcPr>
          <w:p w14:paraId="1E0B8510" w14:textId="77777777" w:rsidR="00A22B61" w:rsidRPr="00025211" w:rsidRDefault="00A22B61" w:rsidP="00A22B61">
            <w:r>
              <w:t>N</w:t>
            </w:r>
          </w:p>
        </w:tc>
        <w:tc>
          <w:tcPr>
            <w:tcW w:w="576" w:type="dxa"/>
            <w:vMerge w:val="restart"/>
            <w:tcBorders>
              <w:top w:val="single" w:sz="4" w:space="0" w:color="auto"/>
            </w:tcBorders>
            <w:noWrap/>
            <w:vAlign w:val="center"/>
          </w:tcPr>
          <w:p w14:paraId="3AFC6724" w14:textId="77777777" w:rsidR="00A22B61" w:rsidRPr="00025211" w:rsidRDefault="00A22B61" w:rsidP="00A22B61">
            <w:pPr>
              <w:jc w:val="center"/>
            </w:pPr>
            <w:r>
              <w:t>37</w:t>
            </w:r>
          </w:p>
        </w:tc>
        <w:tc>
          <w:tcPr>
            <w:tcW w:w="1768" w:type="dxa"/>
            <w:tcBorders>
              <w:top w:val="single" w:sz="4" w:space="0" w:color="auto"/>
            </w:tcBorders>
            <w:noWrap/>
            <w:vAlign w:val="bottom"/>
          </w:tcPr>
          <w:p w14:paraId="000DAFFE" w14:textId="7D6B9E0E" w:rsidR="00A22B61" w:rsidRPr="00A22B61" w:rsidRDefault="00A22B61" w:rsidP="00A22B61">
            <w:pPr>
              <w:jc w:val="right"/>
              <w:rPr>
                <w:b/>
                <w:bCs w:val="0"/>
                <w:highlight w:val="yellow"/>
              </w:rPr>
            </w:pPr>
            <w:r w:rsidRPr="00A22B61">
              <w:rPr>
                <w:b/>
                <w:bCs w:val="0"/>
                <w:color w:val="000000"/>
              </w:rPr>
              <w:t>-14.615±4.812</w:t>
            </w:r>
          </w:p>
        </w:tc>
        <w:tc>
          <w:tcPr>
            <w:tcW w:w="991" w:type="dxa"/>
            <w:tcBorders>
              <w:top w:val="single" w:sz="4" w:space="0" w:color="auto"/>
            </w:tcBorders>
            <w:noWrap/>
            <w:vAlign w:val="bottom"/>
          </w:tcPr>
          <w:p w14:paraId="28254392" w14:textId="7E775425" w:rsidR="00A22B61" w:rsidRPr="00A22B61" w:rsidRDefault="00A22B61" w:rsidP="00A22B61">
            <w:pPr>
              <w:jc w:val="right"/>
              <w:rPr>
                <w:b/>
                <w:bCs w:val="0"/>
                <w:highlight w:val="yellow"/>
              </w:rPr>
            </w:pPr>
            <w:r w:rsidRPr="00A22B61">
              <w:rPr>
                <w:b/>
                <w:bCs w:val="0"/>
                <w:color w:val="000000"/>
              </w:rPr>
              <w:t>3.400</w:t>
            </w:r>
          </w:p>
        </w:tc>
        <w:tc>
          <w:tcPr>
            <w:tcW w:w="990" w:type="dxa"/>
            <w:tcBorders>
              <w:top w:val="single" w:sz="4" w:space="0" w:color="auto"/>
            </w:tcBorders>
            <w:noWrap/>
            <w:vAlign w:val="bottom"/>
          </w:tcPr>
          <w:p w14:paraId="389DF688" w14:textId="3F9B3CBF" w:rsidR="00A22B61" w:rsidRPr="00A22B61" w:rsidRDefault="00A22B61" w:rsidP="00A22B61">
            <w:pPr>
              <w:jc w:val="right"/>
              <w:rPr>
                <w:b/>
                <w:bCs w:val="0"/>
                <w:highlight w:val="yellow"/>
              </w:rPr>
            </w:pPr>
            <w:r w:rsidRPr="00A22B61">
              <w:rPr>
                <w:b/>
                <w:bCs w:val="0"/>
                <w:color w:val="000000"/>
              </w:rPr>
              <w:t>&lt;0.001</w:t>
            </w:r>
          </w:p>
        </w:tc>
        <w:tc>
          <w:tcPr>
            <w:tcW w:w="2069" w:type="dxa"/>
            <w:tcBorders>
              <w:top w:val="single" w:sz="4" w:space="0" w:color="auto"/>
            </w:tcBorders>
            <w:noWrap/>
            <w:vAlign w:val="bottom"/>
          </w:tcPr>
          <w:p w14:paraId="1F079341" w14:textId="3FD1CB30" w:rsidR="00A22B61" w:rsidRPr="00A22B61" w:rsidRDefault="00A22B61" w:rsidP="00A22B61">
            <w:pPr>
              <w:jc w:val="right"/>
              <w:rPr>
                <w:b/>
                <w:bCs w:val="0"/>
                <w:highlight w:val="yellow"/>
              </w:rPr>
            </w:pPr>
            <w:r w:rsidRPr="00A22B61">
              <w:rPr>
                <w:b/>
                <w:bCs w:val="0"/>
                <w:color w:val="000000"/>
              </w:rPr>
              <w:t>[-22.120, -6.480]</w:t>
            </w:r>
          </w:p>
        </w:tc>
      </w:tr>
      <w:tr w:rsidR="00A22B61" w:rsidRPr="00025211" w14:paraId="7434A716" w14:textId="77777777" w:rsidTr="00A22B61">
        <w:trPr>
          <w:trHeight w:val="320"/>
        </w:trPr>
        <w:tc>
          <w:tcPr>
            <w:tcW w:w="1510" w:type="dxa"/>
            <w:vMerge/>
            <w:vAlign w:val="center"/>
            <w:hideMark/>
          </w:tcPr>
          <w:p w14:paraId="69EF4B15" w14:textId="77777777" w:rsidR="00A22B61" w:rsidRPr="00025211" w:rsidRDefault="00A22B61" w:rsidP="00A22B61"/>
        </w:tc>
        <w:tc>
          <w:tcPr>
            <w:tcW w:w="1096" w:type="dxa"/>
            <w:noWrap/>
            <w:vAlign w:val="center"/>
            <w:hideMark/>
          </w:tcPr>
          <w:p w14:paraId="1C20619D" w14:textId="77777777" w:rsidR="00A22B61" w:rsidRPr="00025211" w:rsidRDefault="00A22B61" w:rsidP="00A22B61">
            <w:r>
              <w:t>P</w:t>
            </w:r>
          </w:p>
        </w:tc>
        <w:tc>
          <w:tcPr>
            <w:tcW w:w="576" w:type="dxa"/>
            <w:vMerge/>
          </w:tcPr>
          <w:p w14:paraId="214D8214" w14:textId="77777777" w:rsidR="00A22B61" w:rsidRPr="00025211" w:rsidRDefault="00A22B61" w:rsidP="00A22B61"/>
        </w:tc>
        <w:tc>
          <w:tcPr>
            <w:tcW w:w="1768" w:type="dxa"/>
            <w:noWrap/>
            <w:vAlign w:val="bottom"/>
          </w:tcPr>
          <w:p w14:paraId="3583FC07" w14:textId="71647293" w:rsidR="00A22B61" w:rsidRPr="00A22B61" w:rsidRDefault="00A22B61" w:rsidP="00A22B61">
            <w:pPr>
              <w:jc w:val="right"/>
              <w:rPr>
                <w:b/>
                <w:bCs w:val="0"/>
                <w:i/>
                <w:iCs/>
                <w:highlight w:val="yellow"/>
              </w:rPr>
            </w:pPr>
            <w:r w:rsidRPr="00A22B61">
              <w:rPr>
                <w:i/>
                <w:iCs/>
                <w:color w:val="000000"/>
              </w:rPr>
              <w:t>-6.761±3.873</w:t>
            </w:r>
          </w:p>
        </w:tc>
        <w:tc>
          <w:tcPr>
            <w:tcW w:w="991" w:type="dxa"/>
            <w:noWrap/>
            <w:vAlign w:val="bottom"/>
          </w:tcPr>
          <w:p w14:paraId="23686C51" w14:textId="680EB78E" w:rsidR="00A22B61" w:rsidRPr="00A22B61" w:rsidRDefault="00A22B61" w:rsidP="00A22B61">
            <w:pPr>
              <w:jc w:val="right"/>
              <w:rPr>
                <w:b/>
                <w:bCs w:val="0"/>
                <w:i/>
                <w:iCs/>
                <w:highlight w:val="yellow"/>
              </w:rPr>
            </w:pPr>
            <w:r w:rsidRPr="00A22B61">
              <w:rPr>
                <w:i/>
                <w:iCs/>
                <w:color w:val="000000"/>
              </w:rPr>
              <w:t>-1.828</w:t>
            </w:r>
          </w:p>
        </w:tc>
        <w:tc>
          <w:tcPr>
            <w:tcW w:w="990" w:type="dxa"/>
            <w:noWrap/>
            <w:vAlign w:val="bottom"/>
          </w:tcPr>
          <w:p w14:paraId="781015BF" w14:textId="25B4FDDC" w:rsidR="00A22B61" w:rsidRPr="00A22B61" w:rsidRDefault="00A22B61" w:rsidP="00A22B61">
            <w:pPr>
              <w:jc w:val="right"/>
              <w:rPr>
                <w:b/>
                <w:bCs w:val="0"/>
                <w:i/>
                <w:iCs/>
                <w:highlight w:val="yellow"/>
              </w:rPr>
            </w:pPr>
            <w:r w:rsidRPr="00A22B61">
              <w:rPr>
                <w:i/>
                <w:iCs/>
                <w:color w:val="000000"/>
              </w:rPr>
              <w:t>0.068</w:t>
            </w:r>
          </w:p>
        </w:tc>
        <w:tc>
          <w:tcPr>
            <w:tcW w:w="2069" w:type="dxa"/>
            <w:noWrap/>
            <w:vAlign w:val="bottom"/>
          </w:tcPr>
          <w:p w14:paraId="1C1F34AE" w14:textId="38BD6448" w:rsidR="00A22B61" w:rsidRPr="00A22B61" w:rsidRDefault="00A22B61" w:rsidP="00A22B61">
            <w:pPr>
              <w:jc w:val="right"/>
              <w:rPr>
                <w:b/>
                <w:bCs w:val="0"/>
                <w:i/>
                <w:iCs/>
                <w:highlight w:val="yellow"/>
              </w:rPr>
            </w:pPr>
            <w:r w:rsidRPr="00A22B61">
              <w:rPr>
                <w:i/>
                <w:iCs/>
                <w:color w:val="000000"/>
              </w:rPr>
              <w:t>[-13.498, 0.501]</w:t>
            </w:r>
          </w:p>
        </w:tc>
      </w:tr>
      <w:tr w:rsidR="00A22B61" w:rsidRPr="00025211" w14:paraId="08F386D2" w14:textId="77777777" w:rsidTr="00A22B61">
        <w:trPr>
          <w:trHeight w:val="320"/>
        </w:trPr>
        <w:tc>
          <w:tcPr>
            <w:tcW w:w="1510" w:type="dxa"/>
            <w:vMerge/>
            <w:tcBorders>
              <w:bottom w:val="single" w:sz="4" w:space="0" w:color="auto"/>
            </w:tcBorders>
            <w:vAlign w:val="center"/>
            <w:hideMark/>
          </w:tcPr>
          <w:p w14:paraId="22FAF9D2" w14:textId="77777777" w:rsidR="00A22B61" w:rsidRPr="00025211" w:rsidRDefault="00A22B61" w:rsidP="00A22B61"/>
        </w:tc>
        <w:tc>
          <w:tcPr>
            <w:tcW w:w="1096" w:type="dxa"/>
            <w:tcBorders>
              <w:bottom w:val="single" w:sz="4" w:space="0" w:color="auto"/>
            </w:tcBorders>
            <w:noWrap/>
            <w:vAlign w:val="center"/>
            <w:hideMark/>
          </w:tcPr>
          <w:p w14:paraId="114EA650" w14:textId="77777777" w:rsidR="00A22B61" w:rsidRPr="00025211" w:rsidRDefault="00A22B61" w:rsidP="00A22B61">
            <w:r>
              <w:t>N+P</w:t>
            </w:r>
          </w:p>
        </w:tc>
        <w:tc>
          <w:tcPr>
            <w:tcW w:w="576" w:type="dxa"/>
            <w:vMerge/>
            <w:tcBorders>
              <w:bottom w:val="single" w:sz="4" w:space="0" w:color="auto"/>
            </w:tcBorders>
          </w:tcPr>
          <w:p w14:paraId="114F074F" w14:textId="77777777" w:rsidR="00A22B61" w:rsidRPr="00025211" w:rsidRDefault="00A22B61" w:rsidP="00A22B61"/>
        </w:tc>
        <w:tc>
          <w:tcPr>
            <w:tcW w:w="1768" w:type="dxa"/>
            <w:tcBorders>
              <w:bottom w:val="single" w:sz="4" w:space="0" w:color="auto"/>
            </w:tcBorders>
            <w:noWrap/>
            <w:vAlign w:val="bottom"/>
          </w:tcPr>
          <w:p w14:paraId="1FD816AD" w14:textId="428DD579" w:rsidR="00A22B61" w:rsidRPr="00A22B61" w:rsidRDefault="00A22B61" w:rsidP="00A22B61">
            <w:pPr>
              <w:jc w:val="right"/>
              <w:rPr>
                <w:b/>
                <w:bCs w:val="0"/>
                <w:highlight w:val="yellow"/>
              </w:rPr>
            </w:pPr>
            <w:r w:rsidRPr="00A22B61">
              <w:rPr>
                <w:b/>
                <w:bCs w:val="0"/>
                <w:color w:val="000000"/>
              </w:rPr>
              <w:t>-13.757±4.707</w:t>
            </w:r>
          </w:p>
        </w:tc>
        <w:tc>
          <w:tcPr>
            <w:tcW w:w="991" w:type="dxa"/>
            <w:tcBorders>
              <w:bottom w:val="single" w:sz="4" w:space="0" w:color="auto"/>
            </w:tcBorders>
            <w:noWrap/>
            <w:vAlign w:val="bottom"/>
          </w:tcPr>
          <w:p w14:paraId="3FEAAE6F" w14:textId="6FB0C246" w:rsidR="00A22B61" w:rsidRPr="00A22B61" w:rsidRDefault="00A22B61" w:rsidP="00A22B61">
            <w:pPr>
              <w:jc w:val="right"/>
              <w:rPr>
                <w:b/>
                <w:bCs w:val="0"/>
                <w:highlight w:val="yellow"/>
              </w:rPr>
            </w:pPr>
            <w:r w:rsidRPr="00A22B61">
              <w:rPr>
                <w:b/>
                <w:bCs w:val="0"/>
                <w:color w:val="000000"/>
              </w:rPr>
              <w:t>-3.252</w:t>
            </w:r>
          </w:p>
        </w:tc>
        <w:tc>
          <w:tcPr>
            <w:tcW w:w="990" w:type="dxa"/>
            <w:tcBorders>
              <w:bottom w:val="single" w:sz="4" w:space="0" w:color="auto"/>
            </w:tcBorders>
            <w:noWrap/>
            <w:vAlign w:val="bottom"/>
          </w:tcPr>
          <w:p w14:paraId="2932AC05" w14:textId="5A809E96" w:rsidR="00A22B61" w:rsidRPr="00A22B61" w:rsidRDefault="00A22B61" w:rsidP="00A22B61">
            <w:pPr>
              <w:jc w:val="right"/>
              <w:rPr>
                <w:b/>
                <w:bCs w:val="0"/>
                <w:highlight w:val="yellow"/>
              </w:rPr>
            </w:pPr>
            <w:r w:rsidRPr="00A22B61">
              <w:rPr>
                <w:b/>
                <w:bCs w:val="0"/>
                <w:color w:val="000000"/>
              </w:rPr>
              <w:t>0.001</w:t>
            </w:r>
          </w:p>
        </w:tc>
        <w:tc>
          <w:tcPr>
            <w:tcW w:w="2069" w:type="dxa"/>
            <w:tcBorders>
              <w:bottom w:val="single" w:sz="4" w:space="0" w:color="auto"/>
            </w:tcBorders>
            <w:noWrap/>
            <w:vAlign w:val="bottom"/>
          </w:tcPr>
          <w:p w14:paraId="17FE118A" w14:textId="6EBF779C" w:rsidR="00A22B61" w:rsidRPr="00A22B61" w:rsidRDefault="00A22B61" w:rsidP="00A22B61">
            <w:pPr>
              <w:jc w:val="right"/>
              <w:rPr>
                <w:b/>
                <w:bCs w:val="0"/>
                <w:highlight w:val="yellow"/>
              </w:rPr>
            </w:pPr>
            <w:r w:rsidRPr="00A22B61">
              <w:rPr>
                <w:b/>
                <w:bCs w:val="0"/>
                <w:color w:val="000000"/>
              </w:rPr>
              <w:t>[-21.101, -5.729]</w:t>
            </w:r>
          </w:p>
        </w:tc>
      </w:tr>
      <w:tr w:rsidR="00A22B61" w:rsidRPr="00025211" w14:paraId="0670DAE9" w14:textId="77777777" w:rsidTr="00A22B61">
        <w:trPr>
          <w:trHeight w:val="320"/>
        </w:trPr>
        <w:tc>
          <w:tcPr>
            <w:tcW w:w="1510" w:type="dxa"/>
            <w:vMerge w:val="restart"/>
            <w:tcBorders>
              <w:top w:val="single" w:sz="4" w:space="0" w:color="auto"/>
            </w:tcBorders>
            <w:vAlign w:val="center"/>
          </w:tcPr>
          <w:p w14:paraId="0187D5CC" w14:textId="77777777" w:rsidR="00A22B61" w:rsidRPr="00943CD5" w:rsidRDefault="00A22B61" w:rsidP="00A22B61">
            <w:pPr>
              <w:rPr>
                <w:i/>
                <w:iCs/>
              </w:rPr>
            </w:pPr>
            <w:proofErr w:type="spellStart"/>
            <w:r>
              <w:rPr>
                <w:i/>
                <w:iCs/>
              </w:rPr>
              <w:t>Root:shoot</w:t>
            </w:r>
            <w:proofErr w:type="spellEnd"/>
            <w:r>
              <w:rPr>
                <w:i/>
                <w:iCs/>
              </w:rPr>
              <w:t xml:space="preserve"> ratio</w:t>
            </w:r>
          </w:p>
        </w:tc>
        <w:tc>
          <w:tcPr>
            <w:tcW w:w="1096" w:type="dxa"/>
            <w:tcBorders>
              <w:top w:val="single" w:sz="4" w:space="0" w:color="auto"/>
            </w:tcBorders>
            <w:noWrap/>
            <w:vAlign w:val="center"/>
          </w:tcPr>
          <w:p w14:paraId="5321ACBA" w14:textId="77777777" w:rsidR="00A22B61" w:rsidRDefault="00A22B61" w:rsidP="00A22B61">
            <w:r>
              <w:t>N</w:t>
            </w:r>
          </w:p>
        </w:tc>
        <w:tc>
          <w:tcPr>
            <w:tcW w:w="576" w:type="dxa"/>
            <w:vMerge w:val="restart"/>
            <w:tcBorders>
              <w:top w:val="single" w:sz="4" w:space="0" w:color="auto"/>
            </w:tcBorders>
            <w:vAlign w:val="center"/>
          </w:tcPr>
          <w:p w14:paraId="4DEC4F8F" w14:textId="77777777" w:rsidR="00A22B61" w:rsidRPr="00025211" w:rsidRDefault="00A22B61" w:rsidP="00A22B61">
            <w:pPr>
              <w:jc w:val="center"/>
            </w:pPr>
            <w:r>
              <w:t>40</w:t>
            </w:r>
          </w:p>
        </w:tc>
        <w:tc>
          <w:tcPr>
            <w:tcW w:w="1768" w:type="dxa"/>
            <w:tcBorders>
              <w:top w:val="single" w:sz="4" w:space="0" w:color="auto"/>
            </w:tcBorders>
            <w:noWrap/>
            <w:vAlign w:val="bottom"/>
          </w:tcPr>
          <w:p w14:paraId="7DB50D24" w14:textId="1F6A2E1E" w:rsidR="00A22B61" w:rsidRPr="00A22B61" w:rsidRDefault="00A22B61" w:rsidP="00A22B61">
            <w:pPr>
              <w:jc w:val="right"/>
              <w:rPr>
                <w:b/>
                <w:bCs w:val="0"/>
                <w:highlight w:val="yellow"/>
              </w:rPr>
            </w:pPr>
            <w:r w:rsidRPr="00A22B61">
              <w:rPr>
                <w:b/>
                <w:bCs w:val="0"/>
                <w:color w:val="000000"/>
              </w:rPr>
              <w:t>-28.894±9.417</w:t>
            </w:r>
          </w:p>
        </w:tc>
        <w:tc>
          <w:tcPr>
            <w:tcW w:w="991" w:type="dxa"/>
            <w:tcBorders>
              <w:top w:val="single" w:sz="4" w:space="0" w:color="auto"/>
            </w:tcBorders>
            <w:noWrap/>
            <w:vAlign w:val="bottom"/>
          </w:tcPr>
          <w:p w14:paraId="25C6295F" w14:textId="5EA47656" w:rsidR="00A22B61" w:rsidRPr="00A22B61" w:rsidRDefault="00A22B61" w:rsidP="00A22B61">
            <w:pPr>
              <w:jc w:val="right"/>
              <w:rPr>
                <w:b/>
                <w:bCs w:val="0"/>
                <w:highlight w:val="yellow"/>
              </w:rPr>
            </w:pPr>
            <w:r w:rsidRPr="00A22B61">
              <w:rPr>
                <w:b/>
                <w:bCs w:val="0"/>
                <w:color w:val="000000"/>
              </w:rPr>
              <w:t>-3.802</w:t>
            </w:r>
          </w:p>
        </w:tc>
        <w:tc>
          <w:tcPr>
            <w:tcW w:w="990" w:type="dxa"/>
            <w:tcBorders>
              <w:top w:val="single" w:sz="4" w:space="0" w:color="auto"/>
            </w:tcBorders>
            <w:noWrap/>
            <w:vAlign w:val="bottom"/>
          </w:tcPr>
          <w:p w14:paraId="3E2DEEC3" w14:textId="0E7ECF36" w:rsidR="00A22B61" w:rsidRPr="00A22B61" w:rsidRDefault="00A22B61" w:rsidP="00A22B61">
            <w:pPr>
              <w:jc w:val="right"/>
              <w:rPr>
                <w:b/>
                <w:bCs w:val="0"/>
                <w:highlight w:val="yellow"/>
              </w:rPr>
            </w:pPr>
            <w:r w:rsidRPr="00A22B61">
              <w:rPr>
                <w:b/>
                <w:bCs w:val="0"/>
                <w:color w:val="000000"/>
              </w:rPr>
              <w:t>&lt;0.001</w:t>
            </w:r>
          </w:p>
        </w:tc>
        <w:tc>
          <w:tcPr>
            <w:tcW w:w="2069" w:type="dxa"/>
            <w:tcBorders>
              <w:top w:val="single" w:sz="4" w:space="0" w:color="auto"/>
            </w:tcBorders>
            <w:noWrap/>
            <w:vAlign w:val="bottom"/>
          </w:tcPr>
          <w:p w14:paraId="032D9319" w14:textId="210A5861" w:rsidR="00A22B61" w:rsidRPr="00A22B61" w:rsidRDefault="00A22B61" w:rsidP="00A22B61">
            <w:pPr>
              <w:jc w:val="right"/>
              <w:rPr>
                <w:b/>
                <w:bCs w:val="0"/>
                <w:highlight w:val="yellow"/>
              </w:rPr>
            </w:pPr>
            <w:r w:rsidRPr="00A22B61">
              <w:rPr>
                <w:b/>
                <w:bCs w:val="0"/>
                <w:color w:val="000000"/>
              </w:rPr>
              <w:t>[-40.31</w:t>
            </w:r>
            <w:r>
              <w:rPr>
                <w:b/>
                <w:bCs w:val="0"/>
                <w:color w:val="000000"/>
              </w:rPr>
              <w:t>0</w:t>
            </w:r>
            <w:r w:rsidRPr="00A22B61">
              <w:rPr>
                <w:b/>
                <w:bCs w:val="0"/>
                <w:color w:val="000000"/>
              </w:rPr>
              <w:t>, -15.211]</w:t>
            </w:r>
          </w:p>
        </w:tc>
      </w:tr>
      <w:tr w:rsidR="00A22B61" w:rsidRPr="00025211" w14:paraId="51715E95" w14:textId="77777777" w:rsidTr="00A22B61">
        <w:trPr>
          <w:trHeight w:val="320"/>
        </w:trPr>
        <w:tc>
          <w:tcPr>
            <w:tcW w:w="1510" w:type="dxa"/>
            <w:vMerge/>
            <w:vAlign w:val="center"/>
          </w:tcPr>
          <w:p w14:paraId="328AD24C" w14:textId="77777777" w:rsidR="00A22B61" w:rsidRPr="00025211" w:rsidRDefault="00A22B61" w:rsidP="00A22B61"/>
        </w:tc>
        <w:tc>
          <w:tcPr>
            <w:tcW w:w="1096" w:type="dxa"/>
            <w:noWrap/>
            <w:vAlign w:val="center"/>
          </w:tcPr>
          <w:p w14:paraId="12B27A2F" w14:textId="77777777" w:rsidR="00A22B61" w:rsidRDefault="00A22B61" w:rsidP="00A22B61">
            <w:r>
              <w:t>P</w:t>
            </w:r>
          </w:p>
        </w:tc>
        <w:tc>
          <w:tcPr>
            <w:tcW w:w="576" w:type="dxa"/>
            <w:vMerge/>
          </w:tcPr>
          <w:p w14:paraId="64062155" w14:textId="77777777" w:rsidR="00A22B61" w:rsidRPr="00025211" w:rsidRDefault="00A22B61" w:rsidP="00A22B61"/>
        </w:tc>
        <w:tc>
          <w:tcPr>
            <w:tcW w:w="1768" w:type="dxa"/>
            <w:noWrap/>
            <w:vAlign w:val="bottom"/>
          </w:tcPr>
          <w:p w14:paraId="5A39A5ED" w14:textId="7A712163" w:rsidR="00A22B61" w:rsidRPr="00A22B61" w:rsidRDefault="00A22B61" w:rsidP="00A22B61">
            <w:pPr>
              <w:jc w:val="right"/>
              <w:rPr>
                <w:b/>
                <w:bCs w:val="0"/>
                <w:highlight w:val="yellow"/>
              </w:rPr>
            </w:pPr>
            <w:r w:rsidRPr="00A22B61">
              <w:rPr>
                <w:b/>
                <w:bCs w:val="0"/>
                <w:color w:val="000000"/>
              </w:rPr>
              <w:t>-20.308±10.738</w:t>
            </w:r>
          </w:p>
        </w:tc>
        <w:tc>
          <w:tcPr>
            <w:tcW w:w="991" w:type="dxa"/>
            <w:noWrap/>
            <w:vAlign w:val="bottom"/>
          </w:tcPr>
          <w:p w14:paraId="709F4C16" w14:textId="5A6C49AA" w:rsidR="00A22B61" w:rsidRPr="00A22B61" w:rsidRDefault="00A22B61" w:rsidP="00A22B61">
            <w:pPr>
              <w:jc w:val="right"/>
              <w:rPr>
                <w:b/>
                <w:bCs w:val="0"/>
                <w:highlight w:val="yellow"/>
              </w:rPr>
            </w:pPr>
            <w:r w:rsidRPr="00A22B61">
              <w:rPr>
                <w:b/>
                <w:bCs w:val="0"/>
                <w:color w:val="000000"/>
              </w:rPr>
              <w:t>-2.226</w:t>
            </w:r>
          </w:p>
        </w:tc>
        <w:tc>
          <w:tcPr>
            <w:tcW w:w="990" w:type="dxa"/>
            <w:noWrap/>
            <w:vAlign w:val="bottom"/>
          </w:tcPr>
          <w:p w14:paraId="2A36E3C6" w14:textId="11408C44" w:rsidR="00A22B61" w:rsidRPr="00A22B61" w:rsidRDefault="00A22B61" w:rsidP="00A22B61">
            <w:pPr>
              <w:jc w:val="right"/>
              <w:rPr>
                <w:b/>
                <w:bCs w:val="0"/>
                <w:highlight w:val="yellow"/>
              </w:rPr>
            </w:pPr>
            <w:r w:rsidRPr="00A22B61">
              <w:rPr>
                <w:b/>
                <w:bCs w:val="0"/>
                <w:color w:val="000000"/>
              </w:rPr>
              <w:t>0.026</w:t>
            </w:r>
          </w:p>
        </w:tc>
        <w:tc>
          <w:tcPr>
            <w:tcW w:w="2069" w:type="dxa"/>
            <w:noWrap/>
            <w:vAlign w:val="bottom"/>
          </w:tcPr>
          <w:p w14:paraId="16CCFF78" w14:textId="7E07C7C4" w:rsidR="00A22B61" w:rsidRPr="00A22B61" w:rsidRDefault="00A22B61" w:rsidP="00A22B61">
            <w:pPr>
              <w:jc w:val="right"/>
              <w:rPr>
                <w:b/>
                <w:bCs w:val="0"/>
                <w:highlight w:val="yellow"/>
              </w:rPr>
            </w:pPr>
            <w:r w:rsidRPr="00A22B61">
              <w:rPr>
                <w:b/>
                <w:bCs w:val="0"/>
                <w:color w:val="000000"/>
              </w:rPr>
              <w:t>[-34.688, -2.664]</w:t>
            </w:r>
          </w:p>
        </w:tc>
      </w:tr>
      <w:tr w:rsidR="00A22B61" w:rsidRPr="00025211" w14:paraId="650B5159" w14:textId="77777777" w:rsidTr="00A22B61">
        <w:trPr>
          <w:trHeight w:val="320"/>
        </w:trPr>
        <w:tc>
          <w:tcPr>
            <w:tcW w:w="1510" w:type="dxa"/>
            <w:vMerge/>
            <w:tcBorders>
              <w:bottom w:val="single" w:sz="4" w:space="0" w:color="auto"/>
            </w:tcBorders>
            <w:vAlign w:val="center"/>
          </w:tcPr>
          <w:p w14:paraId="0546589E" w14:textId="77777777" w:rsidR="00A22B61" w:rsidRPr="00025211" w:rsidRDefault="00A22B61" w:rsidP="00A22B61"/>
        </w:tc>
        <w:tc>
          <w:tcPr>
            <w:tcW w:w="1096" w:type="dxa"/>
            <w:tcBorders>
              <w:bottom w:val="single" w:sz="4" w:space="0" w:color="auto"/>
            </w:tcBorders>
            <w:noWrap/>
            <w:vAlign w:val="center"/>
          </w:tcPr>
          <w:p w14:paraId="76C25ABF" w14:textId="77777777" w:rsidR="00A22B61" w:rsidRDefault="00A22B61" w:rsidP="00A22B61">
            <w:r>
              <w:t>N+P</w:t>
            </w:r>
          </w:p>
        </w:tc>
        <w:tc>
          <w:tcPr>
            <w:tcW w:w="576" w:type="dxa"/>
            <w:vMerge/>
            <w:tcBorders>
              <w:bottom w:val="single" w:sz="4" w:space="0" w:color="auto"/>
            </w:tcBorders>
          </w:tcPr>
          <w:p w14:paraId="192037D1" w14:textId="77777777" w:rsidR="00A22B61" w:rsidRPr="00025211" w:rsidRDefault="00A22B61" w:rsidP="00A22B61"/>
        </w:tc>
        <w:tc>
          <w:tcPr>
            <w:tcW w:w="1768" w:type="dxa"/>
            <w:tcBorders>
              <w:bottom w:val="single" w:sz="4" w:space="0" w:color="auto"/>
            </w:tcBorders>
            <w:noWrap/>
            <w:vAlign w:val="bottom"/>
          </w:tcPr>
          <w:p w14:paraId="040A0C18" w14:textId="7E749FD2" w:rsidR="00A22B61" w:rsidRPr="00A22B61" w:rsidRDefault="00A22B61" w:rsidP="00A22B61">
            <w:pPr>
              <w:jc w:val="right"/>
              <w:rPr>
                <w:b/>
                <w:bCs w:val="0"/>
                <w:highlight w:val="yellow"/>
              </w:rPr>
            </w:pPr>
            <w:r w:rsidRPr="00A22B61">
              <w:rPr>
                <w:b/>
                <w:bCs w:val="0"/>
                <w:color w:val="000000"/>
              </w:rPr>
              <w:t>-33.035±12.075</w:t>
            </w:r>
          </w:p>
        </w:tc>
        <w:tc>
          <w:tcPr>
            <w:tcW w:w="991" w:type="dxa"/>
            <w:tcBorders>
              <w:bottom w:val="single" w:sz="4" w:space="0" w:color="auto"/>
            </w:tcBorders>
            <w:noWrap/>
            <w:vAlign w:val="bottom"/>
          </w:tcPr>
          <w:p w14:paraId="107EACEB" w14:textId="1713EDA5" w:rsidR="00A22B61" w:rsidRPr="00A22B61" w:rsidRDefault="00A22B61" w:rsidP="00A22B61">
            <w:pPr>
              <w:jc w:val="right"/>
              <w:rPr>
                <w:b/>
                <w:bCs w:val="0"/>
                <w:highlight w:val="yellow"/>
              </w:rPr>
            </w:pPr>
            <w:r w:rsidRPr="00A22B61">
              <w:rPr>
                <w:b/>
                <w:bCs w:val="0"/>
                <w:color w:val="000000"/>
              </w:rPr>
              <w:t>-3.517</w:t>
            </w:r>
          </w:p>
        </w:tc>
        <w:tc>
          <w:tcPr>
            <w:tcW w:w="990" w:type="dxa"/>
            <w:tcBorders>
              <w:bottom w:val="single" w:sz="4" w:space="0" w:color="auto"/>
            </w:tcBorders>
            <w:noWrap/>
            <w:vAlign w:val="bottom"/>
          </w:tcPr>
          <w:p w14:paraId="66BC6FB0" w14:textId="2FDA4D84" w:rsidR="00A22B61" w:rsidRPr="00A22B61" w:rsidRDefault="00A22B61" w:rsidP="00A22B61">
            <w:pPr>
              <w:jc w:val="right"/>
              <w:rPr>
                <w:b/>
                <w:bCs w:val="0"/>
                <w:highlight w:val="yellow"/>
              </w:rPr>
            </w:pPr>
            <w:r w:rsidRPr="00A22B61">
              <w:rPr>
                <w:b/>
                <w:bCs w:val="0"/>
                <w:color w:val="000000"/>
              </w:rPr>
              <w:t>&lt;0.001</w:t>
            </w:r>
          </w:p>
        </w:tc>
        <w:tc>
          <w:tcPr>
            <w:tcW w:w="2069" w:type="dxa"/>
            <w:tcBorders>
              <w:bottom w:val="single" w:sz="4" w:space="0" w:color="auto"/>
            </w:tcBorders>
            <w:noWrap/>
            <w:vAlign w:val="bottom"/>
          </w:tcPr>
          <w:p w14:paraId="6615953E" w14:textId="6BDB2965" w:rsidR="00A22B61" w:rsidRPr="00A22B61" w:rsidRDefault="00A22B61" w:rsidP="00A22B61">
            <w:pPr>
              <w:jc w:val="right"/>
              <w:rPr>
                <w:b/>
                <w:bCs w:val="0"/>
                <w:highlight w:val="yellow"/>
              </w:rPr>
            </w:pPr>
            <w:r w:rsidRPr="00A22B61">
              <w:rPr>
                <w:b/>
                <w:bCs w:val="0"/>
                <w:color w:val="000000"/>
              </w:rPr>
              <w:t>[-46.474, -16.306]</w:t>
            </w:r>
          </w:p>
        </w:tc>
      </w:tr>
    </w:tbl>
    <w:p w14:paraId="5F7C5DF0" w14:textId="412CAAF6" w:rsidR="00A22B61" w:rsidRDefault="00A22B61">
      <w:r>
        <w:rPr>
          <w:vertAlign w:val="superscript"/>
        </w:rPr>
        <w:t>*</w:t>
      </w:r>
      <w:r>
        <w:t>Significant effects noted in bold font, marginal effects noted in italic font.</w:t>
      </w:r>
      <w:r w:rsidRPr="00805216">
        <w:t xml:space="preserve"> </w:t>
      </w:r>
      <w:r>
        <w:t>Model coefficients have been transformed to percent change to mimic figures.</w:t>
      </w:r>
    </w:p>
    <w:p w14:paraId="7B48DA65" w14:textId="7C9E49A6" w:rsidR="002B0173" w:rsidRDefault="002B0173">
      <w:r>
        <w:br w:type="page"/>
      </w:r>
    </w:p>
    <w:p w14:paraId="16F6D4EE" w14:textId="0EE9CC25" w:rsidR="0002261D" w:rsidRPr="0002261D" w:rsidRDefault="0002261D" w:rsidP="002B0173">
      <w:pPr>
        <w:rPr>
          <w:bCs/>
        </w:rPr>
      </w:pPr>
      <w:r>
        <w:rPr>
          <w:b/>
        </w:rPr>
        <w:lastRenderedPageBreak/>
        <w:t>Table S5</w:t>
      </w:r>
      <w:r>
        <w:rPr>
          <w:bCs/>
        </w:rPr>
        <w:t xml:space="preserve"> Meta-analytic results summarizing the </w:t>
      </w:r>
      <w:r w:rsidR="00452304">
        <w:rPr>
          <w:bCs/>
        </w:rPr>
        <w:t>interaction</w:t>
      </w:r>
      <w:r>
        <w:rPr>
          <w:bCs/>
        </w:rPr>
        <w:t xml:space="preserve"> effect on leaf nutrient, leaf photosynthetic, and whole-plant traits</w:t>
      </w:r>
    </w:p>
    <w:tbl>
      <w:tblPr>
        <w:tblStyle w:val="TableGrid"/>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25"/>
        <w:gridCol w:w="635"/>
        <w:gridCol w:w="2070"/>
        <w:gridCol w:w="1170"/>
        <w:gridCol w:w="1080"/>
        <w:gridCol w:w="2070"/>
      </w:tblGrid>
      <w:tr w:rsidR="009520B2" w:rsidRPr="004D5FBC" w14:paraId="71631F67" w14:textId="77777777" w:rsidTr="0032041E">
        <w:tc>
          <w:tcPr>
            <w:tcW w:w="2425" w:type="dxa"/>
            <w:tcBorders>
              <w:top w:val="single" w:sz="4" w:space="0" w:color="auto"/>
              <w:bottom w:val="single" w:sz="4" w:space="0" w:color="auto"/>
            </w:tcBorders>
            <w:vAlign w:val="center"/>
          </w:tcPr>
          <w:p w14:paraId="3C59E439" w14:textId="42EBFBE6" w:rsidR="0002261D" w:rsidRPr="004D5FBC" w:rsidRDefault="0002261D" w:rsidP="0002261D">
            <w:pPr>
              <w:rPr>
                <w:b/>
              </w:rPr>
            </w:pPr>
            <w:r w:rsidRPr="004D5FBC">
              <w:rPr>
                <w:b/>
              </w:rPr>
              <w:t>Trait</w:t>
            </w:r>
          </w:p>
        </w:tc>
        <w:tc>
          <w:tcPr>
            <w:tcW w:w="635" w:type="dxa"/>
            <w:tcBorders>
              <w:top w:val="single" w:sz="4" w:space="0" w:color="auto"/>
              <w:bottom w:val="single" w:sz="4" w:space="0" w:color="auto"/>
            </w:tcBorders>
            <w:vAlign w:val="center"/>
          </w:tcPr>
          <w:p w14:paraId="5F954309" w14:textId="722B760D" w:rsidR="0002261D" w:rsidRPr="004D5FBC" w:rsidRDefault="0002261D" w:rsidP="0002261D">
            <w:pPr>
              <w:rPr>
                <w:b/>
              </w:rPr>
            </w:pPr>
            <w:r w:rsidRPr="004D5FBC">
              <w:rPr>
                <w:b/>
              </w:rPr>
              <w:t>k</w:t>
            </w:r>
          </w:p>
        </w:tc>
        <w:tc>
          <w:tcPr>
            <w:tcW w:w="2070" w:type="dxa"/>
            <w:tcBorders>
              <w:top w:val="single" w:sz="4" w:space="0" w:color="auto"/>
              <w:bottom w:val="single" w:sz="4" w:space="0" w:color="auto"/>
            </w:tcBorders>
            <w:vAlign w:val="center"/>
          </w:tcPr>
          <w:p w14:paraId="7C39926C" w14:textId="53777462" w:rsidR="0002261D" w:rsidRPr="004D5FBC" w:rsidRDefault="0002261D" w:rsidP="0002261D">
            <w:pPr>
              <w:rPr>
                <w:b/>
              </w:rPr>
            </w:pPr>
            <w:r w:rsidRPr="004D5FBC">
              <w:rPr>
                <w:b/>
                <w:bCs w:val="0"/>
              </w:rPr>
              <w:t>Coefficient (±SE)</w:t>
            </w:r>
          </w:p>
        </w:tc>
        <w:tc>
          <w:tcPr>
            <w:tcW w:w="1170" w:type="dxa"/>
            <w:tcBorders>
              <w:top w:val="single" w:sz="4" w:space="0" w:color="auto"/>
              <w:bottom w:val="single" w:sz="4" w:space="0" w:color="auto"/>
            </w:tcBorders>
            <w:vAlign w:val="center"/>
          </w:tcPr>
          <w:p w14:paraId="47B3377D" w14:textId="28B8B323" w:rsidR="0002261D" w:rsidRPr="004D5FBC" w:rsidRDefault="0002261D" w:rsidP="0002261D">
            <w:pPr>
              <w:rPr>
                <w:b/>
              </w:rPr>
            </w:pPr>
            <w:r w:rsidRPr="004D5FBC">
              <w:rPr>
                <w:b/>
                <w:bCs w:val="0"/>
              </w:rPr>
              <w:t>Z-value</w:t>
            </w:r>
          </w:p>
        </w:tc>
        <w:tc>
          <w:tcPr>
            <w:tcW w:w="1080" w:type="dxa"/>
            <w:tcBorders>
              <w:top w:val="single" w:sz="4" w:space="0" w:color="auto"/>
              <w:bottom w:val="single" w:sz="4" w:space="0" w:color="auto"/>
            </w:tcBorders>
            <w:vAlign w:val="center"/>
          </w:tcPr>
          <w:p w14:paraId="416492CC" w14:textId="50BD0FE5" w:rsidR="0002261D" w:rsidRPr="004D5FBC" w:rsidRDefault="0002261D" w:rsidP="0002261D">
            <w:pPr>
              <w:rPr>
                <w:b/>
              </w:rPr>
            </w:pPr>
            <w:r w:rsidRPr="004D5FBC">
              <w:rPr>
                <w:b/>
                <w:bCs w:val="0"/>
                <w:i/>
                <w:iCs/>
              </w:rPr>
              <w:t>p</w:t>
            </w:r>
            <w:r w:rsidRPr="004D5FBC">
              <w:rPr>
                <w:b/>
                <w:bCs w:val="0"/>
              </w:rPr>
              <w:t>-value</w:t>
            </w:r>
          </w:p>
        </w:tc>
        <w:tc>
          <w:tcPr>
            <w:tcW w:w="2070" w:type="dxa"/>
            <w:tcBorders>
              <w:top w:val="single" w:sz="4" w:space="0" w:color="auto"/>
              <w:bottom w:val="single" w:sz="4" w:space="0" w:color="auto"/>
            </w:tcBorders>
            <w:vAlign w:val="center"/>
          </w:tcPr>
          <w:p w14:paraId="4A607486" w14:textId="0017974B" w:rsidR="0002261D" w:rsidRPr="004D5FBC" w:rsidRDefault="0002261D" w:rsidP="0002261D">
            <w:pPr>
              <w:rPr>
                <w:b/>
              </w:rPr>
            </w:pPr>
            <w:r w:rsidRPr="004D5FBC">
              <w:rPr>
                <w:b/>
                <w:bCs w:val="0"/>
              </w:rPr>
              <w:t>95% CI range</w:t>
            </w:r>
          </w:p>
        </w:tc>
      </w:tr>
      <w:tr w:rsidR="0032041E" w:rsidRPr="004D5FBC" w14:paraId="2F722179" w14:textId="77777777" w:rsidTr="0032041E">
        <w:tc>
          <w:tcPr>
            <w:tcW w:w="2425" w:type="dxa"/>
            <w:tcBorders>
              <w:top w:val="single" w:sz="4" w:space="0" w:color="auto"/>
            </w:tcBorders>
            <w:vAlign w:val="center"/>
          </w:tcPr>
          <w:p w14:paraId="02B8B3C0" w14:textId="29F21026" w:rsidR="0032041E" w:rsidRPr="004D5FBC" w:rsidRDefault="0032041E" w:rsidP="0032041E">
            <w:pPr>
              <w:rPr>
                <w:b/>
              </w:rPr>
            </w:pPr>
            <w:r w:rsidRPr="004D5FBC">
              <w:rPr>
                <w:i/>
                <w:iCs/>
              </w:rPr>
              <w:t>M</w:t>
            </w:r>
            <w:r w:rsidRPr="004D5FBC">
              <w:rPr>
                <w:vertAlign w:val="subscript"/>
              </w:rPr>
              <w:t>area</w:t>
            </w:r>
          </w:p>
        </w:tc>
        <w:tc>
          <w:tcPr>
            <w:tcW w:w="635" w:type="dxa"/>
            <w:tcBorders>
              <w:top w:val="single" w:sz="4" w:space="0" w:color="auto"/>
            </w:tcBorders>
            <w:vAlign w:val="center"/>
          </w:tcPr>
          <w:p w14:paraId="02D46D7F" w14:textId="41E6F803" w:rsidR="0032041E" w:rsidRPr="0032041E" w:rsidRDefault="0032041E" w:rsidP="0032041E">
            <w:pPr>
              <w:jc w:val="right"/>
              <w:rPr>
                <w:b/>
              </w:rPr>
            </w:pPr>
            <w:r w:rsidRPr="0032041E">
              <w:rPr>
                <w:color w:val="000000"/>
              </w:rPr>
              <w:t>88</w:t>
            </w:r>
          </w:p>
        </w:tc>
        <w:tc>
          <w:tcPr>
            <w:tcW w:w="2070" w:type="dxa"/>
            <w:tcBorders>
              <w:top w:val="single" w:sz="4" w:space="0" w:color="auto"/>
            </w:tcBorders>
            <w:vAlign w:val="bottom"/>
          </w:tcPr>
          <w:p w14:paraId="2A796314" w14:textId="0F253F61" w:rsidR="0032041E" w:rsidRPr="0032041E" w:rsidRDefault="0032041E" w:rsidP="0032041E">
            <w:pPr>
              <w:jc w:val="right"/>
              <w:rPr>
                <w:b/>
              </w:rPr>
            </w:pPr>
            <w:r w:rsidRPr="0032041E">
              <w:rPr>
                <w:color w:val="000000"/>
              </w:rPr>
              <w:t>-3.729±8.654</w:t>
            </w:r>
          </w:p>
        </w:tc>
        <w:tc>
          <w:tcPr>
            <w:tcW w:w="1170" w:type="dxa"/>
            <w:tcBorders>
              <w:top w:val="single" w:sz="4" w:space="0" w:color="auto"/>
            </w:tcBorders>
            <w:vAlign w:val="bottom"/>
          </w:tcPr>
          <w:p w14:paraId="0DDABAC0" w14:textId="61E7B5F9" w:rsidR="0032041E" w:rsidRPr="0032041E" w:rsidRDefault="0032041E" w:rsidP="0032041E">
            <w:pPr>
              <w:jc w:val="right"/>
              <w:rPr>
                <w:b/>
              </w:rPr>
            </w:pPr>
            <w:r w:rsidRPr="0032041E">
              <w:rPr>
                <w:color w:val="000000"/>
              </w:rPr>
              <w:t>-0.459</w:t>
            </w:r>
          </w:p>
        </w:tc>
        <w:tc>
          <w:tcPr>
            <w:tcW w:w="1080" w:type="dxa"/>
            <w:tcBorders>
              <w:top w:val="single" w:sz="4" w:space="0" w:color="auto"/>
            </w:tcBorders>
            <w:vAlign w:val="bottom"/>
          </w:tcPr>
          <w:p w14:paraId="1B3B0456" w14:textId="6ABC6187" w:rsidR="0032041E" w:rsidRPr="0032041E" w:rsidRDefault="0032041E" w:rsidP="0032041E">
            <w:pPr>
              <w:jc w:val="right"/>
              <w:rPr>
                <w:b/>
              </w:rPr>
            </w:pPr>
            <w:r w:rsidRPr="0032041E">
              <w:rPr>
                <w:color w:val="000000"/>
              </w:rPr>
              <w:t>0.646</w:t>
            </w:r>
          </w:p>
        </w:tc>
        <w:tc>
          <w:tcPr>
            <w:tcW w:w="2070" w:type="dxa"/>
            <w:tcBorders>
              <w:top w:val="single" w:sz="4" w:space="0" w:color="auto"/>
            </w:tcBorders>
            <w:vAlign w:val="bottom"/>
          </w:tcPr>
          <w:p w14:paraId="42220DA4" w14:textId="54BD36D4" w:rsidR="0032041E" w:rsidRPr="0032041E" w:rsidRDefault="0032041E" w:rsidP="0032041E">
            <w:pPr>
              <w:jc w:val="right"/>
              <w:rPr>
                <w:b/>
              </w:rPr>
            </w:pPr>
            <w:r w:rsidRPr="0032041E">
              <w:rPr>
                <w:color w:val="000000"/>
              </w:rPr>
              <w:t>[-18.209, 13.315]</w:t>
            </w:r>
          </w:p>
        </w:tc>
      </w:tr>
      <w:tr w:rsidR="0032041E" w:rsidRPr="004D5FBC" w14:paraId="769DC441" w14:textId="77777777" w:rsidTr="0032041E">
        <w:tc>
          <w:tcPr>
            <w:tcW w:w="2425" w:type="dxa"/>
            <w:vAlign w:val="center"/>
          </w:tcPr>
          <w:p w14:paraId="487AF114" w14:textId="5C59CDFD" w:rsidR="0032041E" w:rsidRPr="004D5FBC" w:rsidRDefault="0032041E" w:rsidP="0032041E">
            <w:pPr>
              <w:rPr>
                <w:b/>
              </w:rPr>
            </w:pPr>
            <w:proofErr w:type="spellStart"/>
            <w:r w:rsidRPr="004D5FBC">
              <w:rPr>
                <w:i/>
                <w:iCs/>
              </w:rPr>
              <w:t>N</w:t>
            </w:r>
            <w:r w:rsidRPr="004D5FBC">
              <w:rPr>
                <w:vertAlign w:val="subscript"/>
              </w:rPr>
              <w:t>mass</w:t>
            </w:r>
            <w:proofErr w:type="spellEnd"/>
          </w:p>
        </w:tc>
        <w:tc>
          <w:tcPr>
            <w:tcW w:w="635" w:type="dxa"/>
            <w:vAlign w:val="center"/>
          </w:tcPr>
          <w:p w14:paraId="2F7F691A" w14:textId="32B55C08" w:rsidR="0032041E" w:rsidRPr="0032041E" w:rsidRDefault="0032041E" w:rsidP="0032041E">
            <w:pPr>
              <w:jc w:val="right"/>
              <w:rPr>
                <w:b/>
              </w:rPr>
            </w:pPr>
            <w:r w:rsidRPr="0032041E">
              <w:rPr>
                <w:color w:val="000000"/>
              </w:rPr>
              <w:t>139</w:t>
            </w:r>
          </w:p>
        </w:tc>
        <w:tc>
          <w:tcPr>
            <w:tcW w:w="2070" w:type="dxa"/>
            <w:vAlign w:val="bottom"/>
          </w:tcPr>
          <w:p w14:paraId="45EFE64F" w14:textId="220EA17D" w:rsidR="0032041E" w:rsidRPr="0032041E" w:rsidRDefault="0032041E" w:rsidP="0032041E">
            <w:pPr>
              <w:jc w:val="right"/>
              <w:rPr>
                <w:b/>
              </w:rPr>
            </w:pPr>
            <w:r w:rsidRPr="0032041E">
              <w:rPr>
                <w:color w:val="000000"/>
              </w:rPr>
              <w:t>2.634±6.396</w:t>
            </w:r>
          </w:p>
        </w:tc>
        <w:tc>
          <w:tcPr>
            <w:tcW w:w="1170" w:type="dxa"/>
            <w:vAlign w:val="bottom"/>
          </w:tcPr>
          <w:p w14:paraId="1F6332B4" w14:textId="4B217FCC" w:rsidR="0032041E" w:rsidRPr="0032041E" w:rsidRDefault="0032041E" w:rsidP="0032041E">
            <w:pPr>
              <w:jc w:val="right"/>
              <w:rPr>
                <w:b/>
              </w:rPr>
            </w:pPr>
            <w:r w:rsidRPr="0032041E">
              <w:rPr>
                <w:color w:val="000000"/>
              </w:rPr>
              <w:t>0.423</w:t>
            </w:r>
          </w:p>
        </w:tc>
        <w:tc>
          <w:tcPr>
            <w:tcW w:w="1080" w:type="dxa"/>
            <w:vAlign w:val="bottom"/>
          </w:tcPr>
          <w:p w14:paraId="3B9CDA3D" w14:textId="666CE07D" w:rsidR="0032041E" w:rsidRPr="0032041E" w:rsidRDefault="0032041E" w:rsidP="0032041E">
            <w:pPr>
              <w:jc w:val="right"/>
              <w:rPr>
                <w:b/>
              </w:rPr>
            </w:pPr>
            <w:r w:rsidRPr="0032041E">
              <w:rPr>
                <w:color w:val="000000"/>
              </w:rPr>
              <w:t>0.672</w:t>
            </w:r>
          </w:p>
        </w:tc>
        <w:tc>
          <w:tcPr>
            <w:tcW w:w="2070" w:type="dxa"/>
            <w:vAlign w:val="bottom"/>
          </w:tcPr>
          <w:p w14:paraId="0B6D2E81" w14:textId="1DFF46D4" w:rsidR="0032041E" w:rsidRPr="0032041E" w:rsidRDefault="0032041E" w:rsidP="0032041E">
            <w:pPr>
              <w:jc w:val="right"/>
              <w:rPr>
                <w:b/>
              </w:rPr>
            </w:pPr>
            <w:r w:rsidRPr="0032041E">
              <w:rPr>
                <w:color w:val="000000"/>
              </w:rPr>
              <w:t>[-9.154, 16.067]</w:t>
            </w:r>
          </w:p>
        </w:tc>
      </w:tr>
      <w:tr w:rsidR="0032041E" w:rsidRPr="004D5FBC" w14:paraId="4F5A4360" w14:textId="77777777" w:rsidTr="0032041E">
        <w:tc>
          <w:tcPr>
            <w:tcW w:w="2425" w:type="dxa"/>
            <w:vAlign w:val="center"/>
          </w:tcPr>
          <w:p w14:paraId="1D7EF710" w14:textId="096E07A9" w:rsidR="0032041E" w:rsidRPr="004D5FBC" w:rsidRDefault="0032041E" w:rsidP="0032041E">
            <w:pPr>
              <w:rPr>
                <w:bCs w:val="0"/>
              </w:rPr>
            </w:pPr>
            <w:r w:rsidRPr="004D5FBC">
              <w:rPr>
                <w:bCs w:val="0"/>
                <w:i/>
                <w:iCs/>
              </w:rPr>
              <w:t>N</w:t>
            </w:r>
            <w:r w:rsidRPr="004D5FBC">
              <w:rPr>
                <w:bCs w:val="0"/>
                <w:vertAlign w:val="subscript"/>
              </w:rPr>
              <w:t>area</w:t>
            </w:r>
          </w:p>
        </w:tc>
        <w:tc>
          <w:tcPr>
            <w:tcW w:w="635" w:type="dxa"/>
            <w:vAlign w:val="center"/>
          </w:tcPr>
          <w:p w14:paraId="2AD8E79F" w14:textId="5D9F5198" w:rsidR="0032041E" w:rsidRPr="0032041E" w:rsidRDefault="0032041E" w:rsidP="0032041E">
            <w:pPr>
              <w:jc w:val="right"/>
              <w:rPr>
                <w:b/>
              </w:rPr>
            </w:pPr>
            <w:r w:rsidRPr="0032041E">
              <w:rPr>
                <w:color w:val="000000"/>
              </w:rPr>
              <w:t>87</w:t>
            </w:r>
          </w:p>
        </w:tc>
        <w:tc>
          <w:tcPr>
            <w:tcW w:w="2070" w:type="dxa"/>
            <w:vAlign w:val="bottom"/>
          </w:tcPr>
          <w:p w14:paraId="5E3A8B30" w14:textId="6EB5B232" w:rsidR="0032041E" w:rsidRPr="0032041E" w:rsidRDefault="0032041E" w:rsidP="0032041E">
            <w:pPr>
              <w:jc w:val="right"/>
              <w:rPr>
                <w:b/>
              </w:rPr>
            </w:pPr>
            <w:r w:rsidRPr="0032041E">
              <w:rPr>
                <w:color w:val="000000"/>
              </w:rPr>
              <w:t>-4.972±18.53</w:t>
            </w:r>
            <w:r>
              <w:rPr>
                <w:color w:val="000000"/>
              </w:rPr>
              <w:t>0</w:t>
            </w:r>
          </w:p>
        </w:tc>
        <w:tc>
          <w:tcPr>
            <w:tcW w:w="1170" w:type="dxa"/>
            <w:vAlign w:val="bottom"/>
          </w:tcPr>
          <w:p w14:paraId="06FA94C5" w14:textId="3064E836" w:rsidR="0032041E" w:rsidRPr="0032041E" w:rsidRDefault="0032041E" w:rsidP="0032041E">
            <w:pPr>
              <w:jc w:val="right"/>
              <w:rPr>
                <w:b/>
              </w:rPr>
            </w:pPr>
            <w:r w:rsidRPr="0032041E">
              <w:rPr>
                <w:color w:val="000000"/>
              </w:rPr>
              <w:t>-0.297</w:t>
            </w:r>
          </w:p>
        </w:tc>
        <w:tc>
          <w:tcPr>
            <w:tcW w:w="1080" w:type="dxa"/>
            <w:vAlign w:val="bottom"/>
          </w:tcPr>
          <w:p w14:paraId="562A055C" w14:textId="2219652A" w:rsidR="0032041E" w:rsidRPr="0032041E" w:rsidRDefault="0032041E" w:rsidP="0032041E">
            <w:pPr>
              <w:jc w:val="right"/>
              <w:rPr>
                <w:b/>
              </w:rPr>
            </w:pPr>
            <w:r w:rsidRPr="0032041E">
              <w:rPr>
                <w:color w:val="000000"/>
              </w:rPr>
              <w:t>0.766</w:t>
            </w:r>
          </w:p>
        </w:tc>
        <w:tc>
          <w:tcPr>
            <w:tcW w:w="2070" w:type="dxa"/>
            <w:vAlign w:val="bottom"/>
          </w:tcPr>
          <w:p w14:paraId="251C7251" w14:textId="523EC0ED" w:rsidR="0032041E" w:rsidRPr="0032041E" w:rsidRDefault="0032041E" w:rsidP="0032041E">
            <w:pPr>
              <w:jc w:val="right"/>
              <w:rPr>
                <w:b/>
              </w:rPr>
            </w:pPr>
            <w:r w:rsidRPr="0032041E">
              <w:rPr>
                <w:color w:val="000000"/>
              </w:rPr>
              <w:t>[-31.887, 32.711]</w:t>
            </w:r>
          </w:p>
        </w:tc>
      </w:tr>
      <w:tr w:rsidR="0032041E" w:rsidRPr="004D5FBC" w14:paraId="59306405" w14:textId="77777777" w:rsidTr="0032041E">
        <w:tc>
          <w:tcPr>
            <w:tcW w:w="2425" w:type="dxa"/>
            <w:vAlign w:val="center"/>
          </w:tcPr>
          <w:p w14:paraId="54D78B52" w14:textId="061402D6" w:rsidR="0032041E" w:rsidRPr="0032041E" w:rsidRDefault="0032041E" w:rsidP="0032041E">
            <w:pPr>
              <w:rPr>
                <w:bCs w:val="0"/>
                <w:i/>
                <w:iCs/>
                <w:vertAlign w:val="subscript"/>
              </w:rPr>
            </w:pPr>
            <w:proofErr w:type="spellStart"/>
            <w:r w:rsidRPr="0032041E">
              <w:rPr>
                <w:bCs w:val="0"/>
                <w:i/>
                <w:iCs/>
              </w:rPr>
              <w:t>P</w:t>
            </w:r>
            <w:r w:rsidRPr="0032041E">
              <w:rPr>
                <w:bCs w:val="0"/>
                <w:i/>
                <w:iCs/>
                <w:vertAlign w:val="subscript"/>
              </w:rPr>
              <w:t>mass</w:t>
            </w:r>
            <w:proofErr w:type="spellEnd"/>
          </w:p>
        </w:tc>
        <w:tc>
          <w:tcPr>
            <w:tcW w:w="635" w:type="dxa"/>
            <w:vAlign w:val="center"/>
          </w:tcPr>
          <w:p w14:paraId="6C08B3A2" w14:textId="513D21F3" w:rsidR="0032041E" w:rsidRPr="0032041E" w:rsidRDefault="0032041E" w:rsidP="0032041E">
            <w:pPr>
              <w:jc w:val="right"/>
              <w:rPr>
                <w:b/>
                <w:i/>
                <w:iCs/>
              </w:rPr>
            </w:pPr>
            <w:r w:rsidRPr="0032041E">
              <w:rPr>
                <w:i/>
                <w:iCs/>
                <w:color w:val="000000"/>
              </w:rPr>
              <w:t>133</w:t>
            </w:r>
          </w:p>
        </w:tc>
        <w:tc>
          <w:tcPr>
            <w:tcW w:w="2070" w:type="dxa"/>
            <w:vAlign w:val="bottom"/>
          </w:tcPr>
          <w:p w14:paraId="24E04ECE" w14:textId="231EC699" w:rsidR="0032041E" w:rsidRPr="0032041E" w:rsidRDefault="0032041E" w:rsidP="0032041E">
            <w:pPr>
              <w:jc w:val="right"/>
              <w:rPr>
                <w:b/>
                <w:i/>
                <w:iCs/>
              </w:rPr>
            </w:pPr>
            <w:r w:rsidRPr="0032041E">
              <w:rPr>
                <w:i/>
                <w:iCs/>
                <w:color w:val="000000"/>
              </w:rPr>
              <w:t>-11.219±6.93</w:t>
            </w:r>
            <w:r>
              <w:rPr>
                <w:i/>
                <w:iCs/>
                <w:color w:val="000000"/>
              </w:rPr>
              <w:t>0</w:t>
            </w:r>
          </w:p>
        </w:tc>
        <w:tc>
          <w:tcPr>
            <w:tcW w:w="1170" w:type="dxa"/>
            <w:vAlign w:val="bottom"/>
          </w:tcPr>
          <w:p w14:paraId="4C3BFF8A" w14:textId="4E09A43A" w:rsidR="0032041E" w:rsidRPr="0032041E" w:rsidRDefault="0032041E" w:rsidP="0032041E">
            <w:pPr>
              <w:jc w:val="right"/>
              <w:rPr>
                <w:b/>
                <w:i/>
                <w:iCs/>
              </w:rPr>
            </w:pPr>
            <w:r w:rsidRPr="0032041E">
              <w:rPr>
                <w:i/>
                <w:iCs/>
                <w:color w:val="000000"/>
              </w:rPr>
              <w:t>-1.781</w:t>
            </w:r>
          </w:p>
        </w:tc>
        <w:tc>
          <w:tcPr>
            <w:tcW w:w="1080" w:type="dxa"/>
            <w:vAlign w:val="bottom"/>
          </w:tcPr>
          <w:p w14:paraId="34C72EA5" w14:textId="63782A13" w:rsidR="0032041E" w:rsidRPr="0032041E" w:rsidRDefault="0032041E" w:rsidP="0032041E">
            <w:pPr>
              <w:jc w:val="right"/>
              <w:rPr>
                <w:b/>
                <w:i/>
                <w:iCs/>
              </w:rPr>
            </w:pPr>
            <w:r w:rsidRPr="0032041E">
              <w:rPr>
                <w:i/>
                <w:iCs/>
                <w:color w:val="000000"/>
              </w:rPr>
              <w:t>0.075</w:t>
            </w:r>
          </w:p>
        </w:tc>
        <w:tc>
          <w:tcPr>
            <w:tcW w:w="2070" w:type="dxa"/>
            <w:vAlign w:val="bottom"/>
          </w:tcPr>
          <w:p w14:paraId="58553DCA" w14:textId="53CB6CDF" w:rsidR="0032041E" w:rsidRPr="0032041E" w:rsidRDefault="0032041E" w:rsidP="0032041E">
            <w:pPr>
              <w:jc w:val="right"/>
              <w:rPr>
                <w:b/>
                <w:i/>
                <w:iCs/>
              </w:rPr>
            </w:pPr>
            <w:r w:rsidRPr="0032041E">
              <w:rPr>
                <w:color w:val="000000"/>
              </w:rPr>
              <w:t>[-22.042, 1.207]</w:t>
            </w:r>
          </w:p>
        </w:tc>
      </w:tr>
      <w:tr w:rsidR="0032041E" w:rsidRPr="004D5FBC" w14:paraId="166A2B6D" w14:textId="77777777" w:rsidTr="0032041E">
        <w:tc>
          <w:tcPr>
            <w:tcW w:w="2425" w:type="dxa"/>
            <w:vAlign w:val="center"/>
          </w:tcPr>
          <w:p w14:paraId="3079F466" w14:textId="359031CB" w:rsidR="0032041E" w:rsidRPr="004D5FBC" w:rsidRDefault="0032041E" w:rsidP="0032041E">
            <w:pPr>
              <w:rPr>
                <w:bCs w:val="0"/>
              </w:rPr>
            </w:pPr>
            <w:proofErr w:type="spellStart"/>
            <w:r w:rsidRPr="004D5FBC">
              <w:rPr>
                <w:bCs w:val="0"/>
                <w:i/>
                <w:iCs/>
              </w:rPr>
              <w:t>P</w:t>
            </w:r>
            <w:r w:rsidRPr="004D5FBC">
              <w:rPr>
                <w:bCs w:val="0"/>
                <w:vertAlign w:val="subscript"/>
              </w:rPr>
              <w:t>area</w:t>
            </w:r>
            <w:proofErr w:type="spellEnd"/>
          </w:p>
        </w:tc>
        <w:tc>
          <w:tcPr>
            <w:tcW w:w="635" w:type="dxa"/>
            <w:vAlign w:val="center"/>
          </w:tcPr>
          <w:p w14:paraId="51A1CC10" w14:textId="53A4C201" w:rsidR="0032041E" w:rsidRPr="0032041E" w:rsidRDefault="0032041E" w:rsidP="0032041E">
            <w:pPr>
              <w:jc w:val="right"/>
              <w:rPr>
                <w:b/>
              </w:rPr>
            </w:pPr>
            <w:r w:rsidRPr="0032041E">
              <w:rPr>
                <w:color w:val="000000"/>
              </w:rPr>
              <w:t>82</w:t>
            </w:r>
          </w:p>
        </w:tc>
        <w:tc>
          <w:tcPr>
            <w:tcW w:w="2070" w:type="dxa"/>
            <w:vAlign w:val="bottom"/>
          </w:tcPr>
          <w:p w14:paraId="471E67F1" w14:textId="6D2211FC" w:rsidR="0032041E" w:rsidRPr="0032041E" w:rsidRDefault="0032041E" w:rsidP="0032041E">
            <w:pPr>
              <w:jc w:val="right"/>
              <w:rPr>
                <w:b/>
              </w:rPr>
            </w:pPr>
            <w:r w:rsidRPr="0032041E">
              <w:rPr>
                <w:color w:val="000000"/>
              </w:rPr>
              <w:t>-9.335±19.722</w:t>
            </w:r>
          </w:p>
        </w:tc>
        <w:tc>
          <w:tcPr>
            <w:tcW w:w="1170" w:type="dxa"/>
            <w:vAlign w:val="bottom"/>
          </w:tcPr>
          <w:p w14:paraId="74865221" w14:textId="05E80067" w:rsidR="0032041E" w:rsidRPr="0032041E" w:rsidRDefault="0032041E" w:rsidP="0032041E">
            <w:pPr>
              <w:jc w:val="right"/>
              <w:rPr>
                <w:b/>
              </w:rPr>
            </w:pPr>
            <w:r w:rsidRPr="0032041E">
              <w:rPr>
                <w:color w:val="000000"/>
              </w:rPr>
              <w:t>-0.545</w:t>
            </w:r>
          </w:p>
        </w:tc>
        <w:tc>
          <w:tcPr>
            <w:tcW w:w="1080" w:type="dxa"/>
            <w:vAlign w:val="bottom"/>
          </w:tcPr>
          <w:p w14:paraId="6009A410" w14:textId="0F1C8007" w:rsidR="0032041E" w:rsidRPr="0032041E" w:rsidRDefault="0032041E" w:rsidP="0032041E">
            <w:pPr>
              <w:jc w:val="right"/>
              <w:rPr>
                <w:b/>
              </w:rPr>
            </w:pPr>
            <w:r w:rsidRPr="0032041E">
              <w:rPr>
                <w:color w:val="000000"/>
              </w:rPr>
              <w:t>0.586</w:t>
            </w:r>
          </w:p>
        </w:tc>
        <w:tc>
          <w:tcPr>
            <w:tcW w:w="2070" w:type="dxa"/>
            <w:vAlign w:val="bottom"/>
          </w:tcPr>
          <w:p w14:paraId="6CE7DF30" w14:textId="680EEB47" w:rsidR="0032041E" w:rsidRPr="0032041E" w:rsidRDefault="0032041E" w:rsidP="0032041E">
            <w:pPr>
              <w:jc w:val="right"/>
              <w:rPr>
                <w:b/>
              </w:rPr>
            </w:pPr>
            <w:r w:rsidRPr="0032041E">
              <w:rPr>
                <w:color w:val="000000"/>
              </w:rPr>
              <w:t>[-36.237, 28.917]</w:t>
            </w:r>
          </w:p>
        </w:tc>
      </w:tr>
      <w:tr w:rsidR="0032041E" w:rsidRPr="004D5FBC" w14:paraId="44A27586" w14:textId="77777777" w:rsidTr="0032041E">
        <w:tc>
          <w:tcPr>
            <w:tcW w:w="2425" w:type="dxa"/>
            <w:vAlign w:val="center"/>
          </w:tcPr>
          <w:p w14:paraId="2EDD206C" w14:textId="5689ACDE" w:rsidR="0032041E" w:rsidRPr="0032041E" w:rsidRDefault="0032041E" w:rsidP="0032041E">
            <w:pPr>
              <w:rPr>
                <w:b/>
                <w:bCs w:val="0"/>
                <w:i/>
                <w:iCs/>
              </w:rPr>
            </w:pPr>
            <w:r w:rsidRPr="0032041E">
              <w:rPr>
                <w:b/>
                <w:bCs w:val="0"/>
                <w:i/>
                <w:iCs/>
              </w:rPr>
              <w:t>Leaf N:P</w:t>
            </w:r>
          </w:p>
        </w:tc>
        <w:tc>
          <w:tcPr>
            <w:tcW w:w="635" w:type="dxa"/>
            <w:vAlign w:val="center"/>
          </w:tcPr>
          <w:p w14:paraId="7431A5EC" w14:textId="72B378B3" w:rsidR="0032041E" w:rsidRPr="0032041E" w:rsidRDefault="0032041E" w:rsidP="0032041E">
            <w:pPr>
              <w:jc w:val="right"/>
              <w:rPr>
                <w:b/>
                <w:bCs w:val="0"/>
                <w:color w:val="000000"/>
              </w:rPr>
            </w:pPr>
            <w:r w:rsidRPr="0032041E">
              <w:rPr>
                <w:b/>
                <w:bCs w:val="0"/>
                <w:color w:val="000000"/>
              </w:rPr>
              <w:t>118</w:t>
            </w:r>
          </w:p>
        </w:tc>
        <w:tc>
          <w:tcPr>
            <w:tcW w:w="2070" w:type="dxa"/>
            <w:vAlign w:val="bottom"/>
          </w:tcPr>
          <w:p w14:paraId="2FB75502" w14:textId="1C15B6DB" w:rsidR="0032041E" w:rsidRPr="0032041E" w:rsidRDefault="0032041E" w:rsidP="0032041E">
            <w:pPr>
              <w:jc w:val="right"/>
              <w:rPr>
                <w:b/>
                <w:bCs w:val="0"/>
                <w:color w:val="000000"/>
              </w:rPr>
            </w:pPr>
            <w:r w:rsidRPr="0032041E">
              <w:rPr>
                <w:b/>
                <w:bCs w:val="0"/>
                <w:color w:val="000000"/>
              </w:rPr>
              <w:t>-39.95</w:t>
            </w:r>
            <w:r>
              <w:rPr>
                <w:b/>
                <w:bCs w:val="0"/>
                <w:color w:val="000000"/>
              </w:rPr>
              <w:t>0</w:t>
            </w:r>
            <w:r w:rsidRPr="0032041E">
              <w:rPr>
                <w:b/>
                <w:bCs w:val="0"/>
                <w:color w:val="000000"/>
              </w:rPr>
              <w:t>±20.322</w:t>
            </w:r>
          </w:p>
        </w:tc>
        <w:tc>
          <w:tcPr>
            <w:tcW w:w="1170" w:type="dxa"/>
            <w:vAlign w:val="bottom"/>
          </w:tcPr>
          <w:p w14:paraId="2744F463" w14:textId="619DAF4A" w:rsidR="0032041E" w:rsidRPr="0032041E" w:rsidRDefault="0032041E" w:rsidP="0032041E">
            <w:pPr>
              <w:jc w:val="right"/>
              <w:rPr>
                <w:b/>
                <w:bCs w:val="0"/>
                <w:color w:val="000000"/>
              </w:rPr>
            </w:pPr>
            <w:r w:rsidRPr="0032041E">
              <w:rPr>
                <w:b/>
                <w:bCs w:val="0"/>
                <w:color w:val="000000"/>
              </w:rPr>
              <w:t>-2.763</w:t>
            </w:r>
          </w:p>
        </w:tc>
        <w:tc>
          <w:tcPr>
            <w:tcW w:w="1080" w:type="dxa"/>
            <w:vAlign w:val="bottom"/>
          </w:tcPr>
          <w:p w14:paraId="1B603875" w14:textId="795A89F0" w:rsidR="0032041E" w:rsidRPr="0032041E" w:rsidRDefault="0032041E" w:rsidP="0032041E">
            <w:pPr>
              <w:jc w:val="right"/>
              <w:rPr>
                <w:b/>
                <w:bCs w:val="0"/>
                <w:color w:val="000000"/>
              </w:rPr>
            </w:pPr>
            <w:r w:rsidRPr="0032041E">
              <w:rPr>
                <w:b/>
                <w:bCs w:val="0"/>
                <w:color w:val="000000"/>
              </w:rPr>
              <w:t>0.006</w:t>
            </w:r>
          </w:p>
        </w:tc>
        <w:tc>
          <w:tcPr>
            <w:tcW w:w="2070" w:type="dxa"/>
            <w:vAlign w:val="bottom"/>
          </w:tcPr>
          <w:p w14:paraId="5562A6B6" w14:textId="1F64EB2C" w:rsidR="0032041E" w:rsidRPr="0032041E" w:rsidRDefault="0032041E" w:rsidP="0032041E">
            <w:pPr>
              <w:jc w:val="right"/>
              <w:rPr>
                <w:b/>
                <w:bCs w:val="0"/>
                <w:color w:val="000000"/>
              </w:rPr>
            </w:pPr>
            <w:r w:rsidRPr="0032041E">
              <w:rPr>
                <w:b/>
                <w:bCs w:val="0"/>
                <w:color w:val="000000"/>
              </w:rPr>
              <w:t>[-58.189, -13.757]</w:t>
            </w:r>
          </w:p>
        </w:tc>
      </w:tr>
      <w:tr w:rsidR="0032041E" w:rsidRPr="004D5FBC" w14:paraId="70E13390" w14:textId="77777777" w:rsidTr="0032041E">
        <w:tc>
          <w:tcPr>
            <w:tcW w:w="2425" w:type="dxa"/>
            <w:vAlign w:val="center"/>
          </w:tcPr>
          <w:p w14:paraId="0210B929" w14:textId="690872EC" w:rsidR="0032041E" w:rsidRPr="004D5FBC" w:rsidRDefault="0032041E" w:rsidP="0032041E">
            <w:pPr>
              <w:rPr>
                <w:bCs w:val="0"/>
              </w:rPr>
            </w:pPr>
            <w:r w:rsidRPr="004D5FBC">
              <w:rPr>
                <w:bCs w:val="0"/>
                <w:i/>
                <w:iCs/>
              </w:rPr>
              <w:t>A</w:t>
            </w:r>
            <w:r w:rsidRPr="004D5FBC">
              <w:rPr>
                <w:bCs w:val="0"/>
                <w:vertAlign w:val="subscript"/>
              </w:rPr>
              <w:t>sat</w:t>
            </w:r>
          </w:p>
        </w:tc>
        <w:tc>
          <w:tcPr>
            <w:tcW w:w="635" w:type="dxa"/>
            <w:vAlign w:val="center"/>
          </w:tcPr>
          <w:p w14:paraId="569C1516" w14:textId="79439DE3" w:rsidR="0032041E" w:rsidRPr="0032041E" w:rsidRDefault="0032041E" w:rsidP="0032041E">
            <w:pPr>
              <w:jc w:val="right"/>
              <w:rPr>
                <w:b/>
              </w:rPr>
            </w:pPr>
            <w:r w:rsidRPr="0032041E">
              <w:rPr>
                <w:color w:val="000000"/>
              </w:rPr>
              <w:t>85</w:t>
            </w:r>
          </w:p>
        </w:tc>
        <w:tc>
          <w:tcPr>
            <w:tcW w:w="2070" w:type="dxa"/>
            <w:vAlign w:val="bottom"/>
          </w:tcPr>
          <w:p w14:paraId="3CE1D9DE" w14:textId="1600E321" w:rsidR="0032041E" w:rsidRPr="0032041E" w:rsidRDefault="0032041E" w:rsidP="0032041E">
            <w:pPr>
              <w:jc w:val="right"/>
              <w:rPr>
                <w:b/>
              </w:rPr>
            </w:pPr>
            <w:r w:rsidRPr="0032041E">
              <w:rPr>
                <w:color w:val="000000"/>
              </w:rPr>
              <w:t>19.722±28.146</w:t>
            </w:r>
          </w:p>
        </w:tc>
        <w:tc>
          <w:tcPr>
            <w:tcW w:w="1170" w:type="dxa"/>
            <w:vAlign w:val="bottom"/>
          </w:tcPr>
          <w:p w14:paraId="3F6FE135" w14:textId="5E458540" w:rsidR="0032041E" w:rsidRPr="0032041E" w:rsidRDefault="0032041E" w:rsidP="0032041E">
            <w:pPr>
              <w:jc w:val="right"/>
              <w:rPr>
                <w:b/>
              </w:rPr>
            </w:pPr>
            <w:r w:rsidRPr="0032041E">
              <w:rPr>
                <w:color w:val="000000"/>
              </w:rPr>
              <w:t>0.727</w:t>
            </w:r>
          </w:p>
        </w:tc>
        <w:tc>
          <w:tcPr>
            <w:tcW w:w="1080" w:type="dxa"/>
            <w:vAlign w:val="bottom"/>
          </w:tcPr>
          <w:p w14:paraId="421F73A3" w14:textId="5A285980" w:rsidR="0032041E" w:rsidRPr="0032041E" w:rsidRDefault="0032041E" w:rsidP="0032041E">
            <w:pPr>
              <w:jc w:val="right"/>
              <w:rPr>
                <w:b/>
              </w:rPr>
            </w:pPr>
            <w:r w:rsidRPr="0032041E">
              <w:rPr>
                <w:color w:val="000000"/>
              </w:rPr>
              <w:t>0.467</w:t>
            </w:r>
          </w:p>
        </w:tc>
        <w:tc>
          <w:tcPr>
            <w:tcW w:w="2070" w:type="dxa"/>
            <w:vAlign w:val="bottom"/>
          </w:tcPr>
          <w:p w14:paraId="4BA415B2" w14:textId="4B23A0DC" w:rsidR="0032041E" w:rsidRPr="0032041E" w:rsidRDefault="0032041E" w:rsidP="0032041E">
            <w:pPr>
              <w:jc w:val="right"/>
              <w:rPr>
                <w:b/>
              </w:rPr>
            </w:pPr>
            <w:r w:rsidRPr="0032041E">
              <w:rPr>
                <w:color w:val="000000"/>
              </w:rPr>
              <w:t>[-26.288, 94.449]</w:t>
            </w:r>
          </w:p>
        </w:tc>
      </w:tr>
      <w:tr w:rsidR="0032041E" w:rsidRPr="004D5FBC" w14:paraId="7E5B3D83" w14:textId="77777777" w:rsidTr="0032041E">
        <w:tc>
          <w:tcPr>
            <w:tcW w:w="2425" w:type="dxa"/>
          </w:tcPr>
          <w:p w14:paraId="0A841CB8" w14:textId="6EFADE2E" w:rsidR="0032041E" w:rsidRPr="004D5FBC" w:rsidRDefault="0032041E" w:rsidP="0032041E">
            <w:pPr>
              <w:rPr>
                <w:bCs w:val="0"/>
              </w:rPr>
            </w:pPr>
            <w:proofErr w:type="spellStart"/>
            <w:r w:rsidRPr="004D5FBC">
              <w:rPr>
                <w:bCs w:val="0"/>
                <w:i/>
                <w:iCs/>
              </w:rPr>
              <w:t>V</w:t>
            </w:r>
            <w:r w:rsidRPr="004D5FBC">
              <w:rPr>
                <w:bCs w:val="0"/>
                <w:vertAlign w:val="subscript"/>
              </w:rPr>
              <w:t>cmax</w:t>
            </w:r>
            <w:proofErr w:type="spellEnd"/>
          </w:p>
        </w:tc>
        <w:tc>
          <w:tcPr>
            <w:tcW w:w="635" w:type="dxa"/>
            <w:vAlign w:val="center"/>
          </w:tcPr>
          <w:p w14:paraId="094E66A2" w14:textId="36F52BC6" w:rsidR="0032041E" w:rsidRPr="0032041E" w:rsidRDefault="0032041E" w:rsidP="0032041E">
            <w:pPr>
              <w:jc w:val="right"/>
              <w:rPr>
                <w:b/>
              </w:rPr>
            </w:pPr>
            <w:r w:rsidRPr="0032041E">
              <w:rPr>
                <w:color w:val="000000"/>
              </w:rPr>
              <w:t>42</w:t>
            </w:r>
          </w:p>
        </w:tc>
        <w:tc>
          <w:tcPr>
            <w:tcW w:w="2070" w:type="dxa"/>
            <w:vAlign w:val="bottom"/>
          </w:tcPr>
          <w:p w14:paraId="1FC419A3" w14:textId="329FF526" w:rsidR="0032041E" w:rsidRPr="0032041E" w:rsidRDefault="0032041E" w:rsidP="0032041E">
            <w:pPr>
              <w:jc w:val="right"/>
              <w:rPr>
                <w:b/>
              </w:rPr>
            </w:pPr>
            <w:r w:rsidRPr="0032041E">
              <w:rPr>
                <w:color w:val="000000"/>
              </w:rPr>
              <w:t>16.766±30.474</w:t>
            </w:r>
          </w:p>
        </w:tc>
        <w:tc>
          <w:tcPr>
            <w:tcW w:w="1170" w:type="dxa"/>
            <w:vAlign w:val="bottom"/>
          </w:tcPr>
          <w:p w14:paraId="41185250" w14:textId="50A6AE06" w:rsidR="0032041E" w:rsidRPr="0032041E" w:rsidRDefault="0032041E" w:rsidP="0032041E">
            <w:pPr>
              <w:jc w:val="right"/>
              <w:rPr>
                <w:b/>
              </w:rPr>
            </w:pPr>
            <w:r w:rsidRPr="0032041E">
              <w:rPr>
                <w:color w:val="000000"/>
              </w:rPr>
              <w:t>0.584</w:t>
            </w:r>
          </w:p>
        </w:tc>
        <w:tc>
          <w:tcPr>
            <w:tcW w:w="1080" w:type="dxa"/>
            <w:vAlign w:val="bottom"/>
          </w:tcPr>
          <w:p w14:paraId="5D1AA792" w14:textId="2E8BD6DC" w:rsidR="0032041E" w:rsidRPr="0032041E" w:rsidRDefault="0032041E" w:rsidP="0032041E">
            <w:pPr>
              <w:jc w:val="right"/>
              <w:rPr>
                <w:b/>
              </w:rPr>
            </w:pPr>
            <w:r w:rsidRPr="0032041E">
              <w:rPr>
                <w:color w:val="000000"/>
              </w:rPr>
              <w:t>0.56</w:t>
            </w:r>
            <w:r>
              <w:rPr>
                <w:color w:val="000000"/>
              </w:rPr>
              <w:t>0</w:t>
            </w:r>
          </w:p>
        </w:tc>
        <w:tc>
          <w:tcPr>
            <w:tcW w:w="2070" w:type="dxa"/>
            <w:vAlign w:val="bottom"/>
          </w:tcPr>
          <w:p w14:paraId="629B6414" w14:textId="7FAB8DDC" w:rsidR="0032041E" w:rsidRPr="0032041E" w:rsidRDefault="0032041E" w:rsidP="0032041E">
            <w:pPr>
              <w:jc w:val="right"/>
              <w:rPr>
                <w:b/>
              </w:rPr>
            </w:pPr>
            <w:r w:rsidRPr="0032041E">
              <w:rPr>
                <w:color w:val="000000"/>
              </w:rPr>
              <w:t>[-30.65</w:t>
            </w:r>
            <w:r>
              <w:rPr>
                <w:color w:val="000000"/>
              </w:rPr>
              <w:t>0</w:t>
            </w:r>
            <w:r w:rsidRPr="0032041E">
              <w:rPr>
                <w:color w:val="000000"/>
              </w:rPr>
              <w:t>, 96.6</w:t>
            </w:r>
            <w:r>
              <w:rPr>
                <w:color w:val="000000"/>
              </w:rPr>
              <w:t>00</w:t>
            </w:r>
            <w:r w:rsidRPr="0032041E">
              <w:rPr>
                <w:color w:val="000000"/>
              </w:rPr>
              <w:t>]</w:t>
            </w:r>
          </w:p>
        </w:tc>
      </w:tr>
      <w:tr w:rsidR="0032041E" w:rsidRPr="004D5FBC" w14:paraId="3CD7C3F2" w14:textId="77777777" w:rsidTr="0032041E">
        <w:tc>
          <w:tcPr>
            <w:tcW w:w="2425" w:type="dxa"/>
          </w:tcPr>
          <w:p w14:paraId="443C0F03" w14:textId="39B7F059" w:rsidR="0032041E" w:rsidRPr="004D5FBC" w:rsidRDefault="0032041E" w:rsidP="0032041E">
            <w:pPr>
              <w:rPr>
                <w:bCs w:val="0"/>
                <w:iCs/>
              </w:rPr>
            </w:pPr>
            <w:proofErr w:type="spellStart"/>
            <w:r w:rsidRPr="004D5FBC">
              <w:rPr>
                <w:bCs w:val="0"/>
                <w:i/>
                <w:iCs/>
              </w:rPr>
              <w:t>J</w:t>
            </w:r>
            <w:r w:rsidRPr="004D5FBC">
              <w:rPr>
                <w:bCs w:val="0"/>
                <w:iCs/>
                <w:vertAlign w:val="subscript"/>
              </w:rPr>
              <w:t>max</w:t>
            </w:r>
            <w:proofErr w:type="spellEnd"/>
          </w:p>
        </w:tc>
        <w:tc>
          <w:tcPr>
            <w:tcW w:w="635" w:type="dxa"/>
            <w:vAlign w:val="center"/>
          </w:tcPr>
          <w:p w14:paraId="4F18C3AD" w14:textId="0209343D" w:rsidR="0032041E" w:rsidRPr="0032041E" w:rsidRDefault="0032041E" w:rsidP="0032041E">
            <w:pPr>
              <w:jc w:val="right"/>
              <w:rPr>
                <w:b/>
              </w:rPr>
            </w:pPr>
            <w:r w:rsidRPr="0032041E">
              <w:rPr>
                <w:color w:val="000000"/>
              </w:rPr>
              <w:t>40</w:t>
            </w:r>
          </w:p>
        </w:tc>
        <w:tc>
          <w:tcPr>
            <w:tcW w:w="2070" w:type="dxa"/>
            <w:vAlign w:val="bottom"/>
          </w:tcPr>
          <w:p w14:paraId="0417AFAC" w14:textId="0E45B68D" w:rsidR="0032041E" w:rsidRPr="0032041E" w:rsidRDefault="0032041E" w:rsidP="0032041E">
            <w:pPr>
              <w:jc w:val="right"/>
              <w:rPr>
                <w:b/>
              </w:rPr>
            </w:pPr>
            <w:r w:rsidRPr="0032041E">
              <w:rPr>
                <w:color w:val="000000"/>
              </w:rPr>
              <w:t>15.373±34.178</w:t>
            </w:r>
          </w:p>
        </w:tc>
        <w:tc>
          <w:tcPr>
            <w:tcW w:w="1170" w:type="dxa"/>
            <w:vAlign w:val="bottom"/>
          </w:tcPr>
          <w:p w14:paraId="1BBB1B93" w14:textId="702F03C7" w:rsidR="0032041E" w:rsidRPr="0032041E" w:rsidRDefault="0032041E" w:rsidP="0032041E">
            <w:pPr>
              <w:jc w:val="right"/>
              <w:rPr>
                <w:b/>
              </w:rPr>
            </w:pPr>
            <w:r w:rsidRPr="0032041E">
              <w:rPr>
                <w:color w:val="000000"/>
              </w:rPr>
              <w:t>0.486</w:t>
            </w:r>
          </w:p>
        </w:tc>
        <w:tc>
          <w:tcPr>
            <w:tcW w:w="1080" w:type="dxa"/>
            <w:vAlign w:val="bottom"/>
          </w:tcPr>
          <w:p w14:paraId="741D91D1" w14:textId="5917C00B" w:rsidR="0032041E" w:rsidRPr="0032041E" w:rsidRDefault="0032041E" w:rsidP="0032041E">
            <w:pPr>
              <w:jc w:val="right"/>
              <w:rPr>
                <w:b/>
              </w:rPr>
            </w:pPr>
            <w:r w:rsidRPr="0032041E">
              <w:rPr>
                <w:color w:val="000000"/>
              </w:rPr>
              <w:t>0.627</w:t>
            </w:r>
          </w:p>
        </w:tc>
        <w:tc>
          <w:tcPr>
            <w:tcW w:w="2070" w:type="dxa"/>
            <w:vAlign w:val="bottom"/>
          </w:tcPr>
          <w:p w14:paraId="2D7000B4" w14:textId="3120224F" w:rsidR="0032041E" w:rsidRPr="0032041E" w:rsidRDefault="0032041E" w:rsidP="0032041E">
            <w:pPr>
              <w:jc w:val="right"/>
              <w:rPr>
                <w:b/>
              </w:rPr>
            </w:pPr>
            <w:r w:rsidRPr="0032041E">
              <w:rPr>
                <w:color w:val="000000"/>
              </w:rPr>
              <w:t>[-35.144, 105.238]</w:t>
            </w:r>
          </w:p>
        </w:tc>
      </w:tr>
      <w:tr w:rsidR="0032041E" w:rsidRPr="004D5FBC" w14:paraId="31D5E9EF" w14:textId="77777777" w:rsidTr="0032041E">
        <w:tc>
          <w:tcPr>
            <w:tcW w:w="2425" w:type="dxa"/>
          </w:tcPr>
          <w:p w14:paraId="3C84EA7D" w14:textId="787DDB97" w:rsidR="0032041E" w:rsidRPr="004D5FBC" w:rsidRDefault="0032041E" w:rsidP="0032041E">
            <w:pPr>
              <w:rPr>
                <w:bCs w:val="0"/>
                <w:iCs/>
              </w:rPr>
            </w:pPr>
            <w:proofErr w:type="spellStart"/>
            <w:proofErr w:type="gramStart"/>
            <w:r w:rsidRPr="004D5FBC">
              <w:rPr>
                <w:bCs w:val="0"/>
                <w:i/>
                <w:iCs/>
              </w:rPr>
              <w:t>J</w:t>
            </w:r>
            <w:r w:rsidRPr="004D5FBC">
              <w:rPr>
                <w:bCs w:val="0"/>
                <w:iCs/>
                <w:vertAlign w:val="subscript"/>
              </w:rPr>
              <w:t>max</w:t>
            </w:r>
            <w:r w:rsidRPr="004D5FBC">
              <w:rPr>
                <w:bCs w:val="0"/>
                <w:iCs/>
              </w:rPr>
              <w:t>:</w:t>
            </w:r>
            <w:r w:rsidRPr="004D5FBC">
              <w:rPr>
                <w:bCs w:val="0"/>
                <w:i/>
              </w:rPr>
              <w:t>V</w:t>
            </w:r>
            <w:r w:rsidRPr="004D5FBC">
              <w:rPr>
                <w:bCs w:val="0"/>
                <w:iCs/>
                <w:vertAlign w:val="subscript"/>
              </w:rPr>
              <w:t>cmax</w:t>
            </w:r>
            <w:proofErr w:type="spellEnd"/>
            <w:proofErr w:type="gramEnd"/>
          </w:p>
        </w:tc>
        <w:tc>
          <w:tcPr>
            <w:tcW w:w="635" w:type="dxa"/>
            <w:vAlign w:val="center"/>
          </w:tcPr>
          <w:p w14:paraId="52249381" w14:textId="60DB6B0B" w:rsidR="0032041E" w:rsidRPr="0032041E" w:rsidRDefault="0032041E" w:rsidP="0032041E">
            <w:pPr>
              <w:jc w:val="right"/>
              <w:rPr>
                <w:b/>
              </w:rPr>
            </w:pPr>
            <w:r w:rsidRPr="0032041E">
              <w:rPr>
                <w:color w:val="000000"/>
              </w:rPr>
              <w:t>32</w:t>
            </w:r>
          </w:p>
        </w:tc>
        <w:tc>
          <w:tcPr>
            <w:tcW w:w="2070" w:type="dxa"/>
            <w:vAlign w:val="bottom"/>
          </w:tcPr>
          <w:p w14:paraId="603B8A63" w14:textId="561D7EF8" w:rsidR="0032041E" w:rsidRPr="0032041E" w:rsidRDefault="0032041E" w:rsidP="0032041E">
            <w:pPr>
              <w:jc w:val="right"/>
              <w:rPr>
                <w:b/>
              </w:rPr>
            </w:pPr>
            <w:r w:rsidRPr="0032041E">
              <w:rPr>
                <w:color w:val="000000"/>
              </w:rPr>
              <w:t>9.199±12.187</w:t>
            </w:r>
          </w:p>
        </w:tc>
        <w:tc>
          <w:tcPr>
            <w:tcW w:w="1170" w:type="dxa"/>
            <w:vAlign w:val="bottom"/>
          </w:tcPr>
          <w:p w14:paraId="6738DF97" w14:textId="4F49187E" w:rsidR="0032041E" w:rsidRPr="0032041E" w:rsidRDefault="0032041E" w:rsidP="0032041E">
            <w:pPr>
              <w:jc w:val="right"/>
              <w:rPr>
                <w:b/>
              </w:rPr>
            </w:pPr>
            <w:r w:rsidRPr="0032041E">
              <w:rPr>
                <w:color w:val="000000"/>
              </w:rPr>
              <w:t>0.761</w:t>
            </w:r>
          </w:p>
        </w:tc>
        <w:tc>
          <w:tcPr>
            <w:tcW w:w="1080" w:type="dxa"/>
            <w:vAlign w:val="bottom"/>
          </w:tcPr>
          <w:p w14:paraId="0BE685B7" w14:textId="4D913CCA" w:rsidR="0032041E" w:rsidRPr="0032041E" w:rsidRDefault="0032041E" w:rsidP="0032041E">
            <w:pPr>
              <w:jc w:val="right"/>
              <w:rPr>
                <w:b/>
              </w:rPr>
            </w:pPr>
            <w:r w:rsidRPr="0032041E">
              <w:rPr>
                <w:color w:val="000000"/>
              </w:rPr>
              <w:t>0.447</w:t>
            </w:r>
          </w:p>
        </w:tc>
        <w:tc>
          <w:tcPr>
            <w:tcW w:w="2070" w:type="dxa"/>
            <w:vAlign w:val="bottom"/>
          </w:tcPr>
          <w:p w14:paraId="25A47980" w14:textId="736E1CE4" w:rsidR="0032041E" w:rsidRPr="0032041E" w:rsidRDefault="0032041E" w:rsidP="0032041E">
            <w:pPr>
              <w:jc w:val="right"/>
              <w:rPr>
                <w:b/>
              </w:rPr>
            </w:pPr>
            <w:r w:rsidRPr="0032041E">
              <w:rPr>
                <w:color w:val="000000"/>
              </w:rPr>
              <w:t>[-12.89</w:t>
            </w:r>
            <w:r>
              <w:rPr>
                <w:color w:val="000000"/>
              </w:rPr>
              <w:t>0</w:t>
            </w:r>
            <w:r w:rsidRPr="0032041E">
              <w:rPr>
                <w:color w:val="000000"/>
              </w:rPr>
              <w:t>, 36.752]</w:t>
            </w:r>
          </w:p>
        </w:tc>
      </w:tr>
      <w:tr w:rsidR="0032041E" w:rsidRPr="004D5FBC" w14:paraId="234FDB76" w14:textId="77777777" w:rsidTr="0032041E">
        <w:tc>
          <w:tcPr>
            <w:tcW w:w="2425" w:type="dxa"/>
          </w:tcPr>
          <w:p w14:paraId="767C45C5" w14:textId="527F2020" w:rsidR="0032041E" w:rsidRPr="004D5FBC" w:rsidRDefault="0032041E" w:rsidP="0032041E">
            <w:pPr>
              <w:rPr>
                <w:bCs w:val="0"/>
                <w:i/>
                <w:iCs/>
              </w:rPr>
            </w:pPr>
            <w:r w:rsidRPr="004D5FBC">
              <w:rPr>
                <w:bCs w:val="0"/>
                <w:i/>
                <w:iCs/>
              </w:rPr>
              <w:t>PNUE</w:t>
            </w:r>
          </w:p>
        </w:tc>
        <w:tc>
          <w:tcPr>
            <w:tcW w:w="635" w:type="dxa"/>
            <w:vAlign w:val="center"/>
          </w:tcPr>
          <w:p w14:paraId="188D8F81" w14:textId="76DB9A8A" w:rsidR="0032041E" w:rsidRPr="0032041E" w:rsidRDefault="0032041E" w:rsidP="0032041E">
            <w:pPr>
              <w:jc w:val="right"/>
              <w:rPr>
                <w:b/>
              </w:rPr>
            </w:pPr>
            <w:r w:rsidRPr="0032041E">
              <w:rPr>
                <w:color w:val="000000"/>
              </w:rPr>
              <w:t>61</w:t>
            </w:r>
          </w:p>
        </w:tc>
        <w:tc>
          <w:tcPr>
            <w:tcW w:w="2070" w:type="dxa"/>
            <w:vAlign w:val="bottom"/>
          </w:tcPr>
          <w:p w14:paraId="09C701C9" w14:textId="4496BC6A" w:rsidR="0032041E" w:rsidRPr="0032041E" w:rsidRDefault="0032041E" w:rsidP="0032041E">
            <w:pPr>
              <w:jc w:val="right"/>
              <w:rPr>
                <w:b/>
              </w:rPr>
            </w:pPr>
            <w:r w:rsidRPr="0032041E">
              <w:rPr>
                <w:color w:val="000000"/>
              </w:rPr>
              <w:t>15.373±49.332</w:t>
            </w:r>
          </w:p>
        </w:tc>
        <w:tc>
          <w:tcPr>
            <w:tcW w:w="1170" w:type="dxa"/>
            <w:vAlign w:val="bottom"/>
          </w:tcPr>
          <w:p w14:paraId="329C3F28" w14:textId="1EB7DA18" w:rsidR="0032041E" w:rsidRPr="0032041E" w:rsidRDefault="0032041E" w:rsidP="0032041E">
            <w:pPr>
              <w:jc w:val="right"/>
              <w:rPr>
                <w:b/>
              </w:rPr>
            </w:pPr>
            <w:r w:rsidRPr="0032041E">
              <w:rPr>
                <w:color w:val="000000"/>
              </w:rPr>
              <w:t>0.356</w:t>
            </w:r>
          </w:p>
        </w:tc>
        <w:tc>
          <w:tcPr>
            <w:tcW w:w="1080" w:type="dxa"/>
            <w:vAlign w:val="bottom"/>
          </w:tcPr>
          <w:p w14:paraId="2F2FB1C8" w14:textId="5DB07D85" w:rsidR="0032041E" w:rsidRPr="0032041E" w:rsidRDefault="0032041E" w:rsidP="0032041E">
            <w:pPr>
              <w:jc w:val="right"/>
              <w:rPr>
                <w:b/>
              </w:rPr>
            </w:pPr>
            <w:r w:rsidRPr="0032041E">
              <w:rPr>
                <w:color w:val="000000"/>
              </w:rPr>
              <w:t>0.722</w:t>
            </w:r>
          </w:p>
        </w:tc>
        <w:tc>
          <w:tcPr>
            <w:tcW w:w="2070" w:type="dxa"/>
            <w:vAlign w:val="bottom"/>
          </w:tcPr>
          <w:p w14:paraId="53C40DBD" w14:textId="4F3986C4" w:rsidR="0032041E" w:rsidRPr="0032041E" w:rsidRDefault="0032041E" w:rsidP="0032041E">
            <w:pPr>
              <w:jc w:val="right"/>
              <w:rPr>
                <w:b/>
              </w:rPr>
            </w:pPr>
            <w:r w:rsidRPr="0032041E">
              <w:rPr>
                <w:color w:val="000000"/>
              </w:rPr>
              <w:t>[-47.429, 153.198]</w:t>
            </w:r>
          </w:p>
        </w:tc>
      </w:tr>
      <w:tr w:rsidR="0032041E" w:rsidRPr="004D5FBC" w14:paraId="5D1BFD35" w14:textId="77777777" w:rsidTr="0032041E">
        <w:tc>
          <w:tcPr>
            <w:tcW w:w="2425" w:type="dxa"/>
          </w:tcPr>
          <w:p w14:paraId="49A30280" w14:textId="2CD19083" w:rsidR="0032041E" w:rsidRPr="004D5FBC" w:rsidRDefault="0032041E" w:rsidP="0032041E">
            <w:pPr>
              <w:rPr>
                <w:bCs w:val="0"/>
                <w:i/>
                <w:iCs/>
              </w:rPr>
            </w:pPr>
            <w:r w:rsidRPr="004D5FBC">
              <w:rPr>
                <w:bCs w:val="0"/>
                <w:i/>
                <w:iCs/>
              </w:rPr>
              <w:t>PPUE</w:t>
            </w:r>
          </w:p>
        </w:tc>
        <w:tc>
          <w:tcPr>
            <w:tcW w:w="635" w:type="dxa"/>
            <w:vAlign w:val="center"/>
          </w:tcPr>
          <w:p w14:paraId="0DA3D107" w14:textId="4D2E4D19" w:rsidR="0032041E" w:rsidRPr="0032041E" w:rsidRDefault="0032041E" w:rsidP="0032041E">
            <w:pPr>
              <w:jc w:val="right"/>
              <w:rPr>
                <w:b/>
              </w:rPr>
            </w:pPr>
            <w:r w:rsidRPr="0032041E">
              <w:rPr>
                <w:color w:val="000000"/>
              </w:rPr>
              <w:t>62</w:t>
            </w:r>
          </w:p>
        </w:tc>
        <w:tc>
          <w:tcPr>
            <w:tcW w:w="2070" w:type="dxa"/>
            <w:vAlign w:val="bottom"/>
          </w:tcPr>
          <w:p w14:paraId="6096BBEE" w14:textId="7715A8B2" w:rsidR="0032041E" w:rsidRPr="0032041E" w:rsidRDefault="0032041E" w:rsidP="0032041E">
            <w:pPr>
              <w:jc w:val="right"/>
              <w:rPr>
                <w:b/>
              </w:rPr>
            </w:pPr>
            <w:r w:rsidRPr="0032041E">
              <w:rPr>
                <w:color w:val="000000"/>
              </w:rPr>
              <w:t>-10.952±29.434</w:t>
            </w:r>
          </w:p>
        </w:tc>
        <w:tc>
          <w:tcPr>
            <w:tcW w:w="1170" w:type="dxa"/>
            <w:vAlign w:val="bottom"/>
          </w:tcPr>
          <w:p w14:paraId="11B470C1" w14:textId="2D90A3C8" w:rsidR="0032041E" w:rsidRPr="0032041E" w:rsidRDefault="0032041E" w:rsidP="0032041E">
            <w:pPr>
              <w:jc w:val="right"/>
              <w:rPr>
                <w:b/>
              </w:rPr>
            </w:pPr>
            <w:r w:rsidRPr="0032041E">
              <w:rPr>
                <w:color w:val="000000"/>
              </w:rPr>
              <w:t>-0.448</w:t>
            </w:r>
          </w:p>
        </w:tc>
        <w:tc>
          <w:tcPr>
            <w:tcW w:w="1080" w:type="dxa"/>
            <w:vAlign w:val="bottom"/>
          </w:tcPr>
          <w:p w14:paraId="5256670A" w14:textId="7E235CF0" w:rsidR="0032041E" w:rsidRPr="0032041E" w:rsidRDefault="0032041E" w:rsidP="0032041E">
            <w:pPr>
              <w:jc w:val="right"/>
              <w:rPr>
                <w:b/>
              </w:rPr>
            </w:pPr>
            <w:r w:rsidRPr="0032041E">
              <w:rPr>
                <w:color w:val="000000"/>
              </w:rPr>
              <w:t>0.654</w:t>
            </w:r>
          </w:p>
        </w:tc>
        <w:tc>
          <w:tcPr>
            <w:tcW w:w="2070" w:type="dxa"/>
            <w:vAlign w:val="bottom"/>
          </w:tcPr>
          <w:p w14:paraId="57BBDD0C" w14:textId="63A5C628" w:rsidR="0032041E" w:rsidRPr="0032041E" w:rsidRDefault="0032041E" w:rsidP="0032041E">
            <w:pPr>
              <w:jc w:val="right"/>
              <w:rPr>
                <w:b/>
              </w:rPr>
            </w:pPr>
            <w:r w:rsidRPr="0032041E">
              <w:rPr>
                <w:color w:val="000000"/>
              </w:rPr>
              <w:t>[-46.313, 47.846]</w:t>
            </w:r>
          </w:p>
        </w:tc>
      </w:tr>
      <w:tr w:rsidR="0032041E" w:rsidRPr="004D5FBC" w14:paraId="34FEE5C0" w14:textId="77777777" w:rsidTr="0032041E">
        <w:tc>
          <w:tcPr>
            <w:tcW w:w="2425" w:type="dxa"/>
          </w:tcPr>
          <w:p w14:paraId="15CDD105" w14:textId="6B8C37FD" w:rsidR="0032041E" w:rsidRPr="004D5FBC" w:rsidRDefault="0032041E" w:rsidP="0032041E">
            <w:pPr>
              <w:rPr>
                <w:bCs w:val="0"/>
                <w:i/>
                <w:iCs/>
              </w:rPr>
            </w:pPr>
            <w:r w:rsidRPr="004D5FBC">
              <w:rPr>
                <w:bCs w:val="0"/>
                <w:i/>
                <w:iCs/>
              </w:rPr>
              <w:t>Total biomass</w:t>
            </w:r>
          </w:p>
        </w:tc>
        <w:tc>
          <w:tcPr>
            <w:tcW w:w="635" w:type="dxa"/>
            <w:vAlign w:val="bottom"/>
          </w:tcPr>
          <w:p w14:paraId="13D85C79" w14:textId="226AF75D" w:rsidR="0032041E" w:rsidRPr="0032041E" w:rsidRDefault="0032041E" w:rsidP="0032041E">
            <w:pPr>
              <w:jc w:val="right"/>
              <w:rPr>
                <w:b/>
              </w:rPr>
            </w:pPr>
            <w:r w:rsidRPr="0032041E">
              <w:rPr>
                <w:color w:val="000000"/>
              </w:rPr>
              <w:t>42</w:t>
            </w:r>
          </w:p>
        </w:tc>
        <w:tc>
          <w:tcPr>
            <w:tcW w:w="2070" w:type="dxa"/>
            <w:vAlign w:val="bottom"/>
          </w:tcPr>
          <w:p w14:paraId="6E605583" w14:textId="0958A3D7" w:rsidR="0032041E" w:rsidRPr="0032041E" w:rsidRDefault="0032041E" w:rsidP="0032041E">
            <w:pPr>
              <w:jc w:val="right"/>
              <w:rPr>
                <w:b/>
              </w:rPr>
            </w:pPr>
            <w:r w:rsidRPr="0032041E">
              <w:rPr>
                <w:color w:val="000000"/>
              </w:rPr>
              <w:t>14.339±10.96</w:t>
            </w:r>
          </w:p>
        </w:tc>
        <w:tc>
          <w:tcPr>
            <w:tcW w:w="1170" w:type="dxa"/>
            <w:vAlign w:val="bottom"/>
          </w:tcPr>
          <w:p w14:paraId="00BD6E57" w14:textId="09651E62" w:rsidR="0032041E" w:rsidRPr="0032041E" w:rsidRDefault="0032041E" w:rsidP="0032041E">
            <w:pPr>
              <w:jc w:val="right"/>
              <w:rPr>
                <w:b/>
              </w:rPr>
            </w:pPr>
            <w:r w:rsidRPr="0032041E">
              <w:rPr>
                <w:color w:val="000000"/>
              </w:rPr>
              <w:t>1.289</w:t>
            </w:r>
          </w:p>
        </w:tc>
        <w:tc>
          <w:tcPr>
            <w:tcW w:w="1080" w:type="dxa"/>
            <w:vAlign w:val="bottom"/>
          </w:tcPr>
          <w:p w14:paraId="7E3EBAB8" w14:textId="6D22C2BD" w:rsidR="0032041E" w:rsidRPr="0032041E" w:rsidRDefault="0032041E" w:rsidP="0032041E">
            <w:pPr>
              <w:jc w:val="right"/>
              <w:rPr>
                <w:b/>
              </w:rPr>
            </w:pPr>
            <w:r w:rsidRPr="0032041E">
              <w:rPr>
                <w:color w:val="000000"/>
              </w:rPr>
              <w:t>0.197</w:t>
            </w:r>
          </w:p>
        </w:tc>
        <w:tc>
          <w:tcPr>
            <w:tcW w:w="2070" w:type="dxa"/>
            <w:vAlign w:val="bottom"/>
          </w:tcPr>
          <w:p w14:paraId="478E311C" w14:textId="1C78C137" w:rsidR="0032041E" w:rsidRPr="0032041E" w:rsidRDefault="0032041E" w:rsidP="0032041E">
            <w:pPr>
              <w:jc w:val="right"/>
              <w:rPr>
                <w:b/>
              </w:rPr>
            </w:pPr>
            <w:r w:rsidRPr="0032041E">
              <w:rPr>
                <w:color w:val="000000"/>
              </w:rPr>
              <w:t>[-6.761, 40.074]</w:t>
            </w:r>
          </w:p>
        </w:tc>
      </w:tr>
      <w:tr w:rsidR="0032041E" w:rsidRPr="004D5FBC" w14:paraId="2CB8BCA8" w14:textId="77777777" w:rsidTr="0032041E">
        <w:tc>
          <w:tcPr>
            <w:tcW w:w="2425" w:type="dxa"/>
          </w:tcPr>
          <w:p w14:paraId="31C0C3C7" w14:textId="74E45F35" w:rsidR="0032041E" w:rsidRPr="009520B2" w:rsidRDefault="0032041E" w:rsidP="0032041E">
            <w:pPr>
              <w:rPr>
                <w:b/>
                <w:i/>
                <w:iCs/>
              </w:rPr>
            </w:pPr>
            <w:r w:rsidRPr="009520B2">
              <w:rPr>
                <w:b/>
                <w:i/>
                <w:iCs/>
              </w:rPr>
              <w:t>Aboveground biomass</w:t>
            </w:r>
          </w:p>
        </w:tc>
        <w:tc>
          <w:tcPr>
            <w:tcW w:w="635" w:type="dxa"/>
            <w:vAlign w:val="bottom"/>
          </w:tcPr>
          <w:p w14:paraId="4B2378A4" w14:textId="33E4AD1E" w:rsidR="0032041E" w:rsidRPr="0032041E" w:rsidRDefault="0032041E" w:rsidP="0032041E">
            <w:pPr>
              <w:jc w:val="right"/>
              <w:rPr>
                <w:b/>
                <w:bCs w:val="0"/>
              </w:rPr>
            </w:pPr>
            <w:r w:rsidRPr="0032041E">
              <w:rPr>
                <w:b/>
                <w:bCs w:val="0"/>
                <w:color w:val="000000"/>
              </w:rPr>
              <w:t>125</w:t>
            </w:r>
          </w:p>
        </w:tc>
        <w:tc>
          <w:tcPr>
            <w:tcW w:w="2070" w:type="dxa"/>
            <w:vAlign w:val="bottom"/>
          </w:tcPr>
          <w:p w14:paraId="2AD81321" w14:textId="30B644EB" w:rsidR="0032041E" w:rsidRPr="0032041E" w:rsidRDefault="0032041E" w:rsidP="0032041E">
            <w:pPr>
              <w:jc w:val="right"/>
              <w:rPr>
                <w:b/>
                <w:bCs w:val="0"/>
              </w:rPr>
            </w:pPr>
            <w:r w:rsidRPr="0032041E">
              <w:rPr>
                <w:b/>
                <w:bCs w:val="0"/>
                <w:color w:val="000000"/>
              </w:rPr>
              <w:t>19.961±7.788</w:t>
            </w:r>
          </w:p>
        </w:tc>
        <w:tc>
          <w:tcPr>
            <w:tcW w:w="1170" w:type="dxa"/>
            <w:vAlign w:val="bottom"/>
          </w:tcPr>
          <w:p w14:paraId="3E62B3E0" w14:textId="27C56CC9" w:rsidR="0032041E" w:rsidRPr="0032041E" w:rsidRDefault="0032041E" w:rsidP="0032041E">
            <w:pPr>
              <w:jc w:val="right"/>
              <w:rPr>
                <w:b/>
                <w:bCs w:val="0"/>
              </w:rPr>
            </w:pPr>
            <w:r w:rsidRPr="0032041E">
              <w:rPr>
                <w:b/>
                <w:bCs w:val="0"/>
                <w:color w:val="000000"/>
              </w:rPr>
              <w:t>2.418</w:t>
            </w:r>
          </w:p>
        </w:tc>
        <w:tc>
          <w:tcPr>
            <w:tcW w:w="1080" w:type="dxa"/>
            <w:vAlign w:val="bottom"/>
          </w:tcPr>
          <w:p w14:paraId="6B9B7EE0" w14:textId="659A78A8" w:rsidR="0032041E" w:rsidRPr="0032041E" w:rsidRDefault="0032041E" w:rsidP="0032041E">
            <w:pPr>
              <w:jc w:val="right"/>
              <w:rPr>
                <w:b/>
                <w:bCs w:val="0"/>
              </w:rPr>
            </w:pPr>
            <w:r w:rsidRPr="0032041E">
              <w:rPr>
                <w:b/>
                <w:bCs w:val="0"/>
                <w:color w:val="000000"/>
              </w:rPr>
              <w:t>0.016</w:t>
            </w:r>
          </w:p>
        </w:tc>
        <w:tc>
          <w:tcPr>
            <w:tcW w:w="2070" w:type="dxa"/>
            <w:vAlign w:val="bottom"/>
          </w:tcPr>
          <w:p w14:paraId="475F43CC" w14:textId="0DD22FEC" w:rsidR="0032041E" w:rsidRPr="0032041E" w:rsidRDefault="0032041E" w:rsidP="0032041E">
            <w:pPr>
              <w:jc w:val="right"/>
              <w:rPr>
                <w:b/>
                <w:bCs w:val="0"/>
              </w:rPr>
            </w:pPr>
            <w:r w:rsidRPr="0032041E">
              <w:rPr>
                <w:b/>
                <w:bCs w:val="0"/>
                <w:color w:val="000000"/>
              </w:rPr>
              <w:t>[3.562, 39.097]</w:t>
            </w:r>
          </w:p>
        </w:tc>
      </w:tr>
      <w:tr w:rsidR="0032041E" w:rsidRPr="004D5FBC" w14:paraId="4C9C6ACC" w14:textId="77777777" w:rsidTr="0032041E">
        <w:tc>
          <w:tcPr>
            <w:tcW w:w="2425" w:type="dxa"/>
          </w:tcPr>
          <w:p w14:paraId="462A40D0" w14:textId="0F17AE4B" w:rsidR="0032041E" w:rsidRPr="004D5FBC" w:rsidRDefault="0032041E" w:rsidP="0032041E">
            <w:pPr>
              <w:rPr>
                <w:bCs w:val="0"/>
                <w:i/>
                <w:iCs/>
              </w:rPr>
            </w:pPr>
            <w:r w:rsidRPr="004D5FBC">
              <w:rPr>
                <w:bCs w:val="0"/>
                <w:i/>
                <w:iCs/>
              </w:rPr>
              <w:t>Belowground biomass</w:t>
            </w:r>
          </w:p>
        </w:tc>
        <w:tc>
          <w:tcPr>
            <w:tcW w:w="635" w:type="dxa"/>
            <w:vAlign w:val="bottom"/>
          </w:tcPr>
          <w:p w14:paraId="5E0545D9" w14:textId="291B6DB6" w:rsidR="0032041E" w:rsidRPr="0032041E" w:rsidRDefault="0032041E" w:rsidP="0032041E">
            <w:pPr>
              <w:jc w:val="right"/>
              <w:rPr>
                <w:b/>
              </w:rPr>
            </w:pPr>
            <w:r w:rsidRPr="0032041E">
              <w:rPr>
                <w:color w:val="000000"/>
              </w:rPr>
              <w:t>63</w:t>
            </w:r>
          </w:p>
        </w:tc>
        <w:tc>
          <w:tcPr>
            <w:tcW w:w="2070" w:type="dxa"/>
            <w:vAlign w:val="bottom"/>
          </w:tcPr>
          <w:p w14:paraId="0B559151" w14:textId="7A20D05F" w:rsidR="0032041E" w:rsidRPr="0032041E" w:rsidRDefault="0032041E" w:rsidP="0032041E">
            <w:pPr>
              <w:jc w:val="right"/>
              <w:rPr>
                <w:b/>
              </w:rPr>
            </w:pPr>
            <w:r w:rsidRPr="0032041E">
              <w:rPr>
                <w:color w:val="000000"/>
              </w:rPr>
              <w:t>3.977±9.417</w:t>
            </w:r>
          </w:p>
        </w:tc>
        <w:tc>
          <w:tcPr>
            <w:tcW w:w="1170" w:type="dxa"/>
            <w:vAlign w:val="bottom"/>
          </w:tcPr>
          <w:p w14:paraId="6CB49116" w14:textId="4D734CC7" w:rsidR="0032041E" w:rsidRPr="0032041E" w:rsidRDefault="0032041E" w:rsidP="0032041E">
            <w:pPr>
              <w:jc w:val="right"/>
              <w:rPr>
                <w:b/>
              </w:rPr>
            </w:pPr>
            <w:r w:rsidRPr="0032041E">
              <w:rPr>
                <w:color w:val="000000"/>
              </w:rPr>
              <w:t>0.429</w:t>
            </w:r>
          </w:p>
        </w:tc>
        <w:tc>
          <w:tcPr>
            <w:tcW w:w="1080" w:type="dxa"/>
            <w:vAlign w:val="bottom"/>
          </w:tcPr>
          <w:p w14:paraId="662EEFD4" w14:textId="71BA3226" w:rsidR="0032041E" w:rsidRPr="0032041E" w:rsidRDefault="0032041E" w:rsidP="0032041E">
            <w:pPr>
              <w:jc w:val="right"/>
              <w:rPr>
                <w:b/>
              </w:rPr>
            </w:pPr>
            <w:r w:rsidRPr="0032041E">
              <w:rPr>
                <w:color w:val="000000"/>
              </w:rPr>
              <w:t>0.668</w:t>
            </w:r>
          </w:p>
        </w:tc>
        <w:tc>
          <w:tcPr>
            <w:tcW w:w="2070" w:type="dxa"/>
            <w:vAlign w:val="bottom"/>
          </w:tcPr>
          <w:p w14:paraId="31B37501" w14:textId="4A3CF077" w:rsidR="0032041E" w:rsidRPr="0032041E" w:rsidRDefault="0032041E" w:rsidP="0032041E">
            <w:pPr>
              <w:jc w:val="right"/>
              <w:rPr>
                <w:b/>
              </w:rPr>
            </w:pPr>
            <w:r w:rsidRPr="0032041E">
              <w:rPr>
                <w:color w:val="000000"/>
              </w:rPr>
              <w:t>[-12.89</w:t>
            </w:r>
            <w:r>
              <w:rPr>
                <w:color w:val="000000"/>
              </w:rPr>
              <w:t>0</w:t>
            </w:r>
            <w:r w:rsidRPr="0032041E">
              <w:rPr>
                <w:color w:val="000000"/>
              </w:rPr>
              <w:t>, 24.11</w:t>
            </w:r>
            <w:r>
              <w:rPr>
                <w:color w:val="000000"/>
              </w:rPr>
              <w:t>0</w:t>
            </w:r>
            <w:r w:rsidRPr="0032041E">
              <w:rPr>
                <w:color w:val="000000"/>
              </w:rPr>
              <w:t>]</w:t>
            </w:r>
          </w:p>
        </w:tc>
      </w:tr>
      <w:tr w:rsidR="0032041E" w:rsidRPr="004D5FBC" w14:paraId="055DCD33" w14:textId="77777777" w:rsidTr="0032041E">
        <w:tc>
          <w:tcPr>
            <w:tcW w:w="2425" w:type="dxa"/>
          </w:tcPr>
          <w:p w14:paraId="3156DAAA" w14:textId="2A62FB69" w:rsidR="0032041E" w:rsidRPr="004D5FBC" w:rsidRDefault="0032041E" w:rsidP="0032041E">
            <w:pPr>
              <w:rPr>
                <w:bCs w:val="0"/>
                <w:i/>
                <w:iCs/>
              </w:rPr>
            </w:pPr>
            <w:r w:rsidRPr="004D5FBC">
              <w:rPr>
                <w:bCs w:val="0"/>
                <w:i/>
                <w:iCs/>
              </w:rPr>
              <w:t>Root mass fraction</w:t>
            </w:r>
          </w:p>
        </w:tc>
        <w:tc>
          <w:tcPr>
            <w:tcW w:w="635" w:type="dxa"/>
            <w:vAlign w:val="bottom"/>
          </w:tcPr>
          <w:p w14:paraId="6C0F8093" w14:textId="4643A1F8" w:rsidR="0032041E" w:rsidRPr="0032041E" w:rsidRDefault="0032041E" w:rsidP="0032041E">
            <w:pPr>
              <w:jc w:val="right"/>
              <w:rPr>
                <w:b/>
              </w:rPr>
            </w:pPr>
            <w:r w:rsidRPr="0032041E">
              <w:rPr>
                <w:color w:val="000000"/>
              </w:rPr>
              <w:t>40</w:t>
            </w:r>
          </w:p>
        </w:tc>
        <w:tc>
          <w:tcPr>
            <w:tcW w:w="2070" w:type="dxa"/>
            <w:vAlign w:val="bottom"/>
          </w:tcPr>
          <w:p w14:paraId="29C478EC" w14:textId="47EBE410" w:rsidR="0032041E" w:rsidRPr="0032041E" w:rsidRDefault="0032041E" w:rsidP="0032041E">
            <w:pPr>
              <w:jc w:val="right"/>
              <w:rPr>
                <w:b/>
              </w:rPr>
            </w:pPr>
            <w:r w:rsidRPr="0032041E">
              <w:rPr>
                <w:color w:val="000000"/>
              </w:rPr>
              <w:t>13.655±14.912</w:t>
            </w:r>
          </w:p>
        </w:tc>
        <w:tc>
          <w:tcPr>
            <w:tcW w:w="1170" w:type="dxa"/>
            <w:vAlign w:val="bottom"/>
          </w:tcPr>
          <w:p w14:paraId="715FB067" w14:textId="6CFE7193" w:rsidR="0032041E" w:rsidRPr="0032041E" w:rsidRDefault="0032041E" w:rsidP="0032041E">
            <w:pPr>
              <w:jc w:val="right"/>
              <w:rPr>
                <w:b/>
              </w:rPr>
            </w:pPr>
            <w:r w:rsidRPr="0032041E">
              <w:rPr>
                <w:color w:val="000000"/>
              </w:rPr>
              <w:t>0.920</w:t>
            </w:r>
          </w:p>
        </w:tc>
        <w:tc>
          <w:tcPr>
            <w:tcW w:w="1080" w:type="dxa"/>
            <w:vAlign w:val="bottom"/>
          </w:tcPr>
          <w:p w14:paraId="7EFF41DF" w14:textId="6121E945" w:rsidR="0032041E" w:rsidRPr="0032041E" w:rsidRDefault="0032041E" w:rsidP="0032041E">
            <w:pPr>
              <w:jc w:val="right"/>
              <w:rPr>
                <w:b/>
              </w:rPr>
            </w:pPr>
            <w:r w:rsidRPr="0032041E">
              <w:rPr>
                <w:color w:val="000000"/>
              </w:rPr>
              <w:t>0.358</w:t>
            </w:r>
          </w:p>
        </w:tc>
        <w:tc>
          <w:tcPr>
            <w:tcW w:w="2070" w:type="dxa"/>
            <w:vAlign w:val="bottom"/>
          </w:tcPr>
          <w:p w14:paraId="218EFBC7" w14:textId="5DFEC922" w:rsidR="0032041E" w:rsidRPr="0032041E" w:rsidRDefault="0032041E" w:rsidP="0032041E">
            <w:pPr>
              <w:jc w:val="right"/>
              <w:rPr>
                <w:b/>
              </w:rPr>
            </w:pPr>
            <w:r w:rsidRPr="0032041E">
              <w:rPr>
                <w:color w:val="000000"/>
              </w:rPr>
              <w:t>[-13.498, 49.332]</w:t>
            </w:r>
          </w:p>
        </w:tc>
      </w:tr>
      <w:tr w:rsidR="0032041E" w:rsidRPr="004D5FBC" w14:paraId="417FD8DE" w14:textId="77777777" w:rsidTr="0032041E">
        <w:tc>
          <w:tcPr>
            <w:tcW w:w="2425" w:type="dxa"/>
            <w:tcBorders>
              <w:bottom w:val="single" w:sz="4" w:space="0" w:color="auto"/>
            </w:tcBorders>
          </w:tcPr>
          <w:p w14:paraId="7A95D113" w14:textId="5C91CCC4" w:rsidR="0032041E" w:rsidRPr="004D5FBC" w:rsidRDefault="0032041E" w:rsidP="0032041E">
            <w:pPr>
              <w:rPr>
                <w:bCs w:val="0"/>
                <w:i/>
                <w:iCs/>
              </w:rPr>
            </w:pPr>
            <w:proofErr w:type="spellStart"/>
            <w:proofErr w:type="gramStart"/>
            <w:r w:rsidRPr="004D5FBC">
              <w:rPr>
                <w:bCs w:val="0"/>
                <w:i/>
                <w:iCs/>
              </w:rPr>
              <w:t>Root:shoot</w:t>
            </w:r>
            <w:proofErr w:type="spellEnd"/>
            <w:proofErr w:type="gramEnd"/>
          </w:p>
        </w:tc>
        <w:tc>
          <w:tcPr>
            <w:tcW w:w="635" w:type="dxa"/>
            <w:tcBorders>
              <w:bottom w:val="single" w:sz="4" w:space="0" w:color="auto"/>
            </w:tcBorders>
            <w:vAlign w:val="bottom"/>
          </w:tcPr>
          <w:p w14:paraId="6082C4E7" w14:textId="21201E5C" w:rsidR="0032041E" w:rsidRPr="0032041E" w:rsidRDefault="0032041E" w:rsidP="0032041E">
            <w:pPr>
              <w:jc w:val="right"/>
              <w:rPr>
                <w:b/>
              </w:rPr>
            </w:pPr>
            <w:r w:rsidRPr="0032041E">
              <w:rPr>
                <w:color w:val="000000"/>
              </w:rPr>
              <w:t>37</w:t>
            </w:r>
          </w:p>
        </w:tc>
        <w:tc>
          <w:tcPr>
            <w:tcW w:w="2070" w:type="dxa"/>
            <w:tcBorders>
              <w:bottom w:val="single" w:sz="4" w:space="0" w:color="auto"/>
            </w:tcBorders>
            <w:vAlign w:val="bottom"/>
          </w:tcPr>
          <w:p w14:paraId="13C8CDA1" w14:textId="0AB3D0AD" w:rsidR="0032041E" w:rsidRPr="0032041E" w:rsidRDefault="0032041E" w:rsidP="0032041E">
            <w:pPr>
              <w:jc w:val="right"/>
              <w:rPr>
                <w:b/>
              </w:rPr>
            </w:pPr>
            <w:r w:rsidRPr="0032041E">
              <w:rPr>
                <w:color w:val="000000"/>
              </w:rPr>
              <w:t>12.975±13.769</w:t>
            </w:r>
          </w:p>
        </w:tc>
        <w:tc>
          <w:tcPr>
            <w:tcW w:w="1170" w:type="dxa"/>
            <w:tcBorders>
              <w:bottom w:val="single" w:sz="4" w:space="0" w:color="auto"/>
            </w:tcBorders>
            <w:vAlign w:val="bottom"/>
          </w:tcPr>
          <w:p w14:paraId="198548B2" w14:textId="0CB96527" w:rsidR="0032041E" w:rsidRPr="0032041E" w:rsidRDefault="0032041E" w:rsidP="0032041E">
            <w:pPr>
              <w:jc w:val="right"/>
              <w:rPr>
                <w:b/>
              </w:rPr>
            </w:pPr>
            <w:r w:rsidRPr="0032041E">
              <w:rPr>
                <w:color w:val="000000"/>
              </w:rPr>
              <w:t>0.940</w:t>
            </w:r>
          </w:p>
        </w:tc>
        <w:tc>
          <w:tcPr>
            <w:tcW w:w="1080" w:type="dxa"/>
            <w:tcBorders>
              <w:bottom w:val="single" w:sz="4" w:space="0" w:color="auto"/>
            </w:tcBorders>
            <w:vAlign w:val="bottom"/>
          </w:tcPr>
          <w:p w14:paraId="294298C7" w14:textId="6C4BB917" w:rsidR="0032041E" w:rsidRPr="0032041E" w:rsidRDefault="0032041E" w:rsidP="0032041E">
            <w:pPr>
              <w:jc w:val="right"/>
              <w:rPr>
                <w:b/>
              </w:rPr>
            </w:pPr>
            <w:r w:rsidRPr="0032041E">
              <w:rPr>
                <w:color w:val="000000"/>
              </w:rPr>
              <w:t>0.347</w:t>
            </w:r>
          </w:p>
        </w:tc>
        <w:tc>
          <w:tcPr>
            <w:tcW w:w="2070" w:type="dxa"/>
            <w:tcBorders>
              <w:bottom w:val="single" w:sz="4" w:space="0" w:color="auto"/>
            </w:tcBorders>
            <w:vAlign w:val="bottom"/>
          </w:tcPr>
          <w:p w14:paraId="7AEBC209" w14:textId="7A93D1D9" w:rsidR="0032041E" w:rsidRPr="0032041E" w:rsidRDefault="0032041E" w:rsidP="0032041E">
            <w:pPr>
              <w:jc w:val="right"/>
              <w:rPr>
                <w:b/>
              </w:rPr>
            </w:pPr>
            <w:r w:rsidRPr="0032041E">
              <w:rPr>
                <w:color w:val="000000"/>
              </w:rPr>
              <w:t>[-12.366, 45.499]</w:t>
            </w:r>
          </w:p>
        </w:tc>
      </w:tr>
    </w:tbl>
    <w:p w14:paraId="233E5866" w14:textId="2B46A3C6" w:rsidR="001A72B5" w:rsidRPr="001A72B5" w:rsidRDefault="001A72B5" w:rsidP="001A72B5">
      <w:r>
        <w:rPr>
          <w:vertAlign w:val="superscript"/>
        </w:rPr>
        <w:t>*</w:t>
      </w:r>
      <w:r w:rsidR="0032041E">
        <w:t>Significant effects noted in bold font, marginal effects noted in italic font.</w:t>
      </w:r>
      <w:r w:rsidR="0032041E" w:rsidRPr="00805216">
        <w:t xml:space="preserve"> </w:t>
      </w:r>
      <w:r w:rsidR="0032041E">
        <w:t xml:space="preserve">Model coefficients </w:t>
      </w:r>
      <w:r w:rsidR="001A23CA">
        <w:t xml:space="preserve">and 95% confidence interval </w:t>
      </w:r>
      <w:proofErr w:type="spellStart"/>
      <w:r w:rsidR="001A23CA">
        <w:t xml:space="preserve">ranges </w:t>
      </w:r>
      <w:proofErr w:type="spellEnd"/>
      <w:r w:rsidR="0032041E">
        <w:t>have been transformed to percent change to mimic figures.</w:t>
      </w:r>
      <w:r>
        <w:t xml:space="preserve"> Key: </w:t>
      </w:r>
      <w:r>
        <w:rPr>
          <w:i/>
          <w:iCs/>
        </w:rPr>
        <w:t>M</w:t>
      </w:r>
      <w:r>
        <w:rPr>
          <w:iCs/>
          <w:vertAlign w:val="subscript"/>
        </w:rPr>
        <w:t>area</w:t>
      </w:r>
      <w:r>
        <w:rPr>
          <w:iCs/>
        </w:rPr>
        <w:t>=leaf biomass per unit leaf area (g m</w:t>
      </w:r>
      <w:r>
        <w:rPr>
          <w:iCs/>
          <w:vertAlign w:val="superscript"/>
        </w:rPr>
        <w:t>-2</w:t>
      </w:r>
      <w:r>
        <w:rPr>
          <w:iCs/>
        </w:rPr>
        <w:t xml:space="preserve">); </w:t>
      </w:r>
      <w:proofErr w:type="spellStart"/>
      <w:r>
        <w:rPr>
          <w:i/>
        </w:rPr>
        <w:t>N</w:t>
      </w:r>
      <w:r>
        <w:rPr>
          <w:iCs/>
          <w:vertAlign w:val="subscript"/>
        </w:rPr>
        <w:t>mass</w:t>
      </w:r>
      <w:proofErr w:type="spellEnd"/>
      <w:r>
        <w:t>=leaf nitrogen content per unit leaf biomass (</w:t>
      </w:r>
      <w:proofErr w:type="spellStart"/>
      <w:r>
        <w:t>gN</w:t>
      </w:r>
      <w:proofErr w:type="spellEnd"/>
      <w:r>
        <w:t xml:space="preserve"> g</w:t>
      </w:r>
      <w:r>
        <w:rPr>
          <w:vertAlign w:val="superscript"/>
        </w:rPr>
        <w:t>-1</w:t>
      </w:r>
      <w:r>
        <w:t xml:space="preserve">); </w:t>
      </w:r>
      <w:r>
        <w:rPr>
          <w:i/>
          <w:iCs/>
        </w:rPr>
        <w:t>N</w:t>
      </w:r>
      <w:r>
        <w:rPr>
          <w:vertAlign w:val="subscript"/>
        </w:rPr>
        <w:t>area</w:t>
      </w:r>
      <w:r>
        <w:t>=leaf nitrogen content per unit leaf area (</w:t>
      </w:r>
      <w:proofErr w:type="spellStart"/>
      <w:r>
        <w:t>gN</w:t>
      </w:r>
      <w:proofErr w:type="spellEnd"/>
      <w:r>
        <w:t xml:space="preserve"> m</w:t>
      </w:r>
      <w:r>
        <w:rPr>
          <w:vertAlign w:val="superscript"/>
        </w:rPr>
        <w:t>-2</w:t>
      </w:r>
      <w:r>
        <w:t xml:space="preserve">); </w:t>
      </w:r>
      <w:proofErr w:type="spellStart"/>
      <w:r>
        <w:rPr>
          <w:i/>
          <w:iCs/>
        </w:rPr>
        <w:t>P</w:t>
      </w:r>
      <w:r>
        <w:rPr>
          <w:vertAlign w:val="subscript"/>
        </w:rPr>
        <w:t>mass</w:t>
      </w:r>
      <w:proofErr w:type="spellEnd"/>
      <w:r>
        <w:t>=leaf phosphorus content per unit leaf biomass (</w:t>
      </w:r>
      <w:proofErr w:type="spellStart"/>
      <w:r>
        <w:t>gP</w:t>
      </w:r>
      <w:proofErr w:type="spellEnd"/>
      <w:r>
        <w:t xml:space="preserve"> g</w:t>
      </w:r>
      <w:r>
        <w:rPr>
          <w:vertAlign w:val="superscript"/>
        </w:rPr>
        <w:t>-1</w:t>
      </w:r>
      <w:r>
        <w:t xml:space="preserve">); </w:t>
      </w:r>
      <w:proofErr w:type="spellStart"/>
      <w:r>
        <w:rPr>
          <w:i/>
          <w:iCs/>
        </w:rPr>
        <w:t>P</w:t>
      </w:r>
      <w:r>
        <w:rPr>
          <w:vertAlign w:val="subscript"/>
        </w:rPr>
        <w:t>area</w:t>
      </w:r>
      <w:proofErr w:type="spellEnd"/>
      <w:r>
        <w:t>=leaf phosphorus content per unit leaf area (</w:t>
      </w:r>
      <w:proofErr w:type="spellStart"/>
      <w:r>
        <w:t>gP</w:t>
      </w:r>
      <w:proofErr w:type="spellEnd"/>
      <w:r>
        <w:t xml:space="preserve"> m</w:t>
      </w:r>
      <w:r>
        <w:rPr>
          <w:vertAlign w:val="superscript"/>
        </w:rPr>
        <w:t>-2</w:t>
      </w:r>
      <w:r>
        <w:t>);</w:t>
      </w:r>
      <w:r w:rsidR="0032041E">
        <w:t xml:space="preserve"> leaf N:P=ratio of leaf nitrogen content per unit leaf biomass to leaf phosphorus content per unit leaf biomass (unitless);</w:t>
      </w:r>
      <w:r>
        <w:t xml:space="preserve"> </w:t>
      </w:r>
      <w:r>
        <w:rPr>
          <w:i/>
          <w:iCs/>
        </w:rPr>
        <w:t>A</w:t>
      </w:r>
      <w:r>
        <w:rPr>
          <w:vertAlign w:val="subscript"/>
        </w:rPr>
        <w:t>sat</w:t>
      </w:r>
      <w:r>
        <w:t>=light-saturated net photosynthesis rate (</w:t>
      </w:r>
      <w:r>
        <w:rPr>
          <w:lang w:val="el-GR"/>
        </w:rPr>
        <w:t>μ</w:t>
      </w:r>
      <w:r>
        <w:t>mol m</w:t>
      </w:r>
      <w:r>
        <w:rPr>
          <w:vertAlign w:val="superscript"/>
        </w:rPr>
        <w:t>-2</w:t>
      </w:r>
      <w:r>
        <w:t xml:space="preserve"> s</w:t>
      </w:r>
      <w:r>
        <w:rPr>
          <w:vertAlign w:val="superscript"/>
        </w:rPr>
        <w:t>-1</w:t>
      </w:r>
      <w:r>
        <w:t xml:space="preserve">); </w:t>
      </w:r>
      <w:proofErr w:type="spellStart"/>
      <w:r>
        <w:rPr>
          <w:i/>
          <w:iCs/>
        </w:rPr>
        <w:t>V</w:t>
      </w:r>
      <w:r>
        <w:rPr>
          <w:vertAlign w:val="subscript"/>
        </w:rPr>
        <w:t>cmax</w:t>
      </w:r>
      <w:proofErr w:type="spellEnd"/>
      <w:r>
        <w:t>=maximum rate of Rubisco carboxylation (</w:t>
      </w:r>
      <w:r>
        <w:rPr>
          <w:lang w:val="el-GR"/>
        </w:rPr>
        <w:t>μ</w:t>
      </w:r>
      <w:r>
        <w:t>mol m</w:t>
      </w:r>
      <w:r>
        <w:rPr>
          <w:vertAlign w:val="superscript"/>
        </w:rPr>
        <w:t>-2</w:t>
      </w:r>
      <w:r>
        <w:t xml:space="preserve"> s</w:t>
      </w:r>
      <w:r>
        <w:rPr>
          <w:vertAlign w:val="superscript"/>
        </w:rPr>
        <w:t>-1</w:t>
      </w:r>
      <w:r>
        <w:t xml:space="preserve">); </w:t>
      </w:r>
      <w:proofErr w:type="spellStart"/>
      <w:r>
        <w:rPr>
          <w:i/>
          <w:iCs/>
        </w:rPr>
        <w:t>J</w:t>
      </w:r>
      <w:r>
        <w:rPr>
          <w:vertAlign w:val="subscript"/>
        </w:rPr>
        <w:t>max</w:t>
      </w:r>
      <w:proofErr w:type="spellEnd"/>
      <w:r>
        <w:t>=maximum rate of electron transport for RuBP regeneration (</w:t>
      </w:r>
      <w:r>
        <w:rPr>
          <w:lang w:val="el-GR"/>
        </w:rPr>
        <w:t>μ</w:t>
      </w:r>
      <w:r>
        <w:t>mol m</w:t>
      </w:r>
      <w:r>
        <w:rPr>
          <w:vertAlign w:val="superscript"/>
        </w:rPr>
        <w:t>-2</w:t>
      </w:r>
      <w:r>
        <w:t xml:space="preserve"> s</w:t>
      </w:r>
      <w:r>
        <w:rPr>
          <w:vertAlign w:val="superscript"/>
        </w:rPr>
        <w:t>-1</w:t>
      </w:r>
      <w:r>
        <w:t xml:space="preserve">); </w:t>
      </w:r>
      <w:proofErr w:type="spellStart"/>
      <w:r>
        <w:rPr>
          <w:i/>
          <w:iCs/>
        </w:rPr>
        <w:t>J</w:t>
      </w:r>
      <w:r>
        <w:rPr>
          <w:vertAlign w:val="subscript"/>
        </w:rPr>
        <w:t>max</w:t>
      </w:r>
      <w:r>
        <w:t>:</w:t>
      </w:r>
      <w:r>
        <w:rPr>
          <w:i/>
          <w:iCs/>
        </w:rPr>
        <w:t>V</w:t>
      </w:r>
      <w:r>
        <w:rPr>
          <w:vertAlign w:val="subscript"/>
        </w:rPr>
        <w:t>cmax</w:t>
      </w:r>
      <w:proofErr w:type="spellEnd"/>
      <w:r>
        <w:t xml:space="preserve">=ratio of the maximum rate of electron transport for RuBP regeneration to the maximum rate of Rubisco carboxylation (unitless); </w:t>
      </w:r>
      <w:r>
        <w:rPr>
          <w:i/>
          <w:iCs/>
        </w:rPr>
        <w:t>PNUE</w:t>
      </w:r>
      <w:r>
        <w:t>=photosynthetic nitrogen use efficiency (</w:t>
      </w:r>
      <w:r>
        <w:rPr>
          <w:lang w:val="el-GR"/>
        </w:rPr>
        <w:t>μ</w:t>
      </w:r>
      <w:r>
        <w:t>mol gN</w:t>
      </w:r>
      <w:r>
        <w:rPr>
          <w:vertAlign w:val="superscript"/>
        </w:rPr>
        <w:t>-1</w:t>
      </w:r>
      <w:r>
        <w:t xml:space="preserve"> s</w:t>
      </w:r>
      <w:r>
        <w:rPr>
          <w:vertAlign w:val="superscript"/>
        </w:rPr>
        <w:t>-1</w:t>
      </w:r>
      <w:r>
        <w:t xml:space="preserve">); </w:t>
      </w:r>
      <w:r>
        <w:rPr>
          <w:i/>
          <w:iCs/>
        </w:rPr>
        <w:t>PPUE</w:t>
      </w:r>
      <w:r>
        <w:t>=photosynthetic phosphorus use efficiency (</w:t>
      </w:r>
      <w:r>
        <w:rPr>
          <w:lang w:val="el-GR"/>
        </w:rPr>
        <w:t>μ</w:t>
      </w:r>
      <w:r>
        <w:t>mol gP</w:t>
      </w:r>
      <w:r>
        <w:rPr>
          <w:vertAlign w:val="superscript"/>
        </w:rPr>
        <w:t>-1</w:t>
      </w:r>
      <w:r>
        <w:t xml:space="preserve"> s</w:t>
      </w:r>
      <w:r>
        <w:rPr>
          <w:vertAlign w:val="superscript"/>
        </w:rPr>
        <w:t>-1</w:t>
      </w:r>
      <w:r>
        <w:t>)</w:t>
      </w:r>
    </w:p>
    <w:p w14:paraId="1828E2A1" w14:textId="77777777" w:rsidR="0002261D" w:rsidRDefault="0002261D" w:rsidP="002B0173">
      <w:pPr>
        <w:rPr>
          <w:b/>
        </w:rPr>
      </w:pPr>
    </w:p>
    <w:p w14:paraId="2ED457F0" w14:textId="77777777" w:rsidR="001A72B5" w:rsidRDefault="001A72B5" w:rsidP="002B0173">
      <w:pPr>
        <w:rPr>
          <w:b/>
        </w:rPr>
      </w:pPr>
    </w:p>
    <w:p w14:paraId="71D24959" w14:textId="77777777" w:rsidR="00452304" w:rsidRDefault="00452304" w:rsidP="002B0173">
      <w:pPr>
        <w:rPr>
          <w:b/>
        </w:rPr>
        <w:sectPr w:rsidR="00452304" w:rsidSect="006A54CA">
          <w:pgSz w:w="12240" w:h="15840"/>
          <w:pgMar w:top="1440" w:right="1440" w:bottom="1440" w:left="1440" w:header="720" w:footer="720" w:gutter="0"/>
          <w:cols w:space="720"/>
          <w:docGrid w:linePitch="360"/>
        </w:sectPr>
      </w:pPr>
    </w:p>
    <w:p w14:paraId="3FFFFF8C" w14:textId="47AB4E25" w:rsidR="00452304" w:rsidRPr="00355693" w:rsidRDefault="002B0173" w:rsidP="002B0173">
      <w:pPr>
        <w:rPr>
          <w:iCs/>
        </w:rPr>
      </w:pPr>
      <w:r w:rsidRPr="00202B59">
        <w:rPr>
          <w:b/>
        </w:rPr>
        <w:lastRenderedPageBreak/>
        <w:t>Table S</w:t>
      </w:r>
      <w:r w:rsidR="0002261D">
        <w:rPr>
          <w:b/>
        </w:rPr>
        <w:t>6</w:t>
      </w:r>
      <w:r w:rsidRPr="00202B59">
        <w:t xml:space="preserve"> </w:t>
      </w:r>
      <w:r w:rsidR="0002261D">
        <w:t>Climate moderator effects on</w:t>
      </w:r>
      <w:r w:rsidR="00F76832">
        <w:t xml:space="preserve"> leaf nutrient </w:t>
      </w:r>
      <w:r w:rsidR="00452304">
        <w:rPr>
          <w:iCs/>
        </w:rPr>
        <w:t>responses to nutrient addition</w:t>
      </w:r>
      <w:r w:rsidR="00355693">
        <w:rPr>
          <w:iCs/>
          <w:vertAlign w:val="superscript"/>
        </w:rPr>
        <w:t>*</w:t>
      </w:r>
    </w:p>
    <w:tbl>
      <w:tblPr>
        <w:tblW w:w="8460" w:type="dxa"/>
        <w:tblLook w:val="04A0" w:firstRow="1" w:lastRow="0" w:firstColumn="1" w:lastColumn="0" w:noHBand="0" w:noVBand="1"/>
      </w:tblPr>
      <w:tblGrid>
        <w:gridCol w:w="693"/>
        <w:gridCol w:w="1178"/>
        <w:gridCol w:w="1227"/>
        <w:gridCol w:w="1762"/>
        <w:gridCol w:w="889"/>
        <w:gridCol w:w="939"/>
        <w:gridCol w:w="1772"/>
      </w:tblGrid>
      <w:tr w:rsidR="008825E3" w:rsidRPr="00452304" w14:paraId="5AF2FF8A" w14:textId="77777777" w:rsidTr="00A86CC2">
        <w:trPr>
          <w:trHeight w:val="320"/>
        </w:trPr>
        <w:tc>
          <w:tcPr>
            <w:tcW w:w="693" w:type="dxa"/>
            <w:tcBorders>
              <w:top w:val="single" w:sz="4" w:space="0" w:color="auto"/>
              <w:left w:val="nil"/>
              <w:bottom w:val="single" w:sz="4" w:space="0" w:color="auto"/>
              <w:right w:val="nil"/>
            </w:tcBorders>
            <w:vAlign w:val="center"/>
          </w:tcPr>
          <w:p w14:paraId="712BBF75" w14:textId="17D03127" w:rsidR="0058086D" w:rsidRPr="008825E3" w:rsidRDefault="0058086D" w:rsidP="008825E3">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1A11C063" w14:textId="5246623F" w:rsidR="0058086D" w:rsidRPr="00452304" w:rsidRDefault="0058086D" w:rsidP="008825E3">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360E6504" w14:textId="5EE26E6F" w:rsidR="0058086D" w:rsidRPr="00452304" w:rsidRDefault="008825E3" w:rsidP="008825E3">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0058086D" w:rsidRPr="008825E3">
              <w:rPr>
                <w:rFonts w:eastAsia="Times New Roman"/>
                <w:b/>
                <w:bCs/>
                <w:color w:val="000000"/>
                <w:kern w:val="0"/>
                <w:sz w:val="20"/>
                <w:szCs w:val="20"/>
                <w14:ligatures w14:val="none"/>
              </w:rPr>
              <w:t>oderator</w:t>
            </w:r>
          </w:p>
        </w:tc>
        <w:tc>
          <w:tcPr>
            <w:tcW w:w="1762" w:type="dxa"/>
            <w:tcBorders>
              <w:top w:val="single" w:sz="4" w:space="0" w:color="auto"/>
              <w:left w:val="nil"/>
              <w:bottom w:val="single" w:sz="4" w:space="0" w:color="auto"/>
              <w:right w:val="nil"/>
            </w:tcBorders>
            <w:noWrap/>
            <w:vAlign w:val="center"/>
            <w:hideMark/>
          </w:tcPr>
          <w:p w14:paraId="614621A1" w14:textId="641CB10F" w:rsidR="0058086D" w:rsidRPr="00A86CC2" w:rsidRDefault="0058086D" w:rsidP="008825E3">
            <w:pPr>
              <w:spacing w:after="0" w:line="240" w:lineRule="auto"/>
              <w:rPr>
                <w:b/>
                <w:bCs/>
                <w:sz w:val="20"/>
                <w:szCs w:val="20"/>
              </w:rPr>
            </w:pPr>
            <w:r w:rsidRPr="00A86CC2">
              <w:rPr>
                <w:b/>
                <w:bCs/>
                <w:sz w:val="20"/>
                <w:szCs w:val="20"/>
              </w:rPr>
              <w:t>Coef</w:t>
            </w:r>
            <w:r w:rsidR="008825E3" w:rsidRPr="00A86CC2">
              <w:rPr>
                <w:b/>
                <w:bCs/>
                <w:sz w:val="20"/>
                <w:szCs w:val="20"/>
              </w:rPr>
              <w:t>.</w:t>
            </w:r>
            <w:r w:rsidRPr="00A86CC2">
              <w:rPr>
                <w:b/>
                <w:bCs/>
                <w:sz w:val="20"/>
                <w:szCs w:val="20"/>
              </w:rPr>
              <w:t xml:space="preserve"> (±SE)</w:t>
            </w:r>
          </w:p>
        </w:tc>
        <w:tc>
          <w:tcPr>
            <w:tcW w:w="889" w:type="dxa"/>
            <w:tcBorders>
              <w:top w:val="single" w:sz="4" w:space="0" w:color="auto"/>
              <w:left w:val="nil"/>
              <w:bottom w:val="single" w:sz="4" w:space="0" w:color="auto"/>
              <w:right w:val="nil"/>
            </w:tcBorders>
            <w:noWrap/>
            <w:vAlign w:val="center"/>
            <w:hideMark/>
          </w:tcPr>
          <w:p w14:paraId="3EE52B94" w14:textId="7FC27D96" w:rsidR="0058086D" w:rsidRPr="00A86CC2" w:rsidRDefault="0058086D" w:rsidP="008825E3">
            <w:pPr>
              <w:spacing w:after="0" w:line="240" w:lineRule="auto"/>
              <w:rPr>
                <w:rFonts w:eastAsia="Times New Roman"/>
                <w:b/>
                <w:bCs/>
                <w:color w:val="000000"/>
                <w:kern w:val="0"/>
                <w:sz w:val="20"/>
                <w:szCs w:val="20"/>
                <w14:ligatures w14:val="none"/>
              </w:rPr>
            </w:pPr>
            <w:r w:rsidRPr="00A86CC2">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78C59ECF" w14:textId="62E7C3A3" w:rsidR="0058086D" w:rsidRPr="00A86CC2" w:rsidRDefault="0058086D" w:rsidP="008825E3">
            <w:pPr>
              <w:spacing w:after="0" w:line="240" w:lineRule="auto"/>
              <w:rPr>
                <w:rFonts w:eastAsia="Times New Roman"/>
                <w:b/>
                <w:bCs/>
                <w:color w:val="000000"/>
                <w:kern w:val="0"/>
                <w:sz w:val="20"/>
                <w:szCs w:val="20"/>
                <w14:ligatures w14:val="none"/>
              </w:rPr>
            </w:pPr>
            <w:r w:rsidRPr="00A86CC2">
              <w:rPr>
                <w:b/>
                <w:bCs/>
                <w:i/>
                <w:iCs/>
                <w:sz w:val="20"/>
                <w:szCs w:val="20"/>
              </w:rPr>
              <w:t>p</w:t>
            </w:r>
            <w:r w:rsidRPr="00A86CC2">
              <w:rPr>
                <w:b/>
                <w:bCs/>
                <w:sz w:val="20"/>
                <w:szCs w:val="20"/>
              </w:rPr>
              <w:t>-value</w:t>
            </w:r>
          </w:p>
        </w:tc>
        <w:tc>
          <w:tcPr>
            <w:tcW w:w="1772" w:type="dxa"/>
            <w:tcBorders>
              <w:top w:val="single" w:sz="4" w:space="0" w:color="auto"/>
              <w:left w:val="nil"/>
              <w:bottom w:val="single" w:sz="4" w:space="0" w:color="auto"/>
              <w:right w:val="nil"/>
            </w:tcBorders>
            <w:noWrap/>
            <w:vAlign w:val="center"/>
            <w:hideMark/>
          </w:tcPr>
          <w:p w14:paraId="506A676E" w14:textId="5A301E60" w:rsidR="0058086D" w:rsidRPr="00A86CC2" w:rsidRDefault="0058086D" w:rsidP="008825E3">
            <w:pPr>
              <w:spacing w:after="0" w:line="240" w:lineRule="auto"/>
              <w:rPr>
                <w:b/>
                <w:bCs/>
                <w:sz w:val="20"/>
                <w:szCs w:val="20"/>
              </w:rPr>
            </w:pPr>
            <w:r w:rsidRPr="00A86CC2">
              <w:rPr>
                <w:b/>
                <w:bCs/>
                <w:sz w:val="20"/>
                <w:szCs w:val="20"/>
              </w:rPr>
              <w:t>95% CI</w:t>
            </w:r>
          </w:p>
        </w:tc>
      </w:tr>
      <w:tr w:rsidR="00A86CC2" w:rsidRPr="00452304" w14:paraId="4477C939" w14:textId="77777777" w:rsidTr="00C5108C">
        <w:trPr>
          <w:trHeight w:val="320"/>
        </w:trPr>
        <w:tc>
          <w:tcPr>
            <w:tcW w:w="693" w:type="dxa"/>
            <w:vMerge w:val="restart"/>
            <w:tcBorders>
              <w:top w:val="single" w:sz="4" w:space="0" w:color="auto"/>
              <w:left w:val="nil"/>
              <w:right w:val="nil"/>
            </w:tcBorders>
            <w:vAlign w:val="center"/>
          </w:tcPr>
          <w:p w14:paraId="26274C5D" w14:textId="46ABB36B" w:rsidR="00A86CC2" w:rsidRPr="008825E3" w:rsidRDefault="00A86CC2" w:rsidP="00A86CC2">
            <w:pPr>
              <w:spacing w:after="0" w:line="240" w:lineRule="auto"/>
              <w:rPr>
                <w:rFonts w:eastAsia="Times New Roman"/>
                <w:iCs/>
                <w:color w:val="000000"/>
                <w:kern w:val="0"/>
                <w:sz w:val="20"/>
                <w:szCs w:val="20"/>
                <w14:ligatures w14:val="none"/>
              </w:rPr>
            </w:pPr>
            <w:r w:rsidRPr="008825E3">
              <w:rPr>
                <w:rFonts w:eastAsia="Times New Roman"/>
                <w:i/>
                <w:iCs/>
                <w:color w:val="000000"/>
                <w:kern w:val="0"/>
                <w:sz w:val="20"/>
                <w:szCs w:val="20"/>
                <w14:ligatures w14:val="none"/>
              </w:rPr>
              <w:t>M</w:t>
            </w:r>
            <w:r w:rsidRPr="008825E3">
              <w:rPr>
                <w:rFonts w:eastAsia="Times New Roman"/>
                <w:iCs/>
                <w:color w:val="000000"/>
                <w:kern w:val="0"/>
                <w:sz w:val="20"/>
                <w:szCs w:val="20"/>
                <w:vertAlign w:val="subscript"/>
                <w14:ligatures w14:val="none"/>
              </w:rPr>
              <w:t>area</w:t>
            </w:r>
          </w:p>
        </w:tc>
        <w:tc>
          <w:tcPr>
            <w:tcW w:w="1178" w:type="dxa"/>
            <w:vMerge w:val="restart"/>
            <w:tcBorders>
              <w:top w:val="single" w:sz="4" w:space="0" w:color="auto"/>
              <w:left w:val="nil"/>
              <w:right w:val="nil"/>
            </w:tcBorders>
            <w:noWrap/>
            <w:vAlign w:val="center"/>
            <w:hideMark/>
          </w:tcPr>
          <w:p w14:paraId="38BEBD4D" w14:textId="365CEE1B" w:rsidR="00A86CC2" w:rsidRPr="00452304" w:rsidRDefault="00A86CC2" w:rsidP="00A86CC2">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08711150" w14:textId="3EEA7EED" w:rsidR="00A86CC2" w:rsidRPr="00452304" w:rsidRDefault="00A86CC2" w:rsidP="00A86CC2">
            <w:pPr>
              <w:spacing w:after="0" w:line="240" w:lineRule="auto"/>
              <w:rPr>
                <w:rFonts w:eastAsia="Times New Roman"/>
                <w:color w:val="000000"/>
                <w:kern w:val="0"/>
                <w:sz w:val="20"/>
                <w:szCs w:val="20"/>
                <w14:ligatures w14:val="none"/>
              </w:rPr>
            </w:pPr>
            <w:proofErr w:type="spellStart"/>
            <w:r w:rsidRPr="008825E3">
              <w:rPr>
                <w:rFonts w:eastAsia="Times New Roman"/>
                <w:i/>
                <w:iCs/>
                <w:color w:val="000000"/>
                <w:kern w:val="0"/>
                <w:sz w:val="20"/>
                <w:szCs w:val="20"/>
                <w14:ligatures w14:val="none"/>
              </w:rPr>
              <w:t>T</w:t>
            </w:r>
            <w:r w:rsidRPr="008825E3">
              <w:rPr>
                <w:rFonts w:eastAsia="Times New Roman"/>
                <w:color w:val="000000"/>
                <w:kern w:val="0"/>
                <w:sz w:val="20"/>
                <w:szCs w:val="20"/>
                <w:vertAlign w:val="subscript"/>
                <w14:ligatures w14:val="none"/>
              </w:rPr>
              <w:t>g</w:t>
            </w:r>
            <w:proofErr w:type="spellEnd"/>
          </w:p>
        </w:tc>
        <w:tc>
          <w:tcPr>
            <w:tcW w:w="1762" w:type="dxa"/>
            <w:tcBorders>
              <w:top w:val="single" w:sz="4" w:space="0" w:color="auto"/>
              <w:left w:val="nil"/>
              <w:bottom w:val="nil"/>
              <w:right w:val="nil"/>
            </w:tcBorders>
            <w:noWrap/>
            <w:vAlign w:val="center"/>
            <w:hideMark/>
          </w:tcPr>
          <w:p w14:paraId="74B1D179" w14:textId="05C0DF97"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0.140±0.30</w:t>
            </w:r>
            <w:r w:rsidR="00C5108C">
              <w:rPr>
                <w:color w:val="000000"/>
                <w:sz w:val="20"/>
                <w:szCs w:val="20"/>
              </w:rPr>
              <w:t>1</w:t>
            </w:r>
          </w:p>
        </w:tc>
        <w:tc>
          <w:tcPr>
            <w:tcW w:w="889" w:type="dxa"/>
            <w:tcBorders>
              <w:top w:val="single" w:sz="4" w:space="0" w:color="auto"/>
              <w:left w:val="nil"/>
              <w:bottom w:val="nil"/>
              <w:right w:val="nil"/>
            </w:tcBorders>
            <w:noWrap/>
            <w:vAlign w:val="center"/>
            <w:hideMark/>
          </w:tcPr>
          <w:p w14:paraId="67B7C7E7" w14:textId="60C6C65F"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0.464</w:t>
            </w:r>
          </w:p>
        </w:tc>
        <w:tc>
          <w:tcPr>
            <w:tcW w:w="939" w:type="dxa"/>
            <w:tcBorders>
              <w:top w:val="single" w:sz="4" w:space="0" w:color="auto"/>
              <w:left w:val="nil"/>
              <w:bottom w:val="nil"/>
              <w:right w:val="nil"/>
            </w:tcBorders>
            <w:noWrap/>
            <w:vAlign w:val="center"/>
            <w:hideMark/>
          </w:tcPr>
          <w:p w14:paraId="107CCE86" w14:textId="7157ACA3"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0.643</w:t>
            </w:r>
          </w:p>
        </w:tc>
        <w:tc>
          <w:tcPr>
            <w:tcW w:w="1772" w:type="dxa"/>
            <w:tcBorders>
              <w:top w:val="single" w:sz="4" w:space="0" w:color="auto"/>
              <w:left w:val="nil"/>
              <w:bottom w:val="nil"/>
              <w:right w:val="nil"/>
            </w:tcBorders>
            <w:noWrap/>
            <w:vAlign w:val="center"/>
            <w:hideMark/>
          </w:tcPr>
          <w:p w14:paraId="1F0BA9D9" w14:textId="06A66131"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[-0.439, 0.72</w:t>
            </w:r>
            <w:r w:rsidR="00C5108C">
              <w:rPr>
                <w:color w:val="000000"/>
                <w:sz w:val="20"/>
                <w:szCs w:val="20"/>
              </w:rPr>
              <w:t>3</w:t>
            </w:r>
            <w:r w:rsidRPr="00A86CC2">
              <w:rPr>
                <w:color w:val="000000"/>
                <w:sz w:val="20"/>
                <w:szCs w:val="20"/>
              </w:rPr>
              <w:t>]</w:t>
            </w:r>
          </w:p>
        </w:tc>
      </w:tr>
      <w:tr w:rsidR="00A86CC2" w:rsidRPr="00452304" w14:paraId="77393FC2" w14:textId="77777777" w:rsidTr="00C5108C">
        <w:trPr>
          <w:trHeight w:val="320"/>
        </w:trPr>
        <w:tc>
          <w:tcPr>
            <w:tcW w:w="693" w:type="dxa"/>
            <w:vMerge/>
            <w:tcBorders>
              <w:left w:val="nil"/>
              <w:right w:val="nil"/>
            </w:tcBorders>
          </w:tcPr>
          <w:p w14:paraId="1822AE84"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hideMark/>
          </w:tcPr>
          <w:p w14:paraId="4875C2EB" w14:textId="4CA95B5C" w:rsidR="00A86CC2" w:rsidRPr="00452304"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hideMark/>
          </w:tcPr>
          <w:p w14:paraId="68C38570" w14:textId="2DE4CF6E" w:rsidR="00A86CC2" w:rsidRPr="00452304" w:rsidRDefault="00A86CC2" w:rsidP="00A86CC2">
            <w:pPr>
              <w:spacing w:after="0" w:line="240" w:lineRule="auto"/>
              <w:rPr>
                <w:rFonts w:eastAsia="Times New Roman"/>
                <w:color w:val="000000"/>
                <w:kern w:val="0"/>
                <w:sz w:val="20"/>
                <w:szCs w:val="20"/>
                <w14:ligatures w14:val="none"/>
              </w:rPr>
            </w:pPr>
            <w:proofErr w:type="spellStart"/>
            <w:r w:rsidRPr="008825E3">
              <w:rPr>
                <w:rFonts w:eastAsia="Times New Roman"/>
                <w:i/>
                <w:iCs/>
                <w:color w:val="000000"/>
                <w:kern w:val="0"/>
                <w:sz w:val="20"/>
                <w:szCs w:val="20"/>
                <w14:ligatures w14:val="none"/>
              </w:rPr>
              <w:t>AI</w:t>
            </w:r>
            <w:r w:rsidRPr="008825E3">
              <w:rPr>
                <w:rFonts w:eastAsia="Times New Roman"/>
                <w:color w:val="000000"/>
                <w:kern w:val="0"/>
                <w:sz w:val="20"/>
                <w:szCs w:val="20"/>
                <w:vertAlign w:val="subscript"/>
                <w14:ligatures w14:val="none"/>
              </w:rPr>
              <w:t>g</w:t>
            </w:r>
            <w:proofErr w:type="spellEnd"/>
          </w:p>
        </w:tc>
        <w:tc>
          <w:tcPr>
            <w:tcW w:w="1762" w:type="dxa"/>
            <w:tcBorders>
              <w:top w:val="nil"/>
              <w:left w:val="nil"/>
              <w:bottom w:val="nil"/>
              <w:right w:val="nil"/>
            </w:tcBorders>
            <w:noWrap/>
            <w:vAlign w:val="center"/>
            <w:hideMark/>
          </w:tcPr>
          <w:p w14:paraId="2FE31240" w14:textId="53A243F7"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3.81</w:t>
            </w:r>
            <w:r w:rsidR="00C5108C">
              <w:rPr>
                <w:color w:val="000000"/>
                <w:sz w:val="20"/>
                <w:szCs w:val="20"/>
              </w:rPr>
              <w:t>1</w:t>
            </w:r>
            <w:r w:rsidRPr="00A86CC2">
              <w:rPr>
                <w:color w:val="000000"/>
                <w:sz w:val="20"/>
                <w:szCs w:val="20"/>
              </w:rPr>
              <w:t>±2.470</w:t>
            </w:r>
          </w:p>
        </w:tc>
        <w:tc>
          <w:tcPr>
            <w:tcW w:w="889" w:type="dxa"/>
            <w:tcBorders>
              <w:top w:val="nil"/>
              <w:left w:val="nil"/>
              <w:bottom w:val="nil"/>
              <w:right w:val="nil"/>
            </w:tcBorders>
            <w:noWrap/>
            <w:vAlign w:val="center"/>
            <w:hideMark/>
          </w:tcPr>
          <w:p w14:paraId="6E4F040A" w14:textId="115F4380"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1.530</w:t>
            </w:r>
          </w:p>
        </w:tc>
        <w:tc>
          <w:tcPr>
            <w:tcW w:w="939" w:type="dxa"/>
            <w:tcBorders>
              <w:top w:val="nil"/>
              <w:left w:val="nil"/>
              <w:bottom w:val="nil"/>
              <w:right w:val="nil"/>
            </w:tcBorders>
            <w:noWrap/>
            <w:vAlign w:val="center"/>
            <w:hideMark/>
          </w:tcPr>
          <w:p w14:paraId="685AE85E" w14:textId="28B16680"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0.126</w:t>
            </w:r>
          </w:p>
        </w:tc>
        <w:tc>
          <w:tcPr>
            <w:tcW w:w="1772" w:type="dxa"/>
            <w:tcBorders>
              <w:top w:val="nil"/>
              <w:left w:val="nil"/>
              <w:bottom w:val="nil"/>
              <w:right w:val="nil"/>
            </w:tcBorders>
            <w:noWrap/>
            <w:vAlign w:val="center"/>
            <w:hideMark/>
          </w:tcPr>
          <w:p w14:paraId="02915E34" w14:textId="7E5C2AA1"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[-1.04</w:t>
            </w:r>
            <w:r w:rsidR="00C5108C">
              <w:rPr>
                <w:color w:val="000000"/>
                <w:sz w:val="20"/>
                <w:szCs w:val="20"/>
              </w:rPr>
              <w:t>5</w:t>
            </w:r>
            <w:r w:rsidRPr="00A86CC2">
              <w:rPr>
                <w:color w:val="000000"/>
                <w:sz w:val="20"/>
                <w:szCs w:val="20"/>
              </w:rPr>
              <w:t>, 8.904]</w:t>
            </w:r>
          </w:p>
        </w:tc>
      </w:tr>
      <w:tr w:rsidR="00A86CC2" w:rsidRPr="00452304" w14:paraId="64B1F888" w14:textId="77777777" w:rsidTr="00C5108C">
        <w:trPr>
          <w:trHeight w:val="320"/>
        </w:trPr>
        <w:tc>
          <w:tcPr>
            <w:tcW w:w="693" w:type="dxa"/>
            <w:vMerge/>
            <w:tcBorders>
              <w:left w:val="nil"/>
              <w:right w:val="nil"/>
            </w:tcBorders>
          </w:tcPr>
          <w:p w14:paraId="2BEA4BF3"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146955D0" w14:textId="058DCC7B" w:rsidR="00A86CC2" w:rsidRPr="00452304"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280DBCD1" w14:textId="57A3BFDE" w:rsidR="00A86CC2" w:rsidRPr="00452304" w:rsidRDefault="00A86CC2" w:rsidP="00A86CC2">
            <w:pPr>
              <w:spacing w:after="0" w:line="240" w:lineRule="auto"/>
              <w:rPr>
                <w:rFonts w:eastAsia="Times New Roman"/>
                <w:iCs/>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762" w:type="dxa"/>
            <w:tcBorders>
              <w:top w:val="nil"/>
              <w:left w:val="nil"/>
              <w:bottom w:val="single" w:sz="4" w:space="0" w:color="auto"/>
              <w:right w:val="nil"/>
            </w:tcBorders>
            <w:noWrap/>
            <w:vAlign w:val="center"/>
            <w:hideMark/>
          </w:tcPr>
          <w:p w14:paraId="321176DE" w14:textId="564A7271"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0.000±0.020</w:t>
            </w:r>
          </w:p>
        </w:tc>
        <w:tc>
          <w:tcPr>
            <w:tcW w:w="889" w:type="dxa"/>
            <w:tcBorders>
              <w:top w:val="nil"/>
              <w:left w:val="nil"/>
              <w:bottom w:val="single" w:sz="4" w:space="0" w:color="auto"/>
              <w:right w:val="nil"/>
            </w:tcBorders>
            <w:noWrap/>
            <w:vAlign w:val="center"/>
            <w:hideMark/>
          </w:tcPr>
          <w:p w14:paraId="0EE65314" w14:textId="390BA13D"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-0.258</w:t>
            </w:r>
          </w:p>
        </w:tc>
        <w:tc>
          <w:tcPr>
            <w:tcW w:w="939" w:type="dxa"/>
            <w:tcBorders>
              <w:top w:val="nil"/>
              <w:left w:val="nil"/>
              <w:bottom w:val="single" w:sz="4" w:space="0" w:color="auto"/>
              <w:right w:val="nil"/>
            </w:tcBorders>
            <w:noWrap/>
            <w:vAlign w:val="center"/>
            <w:hideMark/>
          </w:tcPr>
          <w:p w14:paraId="350DEFFF" w14:textId="35C7D4A5"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0.796</w:t>
            </w:r>
          </w:p>
        </w:tc>
        <w:tc>
          <w:tcPr>
            <w:tcW w:w="1772" w:type="dxa"/>
            <w:tcBorders>
              <w:top w:val="nil"/>
              <w:left w:val="nil"/>
              <w:bottom w:val="single" w:sz="4" w:space="0" w:color="auto"/>
              <w:right w:val="nil"/>
            </w:tcBorders>
            <w:noWrap/>
            <w:vAlign w:val="center"/>
            <w:hideMark/>
          </w:tcPr>
          <w:p w14:paraId="72BCD948" w14:textId="3C39541A"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[-0.040, 0.030]</w:t>
            </w:r>
          </w:p>
        </w:tc>
      </w:tr>
      <w:tr w:rsidR="00A86CC2" w:rsidRPr="00452304" w14:paraId="4CC5E454" w14:textId="77777777" w:rsidTr="00C5108C">
        <w:trPr>
          <w:trHeight w:val="320"/>
        </w:trPr>
        <w:tc>
          <w:tcPr>
            <w:tcW w:w="693" w:type="dxa"/>
            <w:vMerge/>
            <w:tcBorders>
              <w:left w:val="nil"/>
              <w:right w:val="nil"/>
            </w:tcBorders>
          </w:tcPr>
          <w:p w14:paraId="30D6BBF3"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hideMark/>
          </w:tcPr>
          <w:p w14:paraId="76EA8E57" w14:textId="567064C5" w:rsidR="00A86CC2" w:rsidRPr="00452304" w:rsidRDefault="00A86CC2" w:rsidP="00A86CC2">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hideMark/>
          </w:tcPr>
          <w:p w14:paraId="1F63982B" w14:textId="31E24991" w:rsidR="00A86CC2" w:rsidRPr="00452304" w:rsidRDefault="00A86CC2" w:rsidP="00A86CC2">
            <w:pPr>
              <w:spacing w:after="0" w:line="240" w:lineRule="auto"/>
              <w:rPr>
                <w:rFonts w:eastAsia="Times New Roman"/>
                <w:color w:val="000000"/>
                <w:kern w:val="0"/>
                <w:sz w:val="20"/>
                <w:szCs w:val="20"/>
                <w14:ligatures w14:val="none"/>
              </w:rPr>
            </w:pPr>
            <w:proofErr w:type="spellStart"/>
            <w:r w:rsidRPr="008825E3">
              <w:rPr>
                <w:rFonts w:eastAsia="Times New Roman"/>
                <w:i/>
                <w:iCs/>
                <w:color w:val="000000"/>
                <w:kern w:val="0"/>
                <w:sz w:val="20"/>
                <w:szCs w:val="20"/>
                <w14:ligatures w14:val="none"/>
              </w:rPr>
              <w:t>T</w:t>
            </w:r>
            <w:r w:rsidRPr="008825E3">
              <w:rPr>
                <w:rFonts w:eastAsia="Times New Roman"/>
                <w:color w:val="000000"/>
                <w:kern w:val="0"/>
                <w:sz w:val="20"/>
                <w:szCs w:val="20"/>
                <w:vertAlign w:val="subscript"/>
                <w14:ligatures w14:val="none"/>
              </w:rPr>
              <w:t>g</w:t>
            </w:r>
            <w:proofErr w:type="spellEnd"/>
          </w:p>
        </w:tc>
        <w:tc>
          <w:tcPr>
            <w:tcW w:w="1762" w:type="dxa"/>
            <w:tcBorders>
              <w:top w:val="single" w:sz="4" w:space="0" w:color="auto"/>
              <w:left w:val="nil"/>
              <w:bottom w:val="nil"/>
              <w:right w:val="nil"/>
            </w:tcBorders>
            <w:noWrap/>
            <w:vAlign w:val="center"/>
            <w:hideMark/>
          </w:tcPr>
          <w:p w14:paraId="4AD16723" w14:textId="57064099"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0.37</w:t>
            </w:r>
            <w:r w:rsidR="00C5108C">
              <w:rPr>
                <w:color w:val="000000"/>
                <w:sz w:val="20"/>
                <w:szCs w:val="20"/>
              </w:rPr>
              <w:t>1</w:t>
            </w:r>
            <w:r w:rsidRPr="00A86CC2">
              <w:rPr>
                <w:color w:val="000000"/>
                <w:sz w:val="20"/>
                <w:szCs w:val="20"/>
              </w:rPr>
              <w:t>±0.250</w:t>
            </w:r>
          </w:p>
        </w:tc>
        <w:tc>
          <w:tcPr>
            <w:tcW w:w="889" w:type="dxa"/>
            <w:tcBorders>
              <w:top w:val="single" w:sz="4" w:space="0" w:color="auto"/>
              <w:left w:val="nil"/>
              <w:bottom w:val="nil"/>
              <w:right w:val="nil"/>
            </w:tcBorders>
            <w:noWrap/>
            <w:vAlign w:val="center"/>
            <w:hideMark/>
          </w:tcPr>
          <w:p w14:paraId="517487DA" w14:textId="7909C574"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1.450</w:t>
            </w:r>
          </w:p>
        </w:tc>
        <w:tc>
          <w:tcPr>
            <w:tcW w:w="939" w:type="dxa"/>
            <w:tcBorders>
              <w:top w:val="single" w:sz="4" w:space="0" w:color="auto"/>
              <w:left w:val="nil"/>
              <w:bottom w:val="nil"/>
              <w:right w:val="nil"/>
            </w:tcBorders>
            <w:noWrap/>
            <w:vAlign w:val="center"/>
            <w:hideMark/>
          </w:tcPr>
          <w:p w14:paraId="7E8C9041" w14:textId="3259224E"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0.147</w:t>
            </w:r>
          </w:p>
        </w:tc>
        <w:tc>
          <w:tcPr>
            <w:tcW w:w="1772" w:type="dxa"/>
            <w:tcBorders>
              <w:top w:val="single" w:sz="4" w:space="0" w:color="auto"/>
              <w:left w:val="nil"/>
              <w:bottom w:val="nil"/>
              <w:right w:val="nil"/>
            </w:tcBorders>
            <w:noWrap/>
            <w:vAlign w:val="center"/>
            <w:hideMark/>
          </w:tcPr>
          <w:p w14:paraId="71871A8D" w14:textId="6F6FBA08"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[-0.1</w:t>
            </w:r>
            <w:r w:rsidR="00C5108C">
              <w:rPr>
                <w:color w:val="000000"/>
                <w:sz w:val="20"/>
                <w:szCs w:val="20"/>
              </w:rPr>
              <w:t>30</w:t>
            </w:r>
            <w:r w:rsidRPr="00A86CC2">
              <w:rPr>
                <w:color w:val="000000"/>
                <w:sz w:val="20"/>
                <w:szCs w:val="20"/>
              </w:rPr>
              <w:t>, 0.87</w:t>
            </w:r>
            <w:r w:rsidR="00C5108C">
              <w:rPr>
                <w:color w:val="000000"/>
                <w:sz w:val="20"/>
                <w:szCs w:val="20"/>
              </w:rPr>
              <w:t>4</w:t>
            </w:r>
            <w:r w:rsidRPr="00A86CC2">
              <w:rPr>
                <w:color w:val="000000"/>
                <w:sz w:val="20"/>
                <w:szCs w:val="20"/>
              </w:rPr>
              <w:t>]</w:t>
            </w:r>
          </w:p>
        </w:tc>
      </w:tr>
      <w:tr w:rsidR="00A86CC2" w:rsidRPr="00452304" w14:paraId="08C22220" w14:textId="77777777" w:rsidTr="00C5108C">
        <w:trPr>
          <w:trHeight w:val="320"/>
        </w:trPr>
        <w:tc>
          <w:tcPr>
            <w:tcW w:w="693" w:type="dxa"/>
            <w:vMerge/>
            <w:tcBorders>
              <w:left w:val="nil"/>
              <w:right w:val="nil"/>
            </w:tcBorders>
          </w:tcPr>
          <w:p w14:paraId="2ECE5911"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hideMark/>
          </w:tcPr>
          <w:p w14:paraId="39276C26" w14:textId="38F51FB6" w:rsidR="00A86CC2" w:rsidRPr="00452304"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hideMark/>
          </w:tcPr>
          <w:p w14:paraId="386CD129" w14:textId="46619ADB" w:rsidR="00A86CC2" w:rsidRPr="00452304" w:rsidRDefault="00A86CC2" w:rsidP="00A86CC2">
            <w:pPr>
              <w:spacing w:after="0" w:line="240" w:lineRule="auto"/>
              <w:rPr>
                <w:rFonts w:eastAsia="Times New Roman"/>
                <w:b/>
                <w:bCs/>
                <w:color w:val="000000"/>
                <w:kern w:val="0"/>
                <w:sz w:val="20"/>
                <w:szCs w:val="20"/>
                <w14:ligatures w14:val="none"/>
              </w:rPr>
            </w:pPr>
            <w:proofErr w:type="spellStart"/>
            <w:r w:rsidRPr="008825E3">
              <w:rPr>
                <w:rFonts w:eastAsia="Times New Roman"/>
                <w:b/>
                <w:bCs/>
                <w:i/>
                <w:iCs/>
                <w:color w:val="000000"/>
                <w:kern w:val="0"/>
                <w:sz w:val="20"/>
                <w:szCs w:val="20"/>
                <w14:ligatures w14:val="none"/>
              </w:rPr>
              <w:t>AI</w:t>
            </w:r>
            <w:r w:rsidRPr="008825E3">
              <w:rPr>
                <w:rFonts w:eastAsia="Times New Roman"/>
                <w:b/>
                <w:bCs/>
                <w:color w:val="000000"/>
                <w:kern w:val="0"/>
                <w:sz w:val="20"/>
                <w:szCs w:val="20"/>
                <w:vertAlign w:val="subscript"/>
                <w14:ligatures w14:val="none"/>
              </w:rPr>
              <w:t>g</w:t>
            </w:r>
            <w:proofErr w:type="spellEnd"/>
          </w:p>
        </w:tc>
        <w:tc>
          <w:tcPr>
            <w:tcW w:w="1762" w:type="dxa"/>
            <w:tcBorders>
              <w:top w:val="nil"/>
              <w:left w:val="nil"/>
              <w:bottom w:val="nil"/>
              <w:right w:val="nil"/>
            </w:tcBorders>
            <w:noWrap/>
            <w:vAlign w:val="center"/>
            <w:hideMark/>
          </w:tcPr>
          <w:p w14:paraId="41A0E630" w14:textId="01787313" w:rsidR="00A86CC2" w:rsidRPr="00A86CC2" w:rsidRDefault="00A86CC2" w:rsidP="00C5108C">
            <w:pPr>
              <w:spacing w:after="0" w:line="240" w:lineRule="auto"/>
              <w:jc w:val="right"/>
              <w:rPr>
                <w:rFonts w:eastAsia="Times New Roman"/>
                <w:b/>
                <w:bCs/>
                <w:color w:val="000000"/>
                <w:kern w:val="0"/>
                <w:sz w:val="20"/>
                <w:szCs w:val="20"/>
                <w:highlight w:val="yellow"/>
                <w14:ligatures w14:val="none"/>
              </w:rPr>
            </w:pPr>
            <w:r w:rsidRPr="00A86CC2">
              <w:rPr>
                <w:b/>
                <w:bCs/>
                <w:color w:val="000000"/>
                <w:sz w:val="20"/>
                <w:szCs w:val="20"/>
              </w:rPr>
              <w:t>5.001±2.112</w:t>
            </w:r>
          </w:p>
        </w:tc>
        <w:tc>
          <w:tcPr>
            <w:tcW w:w="889" w:type="dxa"/>
            <w:tcBorders>
              <w:top w:val="nil"/>
              <w:left w:val="nil"/>
              <w:bottom w:val="nil"/>
              <w:right w:val="nil"/>
            </w:tcBorders>
            <w:noWrap/>
            <w:vAlign w:val="center"/>
            <w:hideMark/>
          </w:tcPr>
          <w:p w14:paraId="5820D393" w14:textId="49FA1641" w:rsidR="00A86CC2" w:rsidRPr="00A86CC2" w:rsidRDefault="00A86CC2" w:rsidP="00C5108C">
            <w:pPr>
              <w:spacing w:after="0" w:line="240" w:lineRule="auto"/>
              <w:jc w:val="right"/>
              <w:rPr>
                <w:rFonts w:eastAsia="Times New Roman"/>
                <w:b/>
                <w:bCs/>
                <w:color w:val="000000"/>
                <w:kern w:val="0"/>
                <w:sz w:val="20"/>
                <w:szCs w:val="20"/>
                <w:highlight w:val="yellow"/>
                <w14:ligatures w14:val="none"/>
              </w:rPr>
            </w:pPr>
            <w:r w:rsidRPr="00A86CC2">
              <w:rPr>
                <w:b/>
                <w:bCs/>
                <w:color w:val="000000"/>
                <w:sz w:val="20"/>
                <w:szCs w:val="20"/>
              </w:rPr>
              <w:t>2.329</w:t>
            </w:r>
          </w:p>
        </w:tc>
        <w:tc>
          <w:tcPr>
            <w:tcW w:w="939" w:type="dxa"/>
            <w:tcBorders>
              <w:top w:val="nil"/>
              <w:left w:val="nil"/>
              <w:bottom w:val="nil"/>
              <w:right w:val="nil"/>
            </w:tcBorders>
            <w:noWrap/>
            <w:vAlign w:val="center"/>
            <w:hideMark/>
          </w:tcPr>
          <w:p w14:paraId="7E618744" w14:textId="6F1CABE3" w:rsidR="00A86CC2" w:rsidRPr="00A86CC2" w:rsidRDefault="00A86CC2" w:rsidP="00C5108C">
            <w:pPr>
              <w:spacing w:after="0" w:line="240" w:lineRule="auto"/>
              <w:jc w:val="right"/>
              <w:rPr>
                <w:rFonts w:eastAsia="Times New Roman"/>
                <w:b/>
                <w:bCs/>
                <w:color w:val="000000"/>
                <w:kern w:val="0"/>
                <w:sz w:val="20"/>
                <w:szCs w:val="20"/>
                <w:highlight w:val="yellow"/>
                <w14:ligatures w14:val="none"/>
              </w:rPr>
            </w:pPr>
            <w:r w:rsidRPr="00A86CC2">
              <w:rPr>
                <w:b/>
                <w:bCs/>
                <w:color w:val="000000"/>
                <w:sz w:val="20"/>
                <w:szCs w:val="20"/>
              </w:rPr>
              <w:t>0.020</w:t>
            </w:r>
          </w:p>
        </w:tc>
        <w:tc>
          <w:tcPr>
            <w:tcW w:w="1772" w:type="dxa"/>
            <w:tcBorders>
              <w:top w:val="nil"/>
              <w:left w:val="nil"/>
              <w:bottom w:val="nil"/>
              <w:right w:val="nil"/>
            </w:tcBorders>
            <w:noWrap/>
            <w:vAlign w:val="center"/>
            <w:hideMark/>
          </w:tcPr>
          <w:p w14:paraId="7E8F25DF" w14:textId="2C40AB90" w:rsidR="00A86CC2" w:rsidRPr="00A86CC2" w:rsidRDefault="00A86CC2" w:rsidP="00C5108C">
            <w:pPr>
              <w:spacing w:after="0" w:line="240" w:lineRule="auto"/>
              <w:jc w:val="right"/>
              <w:rPr>
                <w:rFonts w:eastAsia="Times New Roman"/>
                <w:b/>
                <w:bCs/>
                <w:color w:val="000000"/>
                <w:kern w:val="0"/>
                <w:sz w:val="20"/>
                <w:szCs w:val="20"/>
                <w:highlight w:val="yellow"/>
                <w14:ligatures w14:val="none"/>
              </w:rPr>
            </w:pPr>
            <w:r w:rsidRPr="00A86CC2">
              <w:rPr>
                <w:b/>
                <w:bCs/>
                <w:color w:val="000000"/>
                <w:sz w:val="20"/>
                <w:szCs w:val="20"/>
              </w:rPr>
              <w:t>[0.773, 9.39</w:t>
            </w:r>
            <w:r w:rsidR="00C5108C">
              <w:rPr>
                <w:b/>
                <w:bCs/>
                <w:color w:val="000000"/>
                <w:sz w:val="20"/>
                <w:szCs w:val="20"/>
              </w:rPr>
              <w:t>6</w:t>
            </w:r>
            <w:r w:rsidRPr="00A86CC2">
              <w:rPr>
                <w:b/>
                <w:bCs/>
                <w:color w:val="000000"/>
                <w:sz w:val="20"/>
                <w:szCs w:val="20"/>
              </w:rPr>
              <w:t>]</w:t>
            </w:r>
          </w:p>
        </w:tc>
      </w:tr>
      <w:tr w:rsidR="00A86CC2" w:rsidRPr="00452304" w14:paraId="45DB0A20" w14:textId="77777777" w:rsidTr="00C5108C">
        <w:trPr>
          <w:trHeight w:val="320"/>
        </w:trPr>
        <w:tc>
          <w:tcPr>
            <w:tcW w:w="693" w:type="dxa"/>
            <w:vMerge/>
            <w:tcBorders>
              <w:left w:val="nil"/>
              <w:right w:val="nil"/>
            </w:tcBorders>
          </w:tcPr>
          <w:p w14:paraId="366B86AC"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1A39F2B7" w14:textId="3D3BB3BF" w:rsidR="00A86CC2" w:rsidRPr="00452304"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3C211BDD" w14:textId="77D6B5D4" w:rsidR="00A86CC2" w:rsidRPr="00452304" w:rsidRDefault="00A86CC2" w:rsidP="00A86CC2">
            <w:pPr>
              <w:spacing w:after="0" w:line="240" w:lineRule="auto"/>
              <w:rPr>
                <w:rFonts w:eastAsia="Times New Roman"/>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762" w:type="dxa"/>
            <w:tcBorders>
              <w:top w:val="nil"/>
              <w:left w:val="nil"/>
              <w:bottom w:val="single" w:sz="4" w:space="0" w:color="auto"/>
              <w:right w:val="nil"/>
            </w:tcBorders>
            <w:noWrap/>
            <w:vAlign w:val="center"/>
            <w:hideMark/>
          </w:tcPr>
          <w:p w14:paraId="5D36CEC4" w14:textId="1E10B18F"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0.020±0.010</w:t>
            </w:r>
          </w:p>
        </w:tc>
        <w:tc>
          <w:tcPr>
            <w:tcW w:w="889" w:type="dxa"/>
            <w:tcBorders>
              <w:top w:val="nil"/>
              <w:left w:val="nil"/>
              <w:bottom w:val="single" w:sz="4" w:space="0" w:color="auto"/>
              <w:right w:val="nil"/>
            </w:tcBorders>
            <w:noWrap/>
            <w:vAlign w:val="center"/>
            <w:hideMark/>
          </w:tcPr>
          <w:p w14:paraId="17C7B5D9" w14:textId="702464DB"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1.476</w:t>
            </w:r>
          </w:p>
        </w:tc>
        <w:tc>
          <w:tcPr>
            <w:tcW w:w="939" w:type="dxa"/>
            <w:tcBorders>
              <w:top w:val="nil"/>
              <w:left w:val="nil"/>
              <w:bottom w:val="single" w:sz="4" w:space="0" w:color="auto"/>
              <w:right w:val="nil"/>
            </w:tcBorders>
            <w:noWrap/>
            <w:vAlign w:val="center"/>
            <w:hideMark/>
          </w:tcPr>
          <w:p w14:paraId="639813E8" w14:textId="4A3389F0"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0.140</w:t>
            </w:r>
          </w:p>
        </w:tc>
        <w:tc>
          <w:tcPr>
            <w:tcW w:w="1772" w:type="dxa"/>
            <w:tcBorders>
              <w:top w:val="nil"/>
              <w:left w:val="nil"/>
              <w:bottom w:val="single" w:sz="4" w:space="0" w:color="auto"/>
              <w:right w:val="nil"/>
            </w:tcBorders>
            <w:noWrap/>
            <w:vAlign w:val="center"/>
            <w:hideMark/>
          </w:tcPr>
          <w:p w14:paraId="5C408F75" w14:textId="5150CFF2"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[-0.010, 0.040]</w:t>
            </w:r>
          </w:p>
        </w:tc>
      </w:tr>
      <w:tr w:rsidR="00A86CC2" w:rsidRPr="00452304" w14:paraId="36A865C6" w14:textId="77777777" w:rsidTr="00C5108C">
        <w:trPr>
          <w:trHeight w:val="320"/>
        </w:trPr>
        <w:tc>
          <w:tcPr>
            <w:tcW w:w="693" w:type="dxa"/>
            <w:vMerge/>
            <w:tcBorders>
              <w:left w:val="nil"/>
              <w:right w:val="nil"/>
            </w:tcBorders>
          </w:tcPr>
          <w:p w14:paraId="46D49F03"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hideMark/>
          </w:tcPr>
          <w:p w14:paraId="567D6752" w14:textId="561A379E" w:rsidR="00A86CC2" w:rsidRPr="00452304" w:rsidRDefault="00A86CC2" w:rsidP="00A86CC2">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hideMark/>
          </w:tcPr>
          <w:p w14:paraId="23F1A3E9" w14:textId="475717A3" w:rsidR="00A86CC2" w:rsidRPr="00A86CC2" w:rsidRDefault="00A86CC2" w:rsidP="00A86CC2">
            <w:pPr>
              <w:spacing w:after="0" w:line="240" w:lineRule="auto"/>
              <w:rPr>
                <w:rFonts w:eastAsia="Times New Roman"/>
                <w:i/>
                <w:iCs/>
                <w:color w:val="000000"/>
                <w:kern w:val="0"/>
                <w:sz w:val="20"/>
                <w:szCs w:val="20"/>
                <w14:ligatures w14:val="none"/>
              </w:rPr>
            </w:pPr>
            <w:proofErr w:type="spellStart"/>
            <w:r w:rsidRPr="00A86CC2">
              <w:rPr>
                <w:rFonts w:eastAsia="Times New Roman"/>
                <w:i/>
                <w:iCs/>
                <w:color w:val="000000"/>
                <w:kern w:val="0"/>
                <w:sz w:val="20"/>
                <w:szCs w:val="20"/>
                <w14:ligatures w14:val="none"/>
              </w:rPr>
              <w:t>T</w:t>
            </w:r>
            <w:r w:rsidRPr="00A86CC2">
              <w:rPr>
                <w:rFonts w:eastAsia="Times New Roman"/>
                <w:i/>
                <w:iCs/>
                <w:color w:val="000000"/>
                <w:kern w:val="0"/>
                <w:sz w:val="20"/>
                <w:szCs w:val="20"/>
                <w:vertAlign w:val="subscript"/>
                <w14:ligatures w14:val="none"/>
              </w:rPr>
              <w:t>g</w:t>
            </w:r>
            <w:proofErr w:type="spellEnd"/>
          </w:p>
        </w:tc>
        <w:tc>
          <w:tcPr>
            <w:tcW w:w="1762" w:type="dxa"/>
            <w:tcBorders>
              <w:top w:val="single" w:sz="4" w:space="0" w:color="auto"/>
              <w:left w:val="nil"/>
              <w:bottom w:val="nil"/>
              <w:right w:val="nil"/>
            </w:tcBorders>
            <w:noWrap/>
            <w:vAlign w:val="center"/>
            <w:hideMark/>
          </w:tcPr>
          <w:p w14:paraId="0829E36F" w14:textId="6E397186" w:rsidR="00A86CC2" w:rsidRPr="00A86CC2" w:rsidRDefault="00A86CC2" w:rsidP="00C5108C">
            <w:pPr>
              <w:spacing w:after="0" w:line="240" w:lineRule="auto"/>
              <w:jc w:val="right"/>
              <w:rPr>
                <w:rFonts w:eastAsia="Times New Roman"/>
                <w:i/>
                <w:iCs/>
                <w:color w:val="000000"/>
                <w:kern w:val="0"/>
                <w:sz w:val="20"/>
                <w:szCs w:val="20"/>
                <w:highlight w:val="yellow"/>
                <w14:ligatures w14:val="none"/>
              </w:rPr>
            </w:pPr>
            <w:r w:rsidRPr="00A86CC2">
              <w:rPr>
                <w:i/>
                <w:iCs/>
                <w:color w:val="000000"/>
                <w:sz w:val="20"/>
                <w:szCs w:val="20"/>
              </w:rPr>
              <w:t>0.59</w:t>
            </w:r>
            <w:r w:rsidR="00C5108C">
              <w:rPr>
                <w:i/>
                <w:iCs/>
                <w:color w:val="000000"/>
                <w:sz w:val="20"/>
                <w:szCs w:val="20"/>
              </w:rPr>
              <w:t>2</w:t>
            </w:r>
            <w:r w:rsidRPr="00A86CC2">
              <w:rPr>
                <w:i/>
                <w:iCs/>
                <w:color w:val="000000"/>
                <w:sz w:val="20"/>
                <w:szCs w:val="20"/>
              </w:rPr>
              <w:t>±0.31</w:t>
            </w:r>
            <w:r w:rsidR="00C5108C">
              <w:rPr>
                <w:i/>
                <w:iCs/>
                <w:color w:val="000000"/>
                <w:sz w:val="20"/>
                <w:szCs w:val="20"/>
              </w:rPr>
              <w:t>1</w:t>
            </w:r>
          </w:p>
        </w:tc>
        <w:tc>
          <w:tcPr>
            <w:tcW w:w="889" w:type="dxa"/>
            <w:tcBorders>
              <w:top w:val="single" w:sz="4" w:space="0" w:color="auto"/>
              <w:left w:val="nil"/>
              <w:bottom w:val="nil"/>
              <w:right w:val="nil"/>
            </w:tcBorders>
            <w:noWrap/>
            <w:vAlign w:val="center"/>
            <w:hideMark/>
          </w:tcPr>
          <w:p w14:paraId="04AEC656" w14:textId="4398D79E" w:rsidR="00A86CC2" w:rsidRPr="00A86CC2" w:rsidRDefault="00A86CC2" w:rsidP="00C5108C">
            <w:pPr>
              <w:spacing w:after="0" w:line="240" w:lineRule="auto"/>
              <w:jc w:val="right"/>
              <w:rPr>
                <w:rFonts w:eastAsia="Times New Roman"/>
                <w:i/>
                <w:iCs/>
                <w:color w:val="000000"/>
                <w:kern w:val="0"/>
                <w:sz w:val="20"/>
                <w:szCs w:val="20"/>
                <w:highlight w:val="yellow"/>
                <w14:ligatures w14:val="none"/>
              </w:rPr>
            </w:pPr>
            <w:r w:rsidRPr="00A86CC2">
              <w:rPr>
                <w:i/>
                <w:iCs/>
                <w:color w:val="000000"/>
                <w:sz w:val="20"/>
                <w:szCs w:val="20"/>
              </w:rPr>
              <w:t>1.873</w:t>
            </w:r>
          </w:p>
        </w:tc>
        <w:tc>
          <w:tcPr>
            <w:tcW w:w="939" w:type="dxa"/>
            <w:tcBorders>
              <w:top w:val="single" w:sz="4" w:space="0" w:color="auto"/>
              <w:left w:val="nil"/>
              <w:bottom w:val="nil"/>
              <w:right w:val="nil"/>
            </w:tcBorders>
            <w:noWrap/>
            <w:vAlign w:val="center"/>
            <w:hideMark/>
          </w:tcPr>
          <w:p w14:paraId="3FFB73EF" w14:textId="33C24B1F" w:rsidR="00A86CC2" w:rsidRPr="00A86CC2" w:rsidRDefault="00A86CC2" w:rsidP="00C5108C">
            <w:pPr>
              <w:spacing w:after="0" w:line="240" w:lineRule="auto"/>
              <w:jc w:val="right"/>
              <w:rPr>
                <w:rFonts w:eastAsia="Times New Roman"/>
                <w:i/>
                <w:iCs/>
                <w:color w:val="000000"/>
                <w:kern w:val="0"/>
                <w:sz w:val="20"/>
                <w:szCs w:val="20"/>
                <w:highlight w:val="yellow"/>
                <w14:ligatures w14:val="none"/>
              </w:rPr>
            </w:pPr>
            <w:r w:rsidRPr="00A86CC2">
              <w:rPr>
                <w:i/>
                <w:iCs/>
                <w:color w:val="000000"/>
                <w:sz w:val="20"/>
                <w:szCs w:val="20"/>
              </w:rPr>
              <w:t>0.061</w:t>
            </w:r>
          </w:p>
        </w:tc>
        <w:tc>
          <w:tcPr>
            <w:tcW w:w="1772" w:type="dxa"/>
            <w:tcBorders>
              <w:top w:val="single" w:sz="4" w:space="0" w:color="auto"/>
              <w:left w:val="nil"/>
              <w:bottom w:val="nil"/>
              <w:right w:val="nil"/>
            </w:tcBorders>
            <w:noWrap/>
            <w:vAlign w:val="center"/>
            <w:hideMark/>
          </w:tcPr>
          <w:p w14:paraId="2C9B757C" w14:textId="440D8CFE" w:rsidR="00A86CC2" w:rsidRPr="00A86CC2" w:rsidRDefault="00A86CC2" w:rsidP="00C5108C">
            <w:pPr>
              <w:spacing w:after="0" w:line="240" w:lineRule="auto"/>
              <w:jc w:val="right"/>
              <w:rPr>
                <w:rFonts w:eastAsia="Times New Roman"/>
                <w:i/>
                <w:iCs/>
                <w:color w:val="000000"/>
                <w:kern w:val="0"/>
                <w:sz w:val="20"/>
                <w:szCs w:val="20"/>
                <w:highlight w:val="yellow"/>
                <w14:ligatures w14:val="none"/>
              </w:rPr>
            </w:pPr>
            <w:r w:rsidRPr="00A86CC2">
              <w:rPr>
                <w:i/>
                <w:iCs/>
                <w:color w:val="000000"/>
                <w:sz w:val="20"/>
                <w:szCs w:val="20"/>
              </w:rPr>
              <w:t>[-0.030, 1.207]</w:t>
            </w:r>
          </w:p>
        </w:tc>
      </w:tr>
      <w:tr w:rsidR="00A86CC2" w:rsidRPr="00452304" w14:paraId="5E51EA68" w14:textId="77777777" w:rsidTr="00C5108C">
        <w:trPr>
          <w:trHeight w:val="320"/>
        </w:trPr>
        <w:tc>
          <w:tcPr>
            <w:tcW w:w="693" w:type="dxa"/>
            <w:vMerge/>
            <w:tcBorders>
              <w:left w:val="nil"/>
              <w:right w:val="nil"/>
            </w:tcBorders>
          </w:tcPr>
          <w:p w14:paraId="1CF7ADC9"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hideMark/>
          </w:tcPr>
          <w:p w14:paraId="6242684E" w14:textId="65E4FE2B" w:rsidR="00A86CC2" w:rsidRPr="00452304"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right w:val="nil"/>
            </w:tcBorders>
            <w:noWrap/>
            <w:vAlign w:val="center"/>
            <w:hideMark/>
          </w:tcPr>
          <w:p w14:paraId="28A85B9E" w14:textId="78492736" w:rsidR="00A86CC2" w:rsidRPr="00452304" w:rsidRDefault="00A86CC2" w:rsidP="00A86CC2">
            <w:pPr>
              <w:spacing w:after="0" w:line="240" w:lineRule="auto"/>
              <w:rPr>
                <w:rFonts w:eastAsia="Times New Roman"/>
                <w:b/>
                <w:bCs/>
                <w:color w:val="000000"/>
                <w:kern w:val="0"/>
                <w:sz w:val="20"/>
                <w:szCs w:val="20"/>
                <w14:ligatures w14:val="none"/>
              </w:rPr>
            </w:pPr>
            <w:proofErr w:type="spellStart"/>
            <w:r w:rsidRPr="008825E3">
              <w:rPr>
                <w:rFonts w:eastAsia="Times New Roman"/>
                <w:b/>
                <w:bCs/>
                <w:i/>
                <w:iCs/>
                <w:color w:val="000000"/>
                <w:kern w:val="0"/>
                <w:sz w:val="20"/>
                <w:szCs w:val="20"/>
                <w14:ligatures w14:val="none"/>
              </w:rPr>
              <w:t>AI</w:t>
            </w:r>
            <w:r w:rsidRPr="008825E3">
              <w:rPr>
                <w:rFonts w:eastAsia="Times New Roman"/>
                <w:b/>
                <w:bCs/>
                <w:color w:val="000000"/>
                <w:kern w:val="0"/>
                <w:sz w:val="20"/>
                <w:szCs w:val="20"/>
                <w:vertAlign w:val="subscript"/>
                <w14:ligatures w14:val="none"/>
              </w:rPr>
              <w:t>g</w:t>
            </w:r>
            <w:proofErr w:type="spellEnd"/>
          </w:p>
        </w:tc>
        <w:tc>
          <w:tcPr>
            <w:tcW w:w="1762" w:type="dxa"/>
            <w:tcBorders>
              <w:top w:val="nil"/>
              <w:left w:val="nil"/>
              <w:right w:val="nil"/>
            </w:tcBorders>
            <w:noWrap/>
            <w:vAlign w:val="center"/>
            <w:hideMark/>
          </w:tcPr>
          <w:p w14:paraId="5DCF89B9" w14:textId="2BDF6BD2" w:rsidR="00A86CC2" w:rsidRPr="00A86CC2" w:rsidRDefault="00A86CC2" w:rsidP="00C5108C">
            <w:pPr>
              <w:spacing w:after="0" w:line="240" w:lineRule="auto"/>
              <w:jc w:val="right"/>
              <w:rPr>
                <w:rFonts w:eastAsia="Times New Roman"/>
                <w:b/>
                <w:bCs/>
                <w:color w:val="000000"/>
                <w:kern w:val="0"/>
                <w:sz w:val="20"/>
                <w:szCs w:val="20"/>
                <w:highlight w:val="yellow"/>
                <w14:ligatures w14:val="none"/>
              </w:rPr>
            </w:pPr>
            <w:r w:rsidRPr="00A86CC2">
              <w:rPr>
                <w:b/>
                <w:bCs/>
                <w:color w:val="000000"/>
                <w:sz w:val="20"/>
                <w:szCs w:val="20"/>
              </w:rPr>
              <w:t>7.91</w:t>
            </w:r>
            <w:r w:rsidR="00C5108C">
              <w:rPr>
                <w:b/>
                <w:bCs/>
                <w:color w:val="000000"/>
                <w:sz w:val="20"/>
                <w:szCs w:val="20"/>
              </w:rPr>
              <w:t>8</w:t>
            </w:r>
            <w:r w:rsidRPr="00A86CC2">
              <w:rPr>
                <w:b/>
                <w:bCs/>
                <w:color w:val="000000"/>
                <w:sz w:val="20"/>
                <w:szCs w:val="20"/>
              </w:rPr>
              <w:t>±2.716</w:t>
            </w:r>
          </w:p>
        </w:tc>
        <w:tc>
          <w:tcPr>
            <w:tcW w:w="889" w:type="dxa"/>
            <w:tcBorders>
              <w:top w:val="nil"/>
              <w:left w:val="nil"/>
              <w:right w:val="nil"/>
            </w:tcBorders>
            <w:noWrap/>
            <w:vAlign w:val="center"/>
            <w:hideMark/>
          </w:tcPr>
          <w:p w14:paraId="18507808" w14:textId="1134F403" w:rsidR="00A86CC2" w:rsidRPr="00A86CC2" w:rsidRDefault="00A86CC2" w:rsidP="00C5108C">
            <w:pPr>
              <w:spacing w:after="0" w:line="240" w:lineRule="auto"/>
              <w:jc w:val="right"/>
              <w:rPr>
                <w:rFonts w:eastAsia="Times New Roman"/>
                <w:b/>
                <w:bCs/>
                <w:color w:val="000000"/>
                <w:kern w:val="0"/>
                <w:sz w:val="20"/>
                <w:szCs w:val="20"/>
                <w:highlight w:val="yellow"/>
                <w14:ligatures w14:val="none"/>
              </w:rPr>
            </w:pPr>
            <w:r w:rsidRPr="00A86CC2">
              <w:rPr>
                <w:b/>
                <w:bCs/>
                <w:color w:val="000000"/>
                <w:sz w:val="20"/>
                <w:szCs w:val="20"/>
              </w:rPr>
              <w:t>2.841</w:t>
            </w:r>
          </w:p>
        </w:tc>
        <w:tc>
          <w:tcPr>
            <w:tcW w:w="939" w:type="dxa"/>
            <w:tcBorders>
              <w:top w:val="nil"/>
              <w:left w:val="nil"/>
              <w:right w:val="nil"/>
            </w:tcBorders>
            <w:noWrap/>
            <w:vAlign w:val="center"/>
            <w:hideMark/>
          </w:tcPr>
          <w:p w14:paraId="621980EE" w14:textId="0947CE39" w:rsidR="00A86CC2" w:rsidRPr="00A86CC2" w:rsidRDefault="00A86CC2" w:rsidP="00C5108C">
            <w:pPr>
              <w:spacing w:after="0" w:line="240" w:lineRule="auto"/>
              <w:jc w:val="right"/>
              <w:rPr>
                <w:rFonts w:eastAsia="Times New Roman"/>
                <w:b/>
                <w:bCs/>
                <w:color w:val="000000"/>
                <w:kern w:val="0"/>
                <w:sz w:val="20"/>
                <w:szCs w:val="20"/>
                <w:highlight w:val="yellow"/>
                <w14:ligatures w14:val="none"/>
              </w:rPr>
            </w:pPr>
            <w:r w:rsidRPr="00A86CC2">
              <w:rPr>
                <w:b/>
                <w:bCs/>
                <w:color w:val="000000"/>
                <w:sz w:val="20"/>
                <w:szCs w:val="20"/>
              </w:rPr>
              <w:t>0.005</w:t>
            </w:r>
          </w:p>
        </w:tc>
        <w:tc>
          <w:tcPr>
            <w:tcW w:w="1772" w:type="dxa"/>
            <w:tcBorders>
              <w:top w:val="nil"/>
              <w:left w:val="nil"/>
              <w:right w:val="nil"/>
            </w:tcBorders>
            <w:noWrap/>
            <w:vAlign w:val="center"/>
            <w:hideMark/>
          </w:tcPr>
          <w:p w14:paraId="077402E1" w14:textId="2F2BF2C7" w:rsidR="00A86CC2" w:rsidRPr="00A86CC2" w:rsidRDefault="00A86CC2" w:rsidP="00C5108C">
            <w:pPr>
              <w:spacing w:after="0" w:line="240" w:lineRule="auto"/>
              <w:jc w:val="right"/>
              <w:rPr>
                <w:rFonts w:eastAsia="Times New Roman"/>
                <w:b/>
                <w:bCs/>
                <w:color w:val="000000"/>
                <w:kern w:val="0"/>
                <w:sz w:val="20"/>
                <w:szCs w:val="20"/>
                <w:highlight w:val="yellow"/>
                <w14:ligatures w14:val="none"/>
              </w:rPr>
            </w:pPr>
            <w:r w:rsidRPr="00A86CC2">
              <w:rPr>
                <w:b/>
                <w:bCs/>
                <w:color w:val="000000"/>
                <w:sz w:val="20"/>
                <w:szCs w:val="20"/>
              </w:rPr>
              <w:t>[2.388, 13.746]</w:t>
            </w:r>
          </w:p>
        </w:tc>
      </w:tr>
      <w:tr w:rsidR="00A86CC2" w:rsidRPr="00452304" w14:paraId="4B067BDF" w14:textId="77777777" w:rsidTr="00C5108C">
        <w:trPr>
          <w:trHeight w:val="320"/>
        </w:trPr>
        <w:tc>
          <w:tcPr>
            <w:tcW w:w="693" w:type="dxa"/>
            <w:vMerge/>
            <w:tcBorders>
              <w:left w:val="nil"/>
              <w:bottom w:val="single" w:sz="4" w:space="0" w:color="auto"/>
              <w:right w:val="nil"/>
            </w:tcBorders>
          </w:tcPr>
          <w:p w14:paraId="039C3B32"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hideMark/>
          </w:tcPr>
          <w:p w14:paraId="4DF6D08D" w14:textId="64D2BCA7" w:rsidR="00A86CC2" w:rsidRPr="00452304"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10AB8512" w14:textId="1FA841F8" w:rsidR="00A86CC2" w:rsidRPr="00452304" w:rsidRDefault="00A86CC2" w:rsidP="00A86CC2">
            <w:pPr>
              <w:spacing w:after="0" w:line="240" w:lineRule="auto"/>
              <w:rPr>
                <w:rFonts w:eastAsia="Times New Roman"/>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762" w:type="dxa"/>
            <w:tcBorders>
              <w:top w:val="nil"/>
              <w:left w:val="nil"/>
              <w:bottom w:val="single" w:sz="4" w:space="0" w:color="auto"/>
              <w:right w:val="nil"/>
            </w:tcBorders>
            <w:noWrap/>
            <w:vAlign w:val="center"/>
            <w:hideMark/>
          </w:tcPr>
          <w:p w14:paraId="1F1CC0D5" w14:textId="353825BD"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0.020±0.020</w:t>
            </w:r>
          </w:p>
        </w:tc>
        <w:tc>
          <w:tcPr>
            <w:tcW w:w="889" w:type="dxa"/>
            <w:tcBorders>
              <w:top w:val="nil"/>
              <w:left w:val="nil"/>
              <w:bottom w:val="single" w:sz="4" w:space="0" w:color="auto"/>
              <w:right w:val="nil"/>
            </w:tcBorders>
            <w:noWrap/>
            <w:vAlign w:val="center"/>
            <w:hideMark/>
          </w:tcPr>
          <w:p w14:paraId="048262B2" w14:textId="16C6C8A3"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1.211</w:t>
            </w:r>
          </w:p>
        </w:tc>
        <w:tc>
          <w:tcPr>
            <w:tcW w:w="939" w:type="dxa"/>
            <w:tcBorders>
              <w:top w:val="nil"/>
              <w:left w:val="nil"/>
              <w:bottom w:val="single" w:sz="4" w:space="0" w:color="auto"/>
              <w:right w:val="nil"/>
            </w:tcBorders>
            <w:noWrap/>
            <w:vAlign w:val="center"/>
            <w:hideMark/>
          </w:tcPr>
          <w:p w14:paraId="1910F93E" w14:textId="593B3C26"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0.226</w:t>
            </w:r>
          </w:p>
        </w:tc>
        <w:tc>
          <w:tcPr>
            <w:tcW w:w="1772" w:type="dxa"/>
            <w:tcBorders>
              <w:top w:val="nil"/>
              <w:left w:val="nil"/>
              <w:bottom w:val="single" w:sz="4" w:space="0" w:color="auto"/>
              <w:right w:val="nil"/>
            </w:tcBorders>
            <w:noWrap/>
            <w:vAlign w:val="center"/>
            <w:hideMark/>
          </w:tcPr>
          <w:p w14:paraId="3B368A4D" w14:textId="0C18D18E"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[-0.010, 0.060]</w:t>
            </w:r>
          </w:p>
        </w:tc>
      </w:tr>
      <w:tr w:rsidR="00A86CC2" w:rsidRPr="00452304" w14:paraId="6FB9130E" w14:textId="77777777" w:rsidTr="00C5108C">
        <w:trPr>
          <w:trHeight w:val="320"/>
        </w:trPr>
        <w:tc>
          <w:tcPr>
            <w:tcW w:w="693" w:type="dxa"/>
            <w:vMerge w:val="restart"/>
            <w:tcBorders>
              <w:top w:val="single" w:sz="4" w:space="0" w:color="auto"/>
              <w:left w:val="nil"/>
              <w:right w:val="nil"/>
            </w:tcBorders>
            <w:vAlign w:val="center"/>
          </w:tcPr>
          <w:p w14:paraId="25368B84" w14:textId="79CE4FB1" w:rsidR="00A86CC2" w:rsidRPr="008825E3" w:rsidRDefault="00A86CC2" w:rsidP="00A86CC2">
            <w:pPr>
              <w:spacing w:after="0" w:line="240" w:lineRule="auto"/>
              <w:rPr>
                <w:rFonts w:eastAsia="Times New Roman"/>
                <w:color w:val="000000"/>
                <w:kern w:val="0"/>
                <w:sz w:val="20"/>
                <w:szCs w:val="20"/>
                <w:vertAlign w:val="subscript"/>
                <w14:ligatures w14:val="none"/>
              </w:rPr>
            </w:pPr>
            <w:proofErr w:type="spellStart"/>
            <w:r w:rsidRPr="008825E3">
              <w:rPr>
                <w:rFonts w:eastAsia="Times New Roman"/>
                <w:i/>
                <w:iCs/>
                <w:color w:val="000000"/>
                <w:kern w:val="0"/>
                <w:sz w:val="20"/>
                <w:szCs w:val="20"/>
                <w14:ligatures w14:val="none"/>
              </w:rPr>
              <w:t>N</w:t>
            </w:r>
            <w:r w:rsidRPr="008825E3">
              <w:rPr>
                <w:rFonts w:eastAsia="Times New Roman"/>
                <w:color w:val="000000"/>
                <w:kern w:val="0"/>
                <w:sz w:val="20"/>
                <w:szCs w:val="20"/>
                <w:vertAlign w:val="subscript"/>
                <w14:ligatures w14:val="none"/>
              </w:rPr>
              <w:t>mass</w:t>
            </w:r>
            <w:proofErr w:type="spellEnd"/>
          </w:p>
        </w:tc>
        <w:tc>
          <w:tcPr>
            <w:tcW w:w="1178" w:type="dxa"/>
            <w:vMerge w:val="restart"/>
            <w:tcBorders>
              <w:top w:val="single" w:sz="4" w:space="0" w:color="auto"/>
              <w:left w:val="nil"/>
              <w:right w:val="nil"/>
            </w:tcBorders>
            <w:noWrap/>
            <w:vAlign w:val="center"/>
          </w:tcPr>
          <w:p w14:paraId="430767D7" w14:textId="1B97AF8E" w:rsidR="00A86CC2" w:rsidRPr="008825E3" w:rsidRDefault="00A86CC2" w:rsidP="00A86CC2">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0E2781BE" w14:textId="2C0A126C" w:rsidR="00A86CC2" w:rsidRPr="008825E3" w:rsidRDefault="00A86CC2" w:rsidP="00A86CC2">
            <w:pPr>
              <w:spacing w:after="0" w:line="240" w:lineRule="auto"/>
              <w:rPr>
                <w:rFonts w:eastAsia="Times New Roman"/>
                <w:b/>
                <w:bCs/>
                <w:i/>
                <w:color w:val="000000"/>
                <w:kern w:val="0"/>
                <w:sz w:val="20"/>
                <w:szCs w:val="20"/>
                <w14:ligatures w14:val="none"/>
              </w:rPr>
            </w:pPr>
            <w:proofErr w:type="spellStart"/>
            <w:r w:rsidRPr="008825E3">
              <w:rPr>
                <w:rFonts w:eastAsia="Times New Roman"/>
                <w:b/>
                <w:bCs/>
                <w:i/>
                <w:iCs/>
                <w:color w:val="000000"/>
                <w:kern w:val="0"/>
                <w:sz w:val="20"/>
                <w:szCs w:val="20"/>
                <w14:ligatures w14:val="none"/>
              </w:rPr>
              <w:t>T</w:t>
            </w:r>
            <w:r w:rsidRPr="008825E3">
              <w:rPr>
                <w:rFonts w:eastAsia="Times New Roman"/>
                <w:b/>
                <w:bCs/>
                <w:color w:val="000000"/>
                <w:kern w:val="0"/>
                <w:sz w:val="20"/>
                <w:szCs w:val="20"/>
                <w:vertAlign w:val="subscript"/>
                <w14:ligatures w14:val="none"/>
              </w:rPr>
              <w:t>g</w:t>
            </w:r>
            <w:proofErr w:type="spellEnd"/>
          </w:p>
        </w:tc>
        <w:tc>
          <w:tcPr>
            <w:tcW w:w="1762" w:type="dxa"/>
            <w:tcBorders>
              <w:top w:val="single" w:sz="4" w:space="0" w:color="auto"/>
              <w:left w:val="nil"/>
              <w:bottom w:val="nil"/>
              <w:right w:val="nil"/>
            </w:tcBorders>
            <w:noWrap/>
            <w:vAlign w:val="center"/>
          </w:tcPr>
          <w:p w14:paraId="1CA91950" w14:textId="21BD8792"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-0.668±0.260</w:t>
            </w:r>
          </w:p>
        </w:tc>
        <w:tc>
          <w:tcPr>
            <w:tcW w:w="889" w:type="dxa"/>
            <w:tcBorders>
              <w:top w:val="single" w:sz="4" w:space="0" w:color="auto"/>
              <w:left w:val="nil"/>
              <w:bottom w:val="nil"/>
              <w:right w:val="nil"/>
            </w:tcBorders>
            <w:noWrap/>
            <w:vAlign w:val="center"/>
          </w:tcPr>
          <w:p w14:paraId="1E3CC9E3" w14:textId="2EA21FB0"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-2.536</w:t>
            </w:r>
          </w:p>
        </w:tc>
        <w:tc>
          <w:tcPr>
            <w:tcW w:w="939" w:type="dxa"/>
            <w:tcBorders>
              <w:top w:val="single" w:sz="4" w:space="0" w:color="auto"/>
              <w:left w:val="nil"/>
              <w:bottom w:val="nil"/>
              <w:right w:val="nil"/>
            </w:tcBorders>
            <w:noWrap/>
            <w:vAlign w:val="center"/>
          </w:tcPr>
          <w:p w14:paraId="1D19C94E" w14:textId="1CA67C8E"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0.011</w:t>
            </w:r>
          </w:p>
        </w:tc>
        <w:tc>
          <w:tcPr>
            <w:tcW w:w="1772" w:type="dxa"/>
            <w:tcBorders>
              <w:top w:val="single" w:sz="4" w:space="0" w:color="auto"/>
              <w:left w:val="nil"/>
              <w:bottom w:val="nil"/>
              <w:right w:val="nil"/>
            </w:tcBorders>
            <w:noWrap/>
            <w:vAlign w:val="center"/>
          </w:tcPr>
          <w:p w14:paraId="014C85E3" w14:textId="1E88FB98"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[-1.173, -0.1</w:t>
            </w:r>
            <w:r w:rsidR="00C5108C">
              <w:rPr>
                <w:b/>
                <w:bCs/>
                <w:color w:val="000000"/>
                <w:sz w:val="20"/>
                <w:szCs w:val="20"/>
              </w:rPr>
              <w:t>50</w:t>
            </w:r>
            <w:r w:rsidRPr="00A86CC2">
              <w:rPr>
                <w:b/>
                <w:bCs/>
                <w:color w:val="000000"/>
                <w:sz w:val="20"/>
                <w:szCs w:val="20"/>
              </w:rPr>
              <w:t>]</w:t>
            </w:r>
          </w:p>
        </w:tc>
      </w:tr>
      <w:tr w:rsidR="00A86CC2" w:rsidRPr="00452304" w14:paraId="7808DF5E" w14:textId="77777777" w:rsidTr="00C5108C">
        <w:trPr>
          <w:trHeight w:val="320"/>
        </w:trPr>
        <w:tc>
          <w:tcPr>
            <w:tcW w:w="693" w:type="dxa"/>
            <w:vMerge/>
            <w:tcBorders>
              <w:left w:val="nil"/>
              <w:right w:val="nil"/>
            </w:tcBorders>
            <w:vAlign w:val="center"/>
          </w:tcPr>
          <w:p w14:paraId="7D21D726"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2A1CE5C4" w14:textId="389311E2"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31A761CD" w14:textId="197173E8" w:rsidR="00A86CC2" w:rsidRPr="00A86CC2" w:rsidRDefault="00A86CC2" w:rsidP="00A86CC2">
            <w:pPr>
              <w:spacing w:after="0" w:line="240" w:lineRule="auto"/>
              <w:rPr>
                <w:rFonts w:eastAsia="Times New Roman"/>
                <w:b/>
                <w:bCs/>
                <w:i/>
                <w:iCs/>
                <w:color w:val="000000"/>
                <w:kern w:val="0"/>
                <w:sz w:val="20"/>
                <w:szCs w:val="20"/>
                <w14:ligatures w14:val="none"/>
              </w:rPr>
            </w:pPr>
            <w:proofErr w:type="spellStart"/>
            <w:r w:rsidRPr="00A86CC2">
              <w:rPr>
                <w:rFonts w:eastAsia="Times New Roman"/>
                <w:b/>
                <w:bCs/>
                <w:i/>
                <w:iCs/>
                <w:color w:val="000000"/>
                <w:kern w:val="0"/>
                <w:sz w:val="20"/>
                <w:szCs w:val="20"/>
                <w14:ligatures w14:val="none"/>
              </w:rPr>
              <w:t>AI</w:t>
            </w:r>
            <w:r w:rsidRPr="00A86CC2">
              <w:rPr>
                <w:rFonts w:eastAsia="Times New Roman"/>
                <w:b/>
                <w:bCs/>
                <w:i/>
                <w:iCs/>
                <w:color w:val="000000"/>
                <w:kern w:val="0"/>
                <w:sz w:val="20"/>
                <w:szCs w:val="20"/>
                <w:vertAlign w:val="subscript"/>
                <w14:ligatures w14:val="none"/>
              </w:rPr>
              <w:t>g</w:t>
            </w:r>
            <w:proofErr w:type="spellEnd"/>
          </w:p>
        </w:tc>
        <w:tc>
          <w:tcPr>
            <w:tcW w:w="1762" w:type="dxa"/>
            <w:tcBorders>
              <w:top w:val="nil"/>
              <w:left w:val="nil"/>
              <w:bottom w:val="nil"/>
              <w:right w:val="nil"/>
            </w:tcBorders>
            <w:noWrap/>
            <w:vAlign w:val="center"/>
          </w:tcPr>
          <w:p w14:paraId="7D5FC7E4" w14:textId="3EFC7BC7"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-5.465±2.92</w:t>
            </w:r>
            <w:r w:rsidR="00C5108C">
              <w:rPr>
                <w:b/>
                <w:bCs/>
                <w:color w:val="000000"/>
                <w:sz w:val="20"/>
                <w:szCs w:val="20"/>
              </w:rPr>
              <w:t>2</w:t>
            </w:r>
          </w:p>
        </w:tc>
        <w:tc>
          <w:tcPr>
            <w:tcW w:w="889" w:type="dxa"/>
            <w:tcBorders>
              <w:top w:val="nil"/>
              <w:left w:val="nil"/>
              <w:bottom w:val="nil"/>
              <w:right w:val="nil"/>
            </w:tcBorders>
            <w:noWrap/>
            <w:vAlign w:val="center"/>
          </w:tcPr>
          <w:p w14:paraId="5E846E89" w14:textId="6F513272"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-1.951</w:t>
            </w:r>
          </w:p>
        </w:tc>
        <w:tc>
          <w:tcPr>
            <w:tcW w:w="939" w:type="dxa"/>
            <w:tcBorders>
              <w:top w:val="nil"/>
              <w:left w:val="nil"/>
              <w:bottom w:val="nil"/>
              <w:right w:val="nil"/>
            </w:tcBorders>
            <w:noWrap/>
            <w:vAlign w:val="center"/>
          </w:tcPr>
          <w:p w14:paraId="19916F97" w14:textId="6A24E0FF"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0.050</w:t>
            </w:r>
          </w:p>
        </w:tc>
        <w:tc>
          <w:tcPr>
            <w:tcW w:w="1772" w:type="dxa"/>
            <w:tcBorders>
              <w:top w:val="nil"/>
              <w:left w:val="nil"/>
              <w:bottom w:val="nil"/>
              <w:right w:val="nil"/>
            </w:tcBorders>
            <w:noWrap/>
            <w:vAlign w:val="center"/>
          </w:tcPr>
          <w:p w14:paraId="7B72A3F5" w14:textId="10015C2C"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[-10.649, 0.030]</w:t>
            </w:r>
          </w:p>
        </w:tc>
      </w:tr>
      <w:tr w:rsidR="00A86CC2" w:rsidRPr="00452304" w14:paraId="4109571D" w14:textId="77777777" w:rsidTr="00C5108C">
        <w:trPr>
          <w:trHeight w:val="320"/>
        </w:trPr>
        <w:tc>
          <w:tcPr>
            <w:tcW w:w="693" w:type="dxa"/>
            <w:vMerge/>
            <w:tcBorders>
              <w:left w:val="nil"/>
              <w:right w:val="nil"/>
            </w:tcBorders>
            <w:vAlign w:val="center"/>
          </w:tcPr>
          <w:p w14:paraId="5DAA1F37"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76E129C" w14:textId="1647DB05"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4CCAF15" w14:textId="30784760"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762" w:type="dxa"/>
            <w:tcBorders>
              <w:top w:val="nil"/>
              <w:left w:val="nil"/>
              <w:bottom w:val="single" w:sz="4" w:space="0" w:color="auto"/>
              <w:right w:val="nil"/>
            </w:tcBorders>
            <w:noWrap/>
            <w:vAlign w:val="center"/>
          </w:tcPr>
          <w:p w14:paraId="5B658C3F" w14:textId="6D710CAE"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-0.01</w:t>
            </w:r>
            <w:r>
              <w:rPr>
                <w:color w:val="000000"/>
                <w:sz w:val="20"/>
                <w:szCs w:val="20"/>
              </w:rPr>
              <w:t>0</w:t>
            </w:r>
            <w:r w:rsidRPr="00A86CC2">
              <w:rPr>
                <w:color w:val="000000"/>
                <w:sz w:val="20"/>
                <w:szCs w:val="20"/>
              </w:rPr>
              <w:t>±0.02</w:t>
            </w:r>
            <w:r>
              <w:rPr>
                <w:color w:val="000000"/>
                <w:sz w:val="20"/>
                <w:szCs w:val="20"/>
              </w:rPr>
              <w:t>0</w:t>
            </w:r>
          </w:p>
        </w:tc>
        <w:tc>
          <w:tcPr>
            <w:tcW w:w="889" w:type="dxa"/>
            <w:tcBorders>
              <w:top w:val="nil"/>
              <w:left w:val="nil"/>
              <w:bottom w:val="single" w:sz="4" w:space="0" w:color="auto"/>
              <w:right w:val="nil"/>
            </w:tcBorders>
            <w:noWrap/>
            <w:vAlign w:val="center"/>
          </w:tcPr>
          <w:p w14:paraId="61C241FF" w14:textId="2431B463"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-0.577</w:t>
            </w:r>
          </w:p>
        </w:tc>
        <w:tc>
          <w:tcPr>
            <w:tcW w:w="939" w:type="dxa"/>
            <w:tcBorders>
              <w:top w:val="nil"/>
              <w:left w:val="nil"/>
              <w:bottom w:val="single" w:sz="4" w:space="0" w:color="auto"/>
              <w:right w:val="nil"/>
            </w:tcBorders>
            <w:noWrap/>
            <w:vAlign w:val="center"/>
          </w:tcPr>
          <w:p w14:paraId="746AD02A" w14:textId="21E2111C"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0.564</w:t>
            </w:r>
          </w:p>
        </w:tc>
        <w:tc>
          <w:tcPr>
            <w:tcW w:w="1772" w:type="dxa"/>
            <w:tcBorders>
              <w:top w:val="nil"/>
              <w:left w:val="nil"/>
              <w:bottom w:val="single" w:sz="4" w:space="0" w:color="auto"/>
              <w:right w:val="nil"/>
            </w:tcBorders>
            <w:noWrap/>
            <w:vAlign w:val="center"/>
          </w:tcPr>
          <w:p w14:paraId="40C0D71D" w14:textId="7F7D9671"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[-0.04</w:t>
            </w:r>
            <w:r>
              <w:rPr>
                <w:color w:val="000000"/>
                <w:sz w:val="20"/>
                <w:szCs w:val="20"/>
              </w:rPr>
              <w:t>0</w:t>
            </w:r>
            <w:r w:rsidRPr="00A86CC2">
              <w:rPr>
                <w:color w:val="000000"/>
                <w:sz w:val="20"/>
                <w:szCs w:val="20"/>
              </w:rPr>
              <w:t>, 0.02</w:t>
            </w:r>
            <w:r>
              <w:rPr>
                <w:color w:val="000000"/>
                <w:sz w:val="20"/>
                <w:szCs w:val="20"/>
              </w:rPr>
              <w:t>0</w:t>
            </w:r>
            <w:r w:rsidRPr="00A86CC2">
              <w:rPr>
                <w:color w:val="000000"/>
                <w:sz w:val="20"/>
                <w:szCs w:val="20"/>
              </w:rPr>
              <w:t>]</w:t>
            </w:r>
          </w:p>
        </w:tc>
      </w:tr>
      <w:tr w:rsidR="00A86CC2" w:rsidRPr="00452304" w14:paraId="3C89F649" w14:textId="77777777" w:rsidTr="00C5108C">
        <w:trPr>
          <w:trHeight w:val="320"/>
        </w:trPr>
        <w:tc>
          <w:tcPr>
            <w:tcW w:w="693" w:type="dxa"/>
            <w:vMerge/>
            <w:tcBorders>
              <w:left w:val="nil"/>
              <w:right w:val="nil"/>
            </w:tcBorders>
            <w:vAlign w:val="center"/>
          </w:tcPr>
          <w:p w14:paraId="5722628E"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E5FDCBD" w14:textId="627C56FF" w:rsidR="00A86CC2" w:rsidRPr="008825E3" w:rsidRDefault="00A86CC2" w:rsidP="00A86CC2">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5EA3F309" w14:textId="50F29E9F"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T</w:t>
            </w:r>
            <w:r w:rsidRPr="008825E3">
              <w:rPr>
                <w:rFonts w:eastAsia="Times New Roman"/>
                <w:color w:val="000000"/>
                <w:kern w:val="0"/>
                <w:sz w:val="20"/>
                <w:szCs w:val="20"/>
                <w:vertAlign w:val="subscript"/>
                <w14:ligatures w14:val="none"/>
              </w:rPr>
              <w:t>g</w:t>
            </w:r>
            <w:proofErr w:type="spellEnd"/>
          </w:p>
        </w:tc>
        <w:tc>
          <w:tcPr>
            <w:tcW w:w="1762" w:type="dxa"/>
            <w:tcBorders>
              <w:top w:val="single" w:sz="4" w:space="0" w:color="auto"/>
              <w:left w:val="nil"/>
              <w:bottom w:val="nil"/>
              <w:right w:val="nil"/>
            </w:tcBorders>
            <w:noWrap/>
            <w:vAlign w:val="center"/>
          </w:tcPr>
          <w:p w14:paraId="52AF78D5" w14:textId="0667E2B6"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0.160±0.220</w:t>
            </w:r>
          </w:p>
        </w:tc>
        <w:tc>
          <w:tcPr>
            <w:tcW w:w="889" w:type="dxa"/>
            <w:tcBorders>
              <w:top w:val="single" w:sz="4" w:space="0" w:color="auto"/>
              <w:left w:val="nil"/>
              <w:bottom w:val="nil"/>
              <w:right w:val="nil"/>
            </w:tcBorders>
            <w:noWrap/>
            <w:vAlign w:val="center"/>
          </w:tcPr>
          <w:p w14:paraId="30BB780B" w14:textId="23C04B8E"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0.721</w:t>
            </w:r>
          </w:p>
        </w:tc>
        <w:tc>
          <w:tcPr>
            <w:tcW w:w="939" w:type="dxa"/>
            <w:tcBorders>
              <w:top w:val="single" w:sz="4" w:space="0" w:color="auto"/>
              <w:left w:val="nil"/>
              <w:bottom w:val="nil"/>
              <w:right w:val="nil"/>
            </w:tcBorders>
            <w:noWrap/>
            <w:vAlign w:val="center"/>
          </w:tcPr>
          <w:p w14:paraId="22F910B8" w14:textId="231F4767"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0.471</w:t>
            </w:r>
          </w:p>
        </w:tc>
        <w:tc>
          <w:tcPr>
            <w:tcW w:w="1772" w:type="dxa"/>
            <w:tcBorders>
              <w:top w:val="single" w:sz="4" w:space="0" w:color="auto"/>
              <w:left w:val="nil"/>
              <w:bottom w:val="nil"/>
              <w:right w:val="nil"/>
            </w:tcBorders>
            <w:noWrap/>
            <w:vAlign w:val="center"/>
          </w:tcPr>
          <w:p w14:paraId="48032AB3" w14:textId="0DB90556"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[-0.2</w:t>
            </w:r>
            <w:r w:rsidR="00C5108C">
              <w:rPr>
                <w:color w:val="000000"/>
                <w:sz w:val="20"/>
                <w:szCs w:val="20"/>
              </w:rPr>
              <w:t>70</w:t>
            </w:r>
            <w:r w:rsidRPr="00A86CC2">
              <w:rPr>
                <w:color w:val="000000"/>
                <w:sz w:val="20"/>
                <w:szCs w:val="20"/>
              </w:rPr>
              <w:t>, 0.59</w:t>
            </w:r>
            <w:r w:rsidR="00C5108C">
              <w:rPr>
                <w:color w:val="000000"/>
                <w:sz w:val="20"/>
                <w:szCs w:val="20"/>
              </w:rPr>
              <w:t>2</w:t>
            </w:r>
            <w:r w:rsidRPr="00A86CC2">
              <w:rPr>
                <w:color w:val="000000"/>
                <w:sz w:val="20"/>
                <w:szCs w:val="20"/>
              </w:rPr>
              <w:t>]</w:t>
            </w:r>
          </w:p>
        </w:tc>
      </w:tr>
      <w:tr w:rsidR="00A86CC2" w:rsidRPr="00452304" w14:paraId="66072701" w14:textId="77777777" w:rsidTr="00C5108C">
        <w:trPr>
          <w:trHeight w:val="320"/>
        </w:trPr>
        <w:tc>
          <w:tcPr>
            <w:tcW w:w="693" w:type="dxa"/>
            <w:vMerge/>
            <w:tcBorders>
              <w:left w:val="nil"/>
              <w:right w:val="nil"/>
            </w:tcBorders>
            <w:vAlign w:val="center"/>
          </w:tcPr>
          <w:p w14:paraId="7471175C"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13BA1F85" w14:textId="5D2BCD55"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6657F25A" w14:textId="06BC0CB6"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AI</w:t>
            </w:r>
            <w:r w:rsidRPr="008825E3">
              <w:rPr>
                <w:rFonts w:eastAsia="Times New Roman"/>
                <w:color w:val="000000"/>
                <w:kern w:val="0"/>
                <w:sz w:val="20"/>
                <w:szCs w:val="20"/>
                <w:vertAlign w:val="subscript"/>
                <w14:ligatures w14:val="none"/>
              </w:rPr>
              <w:t>g</w:t>
            </w:r>
            <w:proofErr w:type="spellEnd"/>
          </w:p>
        </w:tc>
        <w:tc>
          <w:tcPr>
            <w:tcW w:w="1762" w:type="dxa"/>
            <w:tcBorders>
              <w:top w:val="nil"/>
              <w:left w:val="nil"/>
              <w:bottom w:val="nil"/>
              <w:right w:val="nil"/>
            </w:tcBorders>
            <w:noWrap/>
            <w:vAlign w:val="center"/>
          </w:tcPr>
          <w:p w14:paraId="56F95A02" w14:textId="412027D6"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-2.039±2.562</w:t>
            </w:r>
          </w:p>
        </w:tc>
        <w:tc>
          <w:tcPr>
            <w:tcW w:w="889" w:type="dxa"/>
            <w:tcBorders>
              <w:top w:val="nil"/>
              <w:left w:val="nil"/>
              <w:bottom w:val="nil"/>
              <w:right w:val="nil"/>
            </w:tcBorders>
            <w:noWrap/>
            <w:vAlign w:val="center"/>
          </w:tcPr>
          <w:p w14:paraId="36FEED79" w14:textId="461C93F9"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-0.814</w:t>
            </w:r>
          </w:p>
        </w:tc>
        <w:tc>
          <w:tcPr>
            <w:tcW w:w="939" w:type="dxa"/>
            <w:tcBorders>
              <w:top w:val="nil"/>
              <w:left w:val="nil"/>
              <w:bottom w:val="nil"/>
              <w:right w:val="nil"/>
            </w:tcBorders>
            <w:noWrap/>
            <w:vAlign w:val="center"/>
          </w:tcPr>
          <w:p w14:paraId="6CE90043" w14:textId="5165A202"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0.416</w:t>
            </w:r>
          </w:p>
        </w:tc>
        <w:tc>
          <w:tcPr>
            <w:tcW w:w="1772" w:type="dxa"/>
            <w:tcBorders>
              <w:top w:val="nil"/>
              <w:left w:val="nil"/>
              <w:bottom w:val="nil"/>
              <w:right w:val="nil"/>
            </w:tcBorders>
            <w:noWrap/>
            <w:vAlign w:val="center"/>
          </w:tcPr>
          <w:p w14:paraId="41BC0B37" w14:textId="373D9A2F"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[-6.7</w:t>
            </w:r>
            <w:r w:rsidR="00C5108C">
              <w:rPr>
                <w:color w:val="000000"/>
                <w:sz w:val="20"/>
                <w:szCs w:val="20"/>
              </w:rPr>
              <w:t>70</w:t>
            </w:r>
            <w:r w:rsidRPr="00A86CC2">
              <w:rPr>
                <w:color w:val="000000"/>
                <w:sz w:val="20"/>
                <w:szCs w:val="20"/>
              </w:rPr>
              <w:t>, 2.932]</w:t>
            </w:r>
          </w:p>
        </w:tc>
      </w:tr>
      <w:tr w:rsidR="00A86CC2" w:rsidRPr="00452304" w14:paraId="48C9C219" w14:textId="77777777" w:rsidTr="00C5108C">
        <w:trPr>
          <w:trHeight w:val="320"/>
        </w:trPr>
        <w:tc>
          <w:tcPr>
            <w:tcW w:w="693" w:type="dxa"/>
            <w:vMerge/>
            <w:tcBorders>
              <w:left w:val="nil"/>
              <w:right w:val="nil"/>
            </w:tcBorders>
            <w:vAlign w:val="center"/>
          </w:tcPr>
          <w:p w14:paraId="7D8AED30"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B702C07" w14:textId="319A0A53"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955DA23" w14:textId="77405883"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762" w:type="dxa"/>
            <w:tcBorders>
              <w:top w:val="nil"/>
              <w:left w:val="nil"/>
              <w:bottom w:val="single" w:sz="4" w:space="0" w:color="auto"/>
              <w:right w:val="nil"/>
            </w:tcBorders>
            <w:noWrap/>
            <w:vAlign w:val="center"/>
          </w:tcPr>
          <w:p w14:paraId="4D9E6980" w14:textId="1D6BA349"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-0.01</w:t>
            </w:r>
            <w:r>
              <w:rPr>
                <w:color w:val="000000"/>
                <w:sz w:val="20"/>
                <w:szCs w:val="20"/>
              </w:rPr>
              <w:t>0</w:t>
            </w:r>
            <w:r w:rsidRPr="00A86CC2">
              <w:rPr>
                <w:color w:val="000000"/>
                <w:sz w:val="20"/>
                <w:szCs w:val="20"/>
              </w:rPr>
              <w:t>±0.01</w:t>
            </w:r>
            <w:r>
              <w:rPr>
                <w:color w:val="000000"/>
                <w:sz w:val="20"/>
                <w:szCs w:val="20"/>
              </w:rPr>
              <w:t>0</w:t>
            </w:r>
          </w:p>
        </w:tc>
        <w:tc>
          <w:tcPr>
            <w:tcW w:w="889" w:type="dxa"/>
            <w:tcBorders>
              <w:top w:val="nil"/>
              <w:left w:val="nil"/>
              <w:bottom w:val="single" w:sz="4" w:space="0" w:color="auto"/>
              <w:right w:val="nil"/>
            </w:tcBorders>
            <w:noWrap/>
            <w:vAlign w:val="center"/>
          </w:tcPr>
          <w:p w14:paraId="514225D8" w14:textId="31557376"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-0.449</w:t>
            </w:r>
          </w:p>
        </w:tc>
        <w:tc>
          <w:tcPr>
            <w:tcW w:w="939" w:type="dxa"/>
            <w:tcBorders>
              <w:top w:val="nil"/>
              <w:left w:val="nil"/>
              <w:bottom w:val="single" w:sz="4" w:space="0" w:color="auto"/>
              <w:right w:val="nil"/>
            </w:tcBorders>
            <w:noWrap/>
            <w:vAlign w:val="center"/>
          </w:tcPr>
          <w:p w14:paraId="71B2C135" w14:textId="363B4BBC"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0.653</w:t>
            </w:r>
          </w:p>
        </w:tc>
        <w:tc>
          <w:tcPr>
            <w:tcW w:w="1772" w:type="dxa"/>
            <w:tcBorders>
              <w:top w:val="nil"/>
              <w:left w:val="nil"/>
              <w:bottom w:val="single" w:sz="4" w:space="0" w:color="auto"/>
              <w:right w:val="nil"/>
            </w:tcBorders>
            <w:noWrap/>
            <w:vAlign w:val="center"/>
          </w:tcPr>
          <w:p w14:paraId="71AB041D" w14:textId="260B5553"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[-0.04</w:t>
            </w:r>
            <w:r>
              <w:rPr>
                <w:color w:val="000000"/>
                <w:sz w:val="20"/>
                <w:szCs w:val="20"/>
              </w:rPr>
              <w:t>0</w:t>
            </w:r>
            <w:r w:rsidRPr="00A86CC2">
              <w:rPr>
                <w:color w:val="000000"/>
                <w:sz w:val="20"/>
                <w:szCs w:val="20"/>
              </w:rPr>
              <w:t>, 0.02</w:t>
            </w:r>
            <w:r>
              <w:rPr>
                <w:color w:val="000000"/>
                <w:sz w:val="20"/>
                <w:szCs w:val="20"/>
              </w:rPr>
              <w:t>0</w:t>
            </w:r>
            <w:r w:rsidRPr="00A86CC2">
              <w:rPr>
                <w:color w:val="000000"/>
                <w:sz w:val="20"/>
                <w:szCs w:val="20"/>
              </w:rPr>
              <w:t>]</w:t>
            </w:r>
          </w:p>
        </w:tc>
      </w:tr>
      <w:tr w:rsidR="00A86CC2" w:rsidRPr="00452304" w14:paraId="148F20FD" w14:textId="77777777" w:rsidTr="00C5108C">
        <w:trPr>
          <w:trHeight w:val="320"/>
        </w:trPr>
        <w:tc>
          <w:tcPr>
            <w:tcW w:w="693" w:type="dxa"/>
            <w:vMerge/>
            <w:tcBorders>
              <w:left w:val="nil"/>
              <w:right w:val="nil"/>
            </w:tcBorders>
            <w:vAlign w:val="center"/>
          </w:tcPr>
          <w:p w14:paraId="650AFB8D"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7F2812C5" w14:textId="55BA3EE0" w:rsidR="00A86CC2" w:rsidRPr="008825E3" w:rsidRDefault="00A86CC2" w:rsidP="00A86CC2">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3F64F9AA" w14:textId="17AB1B08" w:rsidR="00A86CC2" w:rsidRPr="008825E3" w:rsidRDefault="00A86CC2" w:rsidP="00A86CC2">
            <w:pPr>
              <w:spacing w:after="0" w:line="240" w:lineRule="auto"/>
              <w:rPr>
                <w:rFonts w:eastAsia="Times New Roman"/>
                <w:b/>
                <w:bCs/>
                <w:i/>
                <w:color w:val="000000"/>
                <w:kern w:val="0"/>
                <w:sz w:val="20"/>
                <w:szCs w:val="20"/>
                <w14:ligatures w14:val="none"/>
              </w:rPr>
            </w:pPr>
            <w:proofErr w:type="spellStart"/>
            <w:r w:rsidRPr="008825E3">
              <w:rPr>
                <w:rFonts w:eastAsia="Times New Roman"/>
                <w:b/>
                <w:bCs/>
                <w:i/>
                <w:iCs/>
                <w:color w:val="000000"/>
                <w:kern w:val="0"/>
                <w:sz w:val="20"/>
                <w:szCs w:val="20"/>
                <w14:ligatures w14:val="none"/>
              </w:rPr>
              <w:t>T</w:t>
            </w:r>
            <w:r w:rsidRPr="008825E3">
              <w:rPr>
                <w:rFonts w:eastAsia="Times New Roman"/>
                <w:b/>
                <w:bCs/>
                <w:i/>
                <w:iCs/>
                <w:color w:val="000000"/>
                <w:kern w:val="0"/>
                <w:sz w:val="20"/>
                <w:szCs w:val="20"/>
                <w:vertAlign w:val="subscript"/>
                <w14:ligatures w14:val="none"/>
              </w:rPr>
              <w:t>g</w:t>
            </w:r>
            <w:proofErr w:type="spellEnd"/>
          </w:p>
        </w:tc>
        <w:tc>
          <w:tcPr>
            <w:tcW w:w="1762" w:type="dxa"/>
            <w:tcBorders>
              <w:top w:val="single" w:sz="4" w:space="0" w:color="auto"/>
              <w:left w:val="nil"/>
              <w:bottom w:val="nil"/>
              <w:right w:val="nil"/>
            </w:tcBorders>
            <w:noWrap/>
            <w:vAlign w:val="center"/>
          </w:tcPr>
          <w:p w14:paraId="1FCAD064" w14:textId="3E9AC8B3"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-0.68</w:t>
            </w:r>
            <w:r w:rsidR="00C5108C">
              <w:rPr>
                <w:b/>
                <w:bCs/>
                <w:color w:val="000000"/>
                <w:sz w:val="20"/>
                <w:szCs w:val="20"/>
              </w:rPr>
              <w:t>8</w:t>
            </w:r>
            <w:r w:rsidRPr="00A86CC2">
              <w:rPr>
                <w:b/>
                <w:bCs/>
                <w:color w:val="000000"/>
                <w:sz w:val="20"/>
                <w:szCs w:val="20"/>
              </w:rPr>
              <w:t>±0.30</w:t>
            </w:r>
            <w:r w:rsidR="00C5108C">
              <w:rPr>
                <w:b/>
                <w:bCs/>
                <w:color w:val="000000"/>
                <w:sz w:val="20"/>
                <w:szCs w:val="20"/>
              </w:rPr>
              <w:t>1</w:t>
            </w:r>
          </w:p>
        </w:tc>
        <w:tc>
          <w:tcPr>
            <w:tcW w:w="889" w:type="dxa"/>
            <w:tcBorders>
              <w:top w:val="single" w:sz="4" w:space="0" w:color="auto"/>
              <w:left w:val="nil"/>
              <w:bottom w:val="nil"/>
              <w:right w:val="nil"/>
            </w:tcBorders>
            <w:noWrap/>
            <w:vAlign w:val="center"/>
          </w:tcPr>
          <w:p w14:paraId="42A959CE" w14:textId="60B5D6C8"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-2.287</w:t>
            </w:r>
          </w:p>
        </w:tc>
        <w:tc>
          <w:tcPr>
            <w:tcW w:w="939" w:type="dxa"/>
            <w:tcBorders>
              <w:top w:val="single" w:sz="4" w:space="0" w:color="auto"/>
              <w:left w:val="nil"/>
              <w:bottom w:val="nil"/>
              <w:right w:val="nil"/>
            </w:tcBorders>
            <w:noWrap/>
            <w:vAlign w:val="center"/>
          </w:tcPr>
          <w:p w14:paraId="75E706A1" w14:textId="3AFD9764"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0.022</w:t>
            </w:r>
          </w:p>
        </w:tc>
        <w:tc>
          <w:tcPr>
            <w:tcW w:w="1772" w:type="dxa"/>
            <w:tcBorders>
              <w:top w:val="single" w:sz="4" w:space="0" w:color="auto"/>
              <w:left w:val="nil"/>
              <w:bottom w:val="nil"/>
              <w:right w:val="nil"/>
            </w:tcBorders>
            <w:noWrap/>
            <w:vAlign w:val="center"/>
          </w:tcPr>
          <w:p w14:paraId="3AF643AD" w14:textId="60E6ECB8"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[-1.27</w:t>
            </w:r>
            <w:r w:rsidR="00C5108C">
              <w:rPr>
                <w:b/>
                <w:bCs/>
                <w:color w:val="000000"/>
                <w:sz w:val="20"/>
                <w:szCs w:val="20"/>
              </w:rPr>
              <w:t>2</w:t>
            </w:r>
            <w:r w:rsidRPr="00A86CC2">
              <w:rPr>
                <w:b/>
                <w:bCs/>
                <w:color w:val="000000"/>
                <w:sz w:val="20"/>
                <w:szCs w:val="20"/>
              </w:rPr>
              <w:t>, -0.100]</w:t>
            </w:r>
          </w:p>
        </w:tc>
      </w:tr>
      <w:tr w:rsidR="00A86CC2" w:rsidRPr="00452304" w14:paraId="2288A576" w14:textId="77777777" w:rsidTr="00C5108C">
        <w:trPr>
          <w:trHeight w:val="320"/>
        </w:trPr>
        <w:tc>
          <w:tcPr>
            <w:tcW w:w="693" w:type="dxa"/>
            <w:vMerge/>
            <w:tcBorders>
              <w:left w:val="nil"/>
              <w:right w:val="nil"/>
            </w:tcBorders>
            <w:vAlign w:val="center"/>
          </w:tcPr>
          <w:p w14:paraId="3C7FA0F8"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tcPr>
          <w:p w14:paraId="51F134EB" w14:textId="71614ACD"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2D87FF41" w14:textId="1A38BF6D"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AI</w:t>
            </w:r>
            <w:r w:rsidRPr="008825E3">
              <w:rPr>
                <w:rFonts w:eastAsia="Times New Roman"/>
                <w:color w:val="000000"/>
                <w:kern w:val="0"/>
                <w:sz w:val="20"/>
                <w:szCs w:val="20"/>
                <w:vertAlign w:val="subscript"/>
                <w14:ligatures w14:val="none"/>
              </w:rPr>
              <w:t>g</w:t>
            </w:r>
            <w:proofErr w:type="spellEnd"/>
          </w:p>
        </w:tc>
        <w:tc>
          <w:tcPr>
            <w:tcW w:w="1762" w:type="dxa"/>
            <w:tcBorders>
              <w:top w:val="nil"/>
              <w:left w:val="nil"/>
              <w:bottom w:val="nil"/>
              <w:right w:val="nil"/>
            </w:tcBorders>
            <w:noWrap/>
            <w:vAlign w:val="center"/>
          </w:tcPr>
          <w:p w14:paraId="555818F5" w14:textId="345E56BC"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-3.911±3.365</w:t>
            </w:r>
          </w:p>
        </w:tc>
        <w:tc>
          <w:tcPr>
            <w:tcW w:w="889" w:type="dxa"/>
            <w:tcBorders>
              <w:top w:val="nil"/>
              <w:left w:val="nil"/>
              <w:bottom w:val="nil"/>
              <w:right w:val="nil"/>
            </w:tcBorders>
            <w:noWrap/>
            <w:vAlign w:val="center"/>
          </w:tcPr>
          <w:p w14:paraId="2FC25F9F" w14:textId="45A7D188"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-1.204</w:t>
            </w:r>
          </w:p>
        </w:tc>
        <w:tc>
          <w:tcPr>
            <w:tcW w:w="939" w:type="dxa"/>
            <w:tcBorders>
              <w:top w:val="nil"/>
              <w:left w:val="nil"/>
              <w:bottom w:val="nil"/>
              <w:right w:val="nil"/>
            </w:tcBorders>
            <w:noWrap/>
            <w:vAlign w:val="center"/>
          </w:tcPr>
          <w:p w14:paraId="4EDB30D3" w14:textId="521E18BC"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0.229</w:t>
            </w:r>
          </w:p>
        </w:tc>
        <w:tc>
          <w:tcPr>
            <w:tcW w:w="1772" w:type="dxa"/>
            <w:tcBorders>
              <w:top w:val="nil"/>
              <w:left w:val="nil"/>
              <w:bottom w:val="nil"/>
              <w:right w:val="nil"/>
            </w:tcBorders>
            <w:noWrap/>
            <w:vAlign w:val="center"/>
          </w:tcPr>
          <w:p w14:paraId="49ECF53B" w14:textId="583D79C4"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[-9.9</w:t>
            </w:r>
            <w:r w:rsidR="00C5108C">
              <w:rPr>
                <w:color w:val="000000"/>
                <w:sz w:val="20"/>
                <w:szCs w:val="20"/>
              </w:rPr>
              <w:t>50</w:t>
            </w:r>
            <w:r w:rsidRPr="00A86CC2">
              <w:rPr>
                <w:color w:val="000000"/>
                <w:sz w:val="20"/>
                <w:szCs w:val="20"/>
              </w:rPr>
              <w:t>, 2.54</w:t>
            </w:r>
            <w:r w:rsidR="00C5108C">
              <w:rPr>
                <w:color w:val="000000"/>
                <w:sz w:val="20"/>
                <w:szCs w:val="20"/>
              </w:rPr>
              <w:t>2</w:t>
            </w:r>
            <w:r w:rsidRPr="00A86CC2">
              <w:rPr>
                <w:color w:val="000000"/>
                <w:sz w:val="20"/>
                <w:szCs w:val="20"/>
              </w:rPr>
              <w:t>]</w:t>
            </w:r>
          </w:p>
        </w:tc>
      </w:tr>
      <w:tr w:rsidR="00A86CC2" w:rsidRPr="00452304" w14:paraId="20B7B780" w14:textId="77777777" w:rsidTr="00C5108C">
        <w:trPr>
          <w:trHeight w:val="320"/>
        </w:trPr>
        <w:tc>
          <w:tcPr>
            <w:tcW w:w="693" w:type="dxa"/>
            <w:vMerge/>
            <w:tcBorders>
              <w:left w:val="nil"/>
              <w:bottom w:val="single" w:sz="4" w:space="0" w:color="auto"/>
              <w:right w:val="nil"/>
            </w:tcBorders>
            <w:vAlign w:val="center"/>
          </w:tcPr>
          <w:p w14:paraId="02675665"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tcPr>
          <w:p w14:paraId="1FB57C62" w14:textId="074F25BC"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071724D" w14:textId="0E1470F2"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762" w:type="dxa"/>
            <w:tcBorders>
              <w:top w:val="nil"/>
              <w:left w:val="nil"/>
              <w:bottom w:val="single" w:sz="4" w:space="0" w:color="auto"/>
              <w:right w:val="nil"/>
            </w:tcBorders>
            <w:noWrap/>
            <w:vAlign w:val="center"/>
          </w:tcPr>
          <w:p w14:paraId="6B3ABE60" w14:textId="32EC7557"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-0.01</w:t>
            </w:r>
            <w:r>
              <w:rPr>
                <w:color w:val="000000"/>
                <w:sz w:val="20"/>
                <w:szCs w:val="20"/>
              </w:rPr>
              <w:t>0</w:t>
            </w:r>
            <w:r w:rsidRPr="00A86CC2">
              <w:rPr>
                <w:color w:val="000000"/>
                <w:sz w:val="20"/>
                <w:szCs w:val="20"/>
              </w:rPr>
              <w:t>±0.02</w:t>
            </w:r>
            <w:r>
              <w:rPr>
                <w:color w:val="000000"/>
                <w:sz w:val="20"/>
                <w:szCs w:val="20"/>
              </w:rPr>
              <w:t>0</w:t>
            </w:r>
          </w:p>
        </w:tc>
        <w:tc>
          <w:tcPr>
            <w:tcW w:w="889" w:type="dxa"/>
            <w:tcBorders>
              <w:top w:val="nil"/>
              <w:left w:val="nil"/>
              <w:bottom w:val="single" w:sz="4" w:space="0" w:color="auto"/>
              <w:right w:val="nil"/>
            </w:tcBorders>
            <w:noWrap/>
            <w:vAlign w:val="center"/>
          </w:tcPr>
          <w:p w14:paraId="47A650E0" w14:textId="2A4A09F9"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-0.740</w:t>
            </w:r>
          </w:p>
        </w:tc>
        <w:tc>
          <w:tcPr>
            <w:tcW w:w="939" w:type="dxa"/>
            <w:tcBorders>
              <w:top w:val="nil"/>
              <w:left w:val="nil"/>
              <w:bottom w:val="single" w:sz="4" w:space="0" w:color="auto"/>
              <w:right w:val="nil"/>
            </w:tcBorders>
            <w:noWrap/>
            <w:vAlign w:val="center"/>
          </w:tcPr>
          <w:p w14:paraId="52797FB5" w14:textId="756D62DB"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0.459</w:t>
            </w:r>
          </w:p>
        </w:tc>
        <w:tc>
          <w:tcPr>
            <w:tcW w:w="1772" w:type="dxa"/>
            <w:tcBorders>
              <w:top w:val="nil"/>
              <w:left w:val="nil"/>
              <w:bottom w:val="single" w:sz="4" w:space="0" w:color="auto"/>
              <w:right w:val="nil"/>
            </w:tcBorders>
            <w:noWrap/>
            <w:vAlign w:val="center"/>
          </w:tcPr>
          <w:p w14:paraId="1A2536E5" w14:textId="5802B27C"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[-0.05</w:t>
            </w:r>
            <w:r>
              <w:rPr>
                <w:color w:val="000000"/>
                <w:sz w:val="20"/>
                <w:szCs w:val="20"/>
              </w:rPr>
              <w:t>0</w:t>
            </w:r>
            <w:r w:rsidRPr="00A86CC2">
              <w:rPr>
                <w:color w:val="000000"/>
                <w:sz w:val="20"/>
                <w:szCs w:val="20"/>
              </w:rPr>
              <w:t>, 0.02</w:t>
            </w:r>
            <w:r>
              <w:rPr>
                <w:color w:val="000000"/>
                <w:sz w:val="20"/>
                <w:szCs w:val="20"/>
              </w:rPr>
              <w:t>0</w:t>
            </w:r>
            <w:r w:rsidRPr="00A86CC2">
              <w:rPr>
                <w:color w:val="000000"/>
                <w:sz w:val="20"/>
                <w:szCs w:val="20"/>
              </w:rPr>
              <w:t>]</w:t>
            </w:r>
          </w:p>
        </w:tc>
      </w:tr>
      <w:tr w:rsidR="00A86CC2" w:rsidRPr="00452304" w14:paraId="04C9F31B" w14:textId="77777777" w:rsidTr="00C5108C">
        <w:trPr>
          <w:trHeight w:val="320"/>
        </w:trPr>
        <w:tc>
          <w:tcPr>
            <w:tcW w:w="693" w:type="dxa"/>
            <w:vMerge w:val="restart"/>
            <w:tcBorders>
              <w:top w:val="single" w:sz="4" w:space="0" w:color="auto"/>
              <w:left w:val="nil"/>
              <w:right w:val="nil"/>
            </w:tcBorders>
            <w:vAlign w:val="center"/>
          </w:tcPr>
          <w:p w14:paraId="6FF02C22" w14:textId="739F9C12" w:rsidR="00A86CC2" w:rsidRPr="008825E3" w:rsidRDefault="00A86CC2" w:rsidP="00A86CC2">
            <w:pPr>
              <w:spacing w:after="0" w:line="240" w:lineRule="auto"/>
              <w:rPr>
                <w:rFonts w:eastAsia="Times New Roman"/>
                <w:iCs/>
                <w:color w:val="000000"/>
                <w:kern w:val="0"/>
                <w:sz w:val="20"/>
                <w:szCs w:val="20"/>
                <w14:ligatures w14:val="none"/>
              </w:rPr>
            </w:pPr>
            <w:r w:rsidRPr="008825E3">
              <w:rPr>
                <w:rFonts w:eastAsia="Times New Roman"/>
                <w:i/>
                <w:iCs/>
                <w:color w:val="000000"/>
                <w:kern w:val="0"/>
                <w:sz w:val="20"/>
                <w:szCs w:val="20"/>
                <w14:ligatures w14:val="none"/>
              </w:rPr>
              <w:t>N</w:t>
            </w:r>
            <w:r w:rsidRPr="008825E3">
              <w:rPr>
                <w:rFonts w:eastAsia="Times New Roman"/>
                <w:iCs/>
                <w:color w:val="000000"/>
                <w:kern w:val="0"/>
                <w:sz w:val="20"/>
                <w:szCs w:val="20"/>
                <w:vertAlign w:val="subscript"/>
                <w14:ligatures w14:val="none"/>
              </w:rPr>
              <w:t>area</w:t>
            </w:r>
          </w:p>
        </w:tc>
        <w:tc>
          <w:tcPr>
            <w:tcW w:w="1178" w:type="dxa"/>
            <w:vMerge w:val="restart"/>
            <w:tcBorders>
              <w:top w:val="single" w:sz="4" w:space="0" w:color="auto"/>
              <w:left w:val="nil"/>
              <w:right w:val="nil"/>
            </w:tcBorders>
            <w:noWrap/>
            <w:vAlign w:val="center"/>
          </w:tcPr>
          <w:p w14:paraId="51DD6C58" w14:textId="516A23E7" w:rsidR="00A86CC2" w:rsidRPr="008825E3" w:rsidRDefault="00A86CC2" w:rsidP="00A86CC2">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bottom"/>
          </w:tcPr>
          <w:p w14:paraId="36925A44" w14:textId="3502E10E" w:rsidR="00A86CC2" w:rsidRPr="00A86CC2" w:rsidRDefault="00A86CC2" w:rsidP="00A86CC2">
            <w:pPr>
              <w:spacing w:after="0" w:line="240" w:lineRule="auto"/>
              <w:rPr>
                <w:rFonts w:eastAsia="Times New Roman"/>
                <w:i/>
                <w:iCs/>
                <w:color w:val="000000"/>
                <w:kern w:val="0"/>
                <w:sz w:val="20"/>
                <w:szCs w:val="20"/>
                <w14:ligatures w14:val="none"/>
              </w:rPr>
            </w:pPr>
            <w:proofErr w:type="spellStart"/>
            <w:r w:rsidRPr="00A86CC2">
              <w:rPr>
                <w:rFonts w:eastAsia="Times New Roman"/>
                <w:i/>
                <w:iCs/>
                <w:color w:val="000000"/>
                <w:kern w:val="0"/>
                <w:sz w:val="20"/>
                <w:szCs w:val="20"/>
                <w14:ligatures w14:val="none"/>
              </w:rPr>
              <w:t>T</w:t>
            </w:r>
            <w:r w:rsidRPr="00A86CC2">
              <w:rPr>
                <w:rFonts w:eastAsia="Times New Roman"/>
                <w:i/>
                <w:iCs/>
                <w:color w:val="000000"/>
                <w:kern w:val="0"/>
                <w:sz w:val="20"/>
                <w:szCs w:val="20"/>
                <w:vertAlign w:val="subscript"/>
                <w14:ligatures w14:val="none"/>
              </w:rPr>
              <w:t>g</w:t>
            </w:r>
            <w:proofErr w:type="spellEnd"/>
          </w:p>
        </w:tc>
        <w:tc>
          <w:tcPr>
            <w:tcW w:w="1762" w:type="dxa"/>
            <w:tcBorders>
              <w:top w:val="single" w:sz="4" w:space="0" w:color="auto"/>
              <w:left w:val="nil"/>
              <w:bottom w:val="nil"/>
              <w:right w:val="nil"/>
            </w:tcBorders>
            <w:noWrap/>
            <w:vAlign w:val="center"/>
          </w:tcPr>
          <w:p w14:paraId="279DA491" w14:textId="6F8904DE" w:rsidR="00A86CC2" w:rsidRPr="00A86CC2" w:rsidRDefault="00A86CC2" w:rsidP="00C5108C">
            <w:pPr>
              <w:spacing w:after="0" w:line="240" w:lineRule="auto"/>
              <w:jc w:val="right"/>
              <w:rPr>
                <w:i/>
                <w:iCs/>
                <w:color w:val="000000"/>
                <w:sz w:val="20"/>
                <w:szCs w:val="20"/>
                <w:highlight w:val="yellow"/>
              </w:rPr>
            </w:pPr>
            <w:r w:rsidRPr="00A86CC2">
              <w:rPr>
                <w:i/>
                <w:iCs/>
                <w:color w:val="000000"/>
                <w:sz w:val="20"/>
                <w:szCs w:val="20"/>
              </w:rPr>
              <w:t>-1.232±0.642</w:t>
            </w:r>
          </w:p>
        </w:tc>
        <w:tc>
          <w:tcPr>
            <w:tcW w:w="889" w:type="dxa"/>
            <w:tcBorders>
              <w:top w:val="single" w:sz="4" w:space="0" w:color="auto"/>
              <w:left w:val="nil"/>
              <w:bottom w:val="nil"/>
              <w:right w:val="nil"/>
            </w:tcBorders>
            <w:noWrap/>
            <w:vAlign w:val="center"/>
          </w:tcPr>
          <w:p w14:paraId="65BF1B8D" w14:textId="57F761B2" w:rsidR="00A86CC2" w:rsidRPr="00A86CC2" w:rsidRDefault="00A86CC2" w:rsidP="00C5108C">
            <w:pPr>
              <w:spacing w:after="0" w:line="240" w:lineRule="auto"/>
              <w:jc w:val="right"/>
              <w:rPr>
                <w:i/>
                <w:iCs/>
                <w:color w:val="000000"/>
                <w:sz w:val="20"/>
                <w:szCs w:val="20"/>
                <w:highlight w:val="yellow"/>
              </w:rPr>
            </w:pPr>
            <w:r w:rsidRPr="00A86CC2">
              <w:rPr>
                <w:i/>
                <w:iCs/>
                <w:color w:val="000000"/>
                <w:sz w:val="20"/>
                <w:szCs w:val="20"/>
              </w:rPr>
              <w:t>-1.943</w:t>
            </w:r>
          </w:p>
        </w:tc>
        <w:tc>
          <w:tcPr>
            <w:tcW w:w="939" w:type="dxa"/>
            <w:tcBorders>
              <w:top w:val="single" w:sz="4" w:space="0" w:color="auto"/>
              <w:left w:val="nil"/>
              <w:bottom w:val="nil"/>
              <w:right w:val="nil"/>
            </w:tcBorders>
            <w:noWrap/>
            <w:vAlign w:val="center"/>
          </w:tcPr>
          <w:p w14:paraId="6F90D7FF" w14:textId="486BC66D" w:rsidR="00A86CC2" w:rsidRPr="00A86CC2" w:rsidRDefault="00A86CC2" w:rsidP="00C5108C">
            <w:pPr>
              <w:spacing w:after="0" w:line="240" w:lineRule="auto"/>
              <w:jc w:val="right"/>
              <w:rPr>
                <w:i/>
                <w:iCs/>
                <w:color w:val="000000"/>
                <w:sz w:val="20"/>
                <w:szCs w:val="20"/>
                <w:highlight w:val="yellow"/>
              </w:rPr>
            </w:pPr>
            <w:r w:rsidRPr="00A86CC2">
              <w:rPr>
                <w:i/>
                <w:iCs/>
                <w:color w:val="000000"/>
                <w:sz w:val="20"/>
                <w:szCs w:val="20"/>
              </w:rPr>
              <w:t>0.052</w:t>
            </w:r>
          </w:p>
        </w:tc>
        <w:tc>
          <w:tcPr>
            <w:tcW w:w="1772" w:type="dxa"/>
            <w:tcBorders>
              <w:top w:val="single" w:sz="4" w:space="0" w:color="auto"/>
              <w:left w:val="nil"/>
              <w:bottom w:val="nil"/>
              <w:right w:val="nil"/>
            </w:tcBorders>
            <w:noWrap/>
            <w:vAlign w:val="center"/>
          </w:tcPr>
          <w:p w14:paraId="22BB416F" w14:textId="0D51EF54" w:rsidR="00A86CC2" w:rsidRPr="00A86CC2" w:rsidRDefault="00A86CC2" w:rsidP="00C5108C">
            <w:pPr>
              <w:spacing w:after="0" w:line="240" w:lineRule="auto"/>
              <w:jc w:val="right"/>
              <w:rPr>
                <w:i/>
                <w:iCs/>
                <w:color w:val="000000"/>
                <w:sz w:val="20"/>
                <w:szCs w:val="20"/>
                <w:highlight w:val="yellow"/>
              </w:rPr>
            </w:pPr>
            <w:r w:rsidRPr="00A86CC2">
              <w:rPr>
                <w:i/>
                <w:iCs/>
                <w:color w:val="000000"/>
                <w:sz w:val="20"/>
                <w:szCs w:val="20"/>
              </w:rPr>
              <w:t>[-2.459, 0.010]</w:t>
            </w:r>
          </w:p>
        </w:tc>
      </w:tr>
      <w:tr w:rsidR="00A86CC2" w:rsidRPr="00452304" w14:paraId="667378CE" w14:textId="77777777" w:rsidTr="00C5108C">
        <w:trPr>
          <w:trHeight w:val="320"/>
        </w:trPr>
        <w:tc>
          <w:tcPr>
            <w:tcW w:w="693" w:type="dxa"/>
            <w:vMerge/>
            <w:tcBorders>
              <w:left w:val="nil"/>
              <w:right w:val="nil"/>
            </w:tcBorders>
          </w:tcPr>
          <w:p w14:paraId="287E7B52"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527FF3A0" w14:textId="6BDA15AD"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11B23066" w14:textId="4A80A788" w:rsidR="00A86CC2" w:rsidRPr="00A86CC2" w:rsidRDefault="00A86CC2" w:rsidP="00A86CC2">
            <w:pPr>
              <w:spacing w:after="0" w:line="240" w:lineRule="auto"/>
              <w:rPr>
                <w:rFonts w:eastAsia="Times New Roman"/>
                <w:i/>
                <w:iCs/>
                <w:color w:val="000000"/>
                <w:kern w:val="0"/>
                <w:sz w:val="20"/>
                <w:szCs w:val="20"/>
                <w14:ligatures w14:val="none"/>
              </w:rPr>
            </w:pPr>
            <w:proofErr w:type="spellStart"/>
            <w:r w:rsidRPr="00A86CC2">
              <w:rPr>
                <w:rFonts w:eastAsia="Times New Roman"/>
                <w:i/>
                <w:iCs/>
                <w:color w:val="000000"/>
                <w:kern w:val="0"/>
                <w:sz w:val="20"/>
                <w:szCs w:val="20"/>
                <w14:ligatures w14:val="none"/>
              </w:rPr>
              <w:t>AI</w:t>
            </w:r>
            <w:r w:rsidRPr="00A86CC2">
              <w:rPr>
                <w:rFonts w:eastAsia="Times New Roman"/>
                <w:i/>
                <w:iCs/>
                <w:color w:val="000000"/>
                <w:kern w:val="0"/>
                <w:sz w:val="20"/>
                <w:szCs w:val="20"/>
                <w:vertAlign w:val="subscript"/>
                <w14:ligatures w14:val="none"/>
              </w:rPr>
              <w:t>g</w:t>
            </w:r>
            <w:proofErr w:type="spellEnd"/>
          </w:p>
        </w:tc>
        <w:tc>
          <w:tcPr>
            <w:tcW w:w="1762" w:type="dxa"/>
            <w:tcBorders>
              <w:top w:val="nil"/>
              <w:left w:val="nil"/>
              <w:bottom w:val="nil"/>
              <w:right w:val="nil"/>
            </w:tcBorders>
            <w:noWrap/>
            <w:vAlign w:val="center"/>
          </w:tcPr>
          <w:p w14:paraId="7BF76269" w14:textId="6972ADF8" w:rsidR="00A86CC2" w:rsidRPr="00A86CC2" w:rsidRDefault="00A86CC2" w:rsidP="00C5108C">
            <w:pPr>
              <w:spacing w:after="0" w:line="240" w:lineRule="auto"/>
              <w:jc w:val="right"/>
              <w:rPr>
                <w:i/>
                <w:iCs/>
                <w:color w:val="000000"/>
                <w:sz w:val="20"/>
                <w:szCs w:val="20"/>
                <w:highlight w:val="yellow"/>
              </w:rPr>
            </w:pPr>
            <w:r w:rsidRPr="00A86CC2">
              <w:rPr>
                <w:i/>
                <w:iCs/>
                <w:color w:val="000000"/>
                <w:sz w:val="20"/>
                <w:szCs w:val="20"/>
              </w:rPr>
              <w:t>-11.00</w:t>
            </w:r>
            <w:r w:rsidR="00C5108C">
              <w:rPr>
                <w:i/>
                <w:iCs/>
                <w:color w:val="000000"/>
                <w:sz w:val="20"/>
                <w:szCs w:val="20"/>
              </w:rPr>
              <w:t>6</w:t>
            </w:r>
            <w:r w:rsidRPr="00A86CC2">
              <w:rPr>
                <w:i/>
                <w:iCs/>
                <w:color w:val="000000"/>
                <w:sz w:val="20"/>
                <w:szCs w:val="20"/>
              </w:rPr>
              <w:t>±6.545</w:t>
            </w:r>
          </w:p>
        </w:tc>
        <w:tc>
          <w:tcPr>
            <w:tcW w:w="889" w:type="dxa"/>
            <w:tcBorders>
              <w:top w:val="nil"/>
              <w:left w:val="nil"/>
              <w:bottom w:val="nil"/>
              <w:right w:val="nil"/>
            </w:tcBorders>
            <w:noWrap/>
            <w:vAlign w:val="center"/>
          </w:tcPr>
          <w:p w14:paraId="5C876089" w14:textId="7278381B" w:rsidR="00A86CC2" w:rsidRPr="00A86CC2" w:rsidRDefault="00A86CC2" w:rsidP="00C5108C">
            <w:pPr>
              <w:spacing w:after="0" w:line="240" w:lineRule="auto"/>
              <w:jc w:val="right"/>
              <w:rPr>
                <w:i/>
                <w:iCs/>
                <w:color w:val="000000"/>
                <w:sz w:val="20"/>
                <w:szCs w:val="20"/>
                <w:highlight w:val="yellow"/>
              </w:rPr>
            </w:pPr>
            <w:r w:rsidRPr="00A86CC2">
              <w:rPr>
                <w:i/>
                <w:iCs/>
                <w:color w:val="000000"/>
                <w:sz w:val="20"/>
                <w:szCs w:val="20"/>
              </w:rPr>
              <w:t>-1.838</w:t>
            </w:r>
          </w:p>
        </w:tc>
        <w:tc>
          <w:tcPr>
            <w:tcW w:w="939" w:type="dxa"/>
            <w:tcBorders>
              <w:top w:val="nil"/>
              <w:left w:val="nil"/>
              <w:bottom w:val="nil"/>
              <w:right w:val="nil"/>
            </w:tcBorders>
            <w:noWrap/>
            <w:vAlign w:val="center"/>
          </w:tcPr>
          <w:p w14:paraId="508F547D" w14:textId="090D564D" w:rsidR="00A86CC2" w:rsidRPr="00A86CC2" w:rsidRDefault="00A86CC2" w:rsidP="00C5108C">
            <w:pPr>
              <w:spacing w:after="0" w:line="240" w:lineRule="auto"/>
              <w:jc w:val="right"/>
              <w:rPr>
                <w:i/>
                <w:iCs/>
                <w:color w:val="000000"/>
                <w:sz w:val="20"/>
                <w:szCs w:val="20"/>
                <w:highlight w:val="yellow"/>
              </w:rPr>
            </w:pPr>
            <w:r w:rsidRPr="00A86CC2">
              <w:rPr>
                <w:i/>
                <w:iCs/>
                <w:color w:val="000000"/>
                <w:sz w:val="20"/>
                <w:szCs w:val="20"/>
              </w:rPr>
              <w:t>0.066</w:t>
            </w:r>
          </w:p>
        </w:tc>
        <w:tc>
          <w:tcPr>
            <w:tcW w:w="1772" w:type="dxa"/>
            <w:tcBorders>
              <w:top w:val="nil"/>
              <w:left w:val="nil"/>
              <w:bottom w:val="nil"/>
              <w:right w:val="nil"/>
            </w:tcBorders>
            <w:noWrap/>
            <w:vAlign w:val="center"/>
          </w:tcPr>
          <w:p w14:paraId="25A92EC1" w14:textId="1B57204A" w:rsidR="00A86CC2" w:rsidRPr="00A86CC2" w:rsidRDefault="00A86CC2" w:rsidP="00C5108C">
            <w:pPr>
              <w:spacing w:after="0" w:line="240" w:lineRule="auto"/>
              <w:jc w:val="right"/>
              <w:rPr>
                <w:i/>
                <w:iCs/>
                <w:color w:val="000000"/>
                <w:sz w:val="20"/>
                <w:szCs w:val="20"/>
                <w:highlight w:val="yellow"/>
              </w:rPr>
            </w:pPr>
            <w:r w:rsidRPr="00A86CC2">
              <w:rPr>
                <w:i/>
                <w:iCs/>
                <w:color w:val="000000"/>
                <w:sz w:val="20"/>
                <w:szCs w:val="20"/>
              </w:rPr>
              <w:t>[-21.408, 0.773]</w:t>
            </w:r>
          </w:p>
        </w:tc>
      </w:tr>
      <w:tr w:rsidR="00A86CC2" w:rsidRPr="00452304" w14:paraId="28BAFCE4" w14:textId="77777777" w:rsidTr="00C5108C">
        <w:trPr>
          <w:trHeight w:val="320"/>
        </w:trPr>
        <w:tc>
          <w:tcPr>
            <w:tcW w:w="693" w:type="dxa"/>
            <w:vMerge/>
            <w:tcBorders>
              <w:left w:val="nil"/>
              <w:right w:val="nil"/>
            </w:tcBorders>
          </w:tcPr>
          <w:p w14:paraId="1C04254A"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6EE56BE" w14:textId="174DBACE"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3082A40C" w14:textId="44A7F741"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762" w:type="dxa"/>
            <w:tcBorders>
              <w:top w:val="nil"/>
              <w:left w:val="nil"/>
              <w:bottom w:val="single" w:sz="4" w:space="0" w:color="auto"/>
              <w:right w:val="nil"/>
            </w:tcBorders>
            <w:noWrap/>
            <w:vAlign w:val="center"/>
          </w:tcPr>
          <w:p w14:paraId="1EDC1EED" w14:textId="42C3B7E5"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w:t>
            </w:r>
            <w:r>
              <w:rPr>
                <w:color w:val="000000"/>
                <w:sz w:val="20"/>
                <w:szCs w:val="20"/>
              </w:rPr>
              <w:t>.000</w:t>
            </w:r>
            <w:r w:rsidRPr="00A86CC2">
              <w:rPr>
                <w:color w:val="000000"/>
                <w:sz w:val="20"/>
                <w:szCs w:val="20"/>
              </w:rPr>
              <w:t>±0.03</w:t>
            </w:r>
            <w:r>
              <w:rPr>
                <w:color w:val="000000"/>
                <w:sz w:val="20"/>
                <w:szCs w:val="20"/>
              </w:rPr>
              <w:t>0</w:t>
            </w:r>
          </w:p>
        </w:tc>
        <w:tc>
          <w:tcPr>
            <w:tcW w:w="889" w:type="dxa"/>
            <w:tcBorders>
              <w:top w:val="nil"/>
              <w:left w:val="nil"/>
              <w:bottom w:val="single" w:sz="4" w:space="0" w:color="auto"/>
              <w:right w:val="nil"/>
            </w:tcBorders>
            <w:noWrap/>
            <w:vAlign w:val="center"/>
          </w:tcPr>
          <w:p w14:paraId="7D9B3745" w14:textId="2D15983D"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-0.015</w:t>
            </w:r>
          </w:p>
        </w:tc>
        <w:tc>
          <w:tcPr>
            <w:tcW w:w="939" w:type="dxa"/>
            <w:tcBorders>
              <w:top w:val="nil"/>
              <w:left w:val="nil"/>
              <w:bottom w:val="single" w:sz="4" w:space="0" w:color="auto"/>
              <w:right w:val="nil"/>
            </w:tcBorders>
            <w:noWrap/>
            <w:vAlign w:val="center"/>
          </w:tcPr>
          <w:p w14:paraId="46A455B7" w14:textId="307E328E"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0.988</w:t>
            </w:r>
          </w:p>
        </w:tc>
        <w:tc>
          <w:tcPr>
            <w:tcW w:w="1772" w:type="dxa"/>
            <w:tcBorders>
              <w:top w:val="nil"/>
              <w:left w:val="nil"/>
              <w:bottom w:val="single" w:sz="4" w:space="0" w:color="auto"/>
              <w:right w:val="nil"/>
            </w:tcBorders>
            <w:noWrap/>
            <w:vAlign w:val="center"/>
          </w:tcPr>
          <w:p w14:paraId="29792CDE" w14:textId="293E097F"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[-0.07</w:t>
            </w:r>
            <w:r>
              <w:rPr>
                <w:color w:val="000000"/>
                <w:sz w:val="20"/>
                <w:szCs w:val="20"/>
              </w:rPr>
              <w:t>0</w:t>
            </w:r>
            <w:r w:rsidRPr="00A86CC2">
              <w:rPr>
                <w:color w:val="000000"/>
                <w:sz w:val="20"/>
                <w:szCs w:val="20"/>
              </w:rPr>
              <w:t>, 0.07</w:t>
            </w:r>
            <w:r>
              <w:rPr>
                <w:color w:val="000000"/>
                <w:sz w:val="20"/>
                <w:szCs w:val="20"/>
              </w:rPr>
              <w:t>0</w:t>
            </w:r>
            <w:r w:rsidRPr="00A86CC2">
              <w:rPr>
                <w:color w:val="000000"/>
                <w:sz w:val="20"/>
                <w:szCs w:val="20"/>
              </w:rPr>
              <w:t>]</w:t>
            </w:r>
          </w:p>
        </w:tc>
      </w:tr>
      <w:tr w:rsidR="00A86CC2" w:rsidRPr="00452304" w14:paraId="48DB654F" w14:textId="77777777" w:rsidTr="00C5108C">
        <w:trPr>
          <w:trHeight w:val="320"/>
        </w:trPr>
        <w:tc>
          <w:tcPr>
            <w:tcW w:w="693" w:type="dxa"/>
            <w:vMerge/>
            <w:tcBorders>
              <w:left w:val="nil"/>
              <w:right w:val="nil"/>
            </w:tcBorders>
          </w:tcPr>
          <w:p w14:paraId="25278044"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884922B" w14:textId="6617410D" w:rsidR="00A86CC2" w:rsidRPr="008825E3" w:rsidRDefault="00A86CC2" w:rsidP="00A86CC2">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bottom"/>
          </w:tcPr>
          <w:p w14:paraId="00E83F36" w14:textId="7F15BC84"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T</w:t>
            </w:r>
            <w:r w:rsidRPr="008825E3">
              <w:rPr>
                <w:rFonts w:eastAsia="Times New Roman"/>
                <w:color w:val="000000"/>
                <w:kern w:val="0"/>
                <w:sz w:val="20"/>
                <w:szCs w:val="20"/>
                <w:vertAlign w:val="subscript"/>
                <w14:ligatures w14:val="none"/>
              </w:rPr>
              <w:t>g</w:t>
            </w:r>
            <w:proofErr w:type="spellEnd"/>
          </w:p>
        </w:tc>
        <w:tc>
          <w:tcPr>
            <w:tcW w:w="1762" w:type="dxa"/>
            <w:tcBorders>
              <w:top w:val="single" w:sz="4" w:space="0" w:color="auto"/>
              <w:left w:val="nil"/>
              <w:bottom w:val="nil"/>
              <w:right w:val="nil"/>
            </w:tcBorders>
            <w:noWrap/>
            <w:vAlign w:val="center"/>
          </w:tcPr>
          <w:p w14:paraId="68CDA7F2" w14:textId="6EF6122D"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0.04</w:t>
            </w:r>
            <w:r>
              <w:rPr>
                <w:color w:val="000000"/>
                <w:sz w:val="20"/>
                <w:szCs w:val="20"/>
              </w:rPr>
              <w:t>0</w:t>
            </w:r>
            <w:r w:rsidRPr="00A86CC2">
              <w:rPr>
                <w:color w:val="000000"/>
                <w:sz w:val="20"/>
                <w:szCs w:val="20"/>
              </w:rPr>
              <w:t>±0.521</w:t>
            </w:r>
          </w:p>
        </w:tc>
        <w:tc>
          <w:tcPr>
            <w:tcW w:w="889" w:type="dxa"/>
            <w:tcBorders>
              <w:top w:val="single" w:sz="4" w:space="0" w:color="auto"/>
              <w:left w:val="nil"/>
              <w:bottom w:val="nil"/>
              <w:right w:val="nil"/>
            </w:tcBorders>
            <w:noWrap/>
            <w:vAlign w:val="center"/>
          </w:tcPr>
          <w:p w14:paraId="34B0EAFF" w14:textId="1023EBE8"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0.071</w:t>
            </w:r>
          </w:p>
        </w:tc>
        <w:tc>
          <w:tcPr>
            <w:tcW w:w="939" w:type="dxa"/>
            <w:tcBorders>
              <w:top w:val="single" w:sz="4" w:space="0" w:color="auto"/>
              <w:left w:val="nil"/>
              <w:bottom w:val="nil"/>
              <w:right w:val="nil"/>
            </w:tcBorders>
            <w:noWrap/>
            <w:vAlign w:val="center"/>
          </w:tcPr>
          <w:p w14:paraId="02341627" w14:textId="4D1DE059"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0.944</w:t>
            </w:r>
          </w:p>
        </w:tc>
        <w:tc>
          <w:tcPr>
            <w:tcW w:w="1772" w:type="dxa"/>
            <w:tcBorders>
              <w:top w:val="single" w:sz="4" w:space="0" w:color="auto"/>
              <w:left w:val="nil"/>
              <w:bottom w:val="nil"/>
              <w:right w:val="nil"/>
            </w:tcBorders>
            <w:noWrap/>
            <w:vAlign w:val="center"/>
          </w:tcPr>
          <w:p w14:paraId="23427DA8" w14:textId="3AD73EBB"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[-0.985, 1.066]</w:t>
            </w:r>
          </w:p>
        </w:tc>
      </w:tr>
      <w:tr w:rsidR="00A86CC2" w:rsidRPr="00452304" w14:paraId="74365CF5" w14:textId="77777777" w:rsidTr="00C5108C">
        <w:trPr>
          <w:trHeight w:val="320"/>
        </w:trPr>
        <w:tc>
          <w:tcPr>
            <w:tcW w:w="693" w:type="dxa"/>
            <w:vMerge/>
            <w:tcBorders>
              <w:left w:val="nil"/>
              <w:right w:val="nil"/>
            </w:tcBorders>
          </w:tcPr>
          <w:p w14:paraId="327D13CF"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23CA58EC" w14:textId="777083CC"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24C22BAE" w14:textId="7FEE10DB"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AI</w:t>
            </w:r>
            <w:r w:rsidRPr="008825E3">
              <w:rPr>
                <w:rFonts w:eastAsia="Times New Roman"/>
                <w:color w:val="000000"/>
                <w:kern w:val="0"/>
                <w:sz w:val="20"/>
                <w:szCs w:val="20"/>
                <w:vertAlign w:val="subscript"/>
                <w14:ligatures w14:val="none"/>
              </w:rPr>
              <w:t>g</w:t>
            </w:r>
            <w:proofErr w:type="spellEnd"/>
          </w:p>
        </w:tc>
        <w:tc>
          <w:tcPr>
            <w:tcW w:w="1762" w:type="dxa"/>
            <w:tcBorders>
              <w:top w:val="nil"/>
              <w:left w:val="nil"/>
              <w:bottom w:val="nil"/>
              <w:right w:val="nil"/>
            </w:tcBorders>
            <w:noWrap/>
            <w:vAlign w:val="center"/>
          </w:tcPr>
          <w:p w14:paraId="481272CD" w14:textId="145A803B"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1.877±4.571</w:t>
            </w:r>
          </w:p>
        </w:tc>
        <w:tc>
          <w:tcPr>
            <w:tcW w:w="889" w:type="dxa"/>
            <w:tcBorders>
              <w:top w:val="nil"/>
              <w:left w:val="nil"/>
              <w:bottom w:val="nil"/>
              <w:right w:val="nil"/>
            </w:tcBorders>
            <w:noWrap/>
            <w:vAlign w:val="center"/>
          </w:tcPr>
          <w:p w14:paraId="06CAEBFB" w14:textId="11C25734"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0.417</w:t>
            </w:r>
          </w:p>
        </w:tc>
        <w:tc>
          <w:tcPr>
            <w:tcW w:w="939" w:type="dxa"/>
            <w:tcBorders>
              <w:top w:val="nil"/>
              <w:left w:val="nil"/>
              <w:bottom w:val="nil"/>
              <w:right w:val="nil"/>
            </w:tcBorders>
            <w:noWrap/>
            <w:vAlign w:val="center"/>
          </w:tcPr>
          <w:p w14:paraId="31CBB6EE" w14:textId="67981757"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0.677</w:t>
            </w:r>
          </w:p>
        </w:tc>
        <w:tc>
          <w:tcPr>
            <w:tcW w:w="1772" w:type="dxa"/>
            <w:tcBorders>
              <w:top w:val="nil"/>
              <w:left w:val="nil"/>
              <w:bottom w:val="nil"/>
              <w:right w:val="nil"/>
            </w:tcBorders>
            <w:noWrap/>
            <w:vAlign w:val="center"/>
          </w:tcPr>
          <w:p w14:paraId="6F358B85" w14:textId="5071DA79"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[-6.658, 11.204]</w:t>
            </w:r>
          </w:p>
        </w:tc>
      </w:tr>
      <w:tr w:rsidR="00A86CC2" w:rsidRPr="00452304" w14:paraId="39912F38" w14:textId="77777777" w:rsidTr="00C5108C">
        <w:trPr>
          <w:trHeight w:val="320"/>
        </w:trPr>
        <w:tc>
          <w:tcPr>
            <w:tcW w:w="693" w:type="dxa"/>
            <w:vMerge/>
            <w:tcBorders>
              <w:left w:val="nil"/>
              <w:right w:val="nil"/>
            </w:tcBorders>
          </w:tcPr>
          <w:p w14:paraId="23595611"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4991591" w14:textId="036DB8DB"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5FDD5189" w14:textId="6B0999F7"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762" w:type="dxa"/>
            <w:tcBorders>
              <w:top w:val="nil"/>
              <w:left w:val="nil"/>
              <w:bottom w:val="single" w:sz="4" w:space="0" w:color="auto"/>
              <w:right w:val="nil"/>
            </w:tcBorders>
            <w:noWrap/>
            <w:vAlign w:val="center"/>
          </w:tcPr>
          <w:p w14:paraId="488DEA42" w14:textId="41B6940D"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0.01</w:t>
            </w:r>
            <w:r>
              <w:rPr>
                <w:color w:val="000000"/>
                <w:sz w:val="20"/>
                <w:szCs w:val="20"/>
              </w:rPr>
              <w:t>0</w:t>
            </w:r>
            <w:r w:rsidRPr="00A86CC2">
              <w:rPr>
                <w:color w:val="000000"/>
                <w:sz w:val="20"/>
                <w:szCs w:val="20"/>
              </w:rPr>
              <w:t>±0.03</w:t>
            </w:r>
            <w:r>
              <w:rPr>
                <w:color w:val="000000"/>
                <w:sz w:val="20"/>
                <w:szCs w:val="20"/>
              </w:rPr>
              <w:t>0</w:t>
            </w:r>
          </w:p>
        </w:tc>
        <w:tc>
          <w:tcPr>
            <w:tcW w:w="889" w:type="dxa"/>
            <w:tcBorders>
              <w:top w:val="nil"/>
              <w:left w:val="nil"/>
              <w:bottom w:val="single" w:sz="4" w:space="0" w:color="auto"/>
              <w:right w:val="nil"/>
            </w:tcBorders>
            <w:noWrap/>
            <w:vAlign w:val="center"/>
          </w:tcPr>
          <w:p w14:paraId="0760B8A0" w14:textId="18AFB2A2"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0.456</w:t>
            </w:r>
          </w:p>
        </w:tc>
        <w:tc>
          <w:tcPr>
            <w:tcW w:w="939" w:type="dxa"/>
            <w:tcBorders>
              <w:top w:val="nil"/>
              <w:left w:val="nil"/>
              <w:bottom w:val="single" w:sz="4" w:space="0" w:color="auto"/>
              <w:right w:val="nil"/>
            </w:tcBorders>
            <w:noWrap/>
            <w:vAlign w:val="center"/>
          </w:tcPr>
          <w:p w14:paraId="24979304" w14:textId="2764B4F7"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0.649</w:t>
            </w:r>
          </w:p>
        </w:tc>
        <w:tc>
          <w:tcPr>
            <w:tcW w:w="1772" w:type="dxa"/>
            <w:tcBorders>
              <w:top w:val="nil"/>
              <w:left w:val="nil"/>
              <w:bottom w:val="single" w:sz="4" w:space="0" w:color="auto"/>
              <w:right w:val="nil"/>
            </w:tcBorders>
            <w:noWrap/>
            <w:vAlign w:val="center"/>
          </w:tcPr>
          <w:p w14:paraId="65EFBF77" w14:textId="6379BDC3"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[-0.05</w:t>
            </w:r>
            <w:r>
              <w:rPr>
                <w:color w:val="000000"/>
                <w:sz w:val="20"/>
                <w:szCs w:val="20"/>
              </w:rPr>
              <w:t>0</w:t>
            </w:r>
            <w:r w:rsidRPr="00A86CC2">
              <w:rPr>
                <w:color w:val="000000"/>
                <w:sz w:val="20"/>
                <w:szCs w:val="20"/>
              </w:rPr>
              <w:t>, 0.07</w:t>
            </w:r>
            <w:r>
              <w:rPr>
                <w:color w:val="000000"/>
                <w:sz w:val="20"/>
                <w:szCs w:val="20"/>
              </w:rPr>
              <w:t>0</w:t>
            </w:r>
            <w:r w:rsidRPr="00A86CC2">
              <w:rPr>
                <w:color w:val="000000"/>
                <w:sz w:val="20"/>
                <w:szCs w:val="20"/>
              </w:rPr>
              <w:t>]</w:t>
            </w:r>
          </w:p>
        </w:tc>
      </w:tr>
      <w:tr w:rsidR="00A86CC2" w:rsidRPr="00452304" w14:paraId="513BF9F8" w14:textId="77777777" w:rsidTr="00C5108C">
        <w:trPr>
          <w:trHeight w:val="320"/>
        </w:trPr>
        <w:tc>
          <w:tcPr>
            <w:tcW w:w="693" w:type="dxa"/>
            <w:vMerge/>
            <w:tcBorders>
              <w:left w:val="nil"/>
              <w:right w:val="nil"/>
            </w:tcBorders>
          </w:tcPr>
          <w:p w14:paraId="17D0C61D"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1CD3BE8" w14:textId="35479FF8" w:rsidR="00A86CC2" w:rsidRPr="008825E3" w:rsidRDefault="00A86CC2" w:rsidP="00A86CC2">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bottom"/>
          </w:tcPr>
          <w:p w14:paraId="097FEE7A" w14:textId="2FB6614C"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T</w:t>
            </w:r>
            <w:r w:rsidRPr="008825E3">
              <w:rPr>
                <w:rFonts w:eastAsia="Times New Roman"/>
                <w:i/>
                <w:iCs/>
                <w:color w:val="000000"/>
                <w:kern w:val="0"/>
                <w:sz w:val="20"/>
                <w:szCs w:val="20"/>
                <w:vertAlign w:val="subscript"/>
                <w14:ligatures w14:val="none"/>
              </w:rPr>
              <w:t>g</w:t>
            </w:r>
            <w:proofErr w:type="spellEnd"/>
          </w:p>
        </w:tc>
        <w:tc>
          <w:tcPr>
            <w:tcW w:w="1762" w:type="dxa"/>
            <w:tcBorders>
              <w:top w:val="single" w:sz="4" w:space="0" w:color="auto"/>
              <w:left w:val="nil"/>
              <w:bottom w:val="nil"/>
              <w:right w:val="nil"/>
            </w:tcBorders>
            <w:noWrap/>
            <w:vAlign w:val="center"/>
          </w:tcPr>
          <w:p w14:paraId="0BEC84D5" w14:textId="6857D2EF"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-0.419±0.43</w:t>
            </w:r>
            <w:r w:rsidR="00C5108C">
              <w:rPr>
                <w:color w:val="000000"/>
                <w:sz w:val="20"/>
                <w:szCs w:val="20"/>
              </w:rPr>
              <w:t>1</w:t>
            </w:r>
          </w:p>
        </w:tc>
        <w:tc>
          <w:tcPr>
            <w:tcW w:w="889" w:type="dxa"/>
            <w:tcBorders>
              <w:top w:val="single" w:sz="4" w:space="0" w:color="auto"/>
              <w:left w:val="nil"/>
              <w:bottom w:val="nil"/>
              <w:right w:val="nil"/>
            </w:tcBorders>
            <w:noWrap/>
            <w:vAlign w:val="center"/>
          </w:tcPr>
          <w:p w14:paraId="0BB08FF0" w14:textId="70E76A8D"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-0.962</w:t>
            </w:r>
          </w:p>
        </w:tc>
        <w:tc>
          <w:tcPr>
            <w:tcW w:w="939" w:type="dxa"/>
            <w:tcBorders>
              <w:top w:val="single" w:sz="4" w:space="0" w:color="auto"/>
              <w:left w:val="nil"/>
              <w:bottom w:val="nil"/>
              <w:right w:val="nil"/>
            </w:tcBorders>
            <w:noWrap/>
            <w:vAlign w:val="center"/>
          </w:tcPr>
          <w:p w14:paraId="0F8E9247" w14:textId="78EF9E40"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0.336</w:t>
            </w:r>
          </w:p>
        </w:tc>
        <w:tc>
          <w:tcPr>
            <w:tcW w:w="1772" w:type="dxa"/>
            <w:tcBorders>
              <w:top w:val="single" w:sz="4" w:space="0" w:color="auto"/>
              <w:left w:val="nil"/>
              <w:bottom w:val="nil"/>
              <w:right w:val="nil"/>
            </w:tcBorders>
            <w:noWrap/>
            <w:vAlign w:val="center"/>
          </w:tcPr>
          <w:p w14:paraId="6B8E6816" w14:textId="54F28A1C"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[-1.252, 0.43</w:t>
            </w:r>
            <w:r w:rsidR="00C5108C">
              <w:rPr>
                <w:color w:val="000000"/>
                <w:sz w:val="20"/>
                <w:szCs w:val="20"/>
              </w:rPr>
              <w:t>1</w:t>
            </w:r>
            <w:r w:rsidRPr="00A86CC2">
              <w:rPr>
                <w:color w:val="000000"/>
                <w:sz w:val="20"/>
                <w:szCs w:val="20"/>
              </w:rPr>
              <w:t>]</w:t>
            </w:r>
          </w:p>
        </w:tc>
      </w:tr>
      <w:tr w:rsidR="00A86CC2" w:rsidRPr="00452304" w14:paraId="04BF9894" w14:textId="77777777" w:rsidTr="00C5108C">
        <w:trPr>
          <w:trHeight w:val="320"/>
        </w:trPr>
        <w:tc>
          <w:tcPr>
            <w:tcW w:w="693" w:type="dxa"/>
            <w:vMerge/>
            <w:tcBorders>
              <w:left w:val="nil"/>
              <w:right w:val="nil"/>
            </w:tcBorders>
          </w:tcPr>
          <w:p w14:paraId="05E9A4BC"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tcPr>
          <w:p w14:paraId="04F1812E" w14:textId="3F4CF1EB"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3FF56C45" w14:textId="02BF7116"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AI</w:t>
            </w:r>
            <w:r w:rsidRPr="008825E3">
              <w:rPr>
                <w:rFonts w:eastAsia="Times New Roman"/>
                <w:color w:val="000000"/>
                <w:kern w:val="0"/>
                <w:sz w:val="20"/>
                <w:szCs w:val="20"/>
                <w:vertAlign w:val="subscript"/>
                <w14:ligatures w14:val="none"/>
              </w:rPr>
              <w:t>g</w:t>
            </w:r>
            <w:proofErr w:type="spellEnd"/>
          </w:p>
        </w:tc>
        <w:tc>
          <w:tcPr>
            <w:tcW w:w="1762" w:type="dxa"/>
            <w:tcBorders>
              <w:top w:val="nil"/>
              <w:left w:val="nil"/>
              <w:bottom w:val="nil"/>
              <w:right w:val="nil"/>
            </w:tcBorders>
            <w:noWrap/>
            <w:vAlign w:val="center"/>
          </w:tcPr>
          <w:p w14:paraId="45477380" w14:textId="50AB4E7C"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-2.36</w:t>
            </w:r>
            <w:r w:rsidR="00C5108C">
              <w:rPr>
                <w:color w:val="000000"/>
                <w:sz w:val="20"/>
                <w:szCs w:val="20"/>
              </w:rPr>
              <w:t>2</w:t>
            </w:r>
            <w:r w:rsidRPr="00A86CC2">
              <w:rPr>
                <w:color w:val="000000"/>
                <w:sz w:val="20"/>
                <w:szCs w:val="20"/>
              </w:rPr>
              <w:t>±3.676</w:t>
            </w:r>
          </w:p>
        </w:tc>
        <w:tc>
          <w:tcPr>
            <w:tcW w:w="889" w:type="dxa"/>
            <w:tcBorders>
              <w:top w:val="nil"/>
              <w:left w:val="nil"/>
              <w:bottom w:val="nil"/>
              <w:right w:val="nil"/>
            </w:tcBorders>
            <w:noWrap/>
            <w:vAlign w:val="center"/>
          </w:tcPr>
          <w:p w14:paraId="6126C692" w14:textId="0BFBCC14"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-0.662</w:t>
            </w:r>
          </w:p>
        </w:tc>
        <w:tc>
          <w:tcPr>
            <w:tcW w:w="939" w:type="dxa"/>
            <w:tcBorders>
              <w:top w:val="nil"/>
              <w:left w:val="nil"/>
              <w:bottom w:val="nil"/>
              <w:right w:val="nil"/>
            </w:tcBorders>
            <w:noWrap/>
            <w:vAlign w:val="center"/>
          </w:tcPr>
          <w:p w14:paraId="279CBD69" w14:textId="55D0D69C"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0.508</w:t>
            </w:r>
          </w:p>
        </w:tc>
        <w:tc>
          <w:tcPr>
            <w:tcW w:w="1772" w:type="dxa"/>
            <w:tcBorders>
              <w:top w:val="nil"/>
              <w:left w:val="nil"/>
              <w:bottom w:val="nil"/>
              <w:right w:val="nil"/>
            </w:tcBorders>
            <w:noWrap/>
            <w:vAlign w:val="center"/>
          </w:tcPr>
          <w:p w14:paraId="431B2DFA" w14:textId="77582A48"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[-9.026, 4.791]</w:t>
            </w:r>
          </w:p>
        </w:tc>
      </w:tr>
      <w:tr w:rsidR="00A86CC2" w:rsidRPr="00452304" w14:paraId="130C1710" w14:textId="77777777" w:rsidTr="00C5108C">
        <w:trPr>
          <w:trHeight w:val="320"/>
        </w:trPr>
        <w:tc>
          <w:tcPr>
            <w:tcW w:w="693" w:type="dxa"/>
            <w:vMerge/>
            <w:tcBorders>
              <w:left w:val="nil"/>
              <w:bottom w:val="single" w:sz="4" w:space="0" w:color="auto"/>
              <w:right w:val="nil"/>
            </w:tcBorders>
          </w:tcPr>
          <w:p w14:paraId="06479FC4"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tcPr>
          <w:p w14:paraId="41B7BFBB" w14:textId="6F616409"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4143422C" w14:textId="05620F9E"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762" w:type="dxa"/>
            <w:tcBorders>
              <w:top w:val="nil"/>
              <w:left w:val="nil"/>
              <w:bottom w:val="single" w:sz="4" w:space="0" w:color="auto"/>
              <w:right w:val="nil"/>
            </w:tcBorders>
            <w:noWrap/>
            <w:vAlign w:val="center"/>
          </w:tcPr>
          <w:p w14:paraId="4C4E78A3" w14:textId="2168A59D"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0.02</w:t>
            </w:r>
            <w:r>
              <w:rPr>
                <w:color w:val="000000"/>
                <w:sz w:val="20"/>
                <w:szCs w:val="20"/>
              </w:rPr>
              <w:t>0</w:t>
            </w:r>
            <w:r w:rsidRPr="00A86CC2">
              <w:rPr>
                <w:color w:val="000000"/>
                <w:sz w:val="20"/>
                <w:szCs w:val="20"/>
              </w:rPr>
              <w:t>±0.03</w:t>
            </w:r>
            <w:r>
              <w:rPr>
                <w:color w:val="000000"/>
                <w:sz w:val="20"/>
                <w:szCs w:val="20"/>
              </w:rPr>
              <w:t>0</w:t>
            </w:r>
          </w:p>
        </w:tc>
        <w:tc>
          <w:tcPr>
            <w:tcW w:w="889" w:type="dxa"/>
            <w:tcBorders>
              <w:top w:val="nil"/>
              <w:left w:val="nil"/>
              <w:bottom w:val="single" w:sz="4" w:space="0" w:color="auto"/>
              <w:right w:val="nil"/>
            </w:tcBorders>
            <w:noWrap/>
            <w:vAlign w:val="center"/>
          </w:tcPr>
          <w:p w14:paraId="7976D935" w14:textId="100C9494"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0.741</w:t>
            </w:r>
          </w:p>
        </w:tc>
        <w:tc>
          <w:tcPr>
            <w:tcW w:w="939" w:type="dxa"/>
            <w:tcBorders>
              <w:top w:val="nil"/>
              <w:left w:val="nil"/>
              <w:bottom w:val="single" w:sz="4" w:space="0" w:color="auto"/>
              <w:right w:val="nil"/>
            </w:tcBorders>
            <w:noWrap/>
            <w:vAlign w:val="center"/>
          </w:tcPr>
          <w:p w14:paraId="5F77B7D8" w14:textId="4DAC9A9A"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0.459</w:t>
            </w:r>
          </w:p>
        </w:tc>
        <w:tc>
          <w:tcPr>
            <w:tcW w:w="1772" w:type="dxa"/>
            <w:tcBorders>
              <w:top w:val="nil"/>
              <w:left w:val="nil"/>
              <w:bottom w:val="single" w:sz="4" w:space="0" w:color="auto"/>
              <w:right w:val="nil"/>
            </w:tcBorders>
            <w:noWrap/>
            <w:vAlign w:val="center"/>
          </w:tcPr>
          <w:p w14:paraId="0ED4C166" w14:textId="666CCF43"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[-0.03</w:t>
            </w:r>
            <w:r>
              <w:rPr>
                <w:color w:val="000000"/>
                <w:sz w:val="20"/>
                <w:szCs w:val="20"/>
              </w:rPr>
              <w:t>0</w:t>
            </w:r>
            <w:r w:rsidRPr="00A86CC2">
              <w:rPr>
                <w:color w:val="000000"/>
                <w:sz w:val="20"/>
                <w:szCs w:val="20"/>
              </w:rPr>
              <w:t>, 0.07</w:t>
            </w:r>
            <w:r>
              <w:rPr>
                <w:color w:val="000000"/>
                <w:sz w:val="20"/>
                <w:szCs w:val="20"/>
              </w:rPr>
              <w:t>0</w:t>
            </w:r>
            <w:r w:rsidRPr="00A86CC2">
              <w:rPr>
                <w:color w:val="000000"/>
                <w:sz w:val="20"/>
                <w:szCs w:val="20"/>
              </w:rPr>
              <w:t>]</w:t>
            </w:r>
          </w:p>
        </w:tc>
      </w:tr>
      <w:tr w:rsidR="00A86CC2" w:rsidRPr="00452304" w14:paraId="4C061FCE" w14:textId="77777777" w:rsidTr="00C5108C">
        <w:trPr>
          <w:trHeight w:val="320"/>
        </w:trPr>
        <w:tc>
          <w:tcPr>
            <w:tcW w:w="693" w:type="dxa"/>
            <w:vMerge w:val="restart"/>
            <w:tcBorders>
              <w:top w:val="single" w:sz="4" w:space="0" w:color="auto"/>
              <w:left w:val="nil"/>
              <w:right w:val="nil"/>
            </w:tcBorders>
            <w:vAlign w:val="center"/>
          </w:tcPr>
          <w:p w14:paraId="4954222A" w14:textId="79B88D2C" w:rsidR="00A86CC2" w:rsidRPr="008825E3" w:rsidRDefault="00A86CC2" w:rsidP="00A86CC2">
            <w:pPr>
              <w:spacing w:after="0" w:line="240" w:lineRule="auto"/>
              <w:rPr>
                <w:rFonts w:eastAsia="Times New Roman"/>
                <w:iCs/>
                <w:color w:val="000000"/>
                <w:kern w:val="0"/>
                <w:sz w:val="20"/>
                <w:szCs w:val="20"/>
                <w:vertAlign w:val="subscript"/>
                <w14:ligatures w14:val="none"/>
              </w:rPr>
            </w:pPr>
            <w:proofErr w:type="spellStart"/>
            <w:r w:rsidRPr="008825E3">
              <w:rPr>
                <w:rFonts w:eastAsia="Times New Roman"/>
                <w:i/>
                <w:iCs/>
                <w:color w:val="000000"/>
                <w:kern w:val="0"/>
                <w:sz w:val="20"/>
                <w:szCs w:val="20"/>
                <w14:ligatures w14:val="none"/>
              </w:rPr>
              <w:t>P</w:t>
            </w:r>
            <w:r w:rsidRPr="008825E3">
              <w:rPr>
                <w:rFonts w:eastAsia="Times New Roman"/>
                <w:iCs/>
                <w:color w:val="000000"/>
                <w:kern w:val="0"/>
                <w:sz w:val="20"/>
                <w:szCs w:val="20"/>
                <w:vertAlign w:val="subscript"/>
                <w14:ligatures w14:val="none"/>
              </w:rPr>
              <w:t>mass</w:t>
            </w:r>
            <w:proofErr w:type="spellEnd"/>
          </w:p>
        </w:tc>
        <w:tc>
          <w:tcPr>
            <w:tcW w:w="1178" w:type="dxa"/>
            <w:vMerge w:val="restart"/>
            <w:tcBorders>
              <w:top w:val="single" w:sz="4" w:space="0" w:color="auto"/>
              <w:left w:val="nil"/>
              <w:right w:val="nil"/>
            </w:tcBorders>
            <w:noWrap/>
            <w:vAlign w:val="center"/>
          </w:tcPr>
          <w:p w14:paraId="3BAF8DB5" w14:textId="5E0614C6" w:rsidR="00A86CC2" w:rsidRPr="008825E3" w:rsidRDefault="00A86CC2" w:rsidP="00A86CC2">
            <w:pPr>
              <w:spacing w:after="0" w:line="240" w:lineRule="auto"/>
              <w:rPr>
                <w:rFonts w:eastAsia="Times New Roman"/>
                <w:color w:val="000000"/>
                <w:kern w:val="0"/>
                <w:sz w:val="20"/>
                <w:szCs w:val="20"/>
                <w14:ligatures w14:val="none"/>
              </w:rPr>
            </w:pPr>
            <w:r w:rsidRPr="008825E3">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bottom"/>
          </w:tcPr>
          <w:p w14:paraId="58DC3A89" w14:textId="3A8F5A07"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T</w:t>
            </w:r>
            <w:r w:rsidRPr="008825E3">
              <w:rPr>
                <w:rFonts w:eastAsia="Times New Roman"/>
                <w:color w:val="000000"/>
                <w:kern w:val="0"/>
                <w:sz w:val="20"/>
                <w:szCs w:val="20"/>
                <w:vertAlign w:val="subscript"/>
                <w14:ligatures w14:val="none"/>
              </w:rPr>
              <w:t>g</w:t>
            </w:r>
            <w:proofErr w:type="spellEnd"/>
          </w:p>
        </w:tc>
        <w:tc>
          <w:tcPr>
            <w:tcW w:w="1762" w:type="dxa"/>
            <w:tcBorders>
              <w:top w:val="single" w:sz="4" w:space="0" w:color="auto"/>
              <w:left w:val="nil"/>
              <w:bottom w:val="nil"/>
              <w:right w:val="nil"/>
            </w:tcBorders>
            <w:noWrap/>
            <w:vAlign w:val="center"/>
          </w:tcPr>
          <w:p w14:paraId="13BE752F" w14:textId="1C913030"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0.461±0.501</w:t>
            </w:r>
          </w:p>
        </w:tc>
        <w:tc>
          <w:tcPr>
            <w:tcW w:w="889" w:type="dxa"/>
            <w:tcBorders>
              <w:top w:val="single" w:sz="4" w:space="0" w:color="auto"/>
              <w:left w:val="nil"/>
              <w:bottom w:val="nil"/>
              <w:right w:val="nil"/>
            </w:tcBorders>
            <w:noWrap/>
            <w:vAlign w:val="center"/>
          </w:tcPr>
          <w:p w14:paraId="0CA256A2" w14:textId="1C945415"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0.916</w:t>
            </w:r>
          </w:p>
        </w:tc>
        <w:tc>
          <w:tcPr>
            <w:tcW w:w="939" w:type="dxa"/>
            <w:tcBorders>
              <w:top w:val="single" w:sz="4" w:space="0" w:color="auto"/>
              <w:left w:val="nil"/>
              <w:bottom w:val="nil"/>
              <w:right w:val="nil"/>
            </w:tcBorders>
            <w:noWrap/>
            <w:vAlign w:val="center"/>
          </w:tcPr>
          <w:p w14:paraId="4AE22E10" w14:textId="016A6919"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0.360</w:t>
            </w:r>
          </w:p>
        </w:tc>
        <w:tc>
          <w:tcPr>
            <w:tcW w:w="1772" w:type="dxa"/>
            <w:tcBorders>
              <w:top w:val="single" w:sz="4" w:space="0" w:color="auto"/>
              <w:left w:val="nil"/>
              <w:bottom w:val="nil"/>
              <w:right w:val="nil"/>
            </w:tcBorders>
            <w:noWrap/>
            <w:vAlign w:val="center"/>
          </w:tcPr>
          <w:p w14:paraId="620DF1E7" w14:textId="37980512"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[-0.51</w:t>
            </w:r>
            <w:r w:rsidR="00C5108C">
              <w:rPr>
                <w:color w:val="000000"/>
                <w:sz w:val="20"/>
                <w:szCs w:val="20"/>
              </w:rPr>
              <w:t>9</w:t>
            </w:r>
            <w:r w:rsidRPr="00A86CC2">
              <w:rPr>
                <w:color w:val="000000"/>
                <w:sz w:val="20"/>
                <w:szCs w:val="20"/>
              </w:rPr>
              <w:t>, 1.450]</w:t>
            </w:r>
          </w:p>
        </w:tc>
      </w:tr>
      <w:tr w:rsidR="00A86CC2" w:rsidRPr="00452304" w14:paraId="52497F73" w14:textId="77777777" w:rsidTr="00C5108C">
        <w:trPr>
          <w:trHeight w:val="320"/>
        </w:trPr>
        <w:tc>
          <w:tcPr>
            <w:tcW w:w="693" w:type="dxa"/>
            <w:vMerge/>
            <w:tcBorders>
              <w:left w:val="nil"/>
              <w:right w:val="nil"/>
            </w:tcBorders>
          </w:tcPr>
          <w:p w14:paraId="21FF0977"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501AD5B9"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3085FC97" w14:textId="287D86C7"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AI</w:t>
            </w:r>
            <w:r w:rsidRPr="008825E3">
              <w:rPr>
                <w:rFonts w:eastAsia="Times New Roman"/>
                <w:color w:val="000000"/>
                <w:kern w:val="0"/>
                <w:sz w:val="20"/>
                <w:szCs w:val="20"/>
                <w:vertAlign w:val="subscript"/>
                <w14:ligatures w14:val="none"/>
              </w:rPr>
              <w:t>g</w:t>
            </w:r>
            <w:proofErr w:type="spellEnd"/>
          </w:p>
        </w:tc>
        <w:tc>
          <w:tcPr>
            <w:tcW w:w="1762" w:type="dxa"/>
            <w:tcBorders>
              <w:top w:val="nil"/>
              <w:left w:val="nil"/>
              <w:bottom w:val="nil"/>
              <w:right w:val="nil"/>
            </w:tcBorders>
            <w:noWrap/>
            <w:vAlign w:val="center"/>
          </w:tcPr>
          <w:p w14:paraId="1F37F34A" w14:textId="1B5C27F0"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3.81</w:t>
            </w:r>
            <w:r w:rsidR="00C5108C">
              <w:rPr>
                <w:color w:val="000000"/>
                <w:sz w:val="20"/>
                <w:szCs w:val="20"/>
              </w:rPr>
              <w:t>1</w:t>
            </w:r>
            <w:r w:rsidRPr="00A86CC2">
              <w:rPr>
                <w:color w:val="000000"/>
                <w:sz w:val="20"/>
                <w:szCs w:val="20"/>
              </w:rPr>
              <w:t>±5.411</w:t>
            </w:r>
          </w:p>
        </w:tc>
        <w:tc>
          <w:tcPr>
            <w:tcW w:w="889" w:type="dxa"/>
            <w:tcBorders>
              <w:top w:val="nil"/>
              <w:left w:val="nil"/>
              <w:bottom w:val="nil"/>
              <w:right w:val="nil"/>
            </w:tcBorders>
            <w:noWrap/>
            <w:vAlign w:val="center"/>
          </w:tcPr>
          <w:p w14:paraId="407D2DD5" w14:textId="633BC494"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0.710</w:t>
            </w:r>
          </w:p>
        </w:tc>
        <w:tc>
          <w:tcPr>
            <w:tcW w:w="939" w:type="dxa"/>
            <w:tcBorders>
              <w:top w:val="nil"/>
              <w:left w:val="nil"/>
              <w:bottom w:val="nil"/>
              <w:right w:val="nil"/>
            </w:tcBorders>
            <w:noWrap/>
            <w:vAlign w:val="center"/>
          </w:tcPr>
          <w:p w14:paraId="1D5416F4" w14:textId="06F1510A"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0.478</w:t>
            </w:r>
          </w:p>
        </w:tc>
        <w:tc>
          <w:tcPr>
            <w:tcW w:w="1772" w:type="dxa"/>
            <w:tcBorders>
              <w:top w:val="nil"/>
              <w:left w:val="nil"/>
              <w:bottom w:val="nil"/>
              <w:right w:val="nil"/>
            </w:tcBorders>
            <w:noWrap/>
            <w:vAlign w:val="center"/>
          </w:tcPr>
          <w:p w14:paraId="3E014890" w14:textId="519C610C"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[-6.37</w:t>
            </w:r>
            <w:r w:rsidR="00C5108C">
              <w:rPr>
                <w:color w:val="000000"/>
                <w:sz w:val="20"/>
                <w:szCs w:val="20"/>
              </w:rPr>
              <w:t>8</w:t>
            </w:r>
            <w:r w:rsidRPr="00A86CC2">
              <w:rPr>
                <w:color w:val="000000"/>
                <w:sz w:val="20"/>
                <w:szCs w:val="20"/>
              </w:rPr>
              <w:t>, 15.10</w:t>
            </w:r>
            <w:r w:rsidR="00C5108C">
              <w:rPr>
                <w:color w:val="000000"/>
                <w:sz w:val="20"/>
                <w:szCs w:val="20"/>
              </w:rPr>
              <w:t>8</w:t>
            </w:r>
            <w:r w:rsidRPr="00A86CC2">
              <w:rPr>
                <w:color w:val="000000"/>
                <w:sz w:val="20"/>
                <w:szCs w:val="20"/>
              </w:rPr>
              <w:t>]</w:t>
            </w:r>
          </w:p>
        </w:tc>
      </w:tr>
      <w:tr w:rsidR="00A86CC2" w:rsidRPr="00452304" w14:paraId="5B9E1E35" w14:textId="77777777" w:rsidTr="00C5108C">
        <w:trPr>
          <w:trHeight w:val="320"/>
        </w:trPr>
        <w:tc>
          <w:tcPr>
            <w:tcW w:w="693" w:type="dxa"/>
            <w:vMerge/>
            <w:tcBorders>
              <w:left w:val="nil"/>
              <w:right w:val="nil"/>
            </w:tcBorders>
          </w:tcPr>
          <w:p w14:paraId="68AB2F06"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A37E7A1"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1DBDB4ED" w14:textId="72A837AA"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762" w:type="dxa"/>
            <w:tcBorders>
              <w:top w:val="nil"/>
              <w:left w:val="nil"/>
              <w:bottom w:val="single" w:sz="4" w:space="0" w:color="auto"/>
              <w:right w:val="nil"/>
            </w:tcBorders>
            <w:noWrap/>
            <w:vAlign w:val="center"/>
          </w:tcPr>
          <w:p w14:paraId="11D2ACBC" w14:textId="5554C87A"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-0.05</w:t>
            </w:r>
            <w:r>
              <w:rPr>
                <w:color w:val="000000"/>
                <w:sz w:val="20"/>
                <w:szCs w:val="20"/>
              </w:rPr>
              <w:t>0</w:t>
            </w:r>
            <w:r w:rsidRPr="00A86CC2">
              <w:rPr>
                <w:color w:val="000000"/>
                <w:sz w:val="20"/>
                <w:szCs w:val="20"/>
              </w:rPr>
              <w:t>±0.03</w:t>
            </w:r>
            <w:r>
              <w:rPr>
                <w:color w:val="000000"/>
                <w:sz w:val="20"/>
                <w:szCs w:val="20"/>
              </w:rPr>
              <w:t>0</w:t>
            </w:r>
          </w:p>
        </w:tc>
        <w:tc>
          <w:tcPr>
            <w:tcW w:w="889" w:type="dxa"/>
            <w:tcBorders>
              <w:top w:val="nil"/>
              <w:left w:val="nil"/>
              <w:bottom w:val="single" w:sz="4" w:space="0" w:color="auto"/>
              <w:right w:val="nil"/>
            </w:tcBorders>
            <w:noWrap/>
            <w:vAlign w:val="center"/>
          </w:tcPr>
          <w:p w14:paraId="5A396A75" w14:textId="148D154E"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-1.616</w:t>
            </w:r>
          </w:p>
        </w:tc>
        <w:tc>
          <w:tcPr>
            <w:tcW w:w="939" w:type="dxa"/>
            <w:tcBorders>
              <w:top w:val="nil"/>
              <w:left w:val="nil"/>
              <w:bottom w:val="single" w:sz="4" w:space="0" w:color="auto"/>
              <w:right w:val="nil"/>
            </w:tcBorders>
            <w:noWrap/>
            <w:vAlign w:val="center"/>
          </w:tcPr>
          <w:p w14:paraId="67B5F340" w14:textId="037717B3"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0.106</w:t>
            </w:r>
          </w:p>
        </w:tc>
        <w:tc>
          <w:tcPr>
            <w:tcW w:w="1772" w:type="dxa"/>
            <w:tcBorders>
              <w:top w:val="nil"/>
              <w:left w:val="nil"/>
              <w:bottom w:val="single" w:sz="4" w:space="0" w:color="auto"/>
              <w:right w:val="nil"/>
            </w:tcBorders>
            <w:noWrap/>
            <w:vAlign w:val="center"/>
          </w:tcPr>
          <w:p w14:paraId="4A41DBE8" w14:textId="4911F345"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[-0.1</w:t>
            </w:r>
            <w:r w:rsidR="00C5108C">
              <w:rPr>
                <w:color w:val="000000"/>
                <w:sz w:val="20"/>
                <w:szCs w:val="20"/>
              </w:rPr>
              <w:t>10</w:t>
            </w:r>
            <w:r w:rsidRPr="00A86CC2">
              <w:rPr>
                <w:color w:val="000000"/>
                <w:sz w:val="20"/>
                <w:szCs w:val="20"/>
              </w:rPr>
              <w:t>, 0.01</w:t>
            </w:r>
            <w:r>
              <w:rPr>
                <w:color w:val="000000"/>
                <w:sz w:val="20"/>
                <w:szCs w:val="20"/>
              </w:rPr>
              <w:t>0</w:t>
            </w:r>
            <w:r w:rsidRPr="00A86CC2">
              <w:rPr>
                <w:color w:val="000000"/>
                <w:sz w:val="20"/>
                <w:szCs w:val="20"/>
              </w:rPr>
              <w:t>]</w:t>
            </w:r>
          </w:p>
        </w:tc>
      </w:tr>
      <w:tr w:rsidR="00A86CC2" w:rsidRPr="00452304" w14:paraId="0327AB28" w14:textId="77777777" w:rsidTr="00C5108C">
        <w:trPr>
          <w:trHeight w:val="320"/>
        </w:trPr>
        <w:tc>
          <w:tcPr>
            <w:tcW w:w="693" w:type="dxa"/>
            <w:vMerge/>
            <w:tcBorders>
              <w:left w:val="nil"/>
              <w:right w:val="nil"/>
            </w:tcBorders>
          </w:tcPr>
          <w:p w14:paraId="5BF9C9AB"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8BA8CF9" w14:textId="1293A956" w:rsidR="00A86CC2" w:rsidRPr="008825E3" w:rsidRDefault="00A86CC2" w:rsidP="00A86CC2">
            <w:pPr>
              <w:spacing w:after="0" w:line="240" w:lineRule="auto"/>
              <w:rPr>
                <w:rFonts w:eastAsia="Times New Roman"/>
                <w:color w:val="000000"/>
                <w:kern w:val="0"/>
                <w:sz w:val="20"/>
                <w:szCs w:val="20"/>
                <w14:ligatures w14:val="none"/>
              </w:rPr>
            </w:pPr>
            <w:r w:rsidRPr="008825E3">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bottom"/>
          </w:tcPr>
          <w:p w14:paraId="47BEFCDB" w14:textId="3A6C5784" w:rsidR="00A86CC2" w:rsidRPr="00A86CC2" w:rsidRDefault="00A86CC2" w:rsidP="00A86CC2">
            <w:pPr>
              <w:spacing w:after="0" w:line="240" w:lineRule="auto"/>
              <w:rPr>
                <w:rFonts w:eastAsia="Times New Roman"/>
                <w:b/>
                <w:bCs/>
                <w:i/>
                <w:color w:val="000000"/>
                <w:kern w:val="0"/>
                <w:sz w:val="20"/>
                <w:szCs w:val="20"/>
                <w14:ligatures w14:val="none"/>
              </w:rPr>
            </w:pPr>
            <w:proofErr w:type="spellStart"/>
            <w:r w:rsidRPr="00A86CC2">
              <w:rPr>
                <w:rFonts w:eastAsia="Times New Roman"/>
                <w:b/>
                <w:bCs/>
                <w:i/>
                <w:iCs/>
                <w:color w:val="000000"/>
                <w:kern w:val="0"/>
                <w:sz w:val="20"/>
                <w:szCs w:val="20"/>
                <w14:ligatures w14:val="none"/>
              </w:rPr>
              <w:t>T</w:t>
            </w:r>
            <w:r w:rsidRPr="00A86CC2">
              <w:rPr>
                <w:rFonts w:eastAsia="Times New Roman"/>
                <w:b/>
                <w:bCs/>
                <w:color w:val="000000"/>
                <w:kern w:val="0"/>
                <w:sz w:val="20"/>
                <w:szCs w:val="20"/>
                <w:vertAlign w:val="subscript"/>
                <w14:ligatures w14:val="none"/>
              </w:rPr>
              <w:t>g</w:t>
            </w:r>
            <w:proofErr w:type="spellEnd"/>
          </w:p>
        </w:tc>
        <w:tc>
          <w:tcPr>
            <w:tcW w:w="1762" w:type="dxa"/>
            <w:tcBorders>
              <w:top w:val="single" w:sz="4" w:space="0" w:color="auto"/>
              <w:left w:val="nil"/>
              <w:bottom w:val="nil"/>
              <w:right w:val="nil"/>
            </w:tcBorders>
            <w:noWrap/>
            <w:vAlign w:val="center"/>
          </w:tcPr>
          <w:p w14:paraId="04F73395" w14:textId="259B8BA5"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-2.127±1.05</w:t>
            </w:r>
            <w:r w:rsidR="00C5108C">
              <w:rPr>
                <w:b/>
                <w:bCs/>
                <w:color w:val="000000"/>
                <w:sz w:val="20"/>
                <w:szCs w:val="20"/>
              </w:rPr>
              <w:t>6</w:t>
            </w:r>
          </w:p>
        </w:tc>
        <w:tc>
          <w:tcPr>
            <w:tcW w:w="889" w:type="dxa"/>
            <w:tcBorders>
              <w:top w:val="single" w:sz="4" w:space="0" w:color="auto"/>
              <w:left w:val="nil"/>
              <w:bottom w:val="nil"/>
              <w:right w:val="nil"/>
            </w:tcBorders>
            <w:noWrap/>
            <w:vAlign w:val="center"/>
          </w:tcPr>
          <w:p w14:paraId="1A827C53" w14:textId="215520A3"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-2.053</w:t>
            </w:r>
          </w:p>
        </w:tc>
        <w:tc>
          <w:tcPr>
            <w:tcW w:w="939" w:type="dxa"/>
            <w:tcBorders>
              <w:top w:val="single" w:sz="4" w:space="0" w:color="auto"/>
              <w:left w:val="nil"/>
              <w:bottom w:val="nil"/>
              <w:right w:val="nil"/>
            </w:tcBorders>
            <w:noWrap/>
            <w:vAlign w:val="center"/>
          </w:tcPr>
          <w:p w14:paraId="1AE8418A" w14:textId="59D1C6C2"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0.040</w:t>
            </w:r>
          </w:p>
        </w:tc>
        <w:tc>
          <w:tcPr>
            <w:tcW w:w="1772" w:type="dxa"/>
            <w:tcBorders>
              <w:top w:val="single" w:sz="4" w:space="0" w:color="auto"/>
              <w:left w:val="nil"/>
              <w:bottom w:val="nil"/>
              <w:right w:val="nil"/>
            </w:tcBorders>
            <w:noWrap/>
            <w:vAlign w:val="center"/>
          </w:tcPr>
          <w:p w14:paraId="5B270640" w14:textId="1CA49CDE"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[-4.113, -0.100]</w:t>
            </w:r>
          </w:p>
        </w:tc>
      </w:tr>
      <w:tr w:rsidR="00A86CC2" w:rsidRPr="00452304" w14:paraId="153EFB9F" w14:textId="77777777" w:rsidTr="00C5108C">
        <w:trPr>
          <w:trHeight w:val="320"/>
        </w:trPr>
        <w:tc>
          <w:tcPr>
            <w:tcW w:w="693" w:type="dxa"/>
            <w:vMerge/>
            <w:tcBorders>
              <w:left w:val="nil"/>
              <w:right w:val="nil"/>
            </w:tcBorders>
          </w:tcPr>
          <w:p w14:paraId="23DDD235"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0FD60956"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2130D6B3" w14:textId="696625DD" w:rsidR="00A86CC2" w:rsidRPr="00A86CC2" w:rsidRDefault="00A86CC2" w:rsidP="00A86CC2">
            <w:pPr>
              <w:spacing w:after="0" w:line="240" w:lineRule="auto"/>
              <w:rPr>
                <w:rFonts w:eastAsia="Times New Roman"/>
                <w:i/>
                <w:iCs/>
                <w:color w:val="000000"/>
                <w:kern w:val="0"/>
                <w:sz w:val="20"/>
                <w:szCs w:val="20"/>
                <w14:ligatures w14:val="none"/>
              </w:rPr>
            </w:pPr>
            <w:proofErr w:type="spellStart"/>
            <w:r w:rsidRPr="00A86CC2">
              <w:rPr>
                <w:rFonts w:eastAsia="Times New Roman"/>
                <w:i/>
                <w:iCs/>
                <w:color w:val="000000"/>
                <w:kern w:val="0"/>
                <w:sz w:val="20"/>
                <w:szCs w:val="20"/>
                <w14:ligatures w14:val="none"/>
              </w:rPr>
              <w:t>AI</w:t>
            </w:r>
            <w:r w:rsidRPr="00A86CC2">
              <w:rPr>
                <w:rFonts w:eastAsia="Times New Roman"/>
                <w:i/>
                <w:iCs/>
                <w:color w:val="000000"/>
                <w:kern w:val="0"/>
                <w:sz w:val="20"/>
                <w:szCs w:val="20"/>
                <w:vertAlign w:val="subscript"/>
                <w14:ligatures w14:val="none"/>
              </w:rPr>
              <w:t>g</w:t>
            </w:r>
            <w:proofErr w:type="spellEnd"/>
          </w:p>
        </w:tc>
        <w:tc>
          <w:tcPr>
            <w:tcW w:w="1762" w:type="dxa"/>
            <w:tcBorders>
              <w:top w:val="nil"/>
              <w:left w:val="nil"/>
              <w:bottom w:val="nil"/>
              <w:right w:val="nil"/>
            </w:tcBorders>
            <w:noWrap/>
            <w:vAlign w:val="center"/>
          </w:tcPr>
          <w:p w14:paraId="69A95C2E" w14:textId="00CE3D5F" w:rsidR="00A86CC2" w:rsidRPr="00A86CC2" w:rsidRDefault="00A86CC2" w:rsidP="00C5108C">
            <w:pPr>
              <w:spacing w:after="0" w:line="240" w:lineRule="auto"/>
              <w:jc w:val="right"/>
              <w:rPr>
                <w:i/>
                <w:iCs/>
                <w:color w:val="000000"/>
                <w:sz w:val="20"/>
                <w:szCs w:val="20"/>
                <w:highlight w:val="yellow"/>
              </w:rPr>
            </w:pPr>
            <w:r w:rsidRPr="00A86CC2">
              <w:rPr>
                <w:i/>
                <w:iCs/>
                <w:color w:val="000000"/>
                <w:sz w:val="20"/>
                <w:szCs w:val="20"/>
              </w:rPr>
              <w:t>-16.42</w:t>
            </w:r>
            <w:r w:rsidR="00C5108C">
              <w:rPr>
                <w:i/>
                <w:iCs/>
                <w:color w:val="000000"/>
                <w:sz w:val="20"/>
                <w:szCs w:val="20"/>
              </w:rPr>
              <w:t>3</w:t>
            </w:r>
            <w:r w:rsidRPr="00A86CC2">
              <w:rPr>
                <w:i/>
                <w:iCs/>
                <w:color w:val="000000"/>
                <w:sz w:val="20"/>
                <w:szCs w:val="20"/>
              </w:rPr>
              <w:t>±11.004</w:t>
            </w:r>
          </w:p>
        </w:tc>
        <w:tc>
          <w:tcPr>
            <w:tcW w:w="889" w:type="dxa"/>
            <w:tcBorders>
              <w:top w:val="nil"/>
              <w:left w:val="nil"/>
              <w:bottom w:val="nil"/>
              <w:right w:val="nil"/>
            </w:tcBorders>
            <w:noWrap/>
            <w:vAlign w:val="center"/>
          </w:tcPr>
          <w:p w14:paraId="214231AC" w14:textId="541E05FD" w:rsidR="00A86CC2" w:rsidRPr="00A86CC2" w:rsidRDefault="00A86CC2" w:rsidP="00C5108C">
            <w:pPr>
              <w:spacing w:after="0" w:line="240" w:lineRule="auto"/>
              <w:jc w:val="right"/>
              <w:rPr>
                <w:i/>
                <w:iCs/>
                <w:color w:val="000000"/>
                <w:sz w:val="20"/>
                <w:szCs w:val="20"/>
                <w:highlight w:val="yellow"/>
              </w:rPr>
            </w:pPr>
            <w:r w:rsidRPr="00A86CC2">
              <w:rPr>
                <w:i/>
                <w:iCs/>
                <w:color w:val="000000"/>
                <w:sz w:val="20"/>
                <w:szCs w:val="20"/>
              </w:rPr>
              <w:t>-1.717</w:t>
            </w:r>
          </w:p>
        </w:tc>
        <w:tc>
          <w:tcPr>
            <w:tcW w:w="939" w:type="dxa"/>
            <w:tcBorders>
              <w:top w:val="nil"/>
              <w:left w:val="nil"/>
              <w:bottom w:val="nil"/>
              <w:right w:val="nil"/>
            </w:tcBorders>
            <w:noWrap/>
            <w:vAlign w:val="center"/>
          </w:tcPr>
          <w:p w14:paraId="0378489D" w14:textId="1ED8A77C" w:rsidR="00A86CC2" w:rsidRPr="00A86CC2" w:rsidRDefault="00A86CC2" w:rsidP="00C5108C">
            <w:pPr>
              <w:spacing w:after="0" w:line="240" w:lineRule="auto"/>
              <w:jc w:val="right"/>
              <w:rPr>
                <w:i/>
                <w:iCs/>
                <w:color w:val="000000"/>
                <w:sz w:val="20"/>
                <w:szCs w:val="20"/>
                <w:highlight w:val="yellow"/>
              </w:rPr>
            </w:pPr>
            <w:r w:rsidRPr="00A86CC2">
              <w:rPr>
                <w:i/>
                <w:iCs/>
                <w:color w:val="000000"/>
                <w:sz w:val="20"/>
                <w:szCs w:val="20"/>
              </w:rPr>
              <w:t>0.086</w:t>
            </w:r>
          </w:p>
        </w:tc>
        <w:tc>
          <w:tcPr>
            <w:tcW w:w="1772" w:type="dxa"/>
            <w:tcBorders>
              <w:top w:val="nil"/>
              <w:left w:val="nil"/>
              <w:bottom w:val="nil"/>
              <w:right w:val="nil"/>
            </w:tcBorders>
            <w:noWrap/>
            <w:vAlign w:val="center"/>
          </w:tcPr>
          <w:p w14:paraId="38865A32" w14:textId="6B5FF855" w:rsidR="00A86CC2" w:rsidRPr="00A86CC2" w:rsidRDefault="00A86CC2" w:rsidP="00C5108C">
            <w:pPr>
              <w:spacing w:after="0" w:line="240" w:lineRule="auto"/>
              <w:jc w:val="right"/>
              <w:rPr>
                <w:i/>
                <w:iCs/>
                <w:color w:val="000000"/>
                <w:sz w:val="20"/>
                <w:szCs w:val="20"/>
                <w:highlight w:val="yellow"/>
              </w:rPr>
            </w:pPr>
            <w:r w:rsidRPr="00A86CC2">
              <w:rPr>
                <w:i/>
                <w:iCs/>
                <w:color w:val="000000"/>
                <w:sz w:val="20"/>
                <w:szCs w:val="20"/>
              </w:rPr>
              <w:t>[-31.89</w:t>
            </w:r>
            <w:r w:rsidR="00C5108C">
              <w:rPr>
                <w:i/>
                <w:iCs/>
                <w:color w:val="000000"/>
                <w:sz w:val="20"/>
                <w:szCs w:val="20"/>
              </w:rPr>
              <w:t>4</w:t>
            </w:r>
            <w:r w:rsidRPr="00A86CC2">
              <w:rPr>
                <w:i/>
                <w:iCs/>
                <w:color w:val="000000"/>
                <w:sz w:val="20"/>
                <w:szCs w:val="20"/>
              </w:rPr>
              <w:t>, 2.562]</w:t>
            </w:r>
          </w:p>
        </w:tc>
      </w:tr>
      <w:tr w:rsidR="00A86CC2" w:rsidRPr="00452304" w14:paraId="4ECD8DDF" w14:textId="77777777" w:rsidTr="00C5108C">
        <w:trPr>
          <w:trHeight w:val="320"/>
        </w:trPr>
        <w:tc>
          <w:tcPr>
            <w:tcW w:w="693" w:type="dxa"/>
            <w:vMerge/>
            <w:tcBorders>
              <w:left w:val="nil"/>
              <w:right w:val="nil"/>
            </w:tcBorders>
          </w:tcPr>
          <w:p w14:paraId="2C47B2DE"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5A5B9A7"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51D00EB0" w14:textId="0EC770FF"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762" w:type="dxa"/>
            <w:tcBorders>
              <w:top w:val="nil"/>
              <w:left w:val="nil"/>
              <w:bottom w:val="single" w:sz="4" w:space="0" w:color="auto"/>
              <w:right w:val="nil"/>
            </w:tcBorders>
            <w:noWrap/>
            <w:vAlign w:val="center"/>
          </w:tcPr>
          <w:p w14:paraId="35D059AB" w14:textId="01255C13"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0.100±0.06</w:t>
            </w:r>
            <w:r>
              <w:rPr>
                <w:color w:val="000000"/>
                <w:sz w:val="20"/>
                <w:szCs w:val="20"/>
              </w:rPr>
              <w:t>0</w:t>
            </w:r>
          </w:p>
        </w:tc>
        <w:tc>
          <w:tcPr>
            <w:tcW w:w="889" w:type="dxa"/>
            <w:tcBorders>
              <w:top w:val="nil"/>
              <w:left w:val="nil"/>
              <w:bottom w:val="single" w:sz="4" w:space="0" w:color="auto"/>
              <w:right w:val="nil"/>
            </w:tcBorders>
            <w:noWrap/>
            <w:vAlign w:val="center"/>
          </w:tcPr>
          <w:p w14:paraId="150CC5E6" w14:textId="5FB6804A"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1.629</w:t>
            </w:r>
          </w:p>
        </w:tc>
        <w:tc>
          <w:tcPr>
            <w:tcW w:w="939" w:type="dxa"/>
            <w:tcBorders>
              <w:top w:val="nil"/>
              <w:left w:val="nil"/>
              <w:bottom w:val="single" w:sz="4" w:space="0" w:color="auto"/>
              <w:right w:val="nil"/>
            </w:tcBorders>
            <w:noWrap/>
            <w:vAlign w:val="center"/>
          </w:tcPr>
          <w:p w14:paraId="2610B4B0" w14:textId="7764761D"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0.103</w:t>
            </w:r>
          </w:p>
        </w:tc>
        <w:tc>
          <w:tcPr>
            <w:tcW w:w="1772" w:type="dxa"/>
            <w:tcBorders>
              <w:top w:val="nil"/>
              <w:left w:val="nil"/>
              <w:bottom w:val="single" w:sz="4" w:space="0" w:color="auto"/>
              <w:right w:val="nil"/>
            </w:tcBorders>
            <w:noWrap/>
            <w:vAlign w:val="center"/>
          </w:tcPr>
          <w:p w14:paraId="69F09D40" w14:textId="75AFDAF6"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[-0.02</w:t>
            </w:r>
            <w:r>
              <w:rPr>
                <w:color w:val="000000"/>
                <w:sz w:val="20"/>
                <w:szCs w:val="20"/>
              </w:rPr>
              <w:t>0</w:t>
            </w:r>
            <w:r w:rsidRPr="00A86CC2">
              <w:rPr>
                <w:color w:val="000000"/>
                <w:sz w:val="20"/>
                <w:szCs w:val="20"/>
              </w:rPr>
              <w:t>, 0.220]</w:t>
            </w:r>
          </w:p>
        </w:tc>
      </w:tr>
      <w:tr w:rsidR="00A86CC2" w:rsidRPr="00452304" w14:paraId="073E8210" w14:textId="77777777" w:rsidTr="00C5108C">
        <w:trPr>
          <w:trHeight w:val="320"/>
        </w:trPr>
        <w:tc>
          <w:tcPr>
            <w:tcW w:w="693" w:type="dxa"/>
            <w:vMerge/>
            <w:tcBorders>
              <w:left w:val="nil"/>
              <w:right w:val="nil"/>
            </w:tcBorders>
          </w:tcPr>
          <w:p w14:paraId="3EC873E3"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B129712" w14:textId="4A2C0C54" w:rsidR="00A86CC2" w:rsidRPr="008825E3" w:rsidRDefault="00A86CC2" w:rsidP="00A86CC2">
            <w:pPr>
              <w:spacing w:after="0" w:line="240" w:lineRule="auto"/>
              <w:rPr>
                <w:rFonts w:eastAsia="Times New Roman"/>
                <w:color w:val="000000"/>
                <w:kern w:val="0"/>
                <w:sz w:val="20"/>
                <w:szCs w:val="20"/>
                <w14:ligatures w14:val="none"/>
              </w:rPr>
            </w:pPr>
            <w:r w:rsidRPr="008825E3">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bottom"/>
          </w:tcPr>
          <w:p w14:paraId="033A4B95" w14:textId="144694B8" w:rsidR="00A86CC2" w:rsidRPr="00A86CC2" w:rsidRDefault="00A86CC2" w:rsidP="00A86CC2">
            <w:pPr>
              <w:spacing w:after="0" w:line="240" w:lineRule="auto"/>
              <w:rPr>
                <w:rFonts w:eastAsia="Times New Roman"/>
                <w:b/>
                <w:bCs/>
                <w:i/>
                <w:color w:val="000000"/>
                <w:kern w:val="0"/>
                <w:sz w:val="20"/>
                <w:szCs w:val="20"/>
                <w14:ligatures w14:val="none"/>
              </w:rPr>
            </w:pPr>
            <w:proofErr w:type="spellStart"/>
            <w:r w:rsidRPr="00A86CC2">
              <w:rPr>
                <w:rFonts w:eastAsia="Times New Roman"/>
                <w:b/>
                <w:bCs/>
                <w:i/>
                <w:iCs/>
                <w:color w:val="000000"/>
                <w:kern w:val="0"/>
                <w:sz w:val="20"/>
                <w:szCs w:val="20"/>
                <w14:ligatures w14:val="none"/>
              </w:rPr>
              <w:t>T</w:t>
            </w:r>
            <w:r w:rsidRPr="00A86CC2">
              <w:rPr>
                <w:rFonts w:eastAsia="Times New Roman"/>
                <w:b/>
                <w:bCs/>
                <w:i/>
                <w:iCs/>
                <w:color w:val="000000"/>
                <w:kern w:val="0"/>
                <w:sz w:val="20"/>
                <w:szCs w:val="20"/>
                <w:vertAlign w:val="subscript"/>
                <w14:ligatures w14:val="none"/>
              </w:rPr>
              <w:t>g</w:t>
            </w:r>
            <w:proofErr w:type="spellEnd"/>
          </w:p>
        </w:tc>
        <w:tc>
          <w:tcPr>
            <w:tcW w:w="1762" w:type="dxa"/>
            <w:tcBorders>
              <w:top w:val="single" w:sz="4" w:space="0" w:color="auto"/>
              <w:left w:val="nil"/>
              <w:bottom w:val="nil"/>
              <w:right w:val="nil"/>
            </w:tcBorders>
            <w:noWrap/>
            <w:vAlign w:val="center"/>
          </w:tcPr>
          <w:p w14:paraId="6E7255E3" w14:textId="772C7A33"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-2.28</w:t>
            </w:r>
            <w:r w:rsidR="00C5108C">
              <w:rPr>
                <w:b/>
                <w:bCs/>
                <w:color w:val="000000"/>
                <w:sz w:val="20"/>
                <w:szCs w:val="20"/>
              </w:rPr>
              <w:t>4</w:t>
            </w:r>
            <w:r w:rsidRPr="00A86CC2">
              <w:rPr>
                <w:b/>
                <w:bCs/>
                <w:color w:val="000000"/>
                <w:sz w:val="20"/>
                <w:szCs w:val="20"/>
              </w:rPr>
              <w:t>±0.944</w:t>
            </w:r>
          </w:p>
        </w:tc>
        <w:tc>
          <w:tcPr>
            <w:tcW w:w="889" w:type="dxa"/>
            <w:tcBorders>
              <w:top w:val="single" w:sz="4" w:space="0" w:color="auto"/>
              <w:left w:val="nil"/>
              <w:bottom w:val="nil"/>
              <w:right w:val="nil"/>
            </w:tcBorders>
            <w:noWrap/>
            <w:vAlign w:val="center"/>
          </w:tcPr>
          <w:p w14:paraId="3355DF9A" w14:textId="75BE6B41"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-2.454</w:t>
            </w:r>
          </w:p>
        </w:tc>
        <w:tc>
          <w:tcPr>
            <w:tcW w:w="939" w:type="dxa"/>
            <w:tcBorders>
              <w:top w:val="single" w:sz="4" w:space="0" w:color="auto"/>
              <w:left w:val="nil"/>
              <w:bottom w:val="nil"/>
              <w:right w:val="nil"/>
            </w:tcBorders>
            <w:noWrap/>
            <w:vAlign w:val="center"/>
          </w:tcPr>
          <w:p w14:paraId="006FE433" w14:textId="252585D1"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0.014</w:t>
            </w:r>
          </w:p>
        </w:tc>
        <w:tc>
          <w:tcPr>
            <w:tcW w:w="1772" w:type="dxa"/>
            <w:tcBorders>
              <w:top w:val="single" w:sz="4" w:space="0" w:color="auto"/>
              <w:left w:val="nil"/>
              <w:bottom w:val="nil"/>
              <w:right w:val="nil"/>
            </w:tcBorders>
            <w:noWrap/>
            <w:vAlign w:val="center"/>
          </w:tcPr>
          <w:p w14:paraId="5F92366B" w14:textId="4026F2D9"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[-4.077, -0.469]</w:t>
            </w:r>
          </w:p>
        </w:tc>
      </w:tr>
      <w:tr w:rsidR="00A86CC2" w:rsidRPr="00452304" w14:paraId="151FC88F" w14:textId="77777777" w:rsidTr="00C5108C">
        <w:trPr>
          <w:trHeight w:val="320"/>
        </w:trPr>
        <w:tc>
          <w:tcPr>
            <w:tcW w:w="693" w:type="dxa"/>
            <w:vMerge/>
            <w:tcBorders>
              <w:left w:val="nil"/>
              <w:right w:val="nil"/>
            </w:tcBorders>
          </w:tcPr>
          <w:p w14:paraId="041060EE"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tcPr>
          <w:p w14:paraId="03633805"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1068DC14" w14:textId="72C42584"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AI</w:t>
            </w:r>
            <w:r w:rsidRPr="008825E3">
              <w:rPr>
                <w:rFonts w:eastAsia="Times New Roman"/>
                <w:color w:val="000000"/>
                <w:kern w:val="0"/>
                <w:sz w:val="20"/>
                <w:szCs w:val="20"/>
                <w:vertAlign w:val="subscript"/>
                <w14:ligatures w14:val="none"/>
              </w:rPr>
              <w:t>g</w:t>
            </w:r>
            <w:proofErr w:type="spellEnd"/>
          </w:p>
        </w:tc>
        <w:tc>
          <w:tcPr>
            <w:tcW w:w="1762" w:type="dxa"/>
            <w:tcBorders>
              <w:top w:val="nil"/>
              <w:left w:val="nil"/>
              <w:bottom w:val="nil"/>
              <w:right w:val="nil"/>
            </w:tcBorders>
            <w:noWrap/>
            <w:vAlign w:val="center"/>
          </w:tcPr>
          <w:p w14:paraId="21CFB0F3" w14:textId="6CD959E4"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-8.41</w:t>
            </w:r>
            <w:r w:rsidR="00C5108C">
              <w:rPr>
                <w:color w:val="000000"/>
                <w:sz w:val="20"/>
                <w:szCs w:val="20"/>
              </w:rPr>
              <w:t>5</w:t>
            </w:r>
            <w:r w:rsidRPr="00A86CC2">
              <w:rPr>
                <w:color w:val="000000"/>
                <w:sz w:val="20"/>
                <w:szCs w:val="20"/>
              </w:rPr>
              <w:t>±9.757</w:t>
            </w:r>
          </w:p>
        </w:tc>
        <w:tc>
          <w:tcPr>
            <w:tcW w:w="889" w:type="dxa"/>
            <w:tcBorders>
              <w:top w:val="nil"/>
              <w:left w:val="nil"/>
              <w:bottom w:val="nil"/>
              <w:right w:val="nil"/>
            </w:tcBorders>
            <w:noWrap/>
            <w:vAlign w:val="center"/>
          </w:tcPr>
          <w:p w14:paraId="37C43145" w14:textId="1BA0FD8A"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-0.944</w:t>
            </w:r>
          </w:p>
        </w:tc>
        <w:tc>
          <w:tcPr>
            <w:tcW w:w="939" w:type="dxa"/>
            <w:tcBorders>
              <w:top w:val="nil"/>
              <w:left w:val="nil"/>
              <w:bottom w:val="nil"/>
              <w:right w:val="nil"/>
            </w:tcBorders>
            <w:noWrap/>
            <w:vAlign w:val="center"/>
          </w:tcPr>
          <w:p w14:paraId="7CA2F97B" w14:textId="0A2B6570"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0.345</w:t>
            </w:r>
          </w:p>
        </w:tc>
        <w:tc>
          <w:tcPr>
            <w:tcW w:w="1772" w:type="dxa"/>
            <w:tcBorders>
              <w:top w:val="nil"/>
              <w:left w:val="nil"/>
              <w:bottom w:val="nil"/>
              <w:right w:val="nil"/>
            </w:tcBorders>
            <w:noWrap/>
            <w:vAlign w:val="center"/>
          </w:tcPr>
          <w:p w14:paraId="1349E696" w14:textId="38559101"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[-23.700, 9.92</w:t>
            </w:r>
            <w:r w:rsidR="00C5108C">
              <w:rPr>
                <w:color w:val="000000"/>
                <w:sz w:val="20"/>
                <w:szCs w:val="20"/>
              </w:rPr>
              <w:t>2</w:t>
            </w:r>
            <w:r w:rsidRPr="00A86CC2">
              <w:rPr>
                <w:color w:val="000000"/>
                <w:sz w:val="20"/>
                <w:szCs w:val="20"/>
              </w:rPr>
              <w:t>]</w:t>
            </w:r>
          </w:p>
        </w:tc>
      </w:tr>
      <w:tr w:rsidR="00A86CC2" w:rsidRPr="00452304" w14:paraId="0F68FA39" w14:textId="77777777" w:rsidTr="00C5108C">
        <w:trPr>
          <w:trHeight w:val="320"/>
        </w:trPr>
        <w:tc>
          <w:tcPr>
            <w:tcW w:w="693" w:type="dxa"/>
            <w:vMerge/>
            <w:tcBorders>
              <w:left w:val="nil"/>
              <w:bottom w:val="single" w:sz="4" w:space="0" w:color="auto"/>
              <w:right w:val="nil"/>
            </w:tcBorders>
          </w:tcPr>
          <w:p w14:paraId="63940FC3"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tcPr>
          <w:p w14:paraId="422D9FAE"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6B53A901" w14:textId="69E02E83" w:rsidR="00A86CC2" w:rsidRPr="00A86CC2" w:rsidRDefault="00A86CC2" w:rsidP="00A86CC2">
            <w:pPr>
              <w:spacing w:after="0" w:line="240" w:lineRule="auto"/>
              <w:rPr>
                <w:rFonts w:eastAsia="Times New Roman"/>
                <w:b/>
                <w:bCs/>
                <w:i/>
                <w:color w:val="000000"/>
                <w:kern w:val="0"/>
                <w:sz w:val="20"/>
                <w:szCs w:val="20"/>
                <w14:ligatures w14:val="none"/>
              </w:rPr>
            </w:pPr>
            <w:proofErr w:type="spellStart"/>
            <w:r w:rsidRPr="00A86CC2">
              <w:rPr>
                <w:rFonts w:eastAsia="Times New Roman"/>
                <w:b/>
                <w:bCs/>
                <w:i/>
                <w:color w:val="000000"/>
                <w:kern w:val="0"/>
                <w:sz w:val="20"/>
                <w:szCs w:val="20"/>
                <w14:ligatures w14:val="none"/>
              </w:rPr>
              <w:t>PAR</w:t>
            </w:r>
            <w:r w:rsidRPr="00A86CC2">
              <w:rPr>
                <w:rFonts w:eastAsia="Times New Roman"/>
                <w:b/>
                <w:bCs/>
                <w:iCs/>
                <w:color w:val="000000"/>
                <w:kern w:val="0"/>
                <w:sz w:val="20"/>
                <w:szCs w:val="20"/>
                <w:vertAlign w:val="subscript"/>
                <w14:ligatures w14:val="none"/>
              </w:rPr>
              <w:t>g</w:t>
            </w:r>
            <w:proofErr w:type="spellEnd"/>
          </w:p>
        </w:tc>
        <w:tc>
          <w:tcPr>
            <w:tcW w:w="1762" w:type="dxa"/>
            <w:tcBorders>
              <w:top w:val="nil"/>
              <w:left w:val="nil"/>
              <w:bottom w:val="single" w:sz="4" w:space="0" w:color="auto"/>
              <w:right w:val="nil"/>
            </w:tcBorders>
            <w:noWrap/>
            <w:vAlign w:val="center"/>
          </w:tcPr>
          <w:p w14:paraId="0387808E" w14:textId="695A632F"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0.110±0.050</w:t>
            </w:r>
          </w:p>
        </w:tc>
        <w:tc>
          <w:tcPr>
            <w:tcW w:w="889" w:type="dxa"/>
            <w:tcBorders>
              <w:top w:val="nil"/>
              <w:left w:val="nil"/>
              <w:bottom w:val="single" w:sz="4" w:space="0" w:color="auto"/>
              <w:right w:val="nil"/>
            </w:tcBorders>
            <w:noWrap/>
            <w:vAlign w:val="center"/>
          </w:tcPr>
          <w:p w14:paraId="005B7E5D" w14:textId="34C36237"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2.018</w:t>
            </w:r>
          </w:p>
        </w:tc>
        <w:tc>
          <w:tcPr>
            <w:tcW w:w="939" w:type="dxa"/>
            <w:tcBorders>
              <w:top w:val="nil"/>
              <w:left w:val="nil"/>
              <w:bottom w:val="single" w:sz="4" w:space="0" w:color="auto"/>
              <w:right w:val="nil"/>
            </w:tcBorders>
            <w:noWrap/>
            <w:vAlign w:val="center"/>
          </w:tcPr>
          <w:p w14:paraId="510B60CB" w14:textId="469BB93D"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0.044</w:t>
            </w:r>
          </w:p>
        </w:tc>
        <w:tc>
          <w:tcPr>
            <w:tcW w:w="1772" w:type="dxa"/>
            <w:tcBorders>
              <w:top w:val="nil"/>
              <w:left w:val="nil"/>
              <w:bottom w:val="single" w:sz="4" w:space="0" w:color="auto"/>
              <w:right w:val="nil"/>
            </w:tcBorders>
            <w:noWrap/>
            <w:vAlign w:val="center"/>
          </w:tcPr>
          <w:p w14:paraId="3C8D2FA1" w14:textId="739C0EF7"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[0.000, 0.220]</w:t>
            </w:r>
          </w:p>
        </w:tc>
      </w:tr>
    </w:tbl>
    <w:p w14:paraId="7133E360" w14:textId="77777777" w:rsidR="008825E3" w:rsidRDefault="008825E3"/>
    <w:p w14:paraId="0F4302E2" w14:textId="62972C85" w:rsidR="008825E3" w:rsidRPr="008825E3" w:rsidRDefault="008825E3">
      <w:pPr>
        <w:rPr>
          <w:b/>
          <w:bCs/>
        </w:rPr>
      </w:pPr>
      <w:r>
        <w:rPr>
          <w:b/>
          <w:bCs/>
        </w:rPr>
        <w:lastRenderedPageBreak/>
        <w:t>Table S6 (cont.)</w:t>
      </w:r>
    </w:p>
    <w:tbl>
      <w:tblPr>
        <w:tblW w:w="8550" w:type="dxa"/>
        <w:tblLook w:val="04A0" w:firstRow="1" w:lastRow="0" w:firstColumn="1" w:lastColumn="0" w:noHBand="0" w:noVBand="1"/>
      </w:tblPr>
      <w:tblGrid>
        <w:gridCol w:w="746"/>
        <w:gridCol w:w="1178"/>
        <w:gridCol w:w="1227"/>
        <w:gridCol w:w="1709"/>
        <w:gridCol w:w="889"/>
        <w:gridCol w:w="939"/>
        <w:gridCol w:w="1862"/>
      </w:tblGrid>
      <w:tr w:rsidR="008825E3" w:rsidRPr="00452304" w14:paraId="5B14E0E4" w14:textId="77777777" w:rsidTr="00A86CC2">
        <w:trPr>
          <w:trHeight w:val="320"/>
        </w:trPr>
        <w:tc>
          <w:tcPr>
            <w:tcW w:w="746" w:type="dxa"/>
            <w:tcBorders>
              <w:top w:val="single" w:sz="4" w:space="0" w:color="auto"/>
              <w:left w:val="nil"/>
              <w:bottom w:val="single" w:sz="4" w:space="0" w:color="auto"/>
              <w:right w:val="nil"/>
            </w:tcBorders>
            <w:vAlign w:val="center"/>
          </w:tcPr>
          <w:p w14:paraId="08E80C38" w14:textId="3A9457DB" w:rsidR="008825E3" w:rsidRPr="00355693" w:rsidRDefault="008825E3" w:rsidP="008825E3">
            <w:pPr>
              <w:spacing w:after="0" w:line="240" w:lineRule="auto"/>
              <w:rPr>
                <w:rFonts w:eastAsia="Times New Roman"/>
                <w:i/>
                <w:iCs/>
                <w:color w:val="000000"/>
                <w:kern w:val="0"/>
                <w:sz w:val="20"/>
                <w:szCs w:val="20"/>
                <w14:ligatures w14:val="none"/>
              </w:rPr>
            </w:pPr>
            <w:r w:rsidRPr="0035569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tcPr>
          <w:p w14:paraId="492968BB" w14:textId="67FB32EA" w:rsidR="008825E3" w:rsidRPr="00355693" w:rsidRDefault="008825E3" w:rsidP="008825E3">
            <w:pPr>
              <w:spacing w:after="0" w:line="240" w:lineRule="auto"/>
              <w:rPr>
                <w:rFonts w:eastAsia="Times New Roman"/>
                <w:color w:val="000000"/>
                <w:kern w:val="0"/>
                <w:sz w:val="20"/>
                <w:szCs w:val="20"/>
                <w14:ligatures w14:val="none"/>
              </w:rPr>
            </w:pPr>
            <w:r w:rsidRPr="0035569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tcPr>
          <w:p w14:paraId="54A3A41A" w14:textId="2ADD2A5A" w:rsidR="008825E3" w:rsidRPr="00355693" w:rsidRDefault="008825E3" w:rsidP="008825E3">
            <w:pPr>
              <w:spacing w:after="0" w:line="240" w:lineRule="auto"/>
              <w:rPr>
                <w:rFonts w:eastAsia="Times New Roman"/>
                <w:i/>
                <w:iCs/>
                <w:color w:val="000000"/>
                <w:kern w:val="0"/>
                <w:sz w:val="20"/>
                <w:szCs w:val="20"/>
                <w14:ligatures w14:val="none"/>
              </w:rPr>
            </w:pPr>
            <w:r w:rsidRPr="00355693">
              <w:rPr>
                <w:rFonts w:eastAsia="Times New Roman"/>
                <w:b/>
                <w:bCs/>
                <w:color w:val="000000"/>
                <w:kern w:val="0"/>
                <w:sz w:val="20"/>
                <w:szCs w:val="20"/>
                <w14:ligatures w14:val="none"/>
              </w:rPr>
              <w:t>Moderator</w:t>
            </w:r>
          </w:p>
        </w:tc>
        <w:tc>
          <w:tcPr>
            <w:tcW w:w="1709" w:type="dxa"/>
            <w:tcBorders>
              <w:top w:val="single" w:sz="4" w:space="0" w:color="auto"/>
              <w:left w:val="nil"/>
              <w:bottom w:val="single" w:sz="4" w:space="0" w:color="auto"/>
              <w:right w:val="nil"/>
            </w:tcBorders>
            <w:noWrap/>
            <w:vAlign w:val="center"/>
          </w:tcPr>
          <w:p w14:paraId="24DB4EF1" w14:textId="01AE9564" w:rsidR="008825E3" w:rsidRPr="00355693" w:rsidRDefault="008825E3" w:rsidP="008825E3">
            <w:pPr>
              <w:spacing w:after="0" w:line="240" w:lineRule="auto"/>
              <w:jc w:val="right"/>
              <w:rPr>
                <w:color w:val="000000"/>
                <w:sz w:val="20"/>
                <w:szCs w:val="20"/>
              </w:rPr>
            </w:pPr>
            <w:r w:rsidRPr="00355693">
              <w:rPr>
                <w:b/>
                <w:bCs/>
                <w:sz w:val="20"/>
                <w:szCs w:val="20"/>
              </w:rPr>
              <w:t>Coef. (±SE)</w:t>
            </w:r>
          </w:p>
        </w:tc>
        <w:tc>
          <w:tcPr>
            <w:tcW w:w="889" w:type="dxa"/>
            <w:tcBorders>
              <w:top w:val="single" w:sz="4" w:space="0" w:color="auto"/>
              <w:left w:val="nil"/>
              <w:bottom w:val="single" w:sz="4" w:space="0" w:color="auto"/>
              <w:right w:val="nil"/>
            </w:tcBorders>
            <w:noWrap/>
            <w:vAlign w:val="center"/>
          </w:tcPr>
          <w:p w14:paraId="0C7030B2" w14:textId="21A5D6E0" w:rsidR="008825E3" w:rsidRPr="00355693" w:rsidRDefault="008825E3" w:rsidP="008825E3">
            <w:pPr>
              <w:spacing w:after="0" w:line="240" w:lineRule="auto"/>
              <w:jc w:val="right"/>
              <w:rPr>
                <w:color w:val="000000"/>
                <w:sz w:val="20"/>
                <w:szCs w:val="20"/>
              </w:rPr>
            </w:pPr>
            <w:r w:rsidRPr="00355693">
              <w:rPr>
                <w:b/>
                <w:bCs/>
                <w:sz w:val="20"/>
                <w:szCs w:val="20"/>
              </w:rPr>
              <w:t>Z-value</w:t>
            </w:r>
          </w:p>
        </w:tc>
        <w:tc>
          <w:tcPr>
            <w:tcW w:w="939" w:type="dxa"/>
            <w:tcBorders>
              <w:top w:val="single" w:sz="4" w:space="0" w:color="auto"/>
              <w:left w:val="nil"/>
              <w:bottom w:val="single" w:sz="4" w:space="0" w:color="auto"/>
              <w:right w:val="nil"/>
            </w:tcBorders>
            <w:noWrap/>
            <w:vAlign w:val="center"/>
          </w:tcPr>
          <w:p w14:paraId="4708D888" w14:textId="72311608" w:rsidR="008825E3" w:rsidRPr="00355693" w:rsidRDefault="008825E3" w:rsidP="008825E3">
            <w:pPr>
              <w:spacing w:after="0" w:line="240" w:lineRule="auto"/>
              <w:jc w:val="right"/>
              <w:rPr>
                <w:color w:val="000000"/>
                <w:sz w:val="20"/>
                <w:szCs w:val="20"/>
              </w:rPr>
            </w:pPr>
            <w:r w:rsidRPr="00355693">
              <w:rPr>
                <w:b/>
                <w:bCs/>
                <w:i/>
                <w:iCs/>
                <w:sz w:val="20"/>
                <w:szCs w:val="20"/>
              </w:rPr>
              <w:t>p</w:t>
            </w:r>
            <w:r w:rsidRPr="00355693">
              <w:rPr>
                <w:b/>
                <w:bCs/>
                <w:sz w:val="20"/>
                <w:szCs w:val="20"/>
              </w:rPr>
              <w:t>-value</w:t>
            </w:r>
          </w:p>
        </w:tc>
        <w:tc>
          <w:tcPr>
            <w:tcW w:w="1862" w:type="dxa"/>
            <w:tcBorders>
              <w:top w:val="single" w:sz="4" w:space="0" w:color="auto"/>
              <w:left w:val="nil"/>
              <w:bottom w:val="single" w:sz="4" w:space="0" w:color="auto"/>
              <w:right w:val="nil"/>
            </w:tcBorders>
            <w:noWrap/>
            <w:vAlign w:val="center"/>
          </w:tcPr>
          <w:p w14:paraId="3967B844" w14:textId="60272CC3" w:rsidR="008825E3" w:rsidRPr="00355693" w:rsidRDefault="008825E3" w:rsidP="008825E3">
            <w:pPr>
              <w:spacing w:after="0" w:line="240" w:lineRule="auto"/>
              <w:jc w:val="right"/>
              <w:rPr>
                <w:color w:val="000000"/>
                <w:sz w:val="20"/>
                <w:szCs w:val="20"/>
              </w:rPr>
            </w:pPr>
            <w:r w:rsidRPr="00355693">
              <w:rPr>
                <w:b/>
                <w:bCs/>
                <w:sz w:val="20"/>
                <w:szCs w:val="20"/>
              </w:rPr>
              <w:t>95% CI</w:t>
            </w:r>
          </w:p>
        </w:tc>
      </w:tr>
      <w:tr w:rsidR="00A86CC2" w:rsidRPr="00452304" w14:paraId="37B76CA9" w14:textId="77777777" w:rsidTr="00C5108C">
        <w:trPr>
          <w:trHeight w:val="320"/>
        </w:trPr>
        <w:tc>
          <w:tcPr>
            <w:tcW w:w="746" w:type="dxa"/>
            <w:vMerge w:val="restart"/>
            <w:tcBorders>
              <w:top w:val="single" w:sz="4" w:space="0" w:color="auto"/>
              <w:left w:val="nil"/>
              <w:right w:val="nil"/>
            </w:tcBorders>
            <w:vAlign w:val="center"/>
          </w:tcPr>
          <w:p w14:paraId="733BB1B8" w14:textId="544307CC" w:rsidR="00A86CC2" w:rsidRPr="00355693" w:rsidRDefault="00A86CC2" w:rsidP="00A86CC2">
            <w:pPr>
              <w:spacing w:after="0" w:line="240" w:lineRule="auto"/>
              <w:rPr>
                <w:rFonts w:eastAsia="Times New Roman"/>
                <w:color w:val="000000"/>
                <w:kern w:val="0"/>
                <w:sz w:val="20"/>
                <w:szCs w:val="20"/>
                <w14:ligatures w14:val="none"/>
              </w:rPr>
            </w:pPr>
            <w:proofErr w:type="spellStart"/>
            <w:r w:rsidRPr="00355693">
              <w:rPr>
                <w:rFonts w:eastAsia="Times New Roman"/>
                <w:i/>
                <w:iCs/>
                <w:color w:val="000000"/>
                <w:kern w:val="0"/>
                <w:sz w:val="20"/>
                <w:szCs w:val="20"/>
                <w14:ligatures w14:val="none"/>
              </w:rPr>
              <w:t>P</w:t>
            </w:r>
            <w:r w:rsidRPr="00355693">
              <w:rPr>
                <w:rFonts w:eastAsia="Times New Roman"/>
                <w:color w:val="000000"/>
                <w:kern w:val="0"/>
                <w:sz w:val="20"/>
                <w:szCs w:val="20"/>
                <w:vertAlign w:val="subscript"/>
                <w14:ligatures w14:val="none"/>
              </w:rPr>
              <w:t>area</w:t>
            </w:r>
            <w:proofErr w:type="spellEnd"/>
          </w:p>
        </w:tc>
        <w:tc>
          <w:tcPr>
            <w:tcW w:w="1178" w:type="dxa"/>
            <w:vMerge w:val="restart"/>
            <w:tcBorders>
              <w:top w:val="single" w:sz="4" w:space="0" w:color="auto"/>
              <w:left w:val="nil"/>
              <w:right w:val="nil"/>
            </w:tcBorders>
            <w:noWrap/>
            <w:vAlign w:val="center"/>
          </w:tcPr>
          <w:p w14:paraId="541DE19E" w14:textId="46FB7A83" w:rsidR="00A86CC2" w:rsidRPr="00355693" w:rsidRDefault="00A86CC2" w:rsidP="00A86CC2">
            <w:pPr>
              <w:spacing w:after="0" w:line="240" w:lineRule="auto"/>
              <w:rPr>
                <w:rFonts w:eastAsia="Times New Roman"/>
                <w:color w:val="000000"/>
                <w:kern w:val="0"/>
                <w:sz w:val="20"/>
                <w:szCs w:val="20"/>
                <w14:ligatures w14:val="none"/>
              </w:rPr>
            </w:pPr>
            <w:r w:rsidRPr="00355693">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19655B51" w14:textId="5A21015F" w:rsidR="00A86CC2" w:rsidRPr="00355693" w:rsidRDefault="00A86CC2" w:rsidP="00A86CC2">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709" w:type="dxa"/>
            <w:tcBorders>
              <w:top w:val="single" w:sz="4" w:space="0" w:color="auto"/>
              <w:left w:val="nil"/>
              <w:bottom w:val="nil"/>
              <w:right w:val="nil"/>
            </w:tcBorders>
            <w:noWrap/>
            <w:vAlign w:val="center"/>
          </w:tcPr>
          <w:p w14:paraId="606D01FF" w14:textId="24DC3454"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0.76</w:t>
            </w:r>
            <w:r w:rsidR="00C5108C">
              <w:rPr>
                <w:color w:val="000000"/>
                <w:sz w:val="20"/>
                <w:szCs w:val="20"/>
              </w:rPr>
              <w:t>3</w:t>
            </w:r>
            <w:r w:rsidRPr="00A86CC2">
              <w:rPr>
                <w:color w:val="000000"/>
                <w:sz w:val="20"/>
                <w:szCs w:val="20"/>
              </w:rPr>
              <w:t>±0.84</w:t>
            </w:r>
            <w:r w:rsidR="00C5108C">
              <w:rPr>
                <w:color w:val="000000"/>
                <w:sz w:val="20"/>
                <w:szCs w:val="20"/>
              </w:rPr>
              <w:t>4</w:t>
            </w:r>
          </w:p>
        </w:tc>
        <w:tc>
          <w:tcPr>
            <w:tcW w:w="889" w:type="dxa"/>
            <w:tcBorders>
              <w:top w:val="single" w:sz="4" w:space="0" w:color="auto"/>
              <w:left w:val="nil"/>
              <w:bottom w:val="nil"/>
              <w:right w:val="nil"/>
            </w:tcBorders>
            <w:noWrap/>
            <w:vAlign w:val="center"/>
          </w:tcPr>
          <w:p w14:paraId="50F29018" w14:textId="13216D3F"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0.896</w:t>
            </w:r>
          </w:p>
        </w:tc>
        <w:tc>
          <w:tcPr>
            <w:tcW w:w="939" w:type="dxa"/>
            <w:tcBorders>
              <w:top w:val="single" w:sz="4" w:space="0" w:color="auto"/>
              <w:left w:val="nil"/>
              <w:bottom w:val="nil"/>
              <w:right w:val="nil"/>
            </w:tcBorders>
            <w:noWrap/>
            <w:vAlign w:val="center"/>
          </w:tcPr>
          <w:p w14:paraId="048EB73F" w14:textId="0468BE31"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0.370</w:t>
            </w:r>
          </w:p>
        </w:tc>
        <w:tc>
          <w:tcPr>
            <w:tcW w:w="1862" w:type="dxa"/>
            <w:tcBorders>
              <w:top w:val="single" w:sz="4" w:space="0" w:color="auto"/>
              <w:left w:val="nil"/>
              <w:bottom w:val="nil"/>
              <w:right w:val="nil"/>
            </w:tcBorders>
            <w:noWrap/>
            <w:vAlign w:val="center"/>
          </w:tcPr>
          <w:p w14:paraId="7218AD26" w14:textId="4FDD304B"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[-0.896, 2.439]</w:t>
            </w:r>
          </w:p>
        </w:tc>
      </w:tr>
      <w:tr w:rsidR="00A86CC2" w:rsidRPr="00452304" w14:paraId="5C7D548F" w14:textId="77777777" w:rsidTr="00C5108C">
        <w:trPr>
          <w:trHeight w:val="320"/>
        </w:trPr>
        <w:tc>
          <w:tcPr>
            <w:tcW w:w="746" w:type="dxa"/>
            <w:vMerge/>
            <w:tcBorders>
              <w:left w:val="nil"/>
              <w:right w:val="nil"/>
            </w:tcBorders>
            <w:vAlign w:val="center"/>
          </w:tcPr>
          <w:p w14:paraId="12D071C7"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61A9A5B9"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4447A085" w14:textId="3F3E8F13" w:rsidR="00A86CC2" w:rsidRPr="00355693" w:rsidRDefault="00A86CC2" w:rsidP="00A86CC2">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709" w:type="dxa"/>
            <w:tcBorders>
              <w:top w:val="nil"/>
              <w:left w:val="nil"/>
              <w:bottom w:val="nil"/>
              <w:right w:val="nil"/>
            </w:tcBorders>
            <w:noWrap/>
            <w:vAlign w:val="center"/>
          </w:tcPr>
          <w:p w14:paraId="0AE5E0E4" w14:textId="7AB5A28A"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-6.16±7.45</w:t>
            </w:r>
            <w:r w:rsidR="00C5108C">
              <w:rPr>
                <w:color w:val="000000"/>
                <w:sz w:val="20"/>
                <w:szCs w:val="20"/>
              </w:rPr>
              <w:t>5</w:t>
            </w:r>
          </w:p>
        </w:tc>
        <w:tc>
          <w:tcPr>
            <w:tcW w:w="889" w:type="dxa"/>
            <w:tcBorders>
              <w:top w:val="nil"/>
              <w:left w:val="nil"/>
              <w:bottom w:val="nil"/>
              <w:right w:val="nil"/>
            </w:tcBorders>
            <w:noWrap/>
            <w:vAlign w:val="center"/>
          </w:tcPr>
          <w:p w14:paraId="2FF144C0" w14:textId="764870B0"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-0.884</w:t>
            </w:r>
          </w:p>
        </w:tc>
        <w:tc>
          <w:tcPr>
            <w:tcW w:w="939" w:type="dxa"/>
            <w:tcBorders>
              <w:top w:val="nil"/>
              <w:left w:val="nil"/>
              <w:bottom w:val="nil"/>
              <w:right w:val="nil"/>
            </w:tcBorders>
            <w:noWrap/>
            <w:vAlign w:val="center"/>
          </w:tcPr>
          <w:p w14:paraId="55E73CE2" w14:textId="541808A5"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0.377</w:t>
            </w:r>
          </w:p>
        </w:tc>
        <w:tc>
          <w:tcPr>
            <w:tcW w:w="1862" w:type="dxa"/>
            <w:tcBorders>
              <w:top w:val="nil"/>
              <w:left w:val="nil"/>
              <w:bottom w:val="nil"/>
              <w:right w:val="nil"/>
            </w:tcBorders>
            <w:noWrap/>
            <w:vAlign w:val="center"/>
          </w:tcPr>
          <w:p w14:paraId="2317A0B7" w14:textId="42945712"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[-18.486, 8.03</w:t>
            </w:r>
            <w:r w:rsidR="00C5108C">
              <w:rPr>
                <w:color w:val="000000"/>
                <w:sz w:val="20"/>
                <w:szCs w:val="20"/>
              </w:rPr>
              <w:t>7</w:t>
            </w:r>
            <w:r w:rsidRPr="00A86CC2">
              <w:rPr>
                <w:color w:val="000000"/>
                <w:sz w:val="20"/>
                <w:szCs w:val="20"/>
              </w:rPr>
              <w:t>]</w:t>
            </w:r>
          </w:p>
        </w:tc>
      </w:tr>
      <w:tr w:rsidR="00A86CC2" w:rsidRPr="00452304" w14:paraId="59BE8FE8" w14:textId="77777777" w:rsidTr="00C5108C">
        <w:trPr>
          <w:trHeight w:val="320"/>
        </w:trPr>
        <w:tc>
          <w:tcPr>
            <w:tcW w:w="746" w:type="dxa"/>
            <w:vMerge/>
            <w:tcBorders>
              <w:left w:val="nil"/>
              <w:right w:val="nil"/>
            </w:tcBorders>
            <w:vAlign w:val="center"/>
          </w:tcPr>
          <w:p w14:paraId="4F21E81C"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2D2652B"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C800B26" w14:textId="5E03A584" w:rsidR="00A86CC2" w:rsidRPr="00355693" w:rsidRDefault="00A86CC2" w:rsidP="00A86CC2">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709" w:type="dxa"/>
            <w:tcBorders>
              <w:top w:val="nil"/>
              <w:left w:val="nil"/>
              <w:bottom w:val="single" w:sz="4" w:space="0" w:color="auto"/>
              <w:right w:val="nil"/>
            </w:tcBorders>
            <w:noWrap/>
            <w:vAlign w:val="center"/>
          </w:tcPr>
          <w:p w14:paraId="17387332" w14:textId="46E26440"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-0.08</w:t>
            </w:r>
            <w:r w:rsidR="00C5108C">
              <w:rPr>
                <w:color w:val="000000"/>
                <w:sz w:val="20"/>
                <w:szCs w:val="20"/>
              </w:rPr>
              <w:t>0</w:t>
            </w:r>
            <w:r w:rsidRPr="00A86CC2">
              <w:rPr>
                <w:color w:val="000000"/>
                <w:sz w:val="20"/>
                <w:szCs w:val="20"/>
              </w:rPr>
              <w:t>±0.05</w:t>
            </w:r>
            <w:r w:rsidR="00C5108C">
              <w:rPr>
                <w:color w:val="000000"/>
                <w:sz w:val="20"/>
                <w:szCs w:val="20"/>
              </w:rPr>
              <w:t>0</w:t>
            </w:r>
          </w:p>
        </w:tc>
        <w:tc>
          <w:tcPr>
            <w:tcW w:w="889" w:type="dxa"/>
            <w:tcBorders>
              <w:top w:val="nil"/>
              <w:left w:val="nil"/>
              <w:bottom w:val="single" w:sz="4" w:space="0" w:color="auto"/>
              <w:right w:val="nil"/>
            </w:tcBorders>
            <w:noWrap/>
            <w:vAlign w:val="center"/>
          </w:tcPr>
          <w:p w14:paraId="6BA7F617" w14:textId="4C014FF2"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-1.653</w:t>
            </w:r>
          </w:p>
        </w:tc>
        <w:tc>
          <w:tcPr>
            <w:tcW w:w="939" w:type="dxa"/>
            <w:tcBorders>
              <w:top w:val="nil"/>
              <w:left w:val="nil"/>
              <w:bottom w:val="single" w:sz="4" w:space="0" w:color="auto"/>
              <w:right w:val="nil"/>
            </w:tcBorders>
            <w:noWrap/>
            <w:vAlign w:val="center"/>
          </w:tcPr>
          <w:p w14:paraId="2598C1A6" w14:textId="6964C1EA"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0.098</w:t>
            </w:r>
          </w:p>
        </w:tc>
        <w:tc>
          <w:tcPr>
            <w:tcW w:w="1862" w:type="dxa"/>
            <w:tcBorders>
              <w:top w:val="nil"/>
              <w:left w:val="nil"/>
              <w:bottom w:val="single" w:sz="4" w:space="0" w:color="auto"/>
              <w:right w:val="nil"/>
            </w:tcBorders>
            <w:noWrap/>
            <w:vAlign w:val="center"/>
          </w:tcPr>
          <w:p w14:paraId="7049C95B" w14:textId="36AE122F"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[-0.1</w:t>
            </w:r>
            <w:r w:rsidR="00C5108C">
              <w:rPr>
                <w:color w:val="000000"/>
                <w:sz w:val="20"/>
                <w:szCs w:val="20"/>
              </w:rPr>
              <w:t>80</w:t>
            </w:r>
            <w:r w:rsidRPr="00A86CC2">
              <w:rPr>
                <w:color w:val="000000"/>
                <w:sz w:val="20"/>
                <w:szCs w:val="20"/>
              </w:rPr>
              <w:t>, 0.01</w:t>
            </w:r>
            <w:r>
              <w:rPr>
                <w:color w:val="000000"/>
                <w:sz w:val="20"/>
                <w:szCs w:val="20"/>
              </w:rPr>
              <w:t>0</w:t>
            </w:r>
            <w:r w:rsidRPr="00A86CC2">
              <w:rPr>
                <w:color w:val="000000"/>
                <w:sz w:val="20"/>
                <w:szCs w:val="20"/>
              </w:rPr>
              <w:t>]</w:t>
            </w:r>
          </w:p>
        </w:tc>
      </w:tr>
      <w:tr w:rsidR="00A86CC2" w:rsidRPr="00452304" w14:paraId="6B466244" w14:textId="77777777" w:rsidTr="00C5108C">
        <w:trPr>
          <w:trHeight w:val="320"/>
        </w:trPr>
        <w:tc>
          <w:tcPr>
            <w:tcW w:w="746" w:type="dxa"/>
            <w:vMerge/>
            <w:tcBorders>
              <w:left w:val="nil"/>
              <w:right w:val="nil"/>
            </w:tcBorders>
            <w:vAlign w:val="center"/>
          </w:tcPr>
          <w:p w14:paraId="7EA3AE0A"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858B203" w14:textId="7054A464" w:rsidR="00A86CC2" w:rsidRPr="00355693" w:rsidRDefault="00A86CC2" w:rsidP="00A86CC2">
            <w:pPr>
              <w:spacing w:after="0" w:line="240" w:lineRule="auto"/>
              <w:rPr>
                <w:rFonts w:eastAsia="Times New Roman"/>
                <w:color w:val="000000"/>
                <w:kern w:val="0"/>
                <w:sz w:val="20"/>
                <w:szCs w:val="20"/>
                <w14:ligatures w14:val="none"/>
              </w:rPr>
            </w:pPr>
            <w:r w:rsidRPr="00355693">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2DB20B03" w14:textId="4CF19C15" w:rsidR="00A86CC2" w:rsidRPr="00C5108C" w:rsidRDefault="00A86CC2" w:rsidP="00A86CC2">
            <w:pPr>
              <w:spacing w:after="0" w:line="240" w:lineRule="auto"/>
              <w:rPr>
                <w:rFonts w:eastAsia="Times New Roman"/>
                <w:i/>
                <w:iCs/>
                <w:color w:val="000000"/>
                <w:kern w:val="0"/>
                <w:sz w:val="20"/>
                <w:szCs w:val="20"/>
                <w14:ligatures w14:val="none"/>
              </w:rPr>
            </w:pPr>
            <w:proofErr w:type="spellStart"/>
            <w:r w:rsidRPr="00C5108C">
              <w:rPr>
                <w:rFonts w:eastAsia="Times New Roman"/>
                <w:i/>
                <w:iCs/>
                <w:color w:val="000000"/>
                <w:kern w:val="0"/>
                <w:sz w:val="20"/>
                <w:szCs w:val="20"/>
                <w14:ligatures w14:val="none"/>
              </w:rPr>
              <w:t>T</w:t>
            </w:r>
            <w:r w:rsidRPr="00C5108C">
              <w:rPr>
                <w:rFonts w:eastAsia="Times New Roman"/>
                <w:i/>
                <w:iCs/>
                <w:color w:val="000000"/>
                <w:kern w:val="0"/>
                <w:sz w:val="20"/>
                <w:szCs w:val="20"/>
                <w:vertAlign w:val="subscript"/>
                <w14:ligatures w14:val="none"/>
              </w:rPr>
              <w:t>g</w:t>
            </w:r>
            <w:proofErr w:type="spellEnd"/>
          </w:p>
        </w:tc>
        <w:tc>
          <w:tcPr>
            <w:tcW w:w="1709" w:type="dxa"/>
            <w:tcBorders>
              <w:top w:val="single" w:sz="4" w:space="0" w:color="auto"/>
              <w:left w:val="nil"/>
              <w:bottom w:val="nil"/>
              <w:right w:val="nil"/>
            </w:tcBorders>
            <w:noWrap/>
            <w:vAlign w:val="center"/>
          </w:tcPr>
          <w:p w14:paraId="225D377A" w14:textId="32E3E951" w:rsidR="00A86CC2" w:rsidRPr="00C5108C" w:rsidRDefault="00A86CC2" w:rsidP="00C5108C">
            <w:pPr>
              <w:spacing w:after="0" w:line="240" w:lineRule="auto"/>
              <w:jc w:val="right"/>
              <w:rPr>
                <w:i/>
                <w:iCs/>
                <w:color w:val="000000"/>
                <w:sz w:val="20"/>
                <w:szCs w:val="20"/>
                <w:highlight w:val="yellow"/>
              </w:rPr>
            </w:pPr>
            <w:r w:rsidRPr="00C5108C">
              <w:rPr>
                <w:i/>
                <w:iCs/>
                <w:color w:val="000000"/>
                <w:sz w:val="20"/>
                <w:szCs w:val="20"/>
              </w:rPr>
              <w:t>-2.829±1.562</w:t>
            </w:r>
          </w:p>
        </w:tc>
        <w:tc>
          <w:tcPr>
            <w:tcW w:w="889" w:type="dxa"/>
            <w:tcBorders>
              <w:top w:val="single" w:sz="4" w:space="0" w:color="auto"/>
              <w:left w:val="nil"/>
              <w:bottom w:val="nil"/>
              <w:right w:val="nil"/>
            </w:tcBorders>
            <w:noWrap/>
            <w:vAlign w:val="center"/>
          </w:tcPr>
          <w:p w14:paraId="6D25FE70" w14:textId="3EA40B0F" w:rsidR="00A86CC2" w:rsidRPr="00C5108C" w:rsidRDefault="00A86CC2" w:rsidP="00C5108C">
            <w:pPr>
              <w:spacing w:after="0" w:line="240" w:lineRule="auto"/>
              <w:jc w:val="right"/>
              <w:rPr>
                <w:i/>
                <w:iCs/>
                <w:color w:val="000000"/>
                <w:sz w:val="20"/>
                <w:szCs w:val="20"/>
                <w:highlight w:val="yellow"/>
              </w:rPr>
            </w:pPr>
            <w:r w:rsidRPr="00C5108C">
              <w:rPr>
                <w:i/>
                <w:iCs/>
                <w:color w:val="000000"/>
                <w:sz w:val="20"/>
                <w:szCs w:val="20"/>
              </w:rPr>
              <w:t>-1.856</w:t>
            </w:r>
          </w:p>
        </w:tc>
        <w:tc>
          <w:tcPr>
            <w:tcW w:w="939" w:type="dxa"/>
            <w:tcBorders>
              <w:top w:val="single" w:sz="4" w:space="0" w:color="auto"/>
              <w:left w:val="nil"/>
              <w:bottom w:val="nil"/>
              <w:right w:val="nil"/>
            </w:tcBorders>
            <w:noWrap/>
            <w:vAlign w:val="center"/>
          </w:tcPr>
          <w:p w14:paraId="659EF497" w14:textId="36490F39" w:rsidR="00A86CC2" w:rsidRPr="00C5108C" w:rsidRDefault="00A86CC2" w:rsidP="00C5108C">
            <w:pPr>
              <w:spacing w:after="0" w:line="240" w:lineRule="auto"/>
              <w:jc w:val="right"/>
              <w:rPr>
                <w:i/>
                <w:iCs/>
                <w:color w:val="000000"/>
                <w:sz w:val="20"/>
                <w:szCs w:val="20"/>
                <w:highlight w:val="yellow"/>
              </w:rPr>
            </w:pPr>
            <w:r w:rsidRPr="00C5108C">
              <w:rPr>
                <w:i/>
                <w:iCs/>
                <w:color w:val="000000"/>
                <w:sz w:val="20"/>
                <w:szCs w:val="20"/>
              </w:rPr>
              <w:t>0.064</w:t>
            </w:r>
          </w:p>
        </w:tc>
        <w:tc>
          <w:tcPr>
            <w:tcW w:w="1862" w:type="dxa"/>
            <w:tcBorders>
              <w:top w:val="single" w:sz="4" w:space="0" w:color="auto"/>
              <w:left w:val="nil"/>
              <w:bottom w:val="nil"/>
              <w:right w:val="nil"/>
            </w:tcBorders>
            <w:noWrap/>
            <w:vAlign w:val="center"/>
          </w:tcPr>
          <w:p w14:paraId="1E1A1FE5" w14:textId="35AF10A0" w:rsidR="00A86CC2" w:rsidRPr="00C5108C" w:rsidRDefault="00A86CC2" w:rsidP="00C5108C">
            <w:pPr>
              <w:spacing w:after="0" w:line="240" w:lineRule="auto"/>
              <w:jc w:val="right"/>
              <w:rPr>
                <w:i/>
                <w:iCs/>
                <w:color w:val="000000"/>
                <w:sz w:val="20"/>
                <w:szCs w:val="20"/>
                <w:highlight w:val="yellow"/>
              </w:rPr>
            </w:pPr>
            <w:r w:rsidRPr="00C5108C">
              <w:rPr>
                <w:i/>
                <w:iCs/>
                <w:color w:val="000000"/>
                <w:sz w:val="20"/>
                <w:szCs w:val="20"/>
              </w:rPr>
              <w:t>[-5.73</w:t>
            </w:r>
            <w:r w:rsidR="00C5108C">
              <w:rPr>
                <w:i/>
                <w:iCs/>
                <w:color w:val="000000"/>
                <w:sz w:val="20"/>
                <w:szCs w:val="20"/>
              </w:rPr>
              <w:t>9</w:t>
            </w:r>
            <w:r w:rsidRPr="00C5108C">
              <w:rPr>
                <w:i/>
                <w:iCs/>
                <w:color w:val="000000"/>
                <w:sz w:val="20"/>
                <w:szCs w:val="20"/>
              </w:rPr>
              <w:t>, 0.160]</w:t>
            </w:r>
          </w:p>
        </w:tc>
      </w:tr>
      <w:tr w:rsidR="00A86CC2" w:rsidRPr="00452304" w14:paraId="06A34373" w14:textId="77777777" w:rsidTr="00C5108C">
        <w:trPr>
          <w:trHeight w:val="320"/>
        </w:trPr>
        <w:tc>
          <w:tcPr>
            <w:tcW w:w="746" w:type="dxa"/>
            <w:vMerge/>
            <w:tcBorders>
              <w:left w:val="nil"/>
              <w:right w:val="nil"/>
            </w:tcBorders>
            <w:vAlign w:val="center"/>
          </w:tcPr>
          <w:p w14:paraId="0634AEE3"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2E25E866"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7F5151CA" w14:textId="6BFDB761" w:rsidR="00A86CC2" w:rsidRPr="00355693" w:rsidRDefault="00A86CC2" w:rsidP="00A86CC2">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709" w:type="dxa"/>
            <w:tcBorders>
              <w:top w:val="nil"/>
              <w:left w:val="nil"/>
              <w:bottom w:val="nil"/>
              <w:right w:val="nil"/>
            </w:tcBorders>
            <w:noWrap/>
            <w:vAlign w:val="center"/>
          </w:tcPr>
          <w:p w14:paraId="6DBBB02F" w14:textId="36C426FB"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-15.65</w:t>
            </w:r>
            <w:r w:rsidR="00C5108C">
              <w:rPr>
                <w:color w:val="000000"/>
                <w:sz w:val="20"/>
                <w:szCs w:val="20"/>
              </w:rPr>
              <w:t>9</w:t>
            </w:r>
            <w:r w:rsidRPr="00A86CC2">
              <w:rPr>
                <w:color w:val="000000"/>
                <w:sz w:val="20"/>
                <w:szCs w:val="20"/>
              </w:rPr>
              <w:t>±12.930</w:t>
            </w:r>
          </w:p>
        </w:tc>
        <w:tc>
          <w:tcPr>
            <w:tcW w:w="889" w:type="dxa"/>
            <w:tcBorders>
              <w:top w:val="nil"/>
              <w:left w:val="nil"/>
              <w:bottom w:val="nil"/>
              <w:right w:val="nil"/>
            </w:tcBorders>
            <w:noWrap/>
            <w:vAlign w:val="center"/>
          </w:tcPr>
          <w:p w14:paraId="5462FA60" w14:textId="5E153434"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-1.400</w:t>
            </w:r>
          </w:p>
        </w:tc>
        <w:tc>
          <w:tcPr>
            <w:tcW w:w="939" w:type="dxa"/>
            <w:tcBorders>
              <w:top w:val="nil"/>
              <w:left w:val="nil"/>
              <w:bottom w:val="nil"/>
              <w:right w:val="nil"/>
            </w:tcBorders>
            <w:noWrap/>
            <w:vAlign w:val="center"/>
          </w:tcPr>
          <w:p w14:paraId="742C2617" w14:textId="6E809C82"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0.162</w:t>
            </w:r>
          </w:p>
        </w:tc>
        <w:tc>
          <w:tcPr>
            <w:tcW w:w="1862" w:type="dxa"/>
            <w:tcBorders>
              <w:top w:val="nil"/>
              <w:left w:val="nil"/>
              <w:bottom w:val="nil"/>
              <w:right w:val="nil"/>
            </w:tcBorders>
            <w:noWrap/>
            <w:vAlign w:val="center"/>
          </w:tcPr>
          <w:p w14:paraId="5CBE2BCD" w14:textId="04423260"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[-33.54</w:t>
            </w:r>
            <w:r w:rsidR="00C5108C">
              <w:rPr>
                <w:color w:val="000000"/>
                <w:sz w:val="20"/>
                <w:szCs w:val="20"/>
              </w:rPr>
              <w:t>9</w:t>
            </w:r>
            <w:r w:rsidRPr="00A86CC2">
              <w:rPr>
                <w:color w:val="000000"/>
                <w:sz w:val="20"/>
                <w:szCs w:val="20"/>
              </w:rPr>
              <w:t>, 7.047]</w:t>
            </w:r>
          </w:p>
        </w:tc>
      </w:tr>
      <w:tr w:rsidR="00A86CC2" w:rsidRPr="00452304" w14:paraId="2C35D304" w14:textId="77777777" w:rsidTr="00C5108C">
        <w:trPr>
          <w:trHeight w:val="320"/>
        </w:trPr>
        <w:tc>
          <w:tcPr>
            <w:tcW w:w="746" w:type="dxa"/>
            <w:vMerge/>
            <w:tcBorders>
              <w:left w:val="nil"/>
              <w:right w:val="nil"/>
            </w:tcBorders>
            <w:vAlign w:val="center"/>
          </w:tcPr>
          <w:p w14:paraId="405F3C70"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09E6E3B"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8F7833B" w14:textId="7F70F7B3" w:rsidR="00A86CC2" w:rsidRPr="00355693" w:rsidRDefault="00A86CC2" w:rsidP="00A86CC2">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709" w:type="dxa"/>
            <w:tcBorders>
              <w:top w:val="nil"/>
              <w:left w:val="nil"/>
              <w:bottom w:val="single" w:sz="4" w:space="0" w:color="auto"/>
              <w:right w:val="nil"/>
            </w:tcBorders>
            <w:noWrap/>
            <w:vAlign w:val="center"/>
          </w:tcPr>
          <w:p w14:paraId="4A72584F" w14:textId="7C2FE459"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0.130±0.08</w:t>
            </w:r>
            <w:r w:rsidR="00C5108C">
              <w:rPr>
                <w:color w:val="000000"/>
                <w:sz w:val="20"/>
                <w:szCs w:val="20"/>
              </w:rPr>
              <w:t>0</w:t>
            </w:r>
          </w:p>
        </w:tc>
        <w:tc>
          <w:tcPr>
            <w:tcW w:w="889" w:type="dxa"/>
            <w:tcBorders>
              <w:top w:val="nil"/>
              <w:left w:val="nil"/>
              <w:bottom w:val="single" w:sz="4" w:space="0" w:color="auto"/>
              <w:right w:val="nil"/>
            </w:tcBorders>
            <w:noWrap/>
            <w:vAlign w:val="center"/>
          </w:tcPr>
          <w:p w14:paraId="1FB29B81" w14:textId="60D429D5"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1.524</w:t>
            </w:r>
          </w:p>
        </w:tc>
        <w:tc>
          <w:tcPr>
            <w:tcW w:w="939" w:type="dxa"/>
            <w:tcBorders>
              <w:top w:val="nil"/>
              <w:left w:val="nil"/>
              <w:bottom w:val="single" w:sz="4" w:space="0" w:color="auto"/>
              <w:right w:val="nil"/>
            </w:tcBorders>
            <w:noWrap/>
            <w:vAlign w:val="center"/>
          </w:tcPr>
          <w:p w14:paraId="22045E4F" w14:textId="4655B4C8"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0.127</w:t>
            </w:r>
          </w:p>
        </w:tc>
        <w:tc>
          <w:tcPr>
            <w:tcW w:w="1862" w:type="dxa"/>
            <w:tcBorders>
              <w:top w:val="nil"/>
              <w:left w:val="nil"/>
              <w:bottom w:val="single" w:sz="4" w:space="0" w:color="auto"/>
              <w:right w:val="nil"/>
            </w:tcBorders>
            <w:noWrap/>
            <w:vAlign w:val="center"/>
          </w:tcPr>
          <w:p w14:paraId="1CA2CA41" w14:textId="4404B936"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[-0.04</w:t>
            </w:r>
            <w:r>
              <w:rPr>
                <w:color w:val="000000"/>
                <w:sz w:val="20"/>
                <w:szCs w:val="20"/>
              </w:rPr>
              <w:t>0</w:t>
            </w:r>
            <w:r w:rsidRPr="00A86CC2">
              <w:rPr>
                <w:color w:val="000000"/>
                <w:sz w:val="20"/>
                <w:szCs w:val="20"/>
              </w:rPr>
              <w:t>, 0.290]</w:t>
            </w:r>
          </w:p>
        </w:tc>
      </w:tr>
      <w:tr w:rsidR="00A86CC2" w:rsidRPr="00452304" w14:paraId="27E871FC" w14:textId="77777777" w:rsidTr="00C5108C">
        <w:trPr>
          <w:trHeight w:val="320"/>
        </w:trPr>
        <w:tc>
          <w:tcPr>
            <w:tcW w:w="746" w:type="dxa"/>
            <w:vMerge/>
            <w:tcBorders>
              <w:left w:val="nil"/>
              <w:right w:val="nil"/>
            </w:tcBorders>
            <w:vAlign w:val="center"/>
          </w:tcPr>
          <w:p w14:paraId="27ED0B29"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BD1DB0B" w14:textId="4CE27BEF" w:rsidR="00A86CC2" w:rsidRPr="00355693" w:rsidRDefault="00A86CC2" w:rsidP="00A86CC2">
            <w:pPr>
              <w:spacing w:after="0" w:line="240" w:lineRule="auto"/>
              <w:rPr>
                <w:rFonts w:eastAsia="Times New Roman"/>
                <w:color w:val="000000"/>
                <w:kern w:val="0"/>
                <w:sz w:val="20"/>
                <w:szCs w:val="20"/>
                <w14:ligatures w14:val="none"/>
              </w:rPr>
            </w:pPr>
            <w:r w:rsidRPr="00355693">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4CCD02D9" w14:textId="2BDB8AC9" w:rsidR="00A86CC2" w:rsidRPr="00355693" w:rsidRDefault="00A86CC2" w:rsidP="00A86CC2">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i/>
                <w:iCs/>
                <w:color w:val="000000"/>
                <w:kern w:val="0"/>
                <w:sz w:val="20"/>
                <w:szCs w:val="20"/>
                <w:vertAlign w:val="subscript"/>
                <w14:ligatures w14:val="none"/>
              </w:rPr>
              <w:t>g</w:t>
            </w:r>
            <w:proofErr w:type="spellEnd"/>
          </w:p>
        </w:tc>
        <w:tc>
          <w:tcPr>
            <w:tcW w:w="1709" w:type="dxa"/>
            <w:tcBorders>
              <w:top w:val="single" w:sz="4" w:space="0" w:color="auto"/>
              <w:left w:val="nil"/>
              <w:bottom w:val="nil"/>
              <w:right w:val="nil"/>
            </w:tcBorders>
            <w:noWrap/>
            <w:vAlign w:val="center"/>
          </w:tcPr>
          <w:p w14:paraId="6FF30E1B" w14:textId="49DC70E5"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-1.646±1.806</w:t>
            </w:r>
          </w:p>
        </w:tc>
        <w:tc>
          <w:tcPr>
            <w:tcW w:w="889" w:type="dxa"/>
            <w:tcBorders>
              <w:top w:val="single" w:sz="4" w:space="0" w:color="auto"/>
              <w:left w:val="nil"/>
              <w:bottom w:val="nil"/>
              <w:right w:val="nil"/>
            </w:tcBorders>
            <w:noWrap/>
            <w:vAlign w:val="center"/>
          </w:tcPr>
          <w:p w14:paraId="5A710264" w14:textId="2252DD6E"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-0.930</w:t>
            </w:r>
          </w:p>
        </w:tc>
        <w:tc>
          <w:tcPr>
            <w:tcW w:w="939" w:type="dxa"/>
            <w:tcBorders>
              <w:top w:val="single" w:sz="4" w:space="0" w:color="auto"/>
              <w:left w:val="nil"/>
              <w:bottom w:val="nil"/>
              <w:right w:val="nil"/>
            </w:tcBorders>
            <w:noWrap/>
            <w:vAlign w:val="center"/>
          </w:tcPr>
          <w:p w14:paraId="3C75956A" w14:textId="60057B48"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0.352</w:t>
            </w:r>
          </w:p>
        </w:tc>
        <w:tc>
          <w:tcPr>
            <w:tcW w:w="1862" w:type="dxa"/>
            <w:tcBorders>
              <w:top w:val="single" w:sz="4" w:space="0" w:color="auto"/>
              <w:left w:val="nil"/>
              <w:bottom w:val="nil"/>
              <w:right w:val="nil"/>
            </w:tcBorders>
            <w:noWrap/>
            <w:vAlign w:val="center"/>
          </w:tcPr>
          <w:p w14:paraId="05F1CA3E" w14:textId="26C4710D"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[-5.03</w:t>
            </w:r>
            <w:r w:rsidR="00C5108C">
              <w:rPr>
                <w:color w:val="000000"/>
                <w:sz w:val="20"/>
                <w:szCs w:val="20"/>
              </w:rPr>
              <w:t>9</w:t>
            </w:r>
            <w:r w:rsidRPr="00A86CC2">
              <w:rPr>
                <w:color w:val="000000"/>
                <w:sz w:val="20"/>
                <w:szCs w:val="20"/>
              </w:rPr>
              <w:t>, 1.857]</w:t>
            </w:r>
          </w:p>
        </w:tc>
      </w:tr>
      <w:tr w:rsidR="00A86CC2" w:rsidRPr="00452304" w14:paraId="4F4693E7" w14:textId="77777777" w:rsidTr="00C5108C">
        <w:trPr>
          <w:trHeight w:val="320"/>
        </w:trPr>
        <w:tc>
          <w:tcPr>
            <w:tcW w:w="746" w:type="dxa"/>
            <w:vMerge/>
            <w:tcBorders>
              <w:left w:val="nil"/>
              <w:right w:val="nil"/>
            </w:tcBorders>
            <w:vAlign w:val="center"/>
          </w:tcPr>
          <w:p w14:paraId="1B6992A3"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3C2B32A2"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60424C43" w14:textId="20680522" w:rsidR="00A86CC2" w:rsidRPr="00355693" w:rsidRDefault="00A86CC2" w:rsidP="00A86CC2">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709" w:type="dxa"/>
            <w:tcBorders>
              <w:top w:val="nil"/>
              <w:left w:val="nil"/>
              <w:bottom w:val="nil"/>
              <w:right w:val="nil"/>
            </w:tcBorders>
            <w:noWrap/>
            <w:vAlign w:val="center"/>
          </w:tcPr>
          <w:p w14:paraId="6A749741" w14:textId="77F695C4"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-14.2</w:t>
            </w:r>
            <w:r w:rsidR="00C5108C">
              <w:rPr>
                <w:color w:val="000000"/>
                <w:sz w:val="20"/>
                <w:szCs w:val="20"/>
              </w:rPr>
              <w:t>90</w:t>
            </w:r>
            <w:r w:rsidRPr="00A86CC2">
              <w:rPr>
                <w:color w:val="000000"/>
                <w:sz w:val="20"/>
                <w:szCs w:val="20"/>
              </w:rPr>
              <w:t>±15.246</w:t>
            </w:r>
          </w:p>
        </w:tc>
        <w:tc>
          <w:tcPr>
            <w:tcW w:w="889" w:type="dxa"/>
            <w:tcBorders>
              <w:top w:val="nil"/>
              <w:left w:val="nil"/>
              <w:bottom w:val="nil"/>
              <w:right w:val="nil"/>
            </w:tcBorders>
            <w:noWrap/>
            <w:vAlign w:val="center"/>
          </w:tcPr>
          <w:p w14:paraId="15DB8E8E" w14:textId="2E0E84A8"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-1.087</w:t>
            </w:r>
          </w:p>
        </w:tc>
        <w:tc>
          <w:tcPr>
            <w:tcW w:w="939" w:type="dxa"/>
            <w:tcBorders>
              <w:top w:val="nil"/>
              <w:left w:val="nil"/>
              <w:bottom w:val="nil"/>
              <w:right w:val="nil"/>
            </w:tcBorders>
            <w:noWrap/>
            <w:vAlign w:val="center"/>
          </w:tcPr>
          <w:p w14:paraId="22F88D51" w14:textId="7E03FD7D"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0.277</w:t>
            </w:r>
          </w:p>
        </w:tc>
        <w:tc>
          <w:tcPr>
            <w:tcW w:w="1862" w:type="dxa"/>
            <w:tcBorders>
              <w:top w:val="nil"/>
              <w:left w:val="nil"/>
              <w:bottom w:val="nil"/>
              <w:right w:val="nil"/>
            </w:tcBorders>
            <w:noWrap/>
            <w:vAlign w:val="center"/>
          </w:tcPr>
          <w:p w14:paraId="34522AF4" w14:textId="771975AD"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[-35.092, 13.17</w:t>
            </w:r>
            <w:r w:rsidR="00C5108C">
              <w:rPr>
                <w:color w:val="000000"/>
                <w:sz w:val="20"/>
                <w:szCs w:val="20"/>
              </w:rPr>
              <w:t>9</w:t>
            </w:r>
            <w:r w:rsidRPr="00A86CC2">
              <w:rPr>
                <w:color w:val="000000"/>
                <w:sz w:val="20"/>
                <w:szCs w:val="20"/>
              </w:rPr>
              <w:t>]</w:t>
            </w:r>
          </w:p>
        </w:tc>
      </w:tr>
      <w:tr w:rsidR="00A86CC2" w:rsidRPr="00452304" w14:paraId="34210EA5" w14:textId="77777777" w:rsidTr="00C5108C">
        <w:trPr>
          <w:trHeight w:val="320"/>
        </w:trPr>
        <w:tc>
          <w:tcPr>
            <w:tcW w:w="746" w:type="dxa"/>
            <w:vMerge/>
            <w:tcBorders>
              <w:left w:val="nil"/>
              <w:bottom w:val="single" w:sz="4" w:space="0" w:color="auto"/>
              <w:right w:val="nil"/>
            </w:tcBorders>
            <w:vAlign w:val="center"/>
          </w:tcPr>
          <w:p w14:paraId="5B31FFC1"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82D8354"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513FCC9" w14:textId="5199A119" w:rsidR="00A86CC2" w:rsidRPr="00355693" w:rsidRDefault="00A86CC2" w:rsidP="00A86CC2">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709" w:type="dxa"/>
            <w:tcBorders>
              <w:top w:val="nil"/>
              <w:left w:val="nil"/>
              <w:bottom w:val="single" w:sz="4" w:space="0" w:color="auto"/>
              <w:right w:val="nil"/>
            </w:tcBorders>
            <w:noWrap/>
            <w:vAlign w:val="center"/>
          </w:tcPr>
          <w:p w14:paraId="1AD5B1F8" w14:textId="130D154B"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0.190±0.09</w:t>
            </w:r>
            <w:r w:rsidR="00C5108C">
              <w:rPr>
                <w:color w:val="000000"/>
                <w:sz w:val="20"/>
                <w:szCs w:val="20"/>
              </w:rPr>
              <w:t>0</w:t>
            </w:r>
          </w:p>
        </w:tc>
        <w:tc>
          <w:tcPr>
            <w:tcW w:w="889" w:type="dxa"/>
            <w:tcBorders>
              <w:top w:val="nil"/>
              <w:left w:val="nil"/>
              <w:bottom w:val="single" w:sz="4" w:space="0" w:color="auto"/>
              <w:right w:val="nil"/>
            </w:tcBorders>
            <w:noWrap/>
            <w:vAlign w:val="center"/>
          </w:tcPr>
          <w:p w14:paraId="13192FD1" w14:textId="522CA336"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2.034</w:t>
            </w:r>
          </w:p>
        </w:tc>
        <w:tc>
          <w:tcPr>
            <w:tcW w:w="939" w:type="dxa"/>
            <w:tcBorders>
              <w:top w:val="nil"/>
              <w:left w:val="nil"/>
              <w:bottom w:val="single" w:sz="4" w:space="0" w:color="auto"/>
              <w:right w:val="nil"/>
            </w:tcBorders>
            <w:noWrap/>
            <w:vAlign w:val="center"/>
          </w:tcPr>
          <w:p w14:paraId="484C2BA8" w14:textId="157E3100"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0.042</w:t>
            </w:r>
          </w:p>
        </w:tc>
        <w:tc>
          <w:tcPr>
            <w:tcW w:w="1862" w:type="dxa"/>
            <w:tcBorders>
              <w:top w:val="nil"/>
              <w:left w:val="nil"/>
              <w:bottom w:val="single" w:sz="4" w:space="0" w:color="auto"/>
              <w:right w:val="nil"/>
            </w:tcBorders>
            <w:noWrap/>
            <w:vAlign w:val="center"/>
          </w:tcPr>
          <w:p w14:paraId="2D33B7DB" w14:textId="1AF0B26F"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[0.01</w:t>
            </w:r>
            <w:r>
              <w:rPr>
                <w:color w:val="000000"/>
                <w:sz w:val="20"/>
                <w:szCs w:val="20"/>
              </w:rPr>
              <w:t>0</w:t>
            </w:r>
            <w:r w:rsidRPr="00A86CC2">
              <w:rPr>
                <w:color w:val="000000"/>
                <w:sz w:val="20"/>
                <w:szCs w:val="20"/>
              </w:rPr>
              <w:t>, 0.38</w:t>
            </w:r>
            <w:r w:rsidR="00C5108C">
              <w:rPr>
                <w:color w:val="000000"/>
                <w:sz w:val="20"/>
                <w:szCs w:val="20"/>
              </w:rPr>
              <w:t>1</w:t>
            </w:r>
            <w:r w:rsidRPr="00A86CC2">
              <w:rPr>
                <w:color w:val="000000"/>
                <w:sz w:val="20"/>
                <w:szCs w:val="20"/>
              </w:rPr>
              <w:t>]</w:t>
            </w:r>
          </w:p>
        </w:tc>
      </w:tr>
      <w:tr w:rsidR="00A86CC2" w:rsidRPr="00452304" w14:paraId="4B835507" w14:textId="77777777" w:rsidTr="00C5108C">
        <w:trPr>
          <w:trHeight w:val="320"/>
        </w:trPr>
        <w:tc>
          <w:tcPr>
            <w:tcW w:w="746" w:type="dxa"/>
            <w:vMerge w:val="restart"/>
            <w:tcBorders>
              <w:top w:val="single" w:sz="4" w:space="0" w:color="auto"/>
              <w:left w:val="nil"/>
              <w:right w:val="nil"/>
            </w:tcBorders>
            <w:vAlign w:val="center"/>
          </w:tcPr>
          <w:p w14:paraId="4924E84A" w14:textId="0D2E3263" w:rsidR="00A86CC2" w:rsidRPr="00A86CC2" w:rsidRDefault="00A86CC2" w:rsidP="00A86CC2">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Leaf N:P</w:t>
            </w:r>
          </w:p>
        </w:tc>
        <w:tc>
          <w:tcPr>
            <w:tcW w:w="1178" w:type="dxa"/>
            <w:vMerge w:val="restart"/>
            <w:tcBorders>
              <w:top w:val="single" w:sz="4" w:space="0" w:color="auto"/>
              <w:left w:val="nil"/>
              <w:right w:val="nil"/>
            </w:tcBorders>
            <w:noWrap/>
            <w:vAlign w:val="center"/>
          </w:tcPr>
          <w:p w14:paraId="27F03248" w14:textId="2A45D766" w:rsidR="00A86CC2" w:rsidRPr="00355693" w:rsidRDefault="00A86CC2" w:rsidP="00A86CC2">
            <w:pPr>
              <w:spacing w:after="0" w:line="240" w:lineRule="auto"/>
              <w:rPr>
                <w:rFonts w:eastAsia="Times New Roman"/>
                <w:color w:val="000000"/>
                <w:kern w:val="0"/>
                <w:sz w:val="20"/>
                <w:szCs w:val="20"/>
                <w14:ligatures w14:val="none"/>
              </w:rPr>
            </w:pPr>
            <w:r w:rsidRPr="00355693">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44C5AE00" w14:textId="2C727CF6" w:rsidR="00A86CC2" w:rsidRPr="00C5108C" w:rsidRDefault="00A86CC2" w:rsidP="00A86CC2">
            <w:pPr>
              <w:spacing w:after="0" w:line="240" w:lineRule="auto"/>
              <w:rPr>
                <w:rFonts w:eastAsia="Times New Roman"/>
                <w:b/>
                <w:bCs/>
                <w:i/>
                <w:color w:val="000000"/>
                <w:kern w:val="0"/>
                <w:sz w:val="20"/>
                <w:szCs w:val="20"/>
                <w14:ligatures w14:val="none"/>
              </w:rPr>
            </w:pPr>
            <w:proofErr w:type="spellStart"/>
            <w:r w:rsidRPr="00C5108C">
              <w:rPr>
                <w:rFonts w:eastAsia="Times New Roman"/>
                <w:b/>
                <w:bCs/>
                <w:i/>
                <w:iCs/>
                <w:color w:val="000000"/>
                <w:kern w:val="0"/>
                <w:sz w:val="20"/>
                <w:szCs w:val="20"/>
                <w14:ligatures w14:val="none"/>
              </w:rPr>
              <w:t>T</w:t>
            </w:r>
            <w:r w:rsidRPr="00C5108C">
              <w:rPr>
                <w:rFonts w:eastAsia="Times New Roman"/>
                <w:b/>
                <w:bCs/>
                <w:color w:val="000000"/>
                <w:kern w:val="0"/>
                <w:sz w:val="20"/>
                <w:szCs w:val="20"/>
                <w:vertAlign w:val="subscript"/>
                <w14:ligatures w14:val="none"/>
              </w:rPr>
              <w:t>g</w:t>
            </w:r>
            <w:proofErr w:type="spellEnd"/>
          </w:p>
        </w:tc>
        <w:tc>
          <w:tcPr>
            <w:tcW w:w="1709" w:type="dxa"/>
            <w:tcBorders>
              <w:top w:val="single" w:sz="4" w:space="0" w:color="auto"/>
              <w:left w:val="nil"/>
              <w:bottom w:val="nil"/>
              <w:right w:val="nil"/>
            </w:tcBorders>
            <w:noWrap/>
            <w:vAlign w:val="center"/>
          </w:tcPr>
          <w:p w14:paraId="6EB11887" w14:textId="6304F994" w:rsidR="00A86CC2" w:rsidRPr="00C5108C" w:rsidRDefault="00A86CC2" w:rsidP="00C5108C">
            <w:pPr>
              <w:spacing w:after="0" w:line="240" w:lineRule="auto"/>
              <w:jc w:val="right"/>
              <w:rPr>
                <w:b/>
                <w:bCs/>
                <w:color w:val="000000"/>
                <w:sz w:val="20"/>
                <w:szCs w:val="20"/>
                <w:highlight w:val="yellow"/>
              </w:rPr>
            </w:pPr>
            <w:r w:rsidRPr="00C5108C">
              <w:rPr>
                <w:b/>
                <w:bCs/>
                <w:color w:val="000000"/>
                <w:sz w:val="20"/>
                <w:szCs w:val="20"/>
              </w:rPr>
              <w:t>-1.479±0.451</w:t>
            </w:r>
          </w:p>
        </w:tc>
        <w:tc>
          <w:tcPr>
            <w:tcW w:w="889" w:type="dxa"/>
            <w:tcBorders>
              <w:top w:val="single" w:sz="4" w:space="0" w:color="auto"/>
              <w:left w:val="nil"/>
              <w:bottom w:val="nil"/>
              <w:right w:val="nil"/>
            </w:tcBorders>
            <w:noWrap/>
            <w:vAlign w:val="center"/>
          </w:tcPr>
          <w:p w14:paraId="1B06EDC7" w14:textId="6D66D945" w:rsidR="00A86CC2" w:rsidRPr="00C5108C" w:rsidRDefault="00A86CC2" w:rsidP="00C5108C">
            <w:pPr>
              <w:spacing w:after="0" w:line="240" w:lineRule="auto"/>
              <w:jc w:val="right"/>
              <w:rPr>
                <w:b/>
                <w:bCs/>
                <w:color w:val="000000"/>
                <w:sz w:val="20"/>
                <w:szCs w:val="20"/>
                <w:highlight w:val="yellow"/>
              </w:rPr>
            </w:pPr>
            <w:r w:rsidRPr="00C5108C">
              <w:rPr>
                <w:b/>
                <w:bCs/>
                <w:color w:val="000000"/>
                <w:sz w:val="20"/>
                <w:szCs w:val="20"/>
              </w:rPr>
              <w:t>-3.307</w:t>
            </w:r>
          </w:p>
        </w:tc>
        <w:tc>
          <w:tcPr>
            <w:tcW w:w="939" w:type="dxa"/>
            <w:tcBorders>
              <w:top w:val="single" w:sz="4" w:space="0" w:color="auto"/>
              <w:left w:val="nil"/>
              <w:bottom w:val="nil"/>
              <w:right w:val="nil"/>
            </w:tcBorders>
            <w:noWrap/>
            <w:vAlign w:val="center"/>
          </w:tcPr>
          <w:p w14:paraId="73DCB2FF" w14:textId="1DAA2501" w:rsidR="00A86CC2" w:rsidRPr="00C5108C" w:rsidRDefault="00A86CC2" w:rsidP="00C5108C">
            <w:pPr>
              <w:spacing w:after="0" w:line="240" w:lineRule="auto"/>
              <w:jc w:val="right"/>
              <w:rPr>
                <w:b/>
                <w:bCs/>
                <w:color w:val="000000"/>
                <w:sz w:val="20"/>
                <w:szCs w:val="20"/>
                <w:highlight w:val="yellow"/>
              </w:rPr>
            </w:pPr>
            <w:r w:rsidRPr="00C5108C">
              <w:rPr>
                <w:b/>
                <w:bCs/>
                <w:color w:val="000000"/>
                <w:sz w:val="20"/>
                <w:szCs w:val="20"/>
              </w:rPr>
              <w:t>0.001</w:t>
            </w:r>
          </w:p>
        </w:tc>
        <w:tc>
          <w:tcPr>
            <w:tcW w:w="1862" w:type="dxa"/>
            <w:tcBorders>
              <w:top w:val="single" w:sz="4" w:space="0" w:color="auto"/>
              <w:left w:val="nil"/>
              <w:bottom w:val="nil"/>
              <w:right w:val="nil"/>
            </w:tcBorders>
            <w:noWrap/>
            <w:vAlign w:val="center"/>
          </w:tcPr>
          <w:p w14:paraId="74CBDA51" w14:textId="4407CFCC" w:rsidR="00A86CC2" w:rsidRPr="00C5108C" w:rsidRDefault="00A86CC2" w:rsidP="00C5108C">
            <w:pPr>
              <w:spacing w:after="0" w:line="240" w:lineRule="auto"/>
              <w:jc w:val="right"/>
              <w:rPr>
                <w:b/>
                <w:bCs/>
                <w:color w:val="000000"/>
                <w:sz w:val="20"/>
                <w:szCs w:val="20"/>
                <w:highlight w:val="yellow"/>
              </w:rPr>
            </w:pPr>
            <w:r w:rsidRPr="00C5108C">
              <w:rPr>
                <w:b/>
                <w:bCs/>
                <w:color w:val="000000"/>
                <w:sz w:val="20"/>
                <w:szCs w:val="20"/>
              </w:rPr>
              <w:t>[-2.35</w:t>
            </w:r>
            <w:r w:rsidR="00C5108C">
              <w:rPr>
                <w:b/>
                <w:bCs/>
                <w:color w:val="000000"/>
                <w:sz w:val="20"/>
                <w:szCs w:val="20"/>
              </w:rPr>
              <w:t>2</w:t>
            </w:r>
            <w:r w:rsidRPr="00C5108C">
              <w:rPr>
                <w:b/>
                <w:bCs/>
                <w:color w:val="000000"/>
                <w:sz w:val="20"/>
                <w:szCs w:val="20"/>
              </w:rPr>
              <w:t>, -0.608]</w:t>
            </w:r>
          </w:p>
        </w:tc>
      </w:tr>
      <w:tr w:rsidR="00A86CC2" w:rsidRPr="00452304" w14:paraId="0804F54C" w14:textId="77777777" w:rsidTr="00C5108C">
        <w:trPr>
          <w:trHeight w:val="320"/>
        </w:trPr>
        <w:tc>
          <w:tcPr>
            <w:tcW w:w="746" w:type="dxa"/>
            <w:vMerge/>
            <w:tcBorders>
              <w:left w:val="nil"/>
              <w:right w:val="nil"/>
            </w:tcBorders>
          </w:tcPr>
          <w:p w14:paraId="0861D446"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2C193608"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5E3A9803" w14:textId="3F30B2B9" w:rsidR="00A86CC2" w:rsidRPr="00C5108C" w:rsidRDefault="00A86CC2" w:rsidP="00A86CC2">
            <w:pPr>
              <w:spacing w:after="0" w:line="240" w:lineRule="auto"/>
              <w:rPr>
                <w:rFonts w:eastAsia="Times New Roman"/>
                <w:i/>
                <w:color w:val="000000"/>
                <w:kern w:val="0"/>
                <w:sz w:val="20"/>
                <w:szCs w:val="20"/>
                <w:u w:val="single"/>
                <w14:ligatures w14:val="none"/>
              </w:rPr>
            </w:pPr>
            <w:proofErr w:type="spellStart"/>
            <w:r w:rsidRPr="00C5108C">
              <w:rPr>
                <w:rFonts w:eastAsia="Times New Roman"/>
                <w:i/>
                <w:iCs/>
                <w:color w:val="000000"/>
                <w:kern w:val="0"/>
                <w:sz w:val="20"/>
                <w:szCs w:val="20"/>
                <w:u w:val="single"/>
                <w14:ligatures w14:val="none"/>
              </w:rPr>
              <w:t>AI</w:t>
            </w:r>
            <w:r w:rsidRPr="00C5108C">
              <w:rPr>
                <w:rFonts w:eastAsia="Times New Roman"/>
                <w:color w:val="000000"/>
                <w:kern w:val="0"/>
                <w:sz w:val="20"/>
                <w:szCs w:val="20"/>
                <w:u w:val="single"/>
                <w:vertAlign w:val="subscript"/>
                <w14:ligatures w14:val="none"/>
              </w:rPr>
              <w:t>g</w:t>
            </w:r>
            <w:proofErr w:type="spellEnd"/>
          </w:p>
        </w:tc>
        <w:tc>
          <w:tcPr>
            <w:tcW w:w="1709" w:type="dxa"/>
            <w:tcBorders>
              <w:top w:val="nil"/>
              <w:left w:val="nil"/>
              <w:bottom w:val="nil"/>
              <w:right w:val="nil"/>
            </w:tcBorders>
            <w:noWrap/>
            <w:vAlign w:val="center"/>
          </w:tcPr>
          <w:p w14:paraId="08E69365" w14:textId="770AFC8C" w:rsidR="00A86CC2" w:rsidRPr="00C5108C" w:rsidRDefault="00A86CC2" w:rsidP="00C5108C">
            <w:pPr>
              <w:spacing w:after="0" w:line="240" w:lineRule="auto"/>
              <w:jc w:val="right"/>
              <w:rPr>
                <w:b/>
                <w:bCs/>
                <w:i/>
                <w:iCs/>
                <w:color w:val="000000"/>
                <w:sz w:val="20"/>
                <w:szCs w:val="20"/>
                <w:highlight w:val="yellow"/>
              </w:rPr>
            </w:pPr>
            <w:r w:rsidRPr="00C5108C">
              <w:rPr>
                <w:i/>
                <w:iCs/>
                <w:color w:val="000000"/>
                <w:sz w:val="20"/>
                <w:szCs w:val="20"/>
              </w:rPr>
              <w:t>-7.2</w:t>
            </w:r>
            <w:r w:rsidR="00C5108C">
              <w:rPr>
                <w:i/>
                <w:iCs/>
                <w:color w:val="000000"/>
                <w:sz w:val="20"/>
                <w:szCs w:val="20"/>
              </w:rPr>
              <w:t>30</w:t>
            </w:r>
            <w:r w:rsidRPr="00C5108C">
              <w:rPr>
                <w:i/>
                <w:iCs/>
                <w:color w:val="000000"/>
                <w:sz w:val="20"/>
                <w:szCs w:val="20"/>
              </w:rPr>
              <w:t>±4.112</w:t>
            </w:r>
          </w:p>
        </w:tc>
        <w:tc>
          <w:tcPr>
            <w:tcW w:w="889" w:type="dxa"/>
            <w:tcBorders>
              <w:top w:val="nil"/>
              <w:left w:val="nil"/>
              <w:bottom w:val="nil"/>
              <w:right w:val="nil"/>
            </w:tcBorders>
            <w:noWrap/>
            <w:vAlign w:val="center"/>
          </w:tcPr>
          <w:p w14:paraId="10B1372D" w14:textId="5AED20A7" w:rsidR="00A86CC2" w:rsidRPr="00C5108C" w:rsidRDefault="00A86CC2" w:rsidP="00C5108C">
            <w:pPr>
              <w:spacing w:after="0" w:line="240" w:lineRule="auto"/>
              <w:jc w:val="right"/>
              <w:rPr>
                <w:b/>
                <w:bCs/>
                <w:i/>
                <w:iCs/>
                <w:color w:val="000000"/>
                <w:sz w:val="20"/>
                <w:szCs w:val="20"/>
                <w:highlight w:val="yellow"/>
              </w:rPr>
            </w:pPr>
            <w:r w:rsidRPr="00C5108C">
              <w:rPr>
                <w:i/>
                <w:iCs/>
                <w:color w:val="000000"/>
                <w:sz w:val="20"/>
                <w:szCs w:val="20"/>
              </w:rPr>
              <w:t>-1.881</w:t>
            </w:r>
          </w:p>
        </w:tc>
        <w:tc>
          <w:tcPr>
            <w:tcW w:w="939" w:type="dxa"/>
            <w:tcBorders>
              <w:top w:val="nil"/>
              <w:left w:val="nil"/>
              <w:bottom w:val="nil"/>
              <w:right w:val="nil"/>
            </w:tcBorders>
            <w:noWrap/>
            <w:vAlign w:val="center"/>
          </w:tcPr>
          <w:p w14:paraId="799E76A3" w14:textId="560A9D47" w:rsidR="00A86CC2" w:rsidRPr="00C5108C" w:rsidRDefault="00A86CC2" w:rsidP="00C5108C">
            <w:pPr>
              <w:spacing w:after="0" w:line="240" w:lineRule="auto"/>
              <w:jc w:val="right"/>
              <w:rPr>
                <w:b/>
                <w:bCs/>
                <w:i/>
                <w:iCs/>
                <w:color w:val="000000"/>
                <w:sz w:val="20"/>
                <w:szCs w:val="20"/>
                <w:highlight w:val="yellow"/>
              </w:rPr>
            </w:pPr>
            <w:r w:rsidRPr="00C5108C">
              <w:rPr>
                <w:i/>
                <w:iCs/>
                <w:color w:val="000000"/>
                <w:sz w:val="20"/>
                <w:szCs w:val="20"/>
              </w:rPr>
              <w:t>0.060</w:t>
            </w:r>
          </w:p>
        </w:tc>
        <w:tc>
          <w:tcPr>
            <w:tcW w:w="1862" w:type="dxa"/>
            <w:tcBorders>
              <w:top w:val="nil"/>
              <w:left w:val="nil"/>
              <w:bottom w:val="nil"/>
              <w:right w:val="nil"/>
            </w:tcBorders>
            <w:noWrap/>
            <w:vAlign w:val="center"/>
          </w:tcPr>
          <w:p w14:paraId="4F3A3B62" w14:textId="1F8772CA" w:rsidR="00A86CC2" w:rsidRPr="00C5108C" w:rsidRDefault="00A86CC2" w:rsidP="00C5108C">
            <w:pPr>
              <w:spacing w:after="0" w:line="240" w:lineRule="auto"/>
              <w:jc w:val="right"/>
              <w:rPr>
                <w:b/>
                <w:bCs/>
                <w:i/>
                <w:iCs/>
                <w:color w:val="000000"/>
                <w:sz w:val="20"/>
                <w:szCs w:val="20"/>
                <w:highlight w:val="yellow"/>
              </w:rPr>
            </w:pPr>
            <w:r w:rsidRPr="00C5108C">
              <w:rPr>
                <w:i/>
                <w:iCs/>
                <w:color w:val="000000"/>
                <w:sz w:val="20"/>
                <w:szCs w:val="20"/>
              </w:rPr>
              <w:t>[-14.33</w:t>
            </w:r>
            <w:r w:rsidR="00C5108C">
              <w:rPr>
                <w:i/>
                <w:iCs/>
                <w:color w:val="000000"/>
                <w:sz w:val="20"/>
                <w:szCs w:val="20"/>
              </w:rPr>
              <w:t>3</w:t>
            </w:r>
            <w:r w:rsidRPr="00C5108C">
              <w:rPr>
                <w:i/>
                <w:iCs/>
                <w:color w:val="000000"/>
                <w:sz w:val="20"/>
                <w:szCs w:val="20"/>
              </w:rPr>
              <w:t>, 0.32</w:t>
            </w:r>
            <w:r w:rsidR="00C5108C">
              <w:rPr>
                <w:i/>
                <w:iCs/>
                <w:color w:val="000000"/>
                <w:sz w:val="20"/>
                <w:szCs w:val="20"/>
              </w:rPr>
              <w:t>1</w:t>
            </w:r>
            <w:r w:rsidRPr="00C5108C">
              <w:rPr>
                <w:i/>
                <w:iCs/>
                <w:color w:val="000000"/>
                <w:sz w:val="20"/>
                <w:szCs w:val="20"/>
              </w:rPr>
              <w:t>]</w:t>
            </w:r>
          </w:p>
        </w:tc>
      </w:tr>
      <w:tr w:rsidR="00A86CC2" w:rsidRPr="00452304" w14:paraId="39D5A7FC" w14:textId="77777777" w:rsidTr="00C5108C">
        <w:trPr>
          <w:trHeight w:val="320"/>
        </w:trPr>
        <w:tc>
          <w:tcPr>
            <w:tcW w:w="746" w:type="dxa"/>
            <w:vMerge/>
            <w:tcBorders>
              <w:left w:val="nil"/>
              <w:right w:val="nil"/>
            </w:tcBorders>
          </w:tcPr>
          <w:p w14:paraId="41431E28"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6E8AB30"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6FC354A" w14:textId="4A453661" w:rsidR="00A86CC2" w:rsidRPr="00355693" w:rsidRDefault="00A86CC2" w:rsidP="00A86CC2">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709" w:type="dxa"/>
            <w:tcBorders>
              <w:top w:val="nil"/>
              <w:left w:val="nil"/>
              <w:bottom w:val="single" w:sz="4" w:space="0" w:color="auto"/>
              <w:right w:val="nil"/>
            </w:tcBorders>
            <w:noWrap/>
            <w:vAlign w:val="center"/>
          </w:tcPr>
          <w:p w14:paraId="74954473" w14:textId="7B87876F"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0.03</w:t>
            </w:r>
            <w:r>
              <w:rPr>
                <w:color w:val="000000"/>
                <w:sz w:val="20"/>
                <w:szCs w:val="20"/>
              </w:rPr>
              <w:t>0</w:t>
            </w:r>
            <w:r w:rsidRPr="00A86CC2">
              <w:rPr>
                <w:color w:val="000000"/>
                <w:sz w:val="20"/>
                <w:szCs w:val="20"/>
              </w:rPr>
              <w:t>±0.03</w:t>
            </w:r>
            <w:r>
              <w:rPr>
                <w:color w:val="000000"/>
                <w:sz w:val="20"/>
                <w:szCs w:val="20"/>
              </w:rPr>
              <w:t>0</w:t>
            </w:r>
          </w:p>
        </w:tc>
        <w:tc>
          <w:tcPr>
            <w:tcW w:w="889" w:type="dxa"/>
            <w:tcBorders>
              <w:top w:val="nil"/>
              <w:left w:val="nil"/>
              <w:bottom w:val="single" w:sz="4" w:space="0" w:color="auto"/>
              <w:right w:val="nil"/>
            </w:tcBorders>
            <w:noWrap/>
            <w:vAlign w:val="center"/>
          </w:tcPr>
          <w:p w14:paraId="1D6FF78D" w14:textId="799042F5"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1.054</w:t>
            </w:r>
          </w:p>
        </w:tc>
        <w:tc>
          <w:tcPr>
            <w:tcW w:w="939" w:type="dxa"/>
            <w:tcBorders>
              <w:top w:val="nil"/>
              <w:left w:val="nil"/>
              <w:bottom w:val="single" w:sz="4" w:space="0" w:color="auto"/>
              <w:right w:val="nil"/>
            </w:tcBorders>
            <w:noWrap/>
            <w:vAlign w:val="center"/>
          </w:tcPr>
          <w:p w14:paraId="6B7894CB" w14:textId="2E659C14"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0.292</w:t>
            </w:r>
          </w:p>
        </w:tc>
        <w:tc>
          <w:tcPr>
            <w:tcW w:w="1862" w:type="dxa"/>
            <w:tcBorders>
              <w:top w:val="nil"/>
              <w:left w:val="nil"/>
              <w:bottom w:val="single" w:sz="4" w:space="0" w:color="auto"/>
              <w:right w:val="nil"/>
            </w:tcBorders>
            <w:noWrap/>
            <w:vAlign w:val="center"/>
          </w:tcPr>
          <w:p w14:paraId="0BF10EE9" w14:textId="2DF62BBA"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[-0.02</w:t>
            </w:r>
            <w:r>
              <w:rPr>
                <w:color w:val="000000"/>
                <w:sz w:val="20"/>
                <w:szCs w:val="20"/>
              </w:rPr>
              <w:t>0</w:t>
            </w:r>
            <w:r w:rsidRPr="00A86CC2">
              <w:rPr>
                <w:color w:val="000000"/>
                <w:sz w:val="20"/>
                <w:szCs w:val="20"/>
              </w:rPr>
              <w:t>, 0.08</w:t>
            </w:r>
            <w:r>
              <w:rPr>
                <w:color w:val="000000"/>
                <w:sz w:val="20"/>
                <w:szCs w:val="20"/>
              </w:rPr>
              <w:t>0</w:t>
            </w:r>
            <w:r w:rsidRPr="00A86CC2">
              <w:rPr>
                <w:color w:val="000000"/>
                <w:sz w:val="20"/>
                <w:szCs w:val="20"/>
              </w:rPr>
              <w:t>]</w:t>
            </w:r>
          </w:p>
        </w:tc>
      </w:tr>
      <w:tr w:rsidR="00A86CC2" w:rsidRPr="00452304" w14:paraId="1268C8AD" w14:textId="77777777" w:rsidTr="00C5108C">
        <w:trPr>
          <w:trHeight w:val="320"/>
        </w:trPr>
        <w:tc>
          <w:tcPr>
            <w:tcW w:w="746" w:type="dxa"/>
            <w:vMerge/>
            <w:tcBorders>
              <w:left w:val="nil"/>
              <w:right w:val="nil"/>
            </w:tcBorders>
          </w:tcPr>
          <w:p w14:paraId="549A2FE2"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A2BD9ED" w14:textId="546536D9" w:rsidR="00A86CC2" w:rsidRPr="00355693" w:rsidRDefault="00A86CC2" w:rsidP="00A86CC2">
            <w:pPr>
              <w:spacing w:after="0" w:line="240" w:lineRule="auto"/>
              <w:rPr>
                <w:rFonts w:eastAsia="Times New Roman"/>
                <w:color w:val="000000"/>
                <w:kern w:val="0"/>
                <w:sz w:val="20"/>
                <w:szCs w:val="20"/>
                <w14:ligatures w14:val="none"/>
              </w:rPr>
            </w:pPr>
            <w:r w:rsidRPr="00355693">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3F54375C" w14:textId="5C43F28A" w:rsidR="00A86CC2" w:rsidRPr="00C5108C" w:rsidRDefault="00A86CC2" w:rsidP="00A86CC2">
            <w:pPr>
              <w:spacing w:after="0" w:line="240" w:lineRule="auto"/>
              <w:rPr>
                <w:rFonts w:eastAsia="Times New Roman"/>
                <w:b/>
                <w:bCs/>
                <w:i/>
                <w:color w:val="000000"/>
                <w:kern w:val="0"/>
                <w:sz w:val="20"/>
                <w:szCs w:val="20"/>
                <w14:ligatures w14:val="none"/>
              </w:rPr>
            </w:pPr>
            <w:proofErr w:type="spellStart"/>
            <w:r w:rsidRPr="00C5108C">
              <w:rPr>
                <w:rFonts w:eastAsia="Times New Roman"/>
                <w:b/>
                <w:bCs/>
                <w:i/>
                <w:iCs/>
                <w:color w:val="000000"/>
                <w:kern w:val="0"/>
                <w:sz w:val="20"/>
                <w:szCs w:val="20"/>
                <w14:ligatures w14:val="none"/>
              </w:rPr>
              <w:t>T</w:t>
            </w:r>
            <w:r w:rsidRPr="00C5108C">
              <w:rPr>
                <w:rFonts w:eastAsia="Times New Roman"/>
                <w:b/>
                <w:bCs/>
                <w:color w:val="000000"/>
                <w:kern w:val="0"/>
                <w:sz w:val="20"/>
                <w:szCs w:val="20"/>
                <w:vertAlign w:val="subscript"/>
                <w14:ligatures w14:val="none"/>
              </w:rPr>
              <w:t>g</w:t>
            </w:r>
            <w:proofErr w:type="spellEnd"/>
          </w:p>
        </w:tc>
        <w:tc>
          <w:tcPr>
            <w:tcW w:w="1709" w:type="dxa"/>
            <w:tcBorders>
              <w:top w:val="single" w:sz="4" w:space="0" w:color="auto"/>
              <w:left w:val="nil"/>
              <w:bottom w:val="nil"/>
              <w:right w:val="nil"/>
            </w:tcBorders>
            <w:noWrap/>
            <w:vAlign w:val="center"/>
          </w:tcPr>
          <w:p w14:paraId="1CDC8B3B" w14:textId="47876162" w:rsidR="00A86CC2" w:rsidRPr="00C5108C" w:rsidRDefault="00A86CC2" w:rsidP="00C5108C">
            <w:pPr>
              <w:spacing w:after="0" w:line="240" w:lineRule="auto"/>
              <w:jc w:val="right"/>
              <w:rPr>
                <w:b/>
                <w:bCs/>
                <w:color w:val="000000"/>
                <w:sz w:val="20"/>
                <w:szCs w:val="20"/>
                <w:highlight w:val="yellow"/>
              </w:rPr>
            </w:pPr>
            <w:r w:rsidRPr="00C5108C">
              <w:rPr>
                <w:b/>
                <w:bCs/>
                <w:color w:val="000000"/>
                <w:sz w:val="20"/>
                <w:szCs w:val="20"/>
              </w:rPr>
              <w:t>2.15</w:t>
            </w:r>
            <w:r w:rsidR="00C5108C">
              <w:rPr>
                <w:b/>
                <w:bCs/>
                <w:color w:val="000000"/>
                <w:sz w:val="20"/>
                <w:szCs w:val="20"/>
              </w:rPr>
              <w:t>3</w:t>
            </w:r>
            <w:r w:rsidRPr="00C5108C">
              <w:rPr>
                <w:b/>
                <w:bCs/>
                <w:color w:val="000000"/>
                <w:sz w:val="20"/>
                <w:szCs w:val="20"/>
              </w:rPr>
              <w:t>±0.83</w:t>
            </w:r>
            <w:r w:rsidR="00C5108C">
              <w:rPr>
                <w:b/>
                <w:bCs/>
                <w:color w:val="000000"/>
                <w:sz w:val="20"/>
                <w:szCs w:val="20"/>
              </w:rPr>
              <w:t>4</w:t>
            </w:r>
          </w:p>
        </w:tc>
        <w:tc>
          <w:tcPr>
            <w:tcW w:w="889" w:type="dxa"/>
            <w:tcBorders>
              <w:top w:val="single" w:sz="4" w:space="0" w:color="auto"/>
              <w:left w:val="nil"/>
              <w:bottom w:val="nil"/>
              <w:right w:val="nil"/>
            </w:tcBorders>
            <w:noWrap/>
            <w:vAlign w:val="center"/>
          </w:tcPr>
          <w:p w14:paraId="53D622DC" w14:textId="1D7E0B31" w:rsidR="00A86CC2" w:rsidRPr="00C5108C" w:rsidRDefault="00A86CC2" w:rsidP="00C5108C">
            <w:pPr>
              <w:spacing w:after="0" w:line="240" w:lineRule="auto"/>
              <w:jc w:val="right"/>
              <w:rPr>
                <w:b/>
                <w:bCs/>
                <w:color w:val="000000"/>
                <w:sz w:val="20"/>
                <w:szCs w:val="20"/>
                <w:highlight w:val="yellow"/>
              </w:rPr>
            </w:pPr>
            <w:r w:rsidRPr="00C5108C">
              <w:rPr>
                <w:b/>
                <w:bCs/>
                <w:color w:val="000000"/>
                <w:sz w:val="20"/>
                <w:szCs w:val="20"/>
              </w:rPr>
              <w:t>2.560</w:t>
            </w:r>
          </w:p>
        </w:tc>
        <w:tc>
          <w:tcPr>
            <w:tcW w:w="939" w:type="dxa"/>
            <w:tcBorders>
              <w:top w:val="single" w:sz="4" w:space="0" w:color="auto"/>
              <w:left w:val="nil"/>
              <w:bottom w:val="nil"/>
              <w:right w:val="nil"/>
            </w:tcBorders>
            <w:noWrap/>
            <w:vAlign w:val="center"/>
          </w:tcPr>
          <w:p w14:paraId="59043640" w14:textId="07802A59" w:rsidR="00A86CC2" w:rsidRPr="00C5108C" w:rsidRDefault="00A86CC2" w:rsidP="00C5108C">
            <w:pPr>
              <w:spacing w:after="0" w:line="240" w:lineRule="auto"/>
              <w:jc w:val="right"/>
              <w:rPr>
                <w:b/>
                <w:bCs/>
                <w:color w:val="000000"/>
                <w:sz w:val="20"/>
                <w:szCs w:val="20"/>
                <w:highlight w:val="yellow"/>
              </w:rPr>
            </w:pPr>
            <w:r w:rsidRPr="00C5108C">
              <w:rPr>
                <w:b/>
                <w:bCs/>
                <w:color w:val="000000"/>
                <w:sz w:val="20"/>
                <w:szCs w:val="20"/>
              </w:rPr>
              <w:t>0.011</w:t>
            </w:r>
          </w:p>
        </w:tc>
        <w:tc>
          <w:tcPr>
            <w:tcW w:w="1862" w:type="dxa"/>
            <w:tcBorders>
              <w:top w:val="single" w:sz="4" w:space="0" w:color="auto"/>
              <w:left w:val="nil"/>
              <w:bottom w:val="nil"/>
              <w:right w:val="nil"/>
            </w:tcBorders>
            <w:noWrap/>
            <w:vAlign w:val="center"/>
          </w:tcPr>
          <w:p w14:paraId="11A21769" w14:textId="04ACBFE7" w:rsidR="00A86CC2" w:rsidRPr="00C5108C" w:rsidRDefault="00A86CC2" w:rsidP="00C5108C">
            <w:pPr>
              <w:spacing w:after="0" w:line="240" w:lineRule="auto"/>
              <w:jc w:val="right"/>
              <w:rPr>
                <w:b/>
                <w:bCs/>
                <w:color w:val="000000"/>
                <w:sz w:val="20"/>
                <w:szCs w:val="20"/>
                <w:highlight w:val="yellow"/>
              </w:rPr>
            </w:pPr>
            <w:r w:rsidRPr="00C5108C">
              <w:rPr>
                <w:b/>
                <w:bCs/>
                <w:color w:val="000000"/>
                <w:sz w:val="20"/>
                <w:szCs w:val="20"/>
              </w:rPr>
              <w:t>[0.501, 3.83</w:t>
            </w:r>
            <w:r w:rsidR="00C5108C">
              <w:rPr>
                <w:b/>
                <w:bCs/>
                <w:color w:val="000000"/>
                <w:sz w:val="20"/>
                <w:szCs w:val="20"/>
              </w:rPr>
              <w:t>2</w:t>
            </w:r>
            <w:r w:rsidRPr="00C5108C">
              <w:rPr>
                <w:b/>
                <w:bCs/>
                <w:color w:val="000000"/>
                <w:sz w:val="20"/>
                <w:szCs w:val="20"/>
              </w:rPr>
              <w:t>]</w:t>
            </w:r>
          </w:p>
        </w:tc>
      </w:tr>
      <w:tr w:rsidR="00A86CC2" w:rsidRPr="00452304" w14:paraId="25C003AE" w14:textId="77777777" w:rsidTr="00C5108C">
        <w:trPr>
          <w:trHeight w:val="320"/>
        </w:trPr>
        <w:tc>
          <w:tcPr>
            <w:tcW w:w="746" w:type="dxa"/>
            <w:vMerge/>
            <w:tcBorders>
              <w:left w:val="nil"/>
              <w:right w:val="nil"/>
            </w:tcBorders>
          </w:tcPr>
          <w:p w14:paraId="58E74ACB"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3C2D458F"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2FD2436F" w14:textId="35BC8707" w:rsidR="00A86CC2" w:rsidRPr="00C5108C" w:rsidRDefault="00A86CC2" w:rsidP="00A86CC2">
            <w:pPr>
              <w:spacing w:after="0" w:line="240" w:lineRule="auto"/>
              <w:rPr>
                <w:rFonts w:eastAsia="Times New Roman"/>
                <w:b/>
                <w:bCs/>
                <w:i/>
                <w:color w:val="000000"/>
                <w:kern w:val="0"/>
                <w:sz w:val="20"/>
                <w:szCs w:val="20"/>
                <w14:ligatures w14:val="none"/>
              </w:rPr>
            </w:pPr>
            <w:proofErr w:type="spellStart"/>
            <w:r w:rsidRPr="00C5108C">
              <w:rPr>
                <w:rFonts w:eastAsia="Times New Roman"/>
                <w:b/>
                <w:bCs/>
                <w:i/>
                <w:iCs/>
                <w:color w:val="000000"/>
                <w:kern w:val="0"/>
                <w:sz w:val="20"/>
                <w:szCs w:val="20"/>
                <w14:ligatures w14:val="none"/>
              </w:rPr>
              <w:t>AI</w:t>
            </w:r>
            <w:r w:rsidRPr="00C5108C">
              <w:rPr>
                <w:rFonts w:eastAsia="Times New Roman"/>
                <w:b/>
                <w:bCs/>
                <w:color w:val="000000"/>
                <w:kern w:val="0"/>
                <w:sz w:val="20"/>
                <w:szCs w:val="20"/>
                <w:vertAlign w:val="subscript"/>
                <w14:ligatures w14:val="none"/>
              </w:rPr>
              <w:t>g</w:t>
            </w:r>
            <w:proofErr w:type="spellEnd"/>
          </w:p>
        </w:tc>
        <w:tc>
          <w:tcPr>
            <w:tcW w:w="1709" w:type="dxa"/>
            <w:tcBorders>
              <w:top w:val="nil"/>
              <w:left w:val="nil"/>
              <w:bottom w:val="nil"/>
              <w:right w:val="nil"/>
            </w:tcBorders>
            <w:noWrap/>
            <w:vAlign w:val="center"/>
          </w:tcPr>
          <w:p w14:paraId="3071D3EA" w14:textId="18588A86" w:rsidR="00A86CC2" w:rsidRPr="00C5108C" w:rsidRDefault="00A86CC2" w:rsidP="00C5108C">
            <w:pPr>
              <w:spacing w:after="0" w:line="240" w:lineRule="auto"/>
              <w:jc w:val="right"/>
              <w:rPr>
                <w:b/>
                <w:bCs/>
                <w:color w:val="000000"/>
                <w:sz w:val="20"/>
                <w:szCs w:val="20"/>
                <w:highlight w:val="yellow"/>
              </w:rPr>
            </w:pPr>
            <w:r w:rsidRPr="00C5108C">
              <w:rPr>
                <w:b/>
                <w:bCs/>
                <w:color w:val="000000"/>
                <w:sz w:val="20"/>
                <w:szCs w:val="20"/>
              </w:rPr>
              <w:t>16.42</w:t>
            </w:r>
            <w:r w:rsidR="00C5108C">
              <w:rPr>
                <w:b/>
                <w:bCs/>
                <w:color w:val="000000"/>
                <w:sz w:val="20"/>
                <w:szCs w:val="20"/>
              </w:rPr>
              <w:t>8</w:t>
            </w:r>
            <w:r w:rsidRPr="00C5108C">
              <w:rPr>
                <w:b/>
                <w:bCs/>
                <w:color w:val="000000"/>
                <w:sz w:val="20"/>
                <w:szCs w:val="20"/>
              </w:rPr>
              <w:t>±7.616</w:t>
            </w:r>
          </w:p>
        </w:tc>
        <w:tc>
          <w:tcPr>
            <w:tcW w:w="889" w:type="dxa"/>
            <w:tcBorders>
              <w:top w:val="nil"/>
              <w:left w:val="nil"/>
              <w:bottom w:val="nil"/>
              <w:right w:val="nil"/>
            </w:tcBorders>
            <w:noWrap/>
            <w:vAlign w:val="center"/>
          </w:tcPr>
          <w:p w14:paraId="19DB82A4" w14:textId="2CA512D3" w:rsidR="00A86CC2" w:rsidRPr="00C5108C" w:rsidRDefault="00A86CC2" w:rsidP="00C5108C">
            <w:pPr>
              <w:spacing w:after="0" w:line="240" w:lineRule="auto"/>
              <w:jc w:val="right"/>
              <w:rPr>
                <w:b/>
                <w:bCs/>
                <w:color w:val="000000"/>
                <w:sz w:val="20"/>
                <w:szCs w:val="20"/>
                <w:highlight w:val="yellow"/>
              </w:rPr>
            </w:pPr>
            <w:r w:rsidRPr="00C5108C">
              <w:rPr>
                <w:b/>
                <w:bCs/>
                <w:color w:val="000000"/>
                <w:sz w:val="20"/>
                <w:szCs w:val="20"/>
              </w:rPr>
              <w:t>2.072</w:t>
            </w:r>
          </w:p>
        </w:tc>
        <w:tc>
          <w:tcPr>
            <w:tcW w:w="939" w:type="dxa"/>
            <w:tcBorders>
              <w:top w:val="nil"/>
              <w:left w:val="nil"/>
              <w:bottom w:val="nil"/>
              <w:right w:val="nil"/>
            </w:tcBorders>
            <w:noWrap/>
            <w:vAlign w:val="center"/>
          </w:tcPr>
          <w:p w14:paraId="152F7DC3" w14:textId="53CFFDC5" w:rsidR="00A86CC2" w:rsidRPr="00C5108C" w:rsidRDefault="00A86CC2" w:rsidP="00C5108C">
            <w:pPr>
              <w:spacing w:after="0" w:line="240" w:lineRule="auto"/>
              <w:jc w:val="right"/>
              <w:rPr>
                <w:b/>
                <w:bCs/>
                <w:color w:val="000000"/>
                <w:sz w:val="20"/>
                <w:szCs w:val="20"/>
                <w:highlight w:val="yellow"/>
              </w:rPr>
            </w:pPr>
            <w:r w:rsidRPr="00C5108C">
              <w:rPr>
                <w:b/>
                <w:bCs/>
                <w:color w:val="000000"/>
                <w:sz w:val="20"/>
                <w:szCs w:val="20"/>
              </w:rPr>
              <w:t>0.038</w:t>
            </w:r>
          </w:p>
        </w:tc>
        <w:tc>
          <w:tcPr>
            <w:tcW w:w="1862" w:type="dxa"/>
            <w:tcBorders>
              <w:top w:val="nil"/>
              <w:left w:val="nil"/>
              <w:bottom w:val="nil"/>
              <w:right w:val="nil"/>
            </w:tcBorders>
            <w:noWrap/>
            <w:vAlign w:val="center"/>
          </w:tcPr>
          <w:p w14:paraId="59F84D72" w14:textId="0144805F" w:rsidR="00A86CC2" w:rsidRPr="00C5108C" w:rsidRDefault="00A86CC2" w:rsidP="00C5108C">
            <w:pPr>
              <w:spacing w:after="0" w:line="240" w:lineRule="auto"/>
              <w:jc w:val="right"/>
              <w:rPr>
                <w:b/>
                <w:bCs/>
                <w:color w:val="000000"/>
                <w:sz w:val="20"/>
                <w:szCs w:val="20"/>
                <w:highlight w:val="yellow"/>
              </w:rPr>
            </w:pPr>
            <w:r w:rsidRPr="00C5108C">
              <w:rPr>
                <w:b/>
                <w:bCs/>
                <w:color w:val="000000"/>
                <w:sz w:val="20"/>
                <w:szCs w:val="20"/>
              </w:rPr>
              <w:t>[0.823, 34.46</w:t>
            </w:r>
            <w:r w:rsidR="00C5108C">
              <w:rPr>
                <w:b/>
                <w:bCs/>
                <w:color w:val="000000"/>
                <w:sz w:val="20"/>
                <w:szCs w:val="20"/>
              </w:rPr>
              <w:t>1</w:t>
            </w:r>
            <w:r w:rsidRPr="00C5108C">
              <w:rPr>
                <w:b/>
                <w:bCs/>
                <w:color w:val="000000"/>
                <w:sz w:val="20"/>
                <w:szCs w:val="20"/>
              </w:rPr>
              <w:t>]</w:t>
            </w:r>
          </w:p>
        </w:tc>
      </w:tr>
      <w:tr w:rsidR="00A86CC2" w:rsidRPr="00452304" w14:paraId="0A1C3750" w14:textId="77777777" w:rsidTr="00C5108C">
        <w:trPr>
          <w:trHeight w:val="320"/>
        </w:trPr>
        <w:tc>
          <w:tcPr>
            <w:tcW w:w="746" w:type="dxa"/>
            <w:vMerge/>
            <w:tcBorders>
              <w:left w:val="nil"/>
              <w:right w:val="nil"/>
            </w:tcBorders>
          </w:tcPr>
          <w:p w14:paraId="5259E7F3"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E2448E4"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10D3715" w14:textId="1C94EACA" w:rsidR="00A86CC2" w:rsidRPr="00355693" w:rsidRDefault="00A86CC2" w:rsidP="00A86CC2">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709" w:type="dxa"/>
            <w:tcBorders>
              <w:top w:val="nil"/>
              <w:left w:val="nil"/>
              <w:bottom w:val="single" w:sz="4" w:space="0" w:color="auto"/>
              <w:right w:val="nil"/>
            </w:tcBorders>
            <w:noWrap/>
            <w:vAlign w:val="center"/>
          </w:tcPr>
          <w:p w14:paraId="6306FBD1" w14:textId="01A0FEB8"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-0.05</w:t>
            </w:r>
            <w:r>
              <w:rPr>
                <w:color w:val="000000"/>
                <w:sz w:val="20"/>
                <w:szCs w:val="20"/>
              </w:rPr>
              <w:t>0</w:t>
            </w:r>
            <w:r w:rsidRPr="00A86CC2">
              <w:rPr>
                <w:color w:val="000000"/>
                <w:sz w:val="20"/>
                <w:szCs w:val="20"/>
              </w:rPr>
              <w:t>±0.05</w:t>
            </w:r>
            <w:r>
              <w:rPr>
                <w:color w:val="000000"/>
                <w:sz w:val="20"/>
                <w:szCs w:val="20"/>
              </w:rPr>
              <w:t>0</w:t>
            </w:r>
          </w:p>
        </w:tc>
        <w:tc>
          <w:tcPr>
            <w:tcW w:w="889" w:type="dxa"/>
            <w:tcBorders>
              <w:top w:val="nil"/>
              <w:left w:val="nil"/>
              <w:bottom w:val="single" w:sz="4" w:space="0" w:color="auto"/>
              <w:right w:val="nil"/>
            </w:tcBorders>
            <w:noWrap/>
            <w:vAlign w:val="center"/>
          </w:tcPr>
          <w:p w14:paraId="1DF75CF1" w14:textId="64AB78B1"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-0.964</w:t>
            </w:r>
          </w:p>
        </w:tc>
        <w:tc>
          <w:tcPr>
            <w:tcW w:w="939" w:type="dxa"/>
            <w:tcBorders>
              <w:top w:val="nil"/>
              <w:left w:val="nil"/>
              <w:bottom w:val="single" w:sz="4" w:space="0" w:color="auto"/>
              <w:right w:val="nil"/>
            </w:tcBorders>
            <w:noWrap/>
            <w:vAlign w:val="center"/>
          </w:tcPr>
          <w:p w14:paraId="35B53F20" w14:textId="2141FB4A"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0.335</w:t>
            </w:r>
          </w:p>
        </w:tc>
        <w:tc>
          <w:tcPr>
            <w:tcW w:w="1862" w:type="dxa"/>
            <w:tcBorders>
              <w:top w:val="nil"/>
              <w:left w:val="nil"/>
              <w:bottom w:val="single" w:sz="4" w:space="0" w:color="auto"/>
              <w:right w:val="nil"/>
            </w:tcBorders>
            <w:noWrap/>
            <w:vAlign w:val="center"/>
          </w:tcPr>
          <w:p w14:paraId="05438399" w14:textId="322E4C3E"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[-0.1</w:t>
            </w:r>
            <w:r w:rsidR="00C5108C">
              <w:rPr>
                <w:color w:val="000000"/>
                <w:sz w:val="20"/>
                <w:szCs w:val="20"/>
              </w:rPr>
              <w:t>40</w:t>
            </w:r>
            <w:r w:rsidRPr="00A86CC2">
              <w:rPr>
                <w:color w:val="000000"/>
                <w:sz w:val="20"/>
                <w:szCs w:val="20"/>
              </w:rPr>
              <w:t>, 0.05</w:t>
            </w:r>
            <w:r>
              <w:rPr>
                <w:color w:val="000000"/>
                <w:sz w:val="20"/>
                <w:szCs w:val="20"/>
              </w:rPr>
              <w:t>0</w:t>
            </w:r>
            <w:r w:rsidRPr="00A86CC2">
              <w:rPr>
                <w:color w:val="000000"/>
                <w:sz w:val="20"/>
                <w:szCs w:val="20"/>
              </w:rPr>
              <w:t>]</w:t>
            </w:r>
          </w:p>
        </w:tc>
      </w:tr>
      <w:tr w:rsidR="00A86CC2" w:rsidRPr="00452304" w14:paraId="42B6AE07" w14:textId="77777777" w:rsidTr="00C5108C">
        <w:trPr>
          <w:trHeight w:val="320"/>
        </w:trPr>
        <w:tc>
          <w:tcPr>
            <w:tcW w:w="746" w:type="dxa"/>
            <w:vMerge/>
            <w:tcBorders>
              <w:left w:val="nil"/>
              <w:right w:val="nil"/>
            </w:tcBorders>
          </w:tcPr>
          <w:p w14:paraId="7782AA69"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AD080BE" w14:textId="49F61805" w:rsidR="00A86CC2" w:rsidRPr="00355693" w:rsidRDefault="00A86CC2" w:rsidP="00A86CC2">
            <w:pPr>
              <w:spacing w:after="0" w:line="240" w:lineRule="auto"/>
              <w:rPr>
                <w:rFonts w:eastAsia="Times New Roman"/>
                <w:color w:val="000000"/>
                <w:kern w:val="0"/>
                <w:sz w:val="20"/>
                <w:szCs w:val="20"/>
                <w14:ligatures w14:val="none"/>
              </w:rPr>
            </w:pPr>
            <w:r w:rsidRPr="00355693">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5BE7E9F0" w14:textId="180019A8" w:rsidR="00A86CC2" w:rsidRPr="00355693" w:rsidRDefault="00A86CC2" w:rsidP="00A86CC2">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i/>
                <w:iCs/>
                <w:color w:val="000000"/>
                <w:kern w:val="0"/>
                <w:sz w:val="20"/>
                <w:szCs w:val="20"/>
                <w:vertAlign w:val="subscript"/>
                <w14:ligatures w14:val="none"/>
              </w:rPr>
              <w:t>g</w:t>
            </w:r>
            <w:proofErr w:type="spellEnd"/>
          </w:p>
        </w:tc>
        <w:tc>
          <w:tcPr>
            <w:tcW w:w="1709" w:type="dxa"/>
            <w:tcBorders>
              <w:top w:val="single" w:sz="4" w:space="0" w:color="auto"/>
              <w:left w:val="nil"/>
              <w:bottom w:val="nil"/>
              <w:right w:val="nil"/>
            </w:tcBorders>
            <w:noWrap/>
            <w:vAlign w:val="center"/>
          </w:tcPr>
          <w:p w14:paraId="6B069232" w14:textId="23AE15EB"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0.934±0.793</w:t>
            </w:r>
          </w:p>
        </w:tc>
        <w:tc>
          <w:tcPr>
            <w:tcW w:w="889" w:type="dxa"/>
            <w:tcBorders>
              <w:top w:val="single" w:sz="4" w:space="0" w:color="auto"/>
              <w:left w:val="nil"/>
              <w:bottom w:val="nil"/>
              <w:right w:val="nil"/>
            </w:tcBorders>
            <w:noWrap/>
            <w:vAlign w:val="center"/>
          </w:tcPr>
          <w:p w14:paraId="76238B96" w14:textId="153C548D"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1.180</w:t>
            </w:r>
          </w:p>
        </w:tc>
        <w:tc>
          <w:tcPr>
            <w:tcW w:w="939" w:type="dxa"/>
            <w:tcBorders>
              <w:top w:val="single" w:sz="4" w:space="0" w:color="auto"/>
              <w:left w:val="nil"/>
              <w:bottom w:val="nil"/>
              <w:right w:val="nil"/>
            </w:tcBorders>
            <w:noWrap/>
            <w:vAlign w:val="center"/>
          </w:tcPr>
          <w:p w14:paraId="4CAEEA42" w14:textId="46845CE5"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0.238</w:t>
            </w:r>
          </w:p>
        </w:tc>
        <w:tc>
          <w:tcPr>
            <w:tcW w:w="1862" w:type="dxa"/>
            <w:tcBorders>
              <w:top w:val="single" w:sz="4" w:space="0" w:color="auto"/>
              <w:left w:val="nil"/>
              <w:bottom w:val="nil"/>
              <w:right w:val="nil"/>
            </w:tcBorders>
            <w:noWrap/>
            <w:vAlign w:val="center"/>
          </w:tcPr>
          <w:p w14:paraId="6D5DCE0D" w14:textId="4050FEEE"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[-0.608, 2.50</w:t>
            </w:r>
            <w:r w:rsidR="00C5108C">
              <w:rPr>
                <w:color w:val="000000"/>
                <w:sz w:val="20"/>
                <w:szCs w:val="20"/>
              </w:rPr>
              <w:t>1</w:t>
            </w:r>
            <w:r w:rsidRPr="00A86CC2">
              <w:rPr>
                <w:color w:val="000000"/>
                <w:sz w:val="20"/>
                <w:szCs w:val="20"/>
              </w:rPr>
              <w:t>]</w:t>
            </w:r>
          </w:p>
        </w:tc>
      </w:tr>
      <w:tr w:rsidR="00A86CC2" w:rsidRPr="00452304" w14:paraId="7FA5D80D" w14:textId="77777777" w:rsidTr="00C5108C">
        <w:trPr>
          <w:trHeight w:val="320"/>
        </w:trPr>
        <w:tc>
          <w:tcPr>
            <w:tcW w:w="746" w:type="dxa"/>
            <w:vMerge/>
            <w:tcBorders>
              <w:left w:val="nil"/>
              <w:right w:val="nil"/>
            </w:tcBorders>
          </w:tcPr>
          <w:p w14:paraId="753F0C32"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0EC3C936"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080AD771" w14:textId="56E50671" w:rsidR="00A86CC2" w:rsidRPr="00355693" w:rsidRDefault="00A86CC2" w:rsidP="00A86CC2">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709" w:type="dxa"/>
            <w:tcBorders>
              <w:top w:val="nil"/>
              <w:left w:val="nil"/>
              <w:bottom w:val="nil"/>
              <w:right w:val="nil"/>
            </w:tcBorders>
            <w:noWrap/>
            <w:vAlign w:val="center"/>
          </w:tcPr>
          <w:p w14:paraId="22F7ADB8" w14:textId="335A20EE"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8.98</w:t>
            </w:r>
            <w:r w:rsidR="00C5108C">
              <w:rPr>
                <w:color w:val="000000"/>
                <w:sz w:val="20"/>
                <w:szCs w:val="20"/>
              </w:rPr>
              <w:t>1</w:t>
            </w:r>
            <w:r w:rsidRPr="00A86CC2">
              <w:rPr>
                <w:color w:val="000000"/>
                <w:sz w:val="20"/>
                <w:szCs w:val="20"/>
              </w:rPr>
              <w:t>±7.122</w:t>
            </w:r>
          </w:p>
        </w:tc>
        <w:tc>
          <w:tcPr>
            <w:tcW w:w="889" w:type="dxa"/>
            <w:tcBorders>
              <w:top w:val="nil"/>
              <w:left w:val="nil"/>
              <w:bottom w:val="nil"/>
              <w:right w:val="nil"/>
            </w:tcBorders>
            <w:noWrap/>
            <w:vAlign w:val="center"/>
          </w:tcPr>
          <w:p w14:paraId="12D03101" w14:textId="352E824B"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1.250</w:t>
            </w:r>
          </w:p>
        </w:tc>
        <w:tc>
          <w:tcPr>
            <w:tcW w:w="939" w:type="dxa"/>
            <w:tcBorders>
              <w:top w:val="nil"/>
              <w:left w:val="nil"/>
              <w:bottom w:val="nil"/>
              <w:right w:val="nil"/>
            </w:tcBorders>
            <w:noWrap/>
            <w:vAlign w:val="center"/>
          </w:tcPr>
          <w:p w14:paraId="57F4BFF0" w14:textId="54495A73"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0.211</w:t>
            </w:r>
          </w:p>
        </w:tc>
        <w:tc>
          <w:tcPr>
            <w:tcW w:w="1862" w:type="dxa"/>
            <w:tcBorders>
              <w:top w:val="nil"/>
              <w:left w:val="nil"/>
              <w:bottom w:val="nil"/>
              <w:right w:val="nil"/>
            </w:tcBorders>
            <w:noWrap/>
            <w:vAlign w:val="center"/>
          </w:tcPr>
          <w:p w14:paraId="63744C74" w14:textId="4E0DA8E7"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[-4.772, 24.732]</w:t>
            </w:r>
          </w:p>
        </w:tc>
      </w:tr>
      <w:tr w:rsidR="00A86CC2" w:rsidRPr="00452304" w14:paraId="0656C088" w14:textId="77777777" w:rsidTr="00C5108C">
        <w:trPr>
          <w:trHeight w:val="320"/>
        </w:trPr>
        <w:tc>
          <w:tcPr>
            <w:tcW w:w="746" w:type="dxa"/>
            <w:vMerge/>
            <w:tcBorders>
              <w:left w:val="nil"/>
              <w:bottom w:val="single" w:sz="4" w:space="0" w:color="auto"/>
              <w:right w:val="nil"/>
            </w:tcBorders>
          </w:tcPr>
          <w:p w14:paraId="046DDD71"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5D4E456"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3487821" w14:textId="2B34F0AC" w:rsidR="00A86CC2" w:rsidRPr="00355693" w:rsidRDefault="00A86CC2" w:rsidP="00A86CC2">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709" w:type="dxa"/>
            <w:tcBorders>
              <w:top w:val="nil"/>
              <w:left w:val="nil"/>
              <w:bottom w:val="single" w:sz="4" w:space="0" w:color="auto"/>
              <w:right w:val="nil"/>
            </w:tcBorders>
            <w:noWrap/>
            <w:vAlign w:val="center"/>
          </w:tcPr>
          <w:p w14:paraId="1E356F5E" w14:textId="01F1C689"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-0.1</w:t>
            </w:r>
            <w:r>
              <w:rPr>
                <w:color w:val="000000"/>
                <w:sz w:val="20"/>
                <w:szCs w:val="20"/>
              </w:rPr>
              <w:t>00</w:t>
            </w:r>
            <w:r w:rsidRPr="00A86CC2">
              <w:rPr>
                <w:color w:val="000000"/>
                <w:sz w:val="20"/>
                <w:szCs w:val="20"/>
              </w:rPr>
              <w:t>±0.05</w:t>
            </w:r>
            <w:r>
              <w:rPr>
                <w:color w:val="000000"/>
                <w:sz w:val="20"/>
                <w:szCs w:val="20"/>
              </w:rPr>
              <w:t>00</w:t>
            </w:r>
          </w:p>
        </w:tc>
        <w:tc>
          <w:tcPr>
            <w:tcW w:w="889" w:type="dxa"/>
            <w:tcBorders>
              <w:top w:val="nil"/>
              <w:left w:val="nil"/>
              <w:bottom w:val="single" w:sz="4" w:space="0" w:color="auto"/>
              <w:right w:val="nil"/>
            </w:tcBorders>
            <w:noWrap/>
            <w:vAlign w:val="center"/>
          </w:tcPr>
          <w:p w14:paraId="02FE39C6" w14:textId="6A0E297A"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-2.068</w:t>
            </w:r>
          </w:p>
        </w:tc>
        <w:tc>
          <w:tcPr>
            <w:tcW w:w="939" w:type="dxa"/>
            <w:tcBorders>
              <w:top w:val="nil"/>
              <w:left w:val="nil"/>
              <w:bottom w:val="single" w:sz="4" w:space="0" w:color="auto"/>
              <w:right w:val="nil"/>
            </w:tcBorders>
            <w:noWrap/>
            <w:vAlign w:val="center"/>
          </w:tcPr>
          <w:p w14:paraId="6DFB257D" w14:textId="3C5A2A60"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0.039</w:t>
            </w:r>
          </w:p>
        </w:tc>
        <w:tc>
          <w:tcPr>
            <w:tcW w:w="1862" w:type="dxa"/>
            <w:tcBorders>
              <w:top w:val="nil"/>
              <w:left w:val="nil"/>
              <w:bottom w:val="single" w:sz="4" w:space="0" w:color="auto"/>
              <w:right w:val="nil"/>
            </w:tcBorders>
            <w:noWrap/>
            <w:vAlign w:val="center"/>
          </w:tcPr>
          <w:p w14:paraId="56DA0DF8" w14:textId="60664263"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[-0.1</w:t>
            </w:r>
            <w:r w:rsidR="00C5108C">
              <w:rPr>
                <w:color w:val="000000"/>
                <w:sz w:val="20"/>
                <w:szCs w:val="20"/>
              </w:rPr>
              <w:t>90</w:t>
            </w:r>
            <w:r w:rsidRPr="00A86CC2">
              <w:rPr>
                <w:color w:val="000000"/>
                <w:sz w:val="20"/>
                <w:szCs w:val="20"/>
              </w:rPr>
              <w:t>, 0</w:t>
            </w:r>
            <w:r>
              <w:rPr>
                <w:color w:val="000000"/>
                <w:sz w:val="20"/>
                <w:szCs w:val="20"/>
              </w:rPr>
              <w:t>.000</w:t>
            </w:r>
            <w:r w:rsidRPr="00A86CC2">
              <w:rPr>
                <w:color w:val="000000"/>
                <w:sz w:val="20"/>
                <w:szCs w:val="20"/>
              </w:rPr>
              <w:t>]</w:t>
            </w:r>
          </w:p>
        </w:tc>
      </w:tr>
    </w:tbl>
    <w:p w14:paraId="7CD57811" w14:textId="0683CA9D" w:rsidR="00452304" w:rsidRPr="00355693" w:rsidRDefault="00355693" w:rsidP="002B0173">
      <w:pPr>
        <w:rPr>
          <w:iCs/>
        </w:rPr>
      </w:pPr>
      <w:r>
        <w:rPr>
          <w:iCs/>
          <w:vertAlign w:val="superscript"/>
        </w:rPr>
        <w:t>*</w:t>
      </w:r>
      <w:r>
        <w:rPr>
          <w:iCs/>
        </w:rPr>
        <w:t xml:space="preserve">Trait acronyms are as defined in Fig. 2. </w:t>
      </w:r>
      <w:r w:rsidR="001A23CA">
        <w:t xml:space="preserve">Model coefficients and 95% confidence interval ranges have been transformed to percent change to mimic figures. </w:t>
      </w:r>
      <w:r>
        <w:rPr>
          <w:iCs/>
        </w:rPr>
        <w:t xml:space="preserve">Rows where </w:t>
      </w:r>
      <w:r>
        <w:rPr>
          <w:i/>
        </w:rPr>
        <w:t>p</w:t>
      </w:r>
      <w:r>
        <w:rPr>
          <w:iCs/>
        </w:rPr>
        <w:t xml:space="preserve">-values are less than 0.05 are noted in bold font and </w:t>
      </w:r>
      <w:r>
        <w:rPr>
          <w:i/>
        </w:rPr>
        <w:t>p</w:t>
      </w:r>
      <w:r>
        <w:rPr>
          <w:iCs/>
        </w:rPr>
        <w:t>-values where 0.5&lt;</w:t>
      </w:r>
      <w:r>
        <w:rPr>
          <w:i/>
        </w:rPr>
        <w:t>p</w:t>
      </w:r>
      <w:r>
        <w:rPr>
          <w:iCs/>
        </w:rPr>
        <w:t xml:space="preserve">&lt;0.1 are noted in italic font. Key: </w:t>
      </w:r>
      <w:proofErr w:type="spellStart"/>
      <w:r>
        <w:rPr>
          <w:i/>
        </w:rPr>
        <w:t>T</w:t>
      </w:r>
      <w:r>
        <w:rPr>
          <w:iCs/>
          <w:vertAlign w:val="subscript"/>
        </w:rPr>
        <w:t>g</w:t>
      </w:r>
      <w:proofErr w:type="spellEnd"/>
      <w:r>
        <w:rPr>
          <w:iCs/>
        </w:rPr>
        <w:t>=mean growing season temperature (</w:t>
      </w:r>
      <w:r>
        <w:rPr>
          <w:iCs/>
        </w:rPr>
        <w:sym w:font="Symbol" w:char="F0B0"/>
      </w:r>
      <w:r>
        <w:rPr>
          <w:iCs/>
        </w:rPr>
        <w:t xml:space="preserve">C), </w:t>
      </w:r>
      <w:proofErr w:type="spellStart"/>
      <w:r>
        <w:rPr>
          <w:i/>
        </w:rPr>
        <w:t>AI</w:t>
      </w:r>
      <w:r>
        <w:rPr>
          <w:iCs/>
          <w:vertAlign w:val="subscript"/>
        </w:rPr>
        <w:t>g</w:t>
      </w:r>
      <w:proofErr w:type="spellEnd"/>
      <w:r>
        <w:rPr>
          <w:iCs/>
        </w:rPr>
        <w:t xml:space="preserve">=mean growing season aridity index (unitless), </w:t>
      </w:r>
      <w:proofErr w:type="spellStart"/>
      <w:r>
        <w:rPr>
          <w:i/>
        </w:rPr>
        <w:t>PAR</w:t>
      </w:r>
      <w:r>
        <w:rPr>
          <w:iCs/>
          <w:vertAlign w:val="subscript"/>
        </w:rPr>
        <w:t>g</w:t>
      </w:r>
      <w:proofErr w:type="spellEnd"/>
      <w:r>
        <w:rPr>
          <w:iCs/>
        </w:rPr>
        <w:t>=mean growing season photosynthetically active radiation (</w:t>
      </w:r>
      <w:r>
        <w:rPr>
          <w:iCs/>
          <w:lang w:val="el-GR"/>
        </w:rPr>
        <w:t>μ</w:t>
      </w:r>
      <w:r>
        <w:rPr>
          <w:iCs/>
        </w:rPr>
        <w:t>mol m</w:t>
      </w:r>
      <w:r>
        <w:rPr>
          <w:iCs/>
          <w:vertAlign w:val="superscript"/>
        </w:rPr>
        <w:t>-2</w:t>
      </w:r>
      <w:r>
        <w:rPr>
          <w:iCs/>
        </w:rPr>
        <w:t xml:space="preserve"> s</w:t>
      </w:r>
      <w:r>
        <w:rPr>
          <w:iCs/>
          <w:vertAlign w:val="superscript"/>
        </w:rPr>
        <w:t>-1</w:t>
      </w:r>
      <w:r>
        <w:rPr>
          <w:iCs/>
        </w:rPr>
        <w:t>)</w:t>
      </w:r>
    </w:p>
    <w:p w14:paraId="731E5ECB" w14:textId="6F277459" w:rsidR="00AF37C5" w:rsidRDefault="00AF37C5">
      <w:pPr>
        <w:rPr>
          <w:iCs/>
        </w:rPr>
      </w:pPr>
      <w:r>
        <w:rPr>
          <w:iCs/>
        </w:rPr>
        <w:br w:type="page"/>
      </w:r>
    </w:p>
    <w:p w14:paraId="57167538" w14:textId="24F352CA" w:rsidR="00AF37C5" w:rsidRDefault="00AF37C5" w:rsidP="00AF37C5">
      <w:pPr>
        <w:rPr>
          <w:iCs/>
        </w:rPr>
      </w:pPr>
      <w:r w:rsidRPr="00202B59">
        <w:rPr>
          <w:b/>
        </w:rPr>
        <w:lastRenderedPageBreak/>
        <w:t>Table S</w:t>
      </w:r>
      <w:r w:rsidR="00355693">
        <w:rPr>
          <w:b/>
        </w:rPr>
        <w:t>7</w:t>
      </w:r>
      <w:r w:rsidRPr="00202B59">
        <w:t xml:space="preserve"> </w:t>
      </w:r>
      <w:r>
        <w:t>Climate moderator effects on</w:t>
      </w:r>
      <w:r w:rsidR="00355693">
        <w:t xml:space="preserve"> whole-plant</w:t>
      </w:r>
      <w:r>
        <w:rPr>
          <w:iCs/>
        </w:rPr>
        <w:t xml:space="preserve"> responses to nutrient addition</w:t>
      </w:r>
    </w:p>
    <w:tbl>
      <w:tblPr>
        <w:tblW w:w="8820" w:type="dxa"/>
        <w:tblLook w:val="04A0" w:firstRow="1" w:lastRow="0" w:firstColumn="1" w:lastColumn="0" w:noHBand="0" w:noVBand="1"/>
      </w:tblPr>
      <w:tblGrid>
        <w:gridCol w:w="1294"/>
        <w:gridCol w:w="1178"/>
        <w:gridCol w:w="1227"/>
        <w:gridCol w:w="1593"/>
        <w:gridCol w:w="972"/>
        <w:gridCol w:w="939"/>
        <w:gridCol w:w="1617"/>
      </w:tblGrid>
      <w:tr w:rsidR="00355693" w:rsidRPr="00452304" w14:paraId="5281610C" w14:textId="77777777" w:rsidTr="00A80236">
        <w:trPr>
          <w:trHeight w:val="320"/>
        </w:trPr>
        <w:tc>
          <w:tcPr>
            <w:tcW w:w="1294" w:type="dxa"/>
            <w:tcBorders>
              <w:top w:val="single" w:sz="4" w:space="0" w:color="auto"/>
              <w:left w:val="nil"/>
              <w:bottom w:val="single" w:sz="4" w:space="0" w:color="auto"/>
              <w:right w:val="nil"/>
            </w:tcBorders>
            <w:vAlign w:val="center"/>
          </w:tcPr>
          <w:p w14:paraId="791F350B" w14:textId="77777777" w:rsidR="00355693" w:rsidRPr="008825E3" w:rsidRDefault="00355693"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3D42EFE4" w14:textId="77777777" w:rsidR="00355693" w:rsidRPr="00452304" w:rsidRDefault="00355693"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4BF9D246" w14:textId="77777777" w:rsidR="00355693" w:rsidRPr="00452304" w:rsidRDefault="00355693" w:rsidP="00BF3DEC">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1593" w:type="dxa"/>
            <w:tcBorders>
              <w:top w:val="single" w:sz="4" w:space="0" w:color="auto"/>
              <w:left w:val="nil"/>
              <w:bottom w:val="single" w:sz="4" w:space="0" w:color="auto"/>
              <w:right w:val="nil"/>
            </w:tcBorders>
            <w:noWrap/>
            <w:vAlign w:val="center"/>
            <w:hideMark/>
          </w:tcPr>
          <w:p w14:paraId="4A04961B" w14:textId="77777777" w:rsidR="00355693" w:rsidRPr="00452304" w:rsidRDefault="00355693" w:rsidP="00BF3DEC">
            <w:pPr>
              <w:spacing w:after="0" w:line="240" w:lineRule="auto"/>
              <w:rPr>
                <w:b/>
                <w:bCs/>
                <w:sz w:val="20"/>
                <w:szCs w:val="20"/>
              </w:rPr>
            </w:pPr>
            <w:r w:rsidRPr="008825E3">
              <w:rPr>
                <w:b/>
                <w:bCs/>
                <w:sz w:val="20"/>
                <w:szCs w:val="20"/>
              </w:rPr>
              <w:t>Coef</w:t>
            </w:r>
            <w:r>
              <w:rPr>
                <w:b/>
                <w:bCs/>
                <w:sz w:val="20"/>
                <w:szCs w:val="20"/>
              </w:rPr>
              <w:t>.</w:t>
            </w:r>
            <w:r w:rsidRPr="008825E3">
              <w:rPr>
                <w:b/>
                <w:bCs/>
                <w:sz w:val="20"/>
                <w:szCs w:val="20"/>
              </w:rPr>
              <w:t xml:space="preserve"> (±SE)</w:t>
            </w:r>
          </w:p>
        </w:tc>
        <w:tc>
          <w:tcPr>
            <w:tcW w:w="972" w:type="dxa"/>
            <w:tcBorders>
              <w:top w:val="single" w:sz="4" w:space="0" w:color="auto"/>
              <w:left w:val="nil"/>
              <w:bottom w:val="single" w:sz="4" w:space="0" w:color="auto"/>
              <w:right w:val="nil"/>
            </w:tcBorders>
            <w:noWrap/>
            <w:vAlign w:val="center"/>
            <w:hideMark/>
          </w:tcPr>
          <w:p w14:paraId="2CFF5902" w14:textId="77777777" w:rsidR="00355693" w:rsidRPr="00452304" w:rsidRDefault="00355693" w:rsidP="00BF3DEC">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5B067B57" w14:textId="77777777" w:rsidR="00355693" w:rsidRPr="00452304" w:rsidRDefault="00355693" w:rsidP="00BF3DEC">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617" w:type="dxa"/>
            <w:tcBorders>
              <w:top w:val="single" w:sz="4" w:space="0" w:color="auto"/>
              <w:left w:val="nil"/>
              <w:bottom w:val="single" w:sz="4" w:space="0" w:color="auto"/>
              <w:right w:val="nil"/>
            </w:tcBorders>
            <w:noWrap/>
            <w:vAlign w:val="center"/>
            <w:hideMark/>
          </w:tcPr>
          <w:p w14:paraId="22B69BBD" w14:textId="77777777" w:rsidR="00355693" w:rsidRPr="00452304" w:rsidRDefault="00355693" w:rsidP="00BF3DEC">
            <w:pPr>
              <w:spacing w:after="0" w:line="240" w:lineRule="auto"/>
              <w:rPr>
                <w:b/>
                <w:bCs/>
                <w:sz w:val="20"/>
                <w:szCs w:val="20"/>
              </w:rPr>
            </w:pPr>
            <w:r w:rsidRPr="008825E3">
              <w:rPr>
                <w:b/>
                <w:bCs/>
                <w:sz w:val="20"/>
                <w:szCs w:val="20"/>
              </w:rPr>
              <w:t>95% CI</w:t>
            </w:r>
          </w:p>
        </w:tc>
      </w:tr>
      <w:tr w:rsidR="00A80236" w:rsidRPr="00452304" w14:paraId="6914914A" w14:textId="77777777" w:rsidTr="00A80236">
        <w:trPr>
          <w:trHeight w:val="320"/>
        </w:trPr>
        <w:tc>
          <w:tcPr>
            <w:tcW w:w="1294" w:type="dxa"/>
            <w:vMerge w:val="restart"/>
            <w:tcBorders>
              <w:top w:val="single" w:sz="4" w:space="0" w:color="auto"/>
              <w:left w:val="nil"/>
              <w:right w:val="nil"/>
            </w:tcBorders>
            <w:vAlign w:val="center"/>
          </w:tcPr>
          <w:p w14:paraId="4874FCD3" w14:textId="3BE38A56" w:rsidR="00A80236" w:rsidRPr="008825E3" w:rsidRDefault="00A80236" w:rsidP="00A80236">
            <w:pPr>
              <w:spacing w:after="0" w:line="240" w:lineRule="auto"/>
              <w:rPr>
                <w:rFonts w:eastAsia="Times New Roman"/>
                <w:iCs/>
                <w:color w:val="000000"/>
                <w:kern w:val="0"/>
                <w:sz w:val="20"/>
                <w:szCs w:val="20"/>
                <w14:ligatures w14:val="none"/>
              </w:rPr>
            </w:pPr>
            <w:r>
              <w:rPr>
                <w:rFonts w:eastAsia="Times New Roman"/>
                <w:i/>
                <w:iCs/>
                <w:color w:val="000000"/>
                <w:kern w:val="0"/>
                <w:sz w:val="20"/>
                <w:szCs w:val="20"/>
                <w14:ligatures w14:val="none"/>
              </w:rPr>
              <w:t>Total biomass</w:t>
            </w:r>
          </w:p>
        </w:tc>
        <w:tc>
          <w:tcPr>
            <w:tcW w:w="1178" w:type="dxa"/>
            <w:vMerge w:val="restart"/>
            <w:tcBorders>
              <w:top w:val="single" w:sz="4" w:space="0" w:color="auto"/>
              <w:left w:val="nil"/>
              <w:right w:val="nil"/>
            </w:tcBorders>
            <w:noWrap/>
            <w:vAlign w:val="center"/>
            <w:hideMark/>
          </w:tcPr>
          <w:p w14:paraId="4B1400F8" w14:textId="77777777" w:rsidR="00A80236" w:rsidRPr="00452304" w:rsidRDefault="00A80236" w:rsidP="00A80236">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59760D86" w14:textId="77777777" w:rsidR="00A80236" w:rsidRPr="00452304" w:rsidRDefault="00A80236" w:rsidP="00A80236">
            <w:pPr>
              <w:spacing w:after="0" w:line="240" w:lineRule="auto"/>
              <w:rPr>
                <w:rFonts w:eastAsia="Times New Roman"/>
                <w:i/>
                <w:iCs/>
                <w:color w:val="000000"/>
                <w:kern w:val="0"/>
                <w:sz w:val="20"/>
                <w:szCs w:val="20"/>
                <w14:ligatures w14:val="none"/>
              </w:rPr>
            </w:pPr>
            <w:proofErr w:type="spellStart"/>
            <w:r w:rsidRPr="00EC1D99">
              <w:rPr>
                <w:rFonts w:eastAsia="Times New Roman"/>
                <w:i/>
                <w:iCs/>
                <w:color w:val="000000"/>
                <w:kern w:val="0"/>
                <w:sz w:val="20"/>
                <w:szCs w:val="20"/>
                <w14:ligatures w14:val="none"/>
              </w:rPr>
              <w:t>T</w:t>
            </w:r>
            <w:r w:rsidRPr="00EC1D99">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20F1A8F2" w14:textId="5EE59789" w:rsidR="00A80236" w:rsidRPr="006602D9" w:rsidRDefault="00A80236" w:rsidP="00A80236">
            <w:pPr>
              <w:spacing w:after="0" w:line="240" w:lineRule="auto"/>
              <w:jc w:val="right"/>
              <w:rPr>
                <w:rFonts w:eastAsia="Times New Roman"/>
                <w:i/>
                <w:iCs/>
                <w:color w:val="000000"/>
                <w:kern w:val="0"/>
                <w:sz w:val="20"/>
                <w:szCs w:val="20"/>
                <w:highlight w:val="yellow"/>
                <w14:ligatures w14:val="none"/>
              </w:rPr>
            </w:pPr>
            <w:r w:rsidRPr="006602D9">
              <w:rPr>
                <w:i/>
                <w:iCs/>
                <w:color w:val="000000"/>
                <w:sz w:val="20"/>
                <w:szCs w:val="20"/>
              </w:rPr>
              <w:t>-2.635±1.390</w:t>
            </w:r>
          </w:p>
        </w:tc>
        <w:tc>
          <w:tcPr>
            <w:tcW w:w="972" w:type="dxa"/>
            <w:tcBorders>
              <w:top w:val="single" w:sz="4" w:space="0" w:color="auto"/>
              <w:left w:val="nil"/>
              <w:bottom w:val="nil"/>
              <w:right w:val="nil"/>
            </w:tcBorders>
            <w:noWrap/>
            <w:vAlign w:val="bottom"/>
          </w:tcPr>
          <w:p w14:paraId="71EB0887" w14:textId="1D8092CB" w:rsidR="00A80236" w:rsidRPr="006602D9" w:rsidRDefault="00A80236" w:rsidP="00A80236">
            <w:pPr>
              <w:spacing w:after="0" w:line="240" w:lineRule="auto"/>
              <w:jc w:val="right"/>
              <w:rPr>
                <w:rFonts w:eastAsia="Times New Roman"/>
                <w:i/>
                <w:iCs/>
                <w:color w:val="000000"/>
                <w:kern w:val="0"/>
                <w:sz w:val="20"/>
                <w:szCs w:val="20"/>
                <w:highlight w:val="yellow"/>
                <w14:ligatures w14:val="none"/>
              </w:rPr>
            </w:pPr>
            <w:r w:rsidRPr="006602D9">
              <w:rPr>
                <w:i/>
                <w:iCs/>
                <w:color w:val="000000"/>
                <w:sz w:val="20"/>
                <w:szCs w:val="20"/>
              </w:rPr>
              <w:t>-1.927</w:t>
            </w:r>
          </w:p>
        </w:tc>
        <w:tc>
          <w:tcPr>
            <w:tcW w:w="939" w:type="dxa"/>
            <w:tcBorders>
              <w:top w:val="single" w:sz="4" w:space="0" w:color="auto"/>
              <w:left w:val="nil"/>
              <w:bottom w:val="nil"/>
              <w:right w:val="nil"/>
            </w:tcBorders>
            <w:noWrap/>
            <w:vAlign w:val="bottom"/>
          </w:tcPr>
          <w:p w14:paraId="60B32138" w14:textId="65A8AF45" w:rsidR="00A80236" w:rsidRPr="006602D9" w:rsidRDefault="00A80236" w:rsidP="00A80236">
            <w:pPr>
              <w:spacing w:after="0" w:line="240" w:lineRule="auto"/>
              <w:jc w:val="right"/>
              <w:rPr>
                <w:rFonts w:eastAsia="Times New Roman"/>
                <w:i/>
                <w:iCs/>
                <w:color w:val="000000"/>
                <w:kern w:val="0"/>
                <w:sz w:val="20"/>
                <w:szCs w:val="20"/>
                <w:highlight w:val="yellow"/>
                <w14:ligatures w14:val="none"/>
              </w:rPr>
            </w:pPr>
            <w:r w:rsidRPr="006602D9">
              <w:rPr>
                <w:i/>
                <w:iCs/>
                <w:color w:val="000000"/>
                <w:sz w:val="20"/>
                <w:szCs w:val="20"/>
              </w:rPr>
              <w:t>0.054</w:t>
            </w:r>
          </w:p>
        </w:tc>
        <w:tc>
          <w:tcPr>
            <w:tcW w:w="1617" w:type="dxa"/>
            <w:tcBorders>
              <w:top w:val="single" w:sz="4" w:space="0" w:color="auto"/>
              <w:left w:val="nil"/>
              <w:bottom w:val="nil"/>
              <w:right w:val="nil"/>
            </w:tcBorders>
            <w:noWrap/>
            <w:vAlign w:val="bottom"/>
          </w:tcPr>
          <w:p w14:paraId="530E5D0D" w14:textId="28F34082" w:rsidR="00A80236" w:rsidRPr="006602D9" w:rsidRDefault="00A80236" w:rsidP="00A80236">
            <w:pPr>
              <w:spacing w:after="0" w:line="240" w:lineRule="auto"/>
              <w:jc w:val="right"/>
              <w:rPr>
                <w:rFonts w:eastAsia="Times New Roman"/>
                <w:i/>
                <w:iCs/>
                <w:color w:val="000000"/>
                <w:kern w:val="0"/>
                <w:sz w:val="20"/>
                <w:szCs w:val="20"/>
                <w:highlight w:val="yellow"/>
                <w14:ligatures w14:val="none"/>
              </w:rPr>
            </w:pPr>
            <w:r w:rsidRPr="006602D9">
              <w:rPr>
                <w:i/>
                <w:iCs/>
                <w:color w:val="000000"/>
                <w:sz w:val="20"/>
                <w:szCs w:val="20"/>
              </w:rPr>
              <w:t>[-5.238, 0.050]</w:t>
            </w:r>
          </w:p>
        </w:tc>
      </w:tr>
      <w:tr w:rsidR="00A80236" w:rsidRPr="00452304" w14:paraId="648F2982" w14:textId="77777777" w:rsidTr="00A80236">
        <w:trPr>
          <w:trHeight w:val="320"/>
        </w:trPr>
        <w:tc>
          <w:tcPr>
            <w:tcW w:w="1294" w:type="dxa"/>
            <w:vMerge/>
            <w:tcBorders>
              <w:left w:val="nil"/>
              <w:right w:val="nil"/>
            </w:tcBorders>
          </w:tcPr>
          <w:p w14:paraId="5516AE5B"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hideMark/>
          </w:tcPr>
          <w:p w14:paraId="622BB72B" w14:textId="77777777" w:rsidR="00A80236" w:rsidRPr="00452304"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hideMark/>
          </w:tcPr>
          <w:p w14:paraId="421ECBDB" w14:textId="77777777" w:rsidR="00A80236" w:rsidRPr="00452304" w:rsidRDefault="00A80236" w:rsidP="00A80236">
            <w:pPr>
              <w:spacing w:after="0" w:line="240" w:lineRule="auto"/>
              <w:rPr>
                <w:rFonts w:eastAsia="Times New Roman"/>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327F653B" w14:textId="54D56E1A"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1.187±9.68</w:t>
            </w:r>
          </w:p>
        </w:tc>
        <w:tc>
          <w:tcPr>
            <w:tcW w:w="972" w:type="dxa"/>
            <w:tcBorders>
              <w:top w:val="nil"/>
              <w:left w:val="nil"/>
              <w:bottom w:val="nil"/>
              <w:right w:val="nil"/>
            </w:tcBorders>
            <w:noWrap/>
            <w:vAlign w:val="bottom"/>
          </w:tcPr>
          <w:p w14:paraId="5C5B45A6" w14:textId="2B0E91AD"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0.128</w:t>
            </w:r>
          </w:p>
        </w:tc>
        <w:tc>
          <w:tcPr>
            <w:tcW w:w="939" w:type="dxa"/>
            <w:tcBorders>
              <w:top w:val="nil"/>
              <w:left w:val="nil"/>
              <w:bottom w:val="nil"/>
              <w:right w:val="nil"/>
            </w:tcBorders>
            <w:noWrap/>
            <w:vAlign w:val="bottom"/>
          </w:tcPr>
          <w:p w14:paraId="348BDA81" w14:textId="783AB750"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0.899</w:t>
            </w:r>
          </w:p>
        </w:tc>
        <w:tc>
          <w:tcPr>
            <w:tcW w:w="1617" w:type="dxa"/>
            <w:tcBorders>
              <w:top w:val="nil"/>
              <w:left w:val="nil"/>
              <w:bottom w:val="nil"/>
              <w:right w:val="nil"/>
            </w:tcBorders>
            <w:noWrap/>
            <w:vAlign w:val="bottom"/>
          </w:tcPr>
          <w:p w14:paraId="744A6199" w14:textId="0B2E9E57"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[-15.574, 21.276]</w:t>
            </w:r>
          </w:p>
        </w:tc>
      </w:tr>
      <w:tr w:rsidR="00A80236" w:rsidRPr="00452304" w14:paraId="05683086" w14:textId="77777777" w:rsidTr="00A80236">
        <w:trPr>
          <w:trHeight w:val="320"/>
        </w:trPr>
        <w:tc>
          <w:tcPr>
            <w:tcW w:w="1294" w:type="dxa"/>
            <w:vMerge/>
            <w:tcBorders>
              <w:left w:val="nil"/>
              <w:right w:val="nil"/>
            </w:tcBorders>
          </w:tcPr>
          <w:p w14:paraId="633854E3"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031D818E" w14:textId="77777777" w:rsidR="00A80236" w:rsidRPr="00452304"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1DFFC615" w14:textId="77777777" w:rsidR="00A80236" w:rsidRPr="00452304" w:rsidRDefault="00A80236" w:rsidP="00A80236">
            <w:pPr>
              <w:spacing w:after="0" w:line="240" w:lineRule="auto"/>
              <w:rPr>
                <w:rFonts w:eastAsia="Times New Roman"/>
                <w:iCs/>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785ECE86" w14:textId="1702BBA6"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0.05</w:t>
            </w:r>
            <w:r>
              <w:rPr>
                <w:color w:val="000000"/>
                <w:sz w:val="20"/>
                <w:szCs w:val="20"/>
              </w:rPr>
              <w:t>0</w:t>
            </w:r>
            <w:r w:rsidRPr="00A80236">
              <w:rPr>
                <w:color w:val="000000"/>
                <w:sz w:val="20"/>
                <w:szCs w:val="20"/>
              </w:rPr>
              <w:t>±0.05</w:t>
            </w:r>
            <w:r>
              <w:rPr>
                <w:color w:val="000000"/>
                <w:sz w:val="20"/>
                <w:szCs w:val="20"/>
              </w:rPr>
              <w:t>0</w:t>
            </w:r>
          </w:p>
        </w:tc>
        <w:tc>
          <w:tcPr>
            <w:tcW w:w="972" w:type="dxa"/>
            <w:tcBorders>
              <w:top w:val="nil"/>
              <w:left w:val="nil"/>
              <w:bottom w:val="single" w:sz="4" w:space="0" w:color="auto"/>
              <w:right w:val="nil"/>
            </w:tcBorders>
            <w:noWrap/>
            <w:vAlign w:val="bottom"/>
          </w:tcPr>
          <w:p w14:paraId="6825D2AE" w14:textId="574F35D7"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0.989</w:t>
            </w:r>
          </w:p>
        </w:tc>
        <w:tc>
          <w:tcPr>
            <w:tcW w:w="939" w:type="dxa"/>
            <w:tcBorders>
              <w:top w:val="nil"/>
              <w:left w:val="nil"/>
              <w:bottom w:val="single" w:sz="4" w:space="0" w:color="auto"/>
              <w:right w:val="nil"/>
            </w:tcBorders>
            <w:noWrap/>
            <w:vAlign w:val="bottom"/>
          </w:tcPr>
          <w:p w14:paraId="0E103B8D" w14:textId="41C32D68"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0.323</w:t>
            </w:r>
          </w:p>
        </w:tc>
        <w:tc>
          <w:tcPr>
            <w:tcW w:w="1617" w:type="dxa"/>
            <w:tcBorders>
              <w:top w:val="nil"/>
              <w:left w:val="nil"/>
              <w:bottom w:val="single" w:sz="4" w:space="0" w:color="auto"/>
              <w:right w:val="nil"/>
            </w:tcBorders>
            <w:noWrap/>
            <w:vAlign w:val="bottom"/>
          </w:tcPr>
          <w:p w14:paraId="1FC937A3" w14:textId="3B3FD1AC"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[-0.05</w:t>
            </w:r>
            <w:r>
              <w:rPr>
                <w:color w:val="000000"/>
                <w:sz w:val="20"/>
                <w:szCs w:val="20"/>
              </w:rPr>
              <w:t>0</w:t>
            </w:r>
            <w:r w:rsidRPr="00A80236">
              <w:rPr>
                <w:color w:val="000000"/>
                <w:sz w:val="20"/>
                <w:szCs w:val="20"/>
              </w:rPr>
              <w:t>, 0.14</w:t>
            </w:r>
            <w:r>
              <w:rPr>
                <w:color w:val="000000"/>
                <w:sz w:val="20"/>
                <w:szCs w:val="20"/>
              </w:rPr>
              <w:t>0</w:t>
            </w:r>
            <w:r w:rsidRPr="00A80236">
              <w:rPr>
                <w:color w:val="000000"/>
                <w:sz w:val="20"/>
                <w:szCs w:val="20"/>
              </w:rPr>
              <w:t>]</w:t>
            </w:r>
          </w:p>
        </w:tc>
      </w:tr>
      <w:tr w:rsidR="00A80236" w:rsidRPr="00452304" w14:paraId="339862BE" w14:textId="77777777" w:rsidTr="00A80236">
        <w:trPr>
          <w:trHeight w:val="320"/>
        </w:trPr>
        <w:tc>
          <w:tcPr>
            <w:tcW w:w="1294" w:type="dxa"/>
            <w:vMerge/>
            <w:tcBorders>
              <w:left w:val="nil"/>
              <w:right w:val="nil"/>
            </w:tcBorders>
          </w:tcPr>
          <w:p w14:paraId="091A4306"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hideMark/>
          </w:tcPr>
          <w:p w14:paraId="4F89F573" w14:textId="77777777" w:rsidR="00A80236" w:rsidRPr="00452304" w:rsidRDefault="00A80236" w:rsidP="00A80236">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hideMark/>
          </w:tcPr>
          <w:p w14:paraId="7A9A266C" w14:textId="77777777" w:rsidR="00A80236" w:rsidRPr="00452304" w:rsidRDefault="00A80236" w:rsidP="00A80236">
            <w:pPr>
              <w:spacing w:after="0" w:line="240" w:lineRule="auto"/>
              <w:rPr>
                <w:rFonts w:eastAsia="Times New Roman"/>
                <w:i/>
                <w:iCs/>
                <w:color w:val="000000"/>
                <w:kern w:val="0"/>
                <w:sz w:val="20"/>
                <w:szCs w:val="20"/>
                <w14:ligatures w14:val="none"/>
              </w:rPr>
            </w:pPr>
            <w:proofErr w:type="spellStart"/>
            <w:r w:rsidRPr="00EC1D99">
              <w:rPr>
                <w:rFonts w:eastAsia="Times New Roman"/>
                <w:i/>
                <w:iCs/>
                <w:color w:val="000000"/>
                <w:kern w:val="0"/>
                <w:sz w:val="20"/>
                <w:szCs w:val="20"/>
                <w14:ligatures w14:val="none"/>
              </w:rPr>
              <w:t>T</w:t>
            </w:r>
            <w:r w:rsidRPr="00EC1D99">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06C101C9" w14:textId="7C3078FF" w:rsidR="00A80236" w:rsidRPr="006602D9" w:rsidRDefault="00A80236" w:rsidP="00A80236">
            <w:pPr>
              <w:spacing w:after="0" w:line="240" w:lineRule="auto"/>
              <w:jc w:val="right"/>
              <w:rPr>
                <w:rFonts w:eastAsia="Times New Roman"/>
                <w:i/>
                <w:iCs/>
                <w:color w:val="000000"/>
                <w:kern w:val="0"/>
                <w:sz w:val="20"/>
                <w:szCs w:val="20"/>
                <w:highlight w:val="yellow"/>
                <w14:ligatures w14:val="none"/>
              </w:rPr>
            </w:pPr>
            <w:r w:rsidRPr="006602D9">
              <w:rPr>
                <w:i/>
                <w:iCs/>
                <w:color w:val="000000"/>
                <w:sz w:val="20"/>
                <w:szCs w:val="20"/>
              </w:rPr>
              <w:t>-2.156±1.268</w:t>
            </w:r>
          </w:p>
        </w:tc>
        <w:tc>
          <w:tcPr>
            <w:tcW w:w="972" w:type="dxa"/>
            <w:tcBorders>
              <w:top w:val="single" w:sz="4" w:space="0" w:color="auto"/>
              <w:left w:val="nil"/>
              <w:bottom w:val="nil"/>
              <w:right w:val="nil"/>
            </w:tcBorders>
            <w:noWrap/>
            <w:vAlign w:val="bottom"/>
          </w:tcPr>
          <w:p w14:paraId="356E3BEF" w14:textId="6988DED1" w:rsidR="00A80236" w:rsidRPr="006602D9" w:rsidRDefault="00A80236" w:rsidP="00A80236">
            <w:pPr>
              <w:spacing w:after="0" w:line="240" w:lineRule="auto"/>
              <w:jc w:val="right"/>
              <w:rPr>
                <w:rFonts w:eastAsia="Times New Roman"/>
                <w:i/>
                <w:iCs/>
                <w:color w:val="000000"/>
                <w:kern w:val="0"/>
                <w:sz w:val="20"/>
                <w:szCs w:val="20"/>
                <w:highlight w:val="yellow"/>
                <w14:ligatures w14:val="none"/>
              </w:rPr>
            </w:pPr>
            <w:r w:rsidRPr="006602D9">
              <w:rPr>
                <w:i/>
                <w:iCs/>
                <w:color w:val="000000"/>
                <w:sz w:val="20"/>
                <w:szCs w:val="20"/>
              </w:rPr>
              <w:t>-1.731</w:t>
            </w:r>
          </w:p>
        </w:tc>
        <w:tc>
          <w:tcPr>
            <w:tcW w:w="939" w:type="dxa"/>
            <w:tcBorders>
              <w:top w:val="single" w:sz="4" w:space="0" w:color="auto"/>
              <w:left w:val="nil"/>
              <w:bottom w:val="nil"/>
              <w:right w:val="nil"/>
            </w:tcBorders>
            <w:noWrap/>
            <w:vAlign w:val="bottom"/>
          </w:tcPr>
          <w:p w14:paraId="60FE1757" w14:textId="14BD2951" w:rsidR="00A80236" w:rsidRPr="006602D9" w:rsidRDefault="00A80236" w:rsidP="00A80236">
            <w:pPr>
              <w:spacing w:after="0" w:line="240" w:lineRule="auto"/>
              <w:jc w:val="right"/>
              <w:rPr>
                <w:rFonts w:eastAsia="Times New Roman"/>
                <w:i/>
                <w:iCs/>
                <w:color w:val="000000"/>
                <w:kern w:val="0"/>
                <w:sz w:val="20"/>
                <w:szCs w:val="20"/>
                <w:highlight w:val="yellow"/>
                <w14:ligatures w14:val="none"/>
              </w:rPr>
            </w:pPr>
            <w:r w:rsidRPr="006602D9">
              <w:rPr>
                <w:i/>
                <w:iCs/>
                <w:color w:val="000000"/>
                <w:sz w:val="20"/>
                <w:szCs w:val="20"/>
              </w:rPr>
              <w:t>0.084</w:t>
            </w:r>
          </w:p>
        </w:tc>
        <w:tc>
          <w:tcPr>
            <w:tcW w:w="1617" w:type="dxa"/>
            <w:tcBorders>
              <w:top w:val="single" w:sz="4" w:space="0" w:color="auto"/>
              <w:left w:val="nil"/>
              <w:bottom w:val="nil"/>
              <w:right w:val="nil"/>
            </w:tcBorders>
            <w:noWrap/>
            <w:vAlign w:val="bottom"/>
          </w:tcPr>
          <w:p w14:paraId="0ED24471" w14:textId="709B6A94" w:rsidR="00A80236" w:rsidRPr="006602D9" w:rsidRDefault="00A80236" w:rsidP="00A80236">
            <w:pPr>
              <w:spacing w:after="0" w:line="240" w:lineRule="auto"/>
              <w:jc w:val="right"/>
              <w:rPr>
                <w:rFonts w:eastAsia="Times New Roman"/>
                <w:i/>
                <w:iCs/>
                <w:color w:val="000000"/>
                <w:kern w:val="0"/>
                <w:sz w:val="20"/>
                <w:szCs w:val="20"/>
                <w:highlight w:val="yellow"/>
                <w14:ligatures w14:val="none"/>
              </w:rPr>
            </w:pPr>
            <w:r w:rsidRPr="006602D9">
              <w:rPr>
                <w:i/>
                <w:iCs/>
                <w:color w:val="000000"/>
                <w:sz w:val="20"/>
                <w:szCs w:val="20"/>
              </w:rPr>
              <w:t>[-4.544, 0.290]</w:t>
            </w:r>
          </w:p>
        </w:tc>
      </w:tr>
      <w:tr w:rsidR="00A80236" w:rsidRPr="00452304" w14:paraId="4936D243" w14:textId="77777777" w:rsidTr="00A80236">
        <w:trPr>
          <w:trHeight w:val="320"/>
        </w:trPr>
        <w:tc>
          <w:tcPr>
            <w:tcW w:w="1294" w:type="dxa"/>
            <w:vMerge/>
            <w:tcBorders>
              <w:left w:val="nil"/>
              <w:right w:val="nil"/>
            </w:tcBorders>
          </w:tcPr>
          <w:p w14:paraId="7810D5A2"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hideMark/>
          </w:tcPr>
          <w:p w14:paraId="38E0940C" w14:textId="77777777" w:rsidR="00A80236" w:rsidRPr="00452304"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hideMark/>
          </w:tcPr>
          <w:p w14:paraId="1A9C754A" w14:textId="77777777" w:rsidR="00A80236" w:rsidRPr="00452304" w:rsidRDefault="00A80236" w:rsidP="00A80236">
            <w:pPr>
              <w:spacing w:after="0" w:line="240" w:lineRule="auto"/>
              <w:rPr>
                <w:rFonts w:eastAsia="Times New Roman"/>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7F4C650E" w14:textId="293C44AB"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-4.849±8.535</w:t>
            </w:r>
          </w:p>
        </w:tc>
        <w:tc>
          <w:tcPr>
            <w:tcW w:w="972" w:type="dxa"/>
            <w:tcBorders>
              <w:top w:val="nil"/>
              <w:left w:val="nil"/>
              <w:bottom w:val="nil"/>
              <w:right w:val="nil"/>
            </w:tcBorders>
            <w:noWrap/>
            <w:vAlign w:val="bottom"/>
          </w:tcPr>
          <w:p w14:paraId="30CDCDBC" w14:textId="48DDA595"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-0.607</w:t>
            </w:r>
          </w:p>
        </w:tc>
        <w:tc>
          <w:tcPr>
            <w:tcW w:w="939" w:type="dxa"/>
            <w:tcBorders>
              <w:top w:val="nil"/>
              <w:left w:val="nil"/>
              <w:bottom w:val="nil"/>
              <w:right w:val="nil"/>
            </w:tcBorders>
            <w:noWrap/>
            <w:vAlign w:val="bottom"/>
          </w:tcPr>
          <w:p w14:paraId="625A84AE" w14:textId="23314542"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0.544</w:t>
            </w:r>
          </w:p>
        </w:tc>
        <w:tc>
          <w:tcPr>
            <w:tcW w:w="1617" w:type="dxa"/>
            <w:tcBorders>
              <w:top w:val="nil"/>
              <w:left w:val="nil"/>
              <w:bottom w:val="nil"/>
              <w:right w:val="nil"/>
            </w:tcBorders>
            <w:noWrap/>
            <w:vAlign w:val="bottom"/>
          </w:tcPr>
          <w:p w14:paraId="45A0E9D1" w14:textId="381E4676"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[-18.958, 11.706]</w:t>
            </w:r>
          </w:p>
        </w:tc>
      </w:tr>
      <w:tr w:rsidR="00A80236" w:rsidRPr="00452304" w14:paraId="710F63A5" w14:textId="77777777" w:rsidTr="00A80236">
        <w:trPr>
          <w:trHeight w:val="320"/>
        </w:trPr>
        <w:tc>
          <w:tcPr>
            <w:tcW w:w="1294" w:type="dxa"/>
            <w:vMerge/>
            <w:tcBorders>
              <w:left w:val="nil"/>
              <w:right w:val="nil"/>
            </w:tcBorders>
          </w:tcPr>
          <w:p w14:paraId="572D3E4A"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7DBB7093" w14:textId="77777777" w:rsidR="00A80236" w:rsidRPr="00452304"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1ADAB37C" w14:textId="77777777" w:rsidR="00A80236" w:rsidRPr="00452304" w:rsidRDefault="00A80236" w:rsidP="00A80236">
            <w:pPr>
              <w:spacing w:after="0" w:line="240" w:lineRule="auto"/>
              <w:rPr>
                <w:rFonts w:eastAsia="Times New Roman"/>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53246E18" w14:textId="6CF26EA2"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0.04</w:t>
            </w:r>
            <w:r>
              <w:rPr>
                <w:color w:val="000000"/>
                <w:sz w:val="20"/>
                <w:szCs w:val="20"/>
              </w:rPr>
              <w:t>0</w:t>
            </w:r>
            <w:r w:rsidRPr="00A80236">
              <w:rPr>
                <w:color w:val="000000"/>
                <w:sz w:val="20"/>
                <w:szCs w:val="20"/>
              </w:rPr>
              <w:t>±0.05</w:t>
            </w:r>
            <w:r>
              <w:rPr>
                <w:color w:val="000000"/>
                <w:sz w:val="20"/>
                <w:szCs w:val="20"/>
              </w:rPr>
              <w:t>0</w:t>
            </w:r>
          </w:p>
        </w:tc>
        <w:tc>
          <w:tcPr>
            <w:tcW w:w="972" w:type="dxa"/>
            <w:tcBorders>
              <w:top w:val="nil"/>
              <w:left w:val="nil"/>
              <w:bottom w:val="single" w:sz="4" w:space="0" w:color="auto"/>
              <w:right w:val="nil"/>
            </w:tcBorders>
            <w:noWrap/>
            <w:vAlign w:val="bottom"/>
          </w:tcPr>
          <w:p w14:paraId="37A06496" w14:textId="56780254"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0.744</w:t>
            </w:r>
          </w:p>
        </w:tc>
        <w:tc>
          <w:tcPr>
            <w:tcW w:w="939" w:type="dxa"/>
            <w:tcBorders>
              <w:top w:val="nil"/>
              <w:left w:val="nil"/>
              <w:bottom w:val="single" w:sz="4" w:space="0" w:color="auto"/>
              <w:right w:val="nil"/>
            </w:tcBorders>
            <w:noWrap/>
            <w:vAlign w:val="bottom"/>
          </w:tcPr>
          <w:p w14:paraId="1F3FAE7A" w14:textId="345E45BC"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0.457</w:t>
            </w:r>
          </w:p>
        </w:tc>
        <w:tc>
          <w:tcPr>
            <w:tcW w:w="1617" w:type="dxa"/>
            <w:tcBorders>
              <w:top w:val="nil"/>
              <w:left w:val="nil"/>
              <w:bottom w:val="single" w:sz="4" w:space="0" w:color="auto"/>
              <w:right w:val="nil"/>
            </w:tcBorders>
            <w:noWrap/>
            <w:vAlign w:val="bottom"/>
          </w:tcPr>
          <w:p w14:paraId="69154BF2" w14:textId="61681285"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[-0.06</w:t>
            </w:r>
            <w:r>
              <w:rPr>
                <w:color w:val="000000"/>
                <w:sz w:val="20"/>
                <w:szCs w:val="20"/>
              </w:rPr>
              <w:t>0</w:t>
            </w:r>
            <w:r w:rsidRPr="00A80236">
              <w:rPr>
                <w:color w:val="000000"/>
                <w:sz w:val="20"/>
                <w:szCs w:val="20"/>
              </w:rPr>
              <w:t>, 0.13</w:t>
            </w:r>
            <w:r>
              <w:rPr>
                <w:color w:val="000000"/>
                <w:sz w:val="20"/>
                <w:szCs w:val="20"/>
              </w:rPr>
              <w:t>0</w:t>
            </w:r>
            <w:r w:rsidRPr="00A80236">
              <w:rPr>
                <w:color w:val="000000"/>
                <w:sz w:val="20"/>
                <w:szCs w:val="20"/>
              </w:rPr>
              <w:t>]</w:t>
            </w:r>
          </w:p>
        </w:tc>
      </w:tr>
      <w:tr w:rsidR="00A80236" w:rsidRPr="00452304" w14:paraId="26D8CA30" w14:textId="77777777" w:rsidTr="00A80236">
        <w:trPr>
          <w:trHeight w:val="320"/>
        </w:trPr>
        <w:tc>
          <w:tcPr>
            <w:tcW w:w="1294" w:type="dxa"/>
            <w:vMerge/>
            <w:tcBorders>
              <w:left w:val="nil"/>
              <w:right w:val="nil"/>
            </w:tcBorders>
          </w:tcPr>
          <w:p w14:paraId="766E9DE2"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hideMark/>
          </w:tcPr>
          <w:p w14:paraId="0CABEB5A" w14:textId="77777777" w:rsidR="00A80236" w:rsidRPr="00452304" w:rsidRDefault="00A80236" w:rsidP="00A80236">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hideMark/>
          </w:tcPr>
          <w:p w14:paraId="3A70A61A" w14:textId="77777777" w:rsidR="00A80236" w:rsidRPr="00452304" w:rsidRDefault="00A80236" w:rsidP="00A80236">
            <w:pPr>
              <w:spacing w:after="0" w:line="240" w:lineRule="auto"/>
              <w:rPr>
                <w:rFonts w:eastAsia="Times New Roman"/>
                <w:i/>
                <w:iCs/>
                <w:color w:val="000000"/>
                <w:kern w:val="0"/>
                <w:sz w:val="20"/>
                <w:szCs w:val="20"/>
                <w14:ligatures w14:val="none"/>
              </w:rPr>
            </w:pPr>
            <w:proofErr w:type="spellStart"/>
            <w:r w:rsidRPr="00EC1D99">
              <w:rPr>
                <w:rFonts w:eastAsia="Times New Roman"/>
                <w:i/>
                <w:iCs/>
                <w:color w:val="000000"/>
                <w:kern w:val="0"/>
                <w:sz w:val="20"/>
                <w:szCs w:val="20"/>
                <w14:ligatures w14:val="none"/>
              </w:rPr>
              <w:t>T</w:t>
            </w:r>
            <w:r w:rsidRPr="00EC1D99">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0EA0F516" w14:textId="648C63E3" w:rsidR="00A80236" w:rsidRPr="006602D9" w:rsidRDefault="00A80236" w:rsidP="00A80236">
            <w:pPr>
              <w:spacing w:after="0" w:line="240" w:lineRule="auto"/>
              <w:jc w:val="right"/>
              <w:rPr>
                <w:rFonts w:eastAsia="Times New Roman"/>
                <w:i/>
                <w:iCs/>
                <w:color w:val="000000"/>
                <w:kern w:val="0"/>
                <w:sz w:val="20"/>
                <w:szCs w:val="20"/>
                <w:highlight w:val="yellow"/>
                <w14:ligatures w14:val="none"/>
              </w:rPr>
            </w:pPr>
            <w:r w:rsidRPr="006602D9">
              <w:rPr>
                <w:i/>
                <w:iCs/>
                <w:color w:val="000000"/>
                <w:sz w:val="20"/>
                <w:szCs w:val="20"/>
              </w:rPr>
              <w:t>-2.790±1.572</w:t>
            </w:r>
          </w:p>
        </w:tc>
        <w:tc>
          <w:tcPr>
            <w:tcW w:w="972" w:type="dxa"/>
            <w:tcBorders>
              <w:top w:val="single" w:sz="4" w:space="0" w:color="auto"/>
              <w:left w:val="nil"/>
              <w:bottom w:val="nil"/>
              <w:right w:val="nil"/>
            </w:tcBorders>
            <w:noWrap/>
            <w:vAlign w:val="bottom"/>
          </w:tcPr>
          <w:p w14:paraId="4FE704F7" w14:textId="4A47AE1A" w:rsidR="00A80236" w:rsidRPr="006602D9" w:rsidRDefault="00A80236" w:rsidP="00A80236">
            <w:pPr>
              <w:spacing w:after="0" w:line="240" w:lineRule="auto"/>
              <w:jc w:val="right"/>
              <w:rPr>
                <w:rFonts w:eastAsia="Times New Roman"/>
                <w:i/>
                <w:iCs/>
                <w:color w:val="000000"/>
                <w:kern w:val="0"/>
                <w:sz w:val="20"/>
                <w:szCs w:val="20"/>
                <w:highlight w:val="yellow"/>
                <w14:ligatures w14:val="none"/>
              </w:rPr>
            </w:pPr>
            <w:r w:rsidRPr="006602D9">
              <w:rPr>
                <w:i/>
                <w:iCs/>
                <w:color w:val="000000"/>
                <w:sz w:val="20"/>
                <w:szCs w:val="20"/>
              </w:rPr>
              <w:t>-1.813</w:t>
            </w:r>
          </w:p>
        </w:tc>
        <w:tc>
          <w:tcPr>
            <w:tcW w:w="939" w:type="dxa"/>
            <w:tcBorders>
              <w:top w:val="single" w:sz="4" w:space="0" w:color="auto"/>
              <w:left w:val="nil"/>
              <w:bottom w:val="nil"/>
              <w:right w:val="nil"/>
            </w:tcBorders>
            <w:noWrap/>
            <w:vAlign w:val="bottom"/>
          </w:tcPr>
          <w:p w14:paraId="6CB64581" w14:textId="7F4160CA" w:rsidR="00A80236" w:rsidRPr="006602D9" w:rsidRDefault="00A80236" w:rsidP="00A80236">
            <w:pPr>
              <w:spacing w:after="0" w:line="240" w:lineRule="auto"/>
              <w:jc w:val="right"/>
              <w:rPr>
                <w:rFonts w:eastAsia="Times New Roman"/>
                <w:i/>
                <w:iCs/>
                <w:color w:val="000000"/>
                <w:kern w:val="0"/>
                <w:sz w:val="20"/>
                <w:szCs w:val="20"/>
                <w:highlight w:val="yellow"/>
                <w14:ligatures w14:val="none"/>
              </w:rPr>
            </w:pPr>
            <w:r w:rsidRPr="006602D9">
              <w:rPr>
                <w:i/>
                <w:iCs/>
                <w:color w:val="000000"/>
                <w:sz w:val="20"/>
                <w:szCs w:val="20"/>
              </w:rPr>
              <w:t>0.070</w:t>
            </w:r>
          </w:p>
        </w:tc>
        <w:tc>
          <w:tcPr>
            <w:tcW w:w="1617" w:type="dxa"/>
            <w:tcBorders>
              <w:top w:val="single" w:sz="4" w:space="0" w:color="auto"/>
              <w:left w:val="nil"/>
              <w:bottom w:val="nil"/>
              <w:right w:val="nil"/>
            </w:tcBorders>
            <w:noWrap/>
            <w:vAlign w:val="bottom"/>
          </w:tcPr>
          <w:p w14:paraId="27955489" w14:textId="20BD1225" w:rsidR="00A80236" w:rsidRPr="006602D9" w:rsidRDefault="00A80236" w:rsidP="00A80236">
            <w:pPr>
              <w:spacing w:after="0" w:line="240" w:lineRule="auto"/>
              <w:jc w:val="right"/>
              <w:rPr>
                <w:rFonts w:eastAsia="Times New Roman"/>
                <w:i/>
                <w:iCs/>
                <w:color w:val="000000"/>
                <w:kern w:val="0"/>
                <w:sz w:val="20"/>
                <w:szCs w:val="20"/>
                <w:highlight w:val="yellow"/>
                <w14:ligatures w14:val="none"/>
              </w:rPr>
            </w:pPr>
            <w:r w:rsidRPr="006602D9">
              <w:rPr>
                <w:i/>
                <w:iCs/>
                <w:color w:val="000000"/>
                <w:sz w:val="20"/>
                <w:szCs w:val="20"/>
              </w:rPr>
              <w:t>[-5.710, 0.230]</w:t>
            </w:r>
          </w:p>
        </w:tc>
      </w:tr>
      <w:tr w:rsidR="00A80236" w:rsidRPr="00452304" w14:paraId="409A4187" w14:textId="77777777" w:rsidTr="00A80236">
        <w:trPr>
          <w:trHeight w:val="320"/>
        </w:trPr>
        <w:tc>
          <w:tcPr>
            <w:tcW w:w="1294" w:type="dxa"/>
            <w:vMerge/>
            <w:tcBorders>
              <w:left w:val="nil"/>
              <w:right w:val="nil"/>
            </w:tcBorders>
          </w:tcPr>
          <w:p w14:paraId="65D152AD"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hideMark/>
          </w:tcPr>
          <w:p w14:paraId="2A5D9C61" w14:textId="77777777" w:rsidR="00A80236" w:rsidRPr="00452304"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right w:val="nil"/>
            </w:tcBorders>
            <w:noWrap/>
            <w:vAlign w:val="center"/>
            <w:hideMark/>
          </w:tcPr>
          <w:p w14:paraId="6444ED6F" w14:textId="77777777" w:rsidR="00A80236" w:rsidRPr="00452304" w:rsidRDefault="00A80236" w:rsidP="00A80236">
            <w:pPr>
              <w:spacing w:after="0" w:line="240" w:lineRule="auto"/>
              <w:rPr>
                <w:rFonts w:eastAsia="Times New Roman"/>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right w:val="nil"/>
            </w:tcBorders>
            <w:noWrap/>
            <w:vAlign w:val="bottom"/>
          </w:tcPr>
          <w:p w14:paraId="43559E01" w14:textId="30EF640A"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-14.922±12.975</w:t>
            </w:r>
          </w:p>
        </w:tc>
        <w:tc>
          <w:tcPr>
            <w:tcW w:w="972" w:type="dxa"/>
            <w:tcBorders>
              <w:top w:val="nil"/>
              <w:left w:val="nil"/>
              <w:right w:val="nil"/>
            </w:tcBorders>
            <w:noWrap/>
            <w:vAlign w:val="bottom"/>
          </w:tcPr>
          <w:p w14:paraId="469B6EAB" w14:textId="51DC9497"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-1.325</w:t>
            </w:r>
          </w:p>
        </w:tc>
        <w:tc>
          <w:tcPr>
            <w:tcW w:w="939" w:type="dxa"/>
            <w:tcBorders>
              <w:top w:val="nil"/>
              <w:left w:val="nil"/>
              <w:right w:val="nil"/>
            </w:tcBorders>
            <w:noWrap/>
            <w:vAlign w:val="bottom"/>
          </w:tcPr>
          <w:p w14:paraId="53F17BF3" w14:textId="47A9382E"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0.185</w:t>
            </w:r>
          </w:p>
        </w:tc>
        <w:tc>
          <w:tcPr>
            <w:tcW w:w="1617" w:type="dxa"/>
            <w:tcBorders>
              <w:top w:val="nil"/>
              <w:left w:val="nil"/>
              <w:right w:val="nil"/>
            </w:tcBorders>
            <w:noWrap/>
            <w:vAlign w:val="bottom"/>
          </w:tcPr>
          <w:p w14:paraId="722CED58" w14:textId="3C44DA26"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[-33.008, 8.058]</w:t>
            </w:r>
          </w:p>
        </w:tc>
      </w:tr>
      <w:tr w:rsidR="00A80236" w:rsidRPr="00452304" w14:paraId="1DC8DE03" w14:textId="77777777" w:rsidTr="00A80236">
        <w:trPr>
          <w:trHeight w:val="320"/>
        </w:trPr>
        <w:tc>
          <w:tcPr>
            <w:tcW w:w="1294" w:type="dxa"/>
            <w:vMerge/>
            <w:tcBorders>
              <w:left w:val="nil"/>
              <w:bottom w:val="single" w:sz="4" w:space="0" w:color="auto"/>
              <w:right w:val="nil"/>
            </w:tcBorders>
          </w:tcPr>
          <w:p w14:paraId="78D0BBEB"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hideMark/>
          </w:tcPr>
          <w:p w14:paraId="7AC62B71" w14:textId="77777777" w:rsidR="00A80236" w:rsidRPr="00452304"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1F7D7EAC" w14:textId="77777777" w:rsidR="00A80236" w:rsidRPr="00452304" w:rsidRDefault="00A80236" w:rsidP="00A80236">
            <w:pPr>
              <w:spacing w:after="0" w:line="240" w:lineRule="auto"/>
              <w:rPr>
                <w:rFonts w:eastAsia="Times New Roman"/>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2C714043" w14:textId="4B21A38E"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w:t>
            </w:r>
            <w:r>
              <w:rPr>
                <w:color w:val="000000"/>
                <w:sz w:val="20"/>
                <w:szCs w:val="20"/>
              </w:rPr>
              <w:t>.000</w:t>
            </w:r>
            <w:r w:rsidRPr="00A80236">
              <w:rPr>
                <w:color w:val="000000"/>
                <w:sz w:val="20"/>
                <w:szCs w:val="20"/>
              </w:rPr>
              <w:t>±0.06</w:t>
            </w:r>
            <w:r>
              <w:rPr>
                <w:color w:val="000000"/>
                <w:sz w:val="20"/>
                <w:szCs w:val="20"/>
              </w:rPr>
              <w:t>0</w:t>
            </w:r>
          </w:p>
        </w:tc>
        <w:tc>
          <w:tcPr>
            <w:tcW w:w="972" w:type="dxa"/>
            <w:tcBorders>
              <w:top w:val="nil"/>
              <w:left w:val="nil"/>
              <w:bottom w:val="single" w:sz="4" w:space="0" w:color="auto"/>
              <w:right w:val="nil"/>
            </w:tcBorders>
            <w:noWrap/>
            <w:vAlign w:val="bottom"/>
          </w:tcPr>
          <w:p w14:paraId="0FBB1186" w14:textId="52A24900"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-0.072</w:t>
            </w:r>
          </w:p>
        </w:tc>
        <w:tc>
          <w:tcPr>
            <w:tcW w:w="939" w:type="dxa"/>
            <w:tcBorders>
              <w:top w:val="nil"/>
              <w:left w:val="nil"/>
              <w:bottom w:val="single" w:sz="4" w:space="0" w:color="auto"/>
              <w:right w:val="nil"/>
            </w:tcBorders>
            <w:noWrap/>
            <w:vAlign w:val="bottom"/>
          </w:tcPr>
          <w:p w14:paraId="169C0A96" w14:textId="7E10BEC7"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0.943</w:t>
            </w:r>
          </w:p>
        </w:tc>
        <w:tc>
          <w:tcPr>
            <w:tcW w:w="1617" w:type="dxa"/>
            <w:tcBorders>
              <w:top w:val="nil"/>
              <w:left w:val="nil"/>
              <w:bottom w:val="single" w:sz="4" w:space="0" w:color="auto"/>
              <w:right w:val="nil"/>
            </w:tcBorders>
            <w:noWrap/>
            <w:vAlign w:val="bottom"/>
          </w:tcPr>
          <w:p w14:paraId="7B4EEC36" w14:textId="67B6BCBA"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[-0.13</w:t>
            </w:r>
            <w:r>
              <w:rPr>
                <w:color w:val="000000"/>
                <w:sz w:val="20"/>
                <w:szCs w:val="20"/>
              </w:rPr>
              <w:t>0</w:t>
            </w:r>
            <w:r w:rsidRPr="00A80236">
              <w:rPr>
                <w:color w:val="000000"/>
                <w:sz w:val="20"/>
                <w:szCs w:val="20"/>
              </w:rPr>
              <w:t>, 0.12</w:t>
            </w:r>
            <w:r>
              <w:rPr>
                <w:color w:val="000000"/>
                <w:sz w:val="20"/>
                <w:szCs w:val="20"/>
              </w:rPr>
              <w:t>0</w:t>
            </w:r>
            <w:r w:rsidRPr="00A80236">
              <w:rPr>
                <w:color w:val="000000"/>
                <w:sz w:val="20"/>
                <w:szCs w:val="20"/>
              </w:rPr>
              <w:t>]</w:t>
            </w:r>
          </w:p>
        </w:tc>
      </w:tr>
      <w:tr w:rsidR="00A80236" w:rsidRPr="00452304" w14:paraId="6A7CECEC" w14:textId="77777777" w:rsidTr="00A80236">
        <w:trPr>
          <w:trHeight w:val="320"/>
        </w:trPr>
        <w:tc>
          <w:tcPr>
            <w:tcW w:w="1294" w:type="dxa"/>
            <w:vMerge w:val="restart"/>
            <w:tcBorders>
              <w:top w:val="single" w:sz="4" w:space="0" w:color="auto"/>
              <w:left w:val="nil"/>
              <w:right w:val="nil"/>
            </w:tcBorders>
            <w:vAlign w:val="center"/>
          </w:tcPr>
          <w:p w14:paraId="3DF9DF73" w14:textId="7755A79A" w:rsidR="00A80236" w:rsidRPr="008825E3" w:rsidRDefault="00A80236" w:rsidP="00A80236">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Aboveground biomass</w:t>
            </w:r>
          </w:p>
        </w:tc>
        <w:tc>
          <w:tcPr>
            <w:tcW w:w="1178" w:type="dxa"/>
            <w:vMerge w:val="restart"/>
            <w:tcBorders>
              <w:top w:val="single" w:sz="4" w:space="0" w:color="auto"/>
              <w:left w:val="nil"/>
              <w:right w:val="nil"/>
            </w:tcBorders>
            <w:noWrap/>
            <w:vAlign w:val="center"/>
          </w:tcPr>
          <w:p w14:paraId="35FE07C2" w14:textId="77777777" w:rsidR="00A80236" w:rsidRPr="008825E3" w:rsidRDefault="00A80236" w:rsidP="00A80236">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6D7C742B"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5A817587" w14:textId="6B1AB65A"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-0.359±0.652</w:t>
            </w:r>
          </w:p>
        </w:tc>
        <w:tc>
          <w:tcPr>
            <w:tcW w:w="972" w:type="dxa"/>
            <w:tcBorders>
              <w:top w:val="single" w:sz="4" w:space="0" w:color="auto"/>
              <w:left w:val="nil"/>
              <w:bottom w:val="nil"/>
              <w:right w:val="nil"/>
            </w:tcBorders>
            <w:noWrap/>
            <w:vAlign w:val="bottom"/>
          </w:tcPr>
          <w:p w14:paraId="3386A911" w14:textId="7976BECA"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-0.560</w:t>
            </w:r>
          </w:p>
        </w:tc>
        <w:tc>
          <w:tcPr>
            <w:tcW w:w="939" w:type="dxa"/>
            <w:tcBorders>
              <w:top w:val="single" w:sz="4" w:space="0" w:color="auto"/>
              <w:left w:val="nil"/>
              <w:bottom w:val="nil"/>
              <w:right w:val="nil"/>
            </w:tcBorders>
            <w:noWrap/>
            <w:vAlign w:val="bottom"/>
          </w:tcPr>
          <w:p w14:paraId="5010AFAA" w14:textId="2DE8AA47"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0.576</w:t>
            </w:r>
          </w:p>
        </w:tc>
        <w:tc>
          <w:tcPr>
            <w:tcW w:w="1617" w:type="dxa"/>
            <w:tcBorders>
              <w:top w:val="single" w:sz="4" w:space="0" w:color="auto"/>
              <w:left w:val="nil"/>
              <w:bottom w:val="nil"/>
              <w:right w:val="nil"/>
            </w:tcBorders>
            <w:noWrap/>
            <w:vAlign w:val="bottom"/>
          </w:tcPr>
          <w:p w14:paraId="2B2FF955" w14:textId="5A6528DB"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[-1.627, 0.914]</w:t>
            </w:r>
          </w:p>
        </w:tc>
      </w:tr>
      <w:tr w:rsidR="00A80236" w:rsidRPr="00452304" w14:paraId="2665743D" w14:textId="77777777" w:rsidTr="00A80236">
        <w:trPr>
          <w:trHeight w:val="320"/>
        </w:trPr>
        <w:tc>
          <w:tcPr>
            <w:tcW w:w="1294" w:type="dxa"/>
            <w:vMerge/>
            <w:tcBorders>
              <w:left w:val="nil"/>
              <w:right w:val="nil"/>
            </w:tcBorders>
            <w:vAlign w:val="center"/>
          </w:tcPr>
          <w:p w14:paraId="5599F8AB"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0EE59749"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18E972DC"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4EE82342" w14:textId="16231EC2"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8.535±7.262</w:t>
            </w:r>
          </w:p>
        </w:tc>
        <w:tc>
          <w:tcPr>
            <w:tcW w:w="972" w:type="dxa"/>
            <w:tcBorders>
              <w:top w:val="nil"/>
              <w:left w:val="nil"/>
              <w:bottom w:val="nil"/>
              <w:right w:val="nil"/>
            </w:tcBorders>
            <w:noWrap/>
            <w:vAlign w:val="bottom"/>
          </w:tcPr>
          <w:p w14:paraId="3A9D83CD" w14:textId="613434B1"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1.168</w:t>
            </w:r>
          </w:p>
        </w:tc>
        <w:tc>
          <w:tcPr>
            <w:tcW w:w="939" w:type="dxa"/>
            <w:tcBorders>
              <w:top w:val="nil"/>
              <w:left w:val="nil"/>
              <w:bottom w:val="nil"/>
              <w:right w:val="nil"/>
            </w:tcBorders>
            <w:noWrap/>
            <w:vAlign w:val="bottom"/>
          </w:tcPr>
          <w:p w14:paraId="47D62DBB" w14:textId="7E564D51"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0.243</w:t>
            </w:r>
          </w:p>
        </w:tc>
        <w:tc>
          <w:tcPr>
            <w:tcW w:w="1617" w:type="dxa"/>
            <w:tcBorders>
              <w:top w:val="nil"/>
              <w:left w:val="nil"/>
              <w:bottom w:val="nil"/>
              <w:right w:val="nil"/>
            </w:tcBorders>
            <w:noWrap/>
            <w:vAlign w:val="bottom"/>
          </w:tcPr>
          <w:p w14:paraId="7EA54C1A" w14:textId="42AD7A5B"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[-5.399, 24.533]</w:t>
            </w:r>
          </w:p>
        </w:tc>
      </w:tr>
      <w:tr w:rsidR="00A80236" w:rsidRPr="00452304" w14:paraId="5D06B016" w14:textId="77777777" w:rsidTr="00A80236">
        <w:trPr>
          <w:trHeight w:val="320"/>
        </w:trPr>
        <w:tc>
          <w:tcPr>
            <w:tcW w:w="1294" w:type="dxa"/>
            <w:vMerge/>
            <w:tcBorders>
              <w:left w:val="nil"/>
              <w:right w:val="nil"/>
            </w:tcBorders>
            <w:vAlign w:val="center"/>
          </w:tcPr>
          <w:p w14:paraId="1D290621"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9DCDBC8"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8E85F8C"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45A65A2C" w14:textId="527DEFBB"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0.02</w:t>
            </w:r>
            <w:r>
              <w:rPr>
                <w:color w:val="000000"/>
                <w:sz w:val="20"/>
                <w:szCs w:val="20"/>
              </w:rPr>
              <w:t>0</w:t>
            </w:r>
            <w:r w:rsidRPr="00A80236">
              <w:rPr>
                <w:color w:val="000000"/>
                <w:sz w:val="20"/>
                <w:szCs w:val="20"/>
              </w:rPr>
              <w:t>±0.03</w:t>
            </w:r>
            <w:r>
              <w:rPr>
                <w:color w:val="000000"/>
                <w:sz w:val="20"/>
                <w:szCs w:val="20"/>
              </w:rPr>
              <w:t>0</w:t>
            </w:r>
          </w:p>
        </w:tc>
        <w:tc>
          <w:tcPr>
            <w:tcW w:w="972" w:type="dxa"/>
            <w:tcBorders>
              <w:top w:val="nil"/>
              <w:left w:val="nil"/>
              <w:bottom w:val="single" w:sz="4" w:space="0" w:color="auto"/>
              <w:right w:val="nil"/>
            </w:tcBorders>
            <w:noWrap/>
            <w:vAlign w:val="bottom"/>
          </w:tcPr>
          <w:p w14:paraId="19DE1B6F" w14:textId="29F99EE5"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0.569</w:t>
            </w:r>
          </w:p>
        </w:tc>
        <w:tc>
          <w:tcPr>
            <w:tcW w:w="939" w:type="dxa"/>
            <w:tcBorders>
              <w:top w:val="nil"/>
              <w:left w:val="nil"/>
              <w:bottom w:val="single" w:sz="4" w:space="0" w:color="auto"/>
              <w:right w:val="nil"/>
            </w:tcBorders>
            <w:noWrap/>
            <w:vAlign w:val="bottom"/>
          </w:tcPr>
          <w:p w14:paraId="78CF35CE" w14:textId="18A0BAD6"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0.569</w:t>
            </w:r>
          </w:p>
        </w:tc>
        <w:tc>
          <w:tcPr>
            <w:tcW w:w="1617" w:type="dxa"/>
            <w:tcBorders>
              <w:top w:val="nil"/>
              <w:left w:val="nil"/>
              <w:bottom w:val="single" w:sz="4" w:space="0" w:color="auto"/>
              <w:right w:val="nil"/>
            </w:tcBorders>
            <w:noWrap/>
            <w:vAlign w:val="bottom"/>
          </w:tcPr>
          <w:p w14:paraId="405020CA" w14:textId="31B5FFAB"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[-0.04</w:t>
            </w:r>
            <w:r>
              <w:rPr>
                <w:color w:val="000000"/>
                <w:sz w:val="20"/>
                <w:szCs w:val="20"/>
              </w:rPr>
              <w:t>0</w:t>
            </w:r>
            <w:r w:rsidRPr="00A80236">
              <w:rPr>
                <w:color w:val="000000"/>
                <w:sz w:val="20"/>
                <w:szCs w:val="20"/>
              </w:rPr>
              <w:t>, 0.07</w:t>
            </w:r>
            <w:r>
              <w:rPr>
                <w:color w:val="000000"/>
                <w:sz w:val="20"/>
                <w:szCs w:val="20"/>
              </w:rPr>
              <w:t>0</w:t>
            </w:r>
            <w:r w:rsidRPr="00A80236">
              <w:rPr>
                <w:color w:val="000000"/>
                <w:sz w:val="20"/>
                <w:szCs w:val="20"/>
              </w:rPr>
              <w:t>]</w:t>
            </w:r>
          </w:p>
        </w:tc>
      </w:tr>
      <w:tr w:rsidR="00A80236" w:rsidRPr="00452304" w14:paraId="4924CC1C" w14:textId="77777777" w:rsidTr="00A80236">
        <w:trPr>
          <w:trHeight w:val="320"/>
        </w:trPr>
        <w:tc>
          <w:tcPr>
            <w:tcW w:w="1294" w:type="dxa"/>
            <w:vMerge/>
            <w:tcBorders>
              <w:left w:val="nil"/>
              <w:right w:val="nil"/>
            </w:tcBorders>
            <w:vAlign w:val="center"/>
          </w:tcPr>
          <w:p w14:paraId="649E1980"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04537B7" w14:textId="77777777" w:rsidR="00A80236" w:rsidRPr="008825E3" w:rsidRDefault="00A80236" w:rsidP="00A80236">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A7736C2"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6A7C6AB2" w14:textId="3F0EA2A4"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-0.13</w:t>
            </w:r>
            <w:r>
              <w:rPr>
                <w:color w:val="000000"/>
                <w:sz w:val="20"/>
                <w:szCs w:val="20"/>
              </w:rPr>
              <w:t>0</w:t>
            </w:r>
            <w:r w:rsidRPr="00A80236">
              <w:rPr>
                <w:color w:val="000000"/>
                <w:sz w:val="20"/>
                <w:szCs w:val="20"/>
              </w:rPr>
              <w:t>±0.713</w:t>
            </w:r>
          </w:p>
        </w:tc>
        <w:tc>
          <w:tcPr>
            <w:tcW w:w="972" w:type="dxa"/>
            <w:tcBorders>
              <w:top w:val="single" w:sz="4" w:space="0" w:color="auto"/>
              <w:left w:val="nil"/>
              <w:bottom w:val="nil"/>
              <w:right w:val="nil"/>
            </w:tcBorders>
            <w:noWrap/>
            <w:vAlign w:val="bottom"/>
          </w:tcPr>
          <w:p w14:paraId="42160DAC" w14:textId="3B63BA42"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-0.189</w:t>
            </w:r>
          </w:p>
        </w:tc>
        <w:tc>
          <w:tcPr>
            <w:tcW w:w="939" w:type="dxa"/>
            <w:tcBorders>
              <w:top w:val="single" w:sz="4" w:space="0" w:color="auto"/>
              <w:left w:val="nil"/>
              <w:bottom w:val="nil"/>
              <w:right w:val="nil"/>
            </w:tcBorders>
            <w:noWrap/>
            <w:vAlign w:val="bottom"/>
          </w:tcPr>
          <w:p w14:paraId="6317659C" w14:textId="57DA1097"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0.850</w:t>
            </w:r>
          </w:p>
        </w:tc>
        <w:tc>
          <w:tcPr>
            <w:tcW w:w="1617" w:type="dxa"/>
            <w:tcBorders>
              <w:top w:val="single" w:sz="4" w:space="0" w:color="auto"/>
              <w:left w:val="nil"/>
              <w:bottom w:val="nil"/>
              <w:right w:val="nil"/>
            </w:tcBorders>
            <w:noWrap/>
            <w:vAlign w:val="bottom"/>
          </w:tcPr>
          <w:p w14:paraId="13A2019E" w14:textId="6448A84D"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[-1.518, 1.268]</w:t>
            </w:r>
          </w:p>
        </w:tc>
      </w:tr>
      <w:tr w:rsidR="00A80236" w:rsidRPr="00452304" w14:paraId="262DBBE3" w14:textId="77777777" w:rsidTr="00A80236">
        <w:trPr>
          <w:trHeight w:val="320"/>
        </w:trPr>
        <w:tc>
          <w:tcPr>
            <w:tcW w:w="1294" w:type="dxa"/>
            <w:vMerge/>
            <w:tcBorders>
              <w:left w:val="nil"/>
              <w:right w:val="nil"/>
            </w:tcBorders>
            <w:vAlign w:val="center"/>
          </w:tcPr>
          <w:p w14:paraId="23B7337A"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463E98FA"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6A7F7780" w14:textId="77777777" w:rsidR="00A80236" w:rsidRPr="00EC1D99" w:rsidRDefault="00A80236" w:rsidP="00A80236">
            <w:pPr>
              <w:spacing w:after="0" w:line="240" w:lineRule="auto"/>
              <w:rPr>
                <w:rFonts w:eastAsia="Times New Roman"/>
                <w:i/>
                <w:iCs/>
                <w:color w:val="000000"/>
                <w:kern w:val="0"/>
                <w:sz w:val="20"/>
                <w:szCs w:val="20"/>
                <w14:ligatures w14:val="none"/>
              </w:rPr>
            </w:pPr>
            <w:proofErr w:type="spellStart"/>
            <w:r w:rsidRPr="00EC1D99">
              <w:rPr>
                <w:rFonts w:eastAsia="Times New Roman"/>
                <w:i/>
                <w:iCs/>
                <w:color w:val="000000"/>
                <w:kern w:val="0"/>
                <w:sz w:val="20"/>
                <w:szCs w:val="20"/>
                <w14:ligatures w14:val="none"/>
              </w:rPr>
              <w:t>AI</w:t>
            </w:r>
            <w:r w:rsidRPr="00EC1D99">
              <w:rPr>
                <w:rFonts w:eastAsia="Times New Roman"/>
                <w:i/>
                <w:iCs/>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37184AAF" w14:textId="2685F9CC" w:rsidR="00A80236" w:rsidRPr="006602D9" w:rsidRDefault="00A80236" w:rsidP="00A80236">
            <w:pPr>
              <w:spacing w:after="0" w:line="240" w:lineRule="auto"/>
              <w:jc w:val="right"/>
              <w:rPr>
                <w:i/>
                <w:iCs/>
                <w:color w:val="000000"/>
                <w:sz w:val="20"/>
                <w:szCs w:val="20"/>
                <w:highlight w:val="yellow"/>
              </w:rPr>
            </w:pPr>
            <w:r w:rsidRPr="006602D9">
              <w:rPr>
                <w:i/>
                <w:iCs/>
                <w:color w:val="000000"/>
                <w:sz w:val="20"/>
                <w:szCs w:val="20"/>
              </w:rPr>
              <w:t>14.935±7.767</w:t>
            </w:r>
          </w:p>
        </w:tc>
        <w:tc>
          <w:tcPr>
            <w:tcW w:w="972" w:type="dxa"/>
            <w:tcBorders>
              <w:top w:val="nil"/>
              <w:left w:val="nil"/>
              <w:bottom w:val="nil"/>
              <w:right w:val="nil"/>
            </w:tcBorders>
            <w:noWrap/>
            <w:vAlign w:val="bottom"/>
          </w:tcPr>
          <w:p w14:paraId="39F5E59B" w14:textId="5ABC1D80" w:rsidR="00A80236" w:rsidRPr="006602D9" w:rsidRDefault="00A80236" w:rsidP="00A80236">
            <w:pPr>
              <w:spacing w:after="0" w:line="240" w:lineRule="auto"/>
              <w:jc w:val="right"/>
              <w:rPr>
                <w:i/>
                <w:iCs/>
                <w:color w:val="000000"/>
                <w:sz w:val="20"/>
                <w:szCs w:val="20"/>
                <w:highlight w:val="yellow"/>
              </w:rPr>
            </w:pPr>
            <w:r w:rsidRPr="006602D9">
              <w:rPr>
                <w:i/>
                <w:iCs/>
                <w:color w:val="000000"/>
                <w:sz w:val="20"/>
                <w:szCs w:val="20"/>
              </w:rPr>
              <w:t>1.860</w:t>
            </w:r>
          </w:p>
        </w:tc>
        <w:tc>
          <w:tcPr>
            <w:tcW w:w="939" w:type="dxa"/>
            <w:tcBorders>
              <w:top w:val="nil"/>
              <w:left w:val="nil"/>
              <w:bottom w:val="nil"/>
              <w:right w:val="nil"/>
            </w:tcBorders>
            <w:noWrap/>
            <w:vAlign w:val="bottom"/>
          </w:tcPr>
          <w:p w14:paraId="29763078" w14:textId="7AA0B5E9" w:rsidR="00A80236" w:rsidRPr="006602D9" w:rsidRDefault="00A80236" w:rsidP="00A80236">
            <w:pPr>
              <w:spacing w:after="0" w:line="240" w:lineRule="auto"/>
              <w:jc w:val="right"/>
              <w:rPr>
                <w:i/>
                <w:iCs/>
                <w:color w:val="000000"/>
                <w:sz w:val="20"/>
                <w:szCs w:val="20"/>
                <w:highlight w:val="yellow"/>
              </w:rPr>
            </w:pPr>
            <w:r w:rsidRPr="006602D9">
              <w:rPr>
                <w:i/>
                <w:iCs/>
                <w:color w:val="000000"/>
                <w:sz w:val="20"/>
                <w:szCs w:val="20"/>
              </w:rPr>
              <w:t>0.063</w:t>
            </w:r>
          </w:p>
        </w:tc>
        <w:tc>
          <w:tcPr>
            <w:tcW w:w="1617" w:type="dxa"/>
            <w:tcBorders>
              <w:top w:val="nil"/>
              <w:left w:val="nil"/>
              <w:bottom w:val="nil"/>
              <w:right w:val="nil"/>
            </w:tcBorders>
            <w:noWrap/>
            <w:vAlign w:val="bottom"/>
          </w:tcPr>
          <w:p w14:paraId="362E382C" w14:textId="4FD5A24C" w:rsidR="00A80236" w:rsidRPr="006602D9" w:rsidRDefault="00A80236" w:rsidP="00A80236">
            <w:pPr>
              <w:spacing w:after="0" w:line="240" w:lineRule="auto"/>
              <w:jc w:val="right"/>
              <w:rPr>
                <w:i/>
                <w:iCs/>
                <w:color w:val="000000"/>
                <w:sz w:val="20"/>
                <w:szCs w:val="20"/>
                <w:highlight w:val="yellow"/>
              </w:rPr>
            </w:pPr>
            <w:r w:rsidRPr="006602D9">
              <w:rPr>
                <w:i/>
                <w:iCs/>
                <w:color w:val="000000"/>
                <w:sz w:val="20"/>
                <w:szCs w:val="20"/>
              </w:rPr>
              <w:t>[-0.747, 33.096]</w:t>
            </w:r>
          </w:p>
        </w:tc>
      </w:tr>
      <w:tr w:rsidR="00A80236" w:rsidRPr="00452304" w14:paraId="16FFA39A" w14:textId="77777777" w:rsidTr="00A80236">
        <w:trPr>
          <w:trHeight w:val="320"/>
        </w:trPr>
        <w:tc>
          <w:tcPr>
            <w:tcW w:w="1294" w:type="dxa"/>
            <w:vMerge/>
            <w:tcBorders>
              <w:left w:val="nil"/>
              <w:right w:val="nil"/>
            </w:tcBorders>
            <w:vAlign w:val="center"/>
          </w:tcPr>
          <w:p w14:paraId="438DCD61"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20CDAE1"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235BF02"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52ED7E53" w14:textId="2CFE9E60"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0.04</w:t>
            </w:r>
            <w:r>
              <w:rPr>
                <w:color w:val="000000"/>
                <w:sz w:val="20"/>
                <w:szCs w:val="20"/>
              </w:rPr>
              <w:t>0</w:t>
            </w:r>
            <w:r w:rsidRPr="00A80236">
              <w:rPr>
                <w:color w:val="000000"/>
                <w:sz w:val="20"/>
                <w:szCs w:val="20"/>
              </w:rPr>
              <w:t>±0.03</w:t>
            </w:r>
            <w:r>
              <w:rPr>
                <w:color w:val="000000"/>
                <w:sz w:val="20"/>
                <w:szCs w:val="20"/>
              </w:rPr>
              <w:t>0</w:t>
            </w:r>
          </w:p>
        </w:tc>
        <w:tc>
          <w:tcPr>
            <w:tcW w:w="972" w:type="dxa"/>
            <w:tcBorders>
              <w:top w:val="nil"/>
              <w:left w:val="nil"/>
              <w:bottom w:val="single" w:sz="4" w:space="0" w:color="auto"/>
              <w:right w:val="nil"/>
            </w:tcBorders>
            <w:noWrap/>
            <w:vAlign w:val="bottom"/>
          </w:tcPr>
          <w:p w14:paraId="7C1424BE" w14:textId="1E340429"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1.330</w:t>
            </w:r>
          </w:p>
        </w:tc>
        <w:tc>
          <w:tcPr>
            <w:tcW w:w="939" w:type="dxa"/>
            <w:tcBorders>
              <w:top w:val="nil"/>
              <w:left w:val="nil"/>
              <w:bottom w:val="single" w:sz="4" w:space="0" w:color="auto"/>
              <w:right w:val="nil"/>
            </w:tcBorders>
            <w:noWrap/>
            <w:vAlign w:val="bottom"/>
          </w:tcPr>
          <w:p w14:paraId="2BD29120" w14:textId="562DB16D"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0.184</w:t>
            </w:r>
          </w:p>
        </w:tc>
        <w:tc>
          <w:tcPr>
            <w:tcW w:w="1617" w:type="dxa"/>
            <w:tcBorders>
              <w:top w:val="nil"/>
              <w:left w:val="nil"/>
              <w:bottom w:val="single" w:sz="4" w:space="0" w:color="auto"/>
              <w:right w:val="nil"/>
            </w:tcBorders>
            <w:noWrap/>
            <w:vAlign w:val="bottom"/>
          </w:tcPr>
          <w:p w14:paraId="48163518" w14:textId="6DE75EA0"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[-0.02</w:t>
            </w:r>
            <w:r>
              <w:rPr>
                <w:color w:val="000000"/>
                <w:sz w:val="20"/>
                <w:szCs w:val="20"/>
              </w:rPr>
              <w:t>0</w:t>
            </w:r>
            <w:r w:rsidRPr="00A80236">
              <w:rPr>
                <w:color w:val="000000"/>
                <w:sz w:val="20"/>
                <w:szCs w:val="20"/>
              </w:rPr>
              <w:t>, 0.1</w:t>
            </w:r>
            <w:r>
              <w:rPr>
                <w:color w:val="000000"/>
                <w:sz w:val="20"/>
                <w:szCs w:val="20"/>
              </w:rPr>
              <w:t>00</w:t>
            </w:r>
            <w:r w:rsidRPr="00A80236">
              <w:rPr>
                <w:color w:val="000000"/>
                <w:sz w:val="20"/>
                <w:szCs w:val="20"/>
              </w:rPr>
              <w:t>]</w:t>
            </w:r>
          </w:p>
        </w:tc>
      </w:tr>
      <w:tr w:rsidR="00A80236" w:rsidRPr="00452304" w14:paraId="5B3822DB" w14:textId="77777777" w:rsidTr="00A80236">
        <w:trPr>
          <w:trHeight w:val="320"/>
        </w:trPr>
        <w:tc>
          <w:tcPr>
            <w:tcW w:w="1294" w:type="dxa"/>
            <w:vMerge/>
            <w:tcBorders>
              <w:left w:val="nil"/>
              <w:right w:val="nil"/>
            </w:tcBorders>
            <w:vAlign w:val="center"/>
          </w:tcPr>
          <w:p w14:paraId="6834022A"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E440071" w14:textId="77777777" w:rsidR="00A80236" w:rsidRPr="008825E3" w:rsidRDefault="00A80236" w:rsidP="00A80236">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01D1BA35"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65E13DD9" w14:textId="3E44661A"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-1.252±0.975</w:t>
            </w:r>
          </w:p>
        </w:tc>
        <w:tc>
          <w:tcPr>
            <w:tcW w:w="972" w:type="dxa"/>
            <w:tcBorders>
              <w:top w:val="single" w:sz="4" w:space="0" w:color="auto"/>
              <w:left w:val="nil"/>
              <w:bottom w:val="nil"/>
              <w:right w:val="nil"/>
            </w:tcBorders>
            <w:noWrap/>
            <w:vAlign w:val="bottom"/>
          </w:tcPr>
          <w:p w14:paraId="0D0E8953" w14:textId="683BCA31"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-1.299</w:t>
            </w:r>
          </w:p>
        </w:tc>
        <w:tc>
          <w:tcPr>
            <w:tcW w:w="939" w:type="dxa"/>
            <w:tcBorders>
              <w:top w:val="single" w:sz="4" w:space="0" w:color="auto"/>
              <w:left w:val="nil"/>
              <w:bottom w:val="nil"/>
              <w:right w:val="nil"/>
            </w:tcBorders>
            <w:noWrap/>
            <w:vAlign w:val="bottom"/>
          </w:tcPr>
          <w:p w14:paraId="01B6F751" w14:textId="2469EE82"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0.194</w:t>
            </w:r>
          </w:p>
        </w:tc>
        <w:tc>
          <w:tcPr>
            <w:tcW w:w="1617" w:type="dxa"/>
            <w:tcBorders>
              <w:top w:val="single" w:sz="4" w:space="0" w:color="auto"/>
              <w:left w:val="nil"/>
              <w:bottom w:val="nil"/>
              <w:right w:val="nil"/>
            </w:tcBorders>
            <w:noWrap/>
            <w:vAlign w:val="bottom"/>
          </w:tcPr>
          <w:p w14:paraId="633AA0CF" w14:textId="522A9AA7"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[-3.101, 0.642]</w:t>
            </w:r>
          </w:p>
        </w:tc>
      </w:tr>
      <w:tr w:rsidR="00A80236" w:rsidRPr="00452304" w14:paraId="6D2E0C77" w14:textId="77777777" w:rsidTr="00A80236">
        <w:trPr>
          <w:trHeight w:val="320"/>
        </w:trPr>
        <w:tc>
          <w:tcPr>
            <w:tcW w:w="1294" w:type="dxa"/>
            <w:vMerge/>
            <w:tcBorders>
              <w:left w:val="nil"/>
              <w:right w:val="nil"/>
            </w:tcBorders>
            <w:vAlign w:val="center"/>
          </w:tcPr>
          <w:p w14:paraId="139E0D7E"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tcPr>
          <w:p w14:paraId="31785DC3"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71B1C426"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4BBEDC7E" w14:textId="31F650BB"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-7.642±11.16</w:t>
            </w:r>
            <w:r>
              <w:rPr>
                <w:color w:val="000000"/>
                <w:sz w:val="20"/>
                <w:szCs w:val="20"/>
              </w:rPr>
              <w:t>0</w:t>
            </w:r>
          </w:p>
        </w:tc>
        <w:tc>
          <w:tcPr>
            <w:tcW w:w="972" w:type="dxa"/>
            <w:tcBorders>
              <w:top w:val="nil"/>
              <w:left w:val="nil"/>
              <w:bottom w:val="nil"/>
              <w:right w:val="nil"/>
            </w:tcBorders>
            <w:noWrap/>
            <w:vAlign w:val="bottom"/>
          </w:tcPr>
          <w:p w14:paraId="741D9CD2" w14:textId="64D13050"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-0.751</w:t>
            </w:r>
          </w:p>
        </w:tc>
        <w:tc>
          <w:tcPr>
            <w:tcW w:w="939" w:type="dxa"/>
            <w:tcBorders>
              <w:top w:val="nil"/>
              <w:left w:val="nil"/>
              <w:bottom w:val="nil"/>
              <w:right w:val="nil"/>
            </w:tcBorders>
            <w:noWrap/>
            <w:vAlign w:val="bottom"/>
          </w:tcPr>
          <w:p w14:paraId="2F161655" w14:textId="0E09422D"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0.453</w:t>
            </w:r>
          </w:p>
        </w:tc>
        <w:tc>
          <w:tcPr>
            <w:tcW w:w="1617" w:type="dxa"/>
            <w:tcBorders>
              <w:top w:val="nil"/>
              <w:left w:val="nil"/>
              <w:bottom w:val="nil"/>
              <w:right w:val="nil"/>
            </w:tcBorders>
            <w:noWrap/>
            <w:vAlign w:val="bottom"/>
          </w:tcPr>
          <w:p w14:paraId="7D637FE2" w14:textId="749DD304"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[-24.949, 13.644]</w:t>
            </w:r>
          </w:p>
        </w:tc>
      </w:tr>
      <w:tr w:rsidR="00A80236" w:rsidRPr="00452304" w14:paraId="7857E682" w14:textId="77777777" w:rsidTr="00A80236">
        <w:trPr>
          <w:trHeight w:val="320"/>
        </w:trPr>
        <w:tc>
          <w:tcPr>
            <w:tcW w:w="1294" w:type="dxa"/>
            <w:vMerge/>
            <w:tcBorders>
              <w:left w:val="nil"/>
              <w:bottom w:val="single" w:sz="4" w:space="0" w:color="auto"/>
              <w:right w:val="nil"/>
            </w:tcBorders>
            <w:vAlign w:val="center"/>
          </w:tcPr>
          <w:p w14:paraId="1AA12BBE"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tcPr>
          <w:p w14:paraId="3417CAE7"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FCFC036"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300D8540" w14:textId="6EF1166D"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-0.03</w:t>
            </w:r>
            <w:r>
              <w:rPr>
                <w:color w:val="000000"/>
                <w:sz w:val="20"/>
                <w:szCs w:val="20"/>
              </w:rPr>
              <w:t>0</w:t>
            </w:r>
            <w:r w:rsidRPr="00A80236">
              <w:rPr>
                <w:color w:val="000000"/>
                <w:sz w:val="20"/>
                <w:szCs w:val="20"/>
              </w:rPr>
              <w:t>±0.04</w:t>
            </w:r>
            <w:r>
              <w:rPr>
                <w:color w:val="000000"/>
                <w:sz w:val="20"/>
                <w:szCs w:val="20"/>
              </w:rPr>
              <w:t>0</w:t>
            </w:r>
          </w:p>
        </w:tc>
        <w:tc>
          <w:tcPr>
            <w:tcW w:w="972" w:type="dxa"/>
            <w:tcBorders>
              <w:top w:val="nil"/>
              <w:left w:val="nil"/>
              <w:bottom w:val="single" w:sz="4" w:space="0" w:color="auto"/>
              <w:right w:val="nil"/>
            </w:tcBorders>
            <w:noWrap/>
            <w:vAlign w:val="bottom"/>
          </w:tcPr>
          <w:p w14:paraId="11BDB37B" w14:textId="1D4BA51A"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-0.697</w:t>
            </w:r>
          </w:p>
        </w:tc>
        <w:tc>
          <w:tcPr>
            <w:tcW w:w="939" w:type="dxa"/>
            <w:tcBorders>
              <w:top w:val="nil"/>
              <w:left w:val="nil"/>
              <w:bottom w:val="single" w:sz="4" w:space="0" w:color="auto"/>
              <w:right w:val="nil"/>
            </w:tcBorders>
            <w:noWrap/>
            <w:vAlign w:val="bottom"/>
          </w:tcPr>
          <w:p w14:paraId="359B373F" w14:textId="5F1BE4F1"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0.486</w:t>
            </w:r>
          </w:p>
        </w:tc>
        <w:tc>
          <w:tcPr>
            <w:tcW w:w="1617" w:type="dxa"/>
            <w:tcBorders>
              <w:top w:val="nil"/>
              <w:left w:val="nil"/>
              <w:bottom w:val="single" w:sz="4" w:space="0" w:color="auto"/>
              <w:right w:val="nil"/>
            </w:tcBorders>
            <w:noWrap/>
            <w:vAlign w:val="bottom"/>
          </w:tcPr>
          <w:p w14:paraId="1EA34341" w14:textId="49C6BC50"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[-0.11</w:t>
            </w:r>
            <w:r>
              <w:rPr>
                <w:color w:val="000000"/>
                <w:sz w:val="20"/>
                <w:szCs w:val="20"/>
              </w:rPr>
              <w:t>0</w:t>
            </w:r>
            <w:r w:rsidRPr="00A80236">
              <w:rPr>
                <w:color w:val="000000"/>
                <w:sz w:val="20"/>
                <w:szCs w:val="20"/>
              </w:rPr>
              <w:t>, 0.05</w:t>
            </w:r>
            <w:r>
              <w:rPr>
                <w:color w:val="000000"/>
                <w:sz w:val="20"/>
                <w:szCs w:val="20"/>
              </w:rPr>
              <w:t>0</w:t>
            </w:r>
            <w:r w:rsidRPr="00A80236">
              <w:rPr>
                <w:color w:val="000000"/>
                <w:sz w:val="20"/>
                <w:szCs w:val="20"/>
              </w:rPr>
              <w:t>]</w:t>
            </w:r>
          </w:p>
        </w:tc>
      </w:tr>
      <w:tr w:rsidR="00A80236" w:rsidRPr="00452304" w14:paraId="1BF92EE7" w14:textId="77777777" w:rsidTr="00A80236">
        <w:trPr>
          <w:trHeight w:val="320"/>
        </w:trPr>
        <w:tc>
          <w:tcPr>
            <w:tcW w:w="1294" w:type="dxa"/>
            <w:vMerge w:val="restart"/>
            <w:tcBorders>
              <w:top w:val="single" w:sz="4" w:space="0" w:color="auto"/>
              <w:left w:val="nil"/>
              <w:right w:val="nil"/>
            </w:tcBorders>
            <w:vAlign w:val="center"/>
          </w:tcPr>
          <w:p w14:paraId="5F32F785" w14:textId="29A351F4" w:rsidR="00A80236" w:rsidRPr="00355693" w:rsidRDefault="00A80236" w:rsidP="00A80236">
            <w:pPr>
              <w:spacing w:after="0" w:line="240" w:lineRule="auto"/>
              <w:rPr>
                <w:rFonts w:eastAsia="Times New Roman"/>
                <w:i/>
                <w:color w:val="000000"/>
                <w:kern w:val="0"/>
                <w:sz w:val="20"/>
                <w:szCs w:val="20"/>
                <w14:ligatures w14:val="none"/>
              </w:rPr>
            </w:pPr>
            <w:r>
              <w:rPr>
                <w:rFonts w:eastAsia="Times New Roman"/>
                <w:i/>
                <w:color w:val="000000"/>
                <w:kern w:val="0"/>
                <w:sz w:val="20"/>
                <w:szCs w:val="20"/>
                <w14:ligatures w14:val="none"/>
              </w:rPr>
              <w:t>Belowground biomass</w:t>
            </w:r>
          </w:p>
        </w:tc>
        <w:tc>
          <w:tcPr>
            <w:tcW w:w="1178" w:type="dxa"/>
            <w:vMerge w:val="restart"/>
            <w:tcBorders>
              <w:top w:val="single" w:sz="4" w:space="0" w:color="auto"/>
              <w:left w:val="nil"/>
              <w:right w:val="nil"/>
            </w:tcBorders>
            <w:noWrap/>
            <w:vAlign w:val="center"/>
          </w:tcPr>
          <w:p w14:paraId="414E918B" w14:textId="77777777" w:rsidR="00A80236" w:rsidRPr="008825E3" w:rsidRDefault="00A80236" w:rsidP="00A80236">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bottom"/>
          </w:tcPr>
          <w:p w14:paraId="7E324E5E"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6AF57A49" w14:textId="41AE54A1"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-0.3</w:t>
            </w:r>
            <w:r>
              <w:rPr>
                <w:color w:val="000000"/>
                <w:sz w:val="20"/>
                <w:szCs w:val="20"/>
              </w:rPr>
              <w:t>00</w:t>
            </w:r>
            <w:r w:rsidRPr="00A80236">
              <w:rPr>
                <w:color w:val="000000"/>
                <w:sz w:val="20"/>
                <w:szCs w:val="20"/>
              </w:rPr>
              <w:t>±0.904</w:t>
            </w:r>
          </w:p>
        </w:tc>
        <w:tc>
          <w:tcPr>
            <w:tcW w:w="972" w:type="dxa"/>
            <w:tcBorders>
              <w:top w:val="single" w:sz="4" w:space="0" w:color="auto"/>
              <w:left w:val="nil"/>
              <w:bottom w:val="nil"/>
              <w:right w:val="nil"/>
            </w:tcBorders>
            <w:noWrap/>
            <w:vAlign w:val="bottom"/>
          </w:tcPr>
          <w:p w14:paraId="66613263" w14:textId="51C82F5B"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-0.328</w:t>
            </w:r>
          </w:p>
        </w:tc>
        <w:tc>
          <w:tcPr>
            <w:tcW w:w="939" w:type="dxa"/>
            <w:tcBorders>
              <w:top w:val="single" w:sz="4" w:space="0" w:color="auto"/>
              <w:left w:val="nil"/>
              <w:bottom w:val="nil"/>
              <w:right w:val="nil"/>
            </w:tcBorders>
            <w:noWrap/>
            <w:vAlign w:val="bottom"/>
          </w:tcPr>
          <w:p w14:paraId="39D6E126" w14:textId="74277B73"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0.743</w:t>
            </w:r>
          </w:p>
        </w:tc>
        <w:tc>
          <w:tcPr>
            <w:tcW w:w="1617" w:type="dxa"/>
            <w:tcBorders>
              <w:top w:val="single" w:sz="4" w:space="0" w:color="auto"/>
              <w:left w:val="nil"/>
              <w:bottom w:val="nil"/>
              <w:right w:val="nil"/>
            </w:tcBorders>
            <w:noWrap/>
            <w:vAlign w:val="bottom"/>
          </w:tcPr>
          <w:p w14:paraId="038838D6" w14:textId="7A339070"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[-2.049, 1.481]</w:t>
            </w:r>
          </w:p>
        </w:tc>
      </w:tr>
      <w:tr w:rsidR="00A80236" w:rsidRPr="00452304" w14:paraId="1C793CEF" w14:textId="77777777" w:rsidTr="00A80236">
        <w:trPr>
          <w:trHeight w:val="320"/>
        </w:trPr>
        <w:tc>
          <w:tcPr>
            <w:tcW w:w="1294" w:type="dxa"/>
            <w:vMerge/>
            <w:tcBorders>
              <w:left w:val="nil"/>
              <w:right w:val="nil"/>
            </w:tcBorders>
          </w:tcPr>
          <w:p w14:paraId="4189207F"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44B0740A"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40607D8C"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50BD3C80" w14:textId="0BF89C63"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17.621±10.749</w:t>
            </w:r>
          </w:p>
        </w:tc>
        <w:tc>
          <w:tcPr>
            <w:tcW w:w="972" w:type="dxa"/>
            <w:tcBorders>
              <w:top w:val="nil"/>
              <w:left w:val="nil"/>
              <w:bottom w:val="nil"/>
              <w:right w:val="nil"/>
            </w:tcBorders>
            <w:noWrap/>
            <w:vAlign w:val="bottom"/>
          </w:tcPr>
          <w:p w14:paraId="06C6CFC6" w14:textId="61571043"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1.590</w:t>
            </w:r>
          </w:p>
        </w:tc>
        <w:tc>
          <w:tcPr>
            <w:tcW w:w="939" w:type="dxa"/>
            <w:tcBorders>
              <w:top w:val="nil"/>
              <w:left w:val="nil"/>
              <w:bottom w:val="nil"/>
              <w:right w:val="nil"/>
            </w:tcBorders>
            <w:noWrap/>
            <w:vAlign w:val="bottom"/>
          </w:tcPr>
          <w:p w14:paraId="141D872B" w14:textId="7F33DA2D"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0.112</w:t>
            </w:r>
          </w:p>
        </w:tc>
        <w:tc>
          <w:tcPr>
            <w:tcW w:w="1617" w:type="dxa"/>
            <w:tcBorders>
              <w:top w:val="nil"/>
              <w:left w:val="nil"/>
              <w:bottom w:val="nil"/>
              <w:right w:val="nil"/>
            </w:tcBorders>
            <w:noWrap/>
            <w:vAlign w:val="bottom"/>
          </w:tcPr>
          <w:p w14:paraId="4BD744DA" w14:textId="5285AB22"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[-3.709, 43.692]</w:t>
            </w:r>
          </w:p>
        </w:tc>
      </w:tr>
      <w:tr w:rsidR="00A80236" w:rsidRPr="00452304" w14:paraId="3316753E" w14:textId="77777777" w:rsidTr="00A80236">
        <w:trPr>
          <w:trHeight w:val="320"/>
        </w:trPr>
        <w:tc>
          <w:tcPr>
            <w:tcW w:w="1294" w:type="dxa"/>
            <w:vMerge/>
            <w:tcBorders>
              <w:left w:val="nil"/>
              <w:right w:val="nil"/>
            </w:tcBorders>
          </w:tcPr>
          <w:p w14:paraId="72235937"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1227C41"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3305AB65"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7B8D1D1A" w14:textId="4504DDBD"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0.07</w:t>
            </w:r>
            <w:r>
              <w:rPr>
                <w:color w:val="000000"/>
                <w:sz w:val="20"/>
                <w:szCs w:val="20"/>
              </w:rPr>
              <w:t>0</w:t>
            </w:r>
            <w:r w:rsidRPr="00A80236">
              <w:rPr>
                <w:color w:val="000000"/>
                <w:sz w:val="20"/>
                <w:szCs w:val="20"/>
              </w:rPr>
              <w:t>±0.05</w:t>
            </w:r>
            <w:r>
              <w:rPr>
                <w:color w:val="000000"/>
                <w:sz w:val="20"/>
                <w:szCs w:val="20"/>
              </w:rPr>
              <w:t>0</w:t>
            </w:r>
          </w:p>
        </w:tc>
        <w:tc>
          <w:tcPr>
            <w:tcW w:w="972" w:type="dxa"/>
            <w:tcBorders>
              <w:top w:val="nil"/>
              <w:left w:val="nil"/>
              <w:bottom w:val="single" w:sz="4" w:space="0" w:color="auto"/>
              <w:right w:val="nil"/>
            </w:tcBorders>
            <w:noWrap/>
            <w:vAlign w:val="bottom"/>
          </w:tcPr>
          <w:p w14:paraId="6FA25F5C" w14:textId="005AB64D"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1.443</w:t>
            </w:r>
          </w:p>
        </w:tc>
        <w:tc>
          <w:tcPr>
            <w:tcW w:w="939" w:type="dxa"/>
            <w:tcBorders>
              <w:top w:val="nil"/>
              <w:left w:val="nil"/>
              <w:bottom w:val="single" w:sz="4" w:space="0" w:color="auto"/>
              <w:right w:val="nil"/>
            </w:tcBorders>
            <w:noWrap/>
            <w:vAlign w:val="bottom"/>
          </w:tcPr>
          <w:p w14:paraId="4331426F" w14:textId="162C5578"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0.149</w:t>
            </w:r>
          </w:p>
        </w:tc>
        <w:tc>
          <w:tcPr>
            <w:tcW w:w="1617" w:type="dxa"/>
            <w:tcBorders>
              <w:top w:val="nil"/>
              <w:left w:val="nil"/>
              <w:bottom w:val="single" w:sz="4" w:space="0" w:color="auto"/>
              <w:right w:val="nil"/>
            </w:tcBorders>
            <w:noWrap/>
            <w:vAlign w:val="bottom"/>
          </w:tcPr>
          <w:p w14:paraId="53CE7976" w14:textId="640CEAC4"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[-0.03</w:t>
            </w:r>
            <w:r>
              <w:rPr>
                <w:color w:val="000000"/>
                <w:sz w:val="20"/>
                <w:szCs w:val="20"/>
              </w:rPr>
              <w:t>0</w:t>
            </w:r>
            <w:r w:rsidRPr="00A80236">
              <w:rPr>
                <w:color w:val="000000"/>
                <w:sz w:val="20"/>
                <w:szCs w:val="20"/>
              </w:rPr>
              <w:t>, 0.17</w:t>
            </w:r>
            <w:r>
              <w:rPr>
                <w:color w:val="000000"/>
                <w:sz w:val="20"/>
                <w:szCs w:val="20"/>
              </w:rPr>
              <w:t>0</w:t>
            </w:r>
            <w:r w:rsidRPr="00A80236">
              <w:rPr>
                <w:color w:val="000000"/>
                <w:sz w:val="20"/>
                <w:szCs w:val="20"/>
              </w:rPr>
              <w:t>]</w:t>
            </w:r>
          </w:p>
        </w:tc>
      </w:tr>
      <w:tr w:rsidR="00A80236" w:rsidRPr="00452304" w14:paraId="557285FE" w14:textId="77777777" w:rsidTr="00A80236">
        <w:trPr>
          <w:trHeight w:val="320"/>
        </w:trPr>
        <w:tc>
          <w:tcPr>
            <w:tcW w:w="1294" w:type="dxa"/>
            <w:vMerge/>
            <w:tcBorders>
              <w:left w:val="nil"/>
              <w:right w:val="nil"/>
            </w:tcBorders>
          </w:tcPr>
          <w:p w14:paraId="7F9C8909"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3422358" w14:textId="77777777" w:rsidR="00A80236" w:rsidRPr="008825E3" w:rsidRDefault="00A80236" w:rsidP="00A80236">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bottom"/>
          </w:tcPr>
          <w:p w14:paraId="0B52B13A"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7E65B1C4" w14:textId="78A943E9"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0.05</w:t>
            </w:r>
            <w:r>
              <w:rPr>
                <w:color w:val="000000"/>
                <w:sz w:val="20"/>
                <w:szCs w:val="20"/>
              </w:rPr>
              <w:t>0</w:t>
            </w:r>
            <w:r w:rsidRPr="00A80236">
              <w:rPr>
                <w:color w:val="000000"/>
                <w:sz w:val="20"/>
                <w:szCs w:val="20"/>
              </w:rPr>
              <w:t>±0.773</w:t>
            </w:r>
          </w:p>
        </w:tc>
        <w:tc>
          <w:tcPr>
            <w:tcW w:w="972" w:type="dxa"/>
            <w:tcBorders>
              <w:top w:val="single" w:sz="4" w:space="0" w:color="auto"/>
              <w:left w:val="nil"/>
              <w:bottom w:val="nil"/>
              <w:right w:val="nil"/>
            </w:tcBorders>
            <w:noWrap/>
            <w:vAlign w:val="bottom"/>
          </w:tcPr>
          <w:p w14:paraId="1E61B925" w14:textId="40A15659"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0.069</w:t>
            </w:r>
          </w:p>
        </w:tc>
        <w:tc>
          <w:tcPr>
            <w:tcW w:w="939" w:type="dxa"/>
            <w:tcBorders>
              <w:top w:val="single" w:sz="4" w:space="0" w:color="auto"/>
              <w:left w:val="nil"/>
              <w:bottom w:val="nil"/>
              <w:right w:val="nil"/>
            </w:tcBorders>
            <w:noWrap/>
            <w:vAlign w:val="bottom"/>
          </w:tcPr>
          <w:p w14:paraId="26088D8B" w14:textId="5D00D2B9"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0.945</w:t>
            </w:r>
          </w:p>
        </w:tc>
        <w:tc>
          <w:tcPr>
            <w:tcW w:w="1617" w:type="dxa"/>
            <w:tcBorders>
              <w:top w:val="single" w:sz="4" w:space="0" w:color="auto"/>
              <w:left w:val="nil"/>
              <w:bottom w:val="nil"/>
              <w:right w:val="nil"/>
            </w:tcBorders>
            <w:noWrap/>
            <w:vAlign w:val="bottom"/>
          </w:tcPr>
          <w:p w14:paraId="312AE3D1" w14:textId="6C929353"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[-1.449, 1.572]</w:t>
            </w:r>
          </w:p>
        </w:tc>
      </w:tr>
      <w:tr w:rsidR="00A80236" w:rsidRPr="00452304" w14:paraId="2E901F87" w14:textId="77777777" w:rsidTr="00A80236">
        <w:trPr>
          <w:trHeight w:val="320"/>
        </w:trPr>
        <w:tc>
          <w:tcPr>
            <w:tcW w:w="1294" w:type="dxa"/>
            <w:vMerge/>
            <w:tcBorders>
              <w:left w:val="nil"/>
              <w:right w:val="nil"/>
            </w:tcBorders>
          </w:tcPr>
          <w:p w14:paraId="258B3C8A"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699E36BF"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75A73B90"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2BA4FF05" w14:textId="4EB716BC"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-2.887±8.828</w:t>
            </w:r>
          </w:p>
        </w:tc>
        <w:tc>
          <w:tcPr>
            <w:tcW w:w="972" w:type="dxa"/>
            <w:tcBorders>
              <w:top w:val="nil"/>
              <w:left w:val="nil"/>
              <w:bottom w:val="nil"/>
              <w:right w:val="nil"/>
            </w:tcBorders>
            <w:noWrap/>
            <w:vAlign w:val="bottom"/>
          </w:tcPr>
          <w:p w14:paraId="73D83875" w14:textId="75766661"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-0.346</w:t>
            </w:r>
          </w:p>
        </w:tc>
        <w:tc>
          <w:tcPr>
            <w:tcW w:w="939" w:type="dxa"/>
            <w:tcBorders>
              <w:top w:val="nil"/>
              <w:left w:val="nil"/>
              <w:bottom w:val="nil"/>
              <w:right w:val="nil"/>
            </w:tcBorders>
            <w:noWrap/>
            <w:vAlign w:val="bottom"/>
          </w:tcPr>
          <w:p w14:paraId="48FAD1F2" w14:textId="481A5766"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0.729</w:t>
            </w:r>
          </w:p>
        </w:tc>
        <w:tc>
          <w:tcPr>
            <w:tcW w:w="1617" w:type="dxa"/>
            <w:tcBorders>
              <w:top w:val="nil"/>
              <w:left w:val="nil"/>
              <w:bottom w:val="nil"/>
              <w:right w:val="nil"/>
            </w:tcBorders>
            <w:noWrap/>
            <w:vAlign w:val="bottom"/>
          </w:tcPr>
          <w:p w14:paraId="59550AE7" w14:textId="59E2AED8"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[-17.717, 14.625]</w:t>
            </w:r>
          </w:p>
        </w:tc>
      </w:tr>
      <w:tr w:rsidR="00A80236" w:rsidRPr="00452304" w14:paraId="196A9D3D" w14:textId="77777777" w:rsidTr="00A80236">
        <w:trPr>
          <w:trHeight w:val="320"/>
        </w:trPr>
        <w:tc>
          <w:tcPr>
            <w:tcW w:w="1294" w:type="dxa"/>
            <w:vMerge/>
            <w:tcBorders>
              <w:left w:val="nil"/>
              <w:right w:val="nil"/>
            </w:tcBorders>
          </w:tcPr>
          <w:p w14:paraId="6A164F30"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4E8D9C6"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23F76C01"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65F72B91" w14:textId="0DA22E05"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0.03</w:t>
            </w:r>
            <w:r>
              <w:rPr>
                <w:color w:val="000000"/>
                <w:sz w:val="20"/>
                <w:szCs w:val="20"/>
              </w:rPr>
              <w:t>0</w:t>
            </w:r>
            <w:r w:rsidRPr="00A80236">
              <w:rPr>
                <w:color w:val="000000"/>
                <w:sz w:val="20"/>
                <w:szCs w:val="20"/>
              </w:rPr>
              <w:t>±0.04</w:t>
            </w:r>
            <w:r>
              <w:rPr>
                <w:color w:val="000000"/>
                <w:sz w:val="20"/>
                <w:szCs w:val="20"/>
              </w:rPr>
              <w:t>0</w:t>
            </w:r>
          </w:p>
        </w:tc>
        <w:tc>
          <w:tcPr>
            <w:tcW w:w="972" w:type="dxa"/>
            <w:tcBorders>
              <w:top w:val="nil"/>
              <w:left w:val="nil"/>
              <w:bottom w:val="single" w:sz="4" w:space="0" w:color="auto"/>
              <w:right w:val="nil"/>
            </w:tcBorders>
            <w:noWrap/>
            <w:vAlign w:val="bottom"/>
          </w:tcPr>
          <w:p w14:paraId="564F4546" w14:textId="183CDECF"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0.610</w:t>
            </w:r>
          </w:p>
        </w:tc>
        <w:tc>
          <w:tcPr>
            <w:tcW w:w="939" w:type="dxa"/>
            <w:tcBorders>
              <w:top w:val="nil"/>
              <w:left w:val="nil"/>
              <w:bottom w:val="single" w:sz="4" w:space="0" w:color="auto"/>
              <w:right w:val="nil"/>
            </w:tcBorders>
            <w:noWrap/>
            <w:vAlign w:val="bottom"/>
          </w:tcPr>
          <w:p w14:paraId="3A2161FA" w14:textId="12CC3038"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0.542</w:t>
            </w:r>
          </w:p>
        </w:tc>
        <w:tc>
          <w:tcPr>
            <w:tcW w:w="1617" w:type="dxa"/>
            <w:tcBorders>
              <w:top w:val="nil"/>
              <w:left w:val="nil"/>
              <w:bottom w:val="single" w:sz="4" w:space="0" w:color="auto"/>
              <w:right w:val="nil"/>
            </w:tcBorders>
            <w:noWrap/>
            <w:vAlign w:val="bottom"/>
          </w:tcPr>
          <w:p w14:paraId="2DB87B9A" w14:textId="3369B09D"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[-0.06</w:t>
            </w:r>
            <w:r>
              <w:rPr>
                <w:color w:val="000000"/>
                <w:sz w:val="20"/>
                <w:szCs w:val="20"/>
              </w:rPr>
              <w:t>0</w:t>
            </w:r>
            <w:r w:rsidRPr="00A80236">
              <w:rPr>
                <w:color w:val="000000"/>
                <w:sz w:val="20"/>
                <w:szCs w:val="20"/>
              </w:rPr>
              <w:t>, 0.11</w:t>
            </w:r>
            <w:r>
              <w:rPr>
                <w:color w:val="000000"/>
                <w:sz w:val="20"/>
                <w:szCs w:val="20"/>
              </w:rPr>
              <w:t>0</w:t>
            </w:r>
            <w:r w:rsidRPr="00A80236">
              <w:rPr>
                <w:color w:val="000000"/>
                <w:sz w:val="20"/>
                <w:szCs w:val="20"/>
              </w:rPr>
              <w:t>]</w:t>
            </w:r>
          </w:p>
        </w:tc>
      </w:tr>
      <w:tr w:rsidR="00A80236" w:rsidRPr="00452304" w14:paraId="4972397E" w14:textId="77777777" w:rsidTr="00A80236">
        <w:trPr>
          <w:trHeight w:val="320"/>
        </w:trPr>
        <w:tc>
          <w:tcPr>
            <w:tcW w:w="1294" w:type="dxa"/>
            <w:vMerge/>
            <w:tcBorders>
              <w:left w:val="nil"/>
              <w:right w:val="nil"/>
            </w:tcBorders>
          </w:tcPr>
          <w:p w14:paraId="2A1EDBEB"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7CE78708" w14:textId="77777777" w:rsidR="00A80236" w:rsidRPr="008825E3" w:rsidRDefault="00A80236" w:rsidP="00A80236">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bottom"/>
          </w:tcPr>
          <w:p w14:paraId="593434BE"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42D83A02" w14:textId="65B94CAF"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-0.916±1.015</w:t>
            </w:r>
          </w:p>
        </w:tc>
        <w:tc>
          <w:tcPr>
            <w:tcW w:w="972" w:type="dxa"/>
            <w:tcBorders>
              <w:top w:val="single" w:sz="4" w:space="0" w:color="auto"/>
              <w:left w:val="nil"/>
              <w:bottom w:val="nil"/>
              <w:right w:val="nil"/>
            </w:tcBorders>
            <w:noWrap/>
            <w:vAlign w:val="bottom"/>
          </w:tcPr>
          <w:p w14:paraId="7C364886" w14:textId="255FFFAE"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-0.912</w:t>
            </w:r>
          </w:p>
        </w:tc>
        <w:tc>
          <w:tcPr>
            <w:tcW w:w="939" w:type="dxa"/>
            <w:tcBorders>
              <w:top w:val="single" w:sz="4" w:space="0" w:color="auto"/>
              <w:left w:val="nil"/>
              <w:bottom w:val="nil"/>
              <w:right w:val="nil"/>
            </w:tcBorders>
            <w:noWrap/>
            <w:vAlign w:val="bottom"/>
          </w:tcPr>
          <w:p w14:paraId="498928CD" w14:textId="369EA46F"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0.362</w:t>
            </w:r>
          </w:p>
        </w:tc>
        <w:tc>
          <w:tcPr>
            <w:tcW w:w="1617" w:type="dxa"/>
            <w:tcBorders>
              <w:top w:val="single" w:sz="4" w:space="0" w:color="auto"/>
              <w:left w:val="nil"/>
              <w:bottom w:val="nil"/>
              <w:right w:val="nil"/>
            </w:tcBorders>
            <w:noWrap/>
            <w:vAlign w:val="bottom"/>
          </w:tcPr>
          <w:p w14:paraId="2DEF1E82" w14:textId="52C84613"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[-2.849, 1.066]</w:t>
            </w:r>
          </w:p>
        </w:tc>
      </w:tr>
      <w:tr w:rsidR="00A80236" w:rsidRPr="00452304" w14:paraId="1902685D" w14:textId="77777777" w:rsidTr="00A80236">
        <w:trPr>
          <w:trHeight w:val="320"/>
        </w:trPr>
        <w:tc>
          <w:tcPr>
            <w:tcW w:w="1294" w:type="dxa"/>
            <w:vMerge/>
            <w:tcBorders>
              <w:left w:val="nil"/>
              <w:right w:val="nil"/>
            </w:tcBorders>
          </w:tcPr>
          <w:p w14:paraId="3E146F90"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tcPr>
          <w:p w14:paraId="3108CA85"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394E16AD"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03C8B3D5" w14:textId="2EDA5AB6"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15.373±12.187</w:t>
            </w:r>
          </w:p>
        </w:tc>
        <w:tc>
          <w:tcPr>
            <w:tcW w:w="972" w:type="dxa"/>
            <w:tcBorders>
              <w:top w:val="nil"/>
              <w:left w:val="nil"/>
              <w:bottom w:val="nil"/>
              <w:right w:val="nil"/>
            </w:tcBorders>
            <w:noWrap/>
            <w:vAlign w:val="bottom"/>
          </w:tcPr>
          <w:p w14:paraId="45A7A2B5" w14:textId="115874A5"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1.244</w:t>
            </w:r>
          </w:p>
        </w:tc>
        <w:tc>
          <w:tcPr>
            <w:tcW w:w="939" w:type="dxa"/>
            <w:tcBorders>
              <w:top w:val="nil"/>
              <w:left w:val="nil"/>
              <w:bottom w:val="nil"/>
              <w:right w:val="nil"/>
            </w:tcBorders>
            <w:noWrap/>
            <w:vAlign w:val="bottom"/>
          </w:tcPr>
          <w:p w14:paraId="4B19D9A9" w14:textId="7EB83F01"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0.214</w:t>
            </w:r>
          </w:p>
        </w:tc>
        <w:tc>
          <w:tcPr>
            <w:tcW w:w="1617" w:type="dxa"/>
            <w:tcBorders>
              <w:top w:val="nil"/>
              <w:left w:val="nil"/>
              <w:bottom w:val="nil"/>
              <w:right w:val="nil"/>
            </w:tcBorders>
            <w:noWrap/>
            <w:vAlign w:val="bottom"/>
          </w:tcPr>
          <w:p w14:paraId="39C0156A" w14:textId="6DACEAC1"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[-7.9</w:t>
            </w:r>
            <w:r>
              <w:rPr>
                <w:color w:val="000000"/>
                <w:sz w:val="20"/>
                <w:szCs w:val="20"/>
              </w:rPr>
              <w:t>00</w:t>
            </w:r>
            <w:r w:rsidRPr="00A80236">
              <w:rPr>
                <w:color w:val="000000"/>
                <w:sz w:val="20"/>
                <w:szCs w:val="20"/>
              </w:rPr>
              <w:t>, 44.528]</w:t>
            </w:r>
          </w:p>
        </w:tc>
      </w:tr>
      <w:tr w:rsidR="00A80236" w:rsidRPr="00452304" w14:paraId="66345D0B" w14:textId="77777777" w:rsidTr="00A80236">
        <w:trPr>
          <w:trHeight w:val="320"/>
        </w:trPr>
        <w:tc>
          <w:tcPr>
            <w:tcW w:w="1294" w:type="dxa"/>
            <w:vMerge/>
            <w:tcBorders>
              <w:left w:val="nil"/>
              <w:bottom w:val="single" w:sz="4" w:space="0" w:color="auto"/>
              <w:right w:val="nil"/>
            </w:tcBorders>
          </w:tcPr>
          <w:p w14:paraId="0C6A7DFF"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tcPr>
          <w:p w14:paraId="6C705AAE"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2D53A426" w14:textId="77777777" w:rsidR="00A80236" w:rsidRPr="00EC1D99" w:rsidRDefault="00A80236" w:rsidP="00A80236">
            <w:pPr>
              <w:spacing w:after="0" w:line="240" w:lineRule="auto"/>
              <w:rPr>
                <w:rFonts w:eastAsia="Times New Roman"/>
                <w:b/>
                <w:bCs/>
                <w:i/>
                <w:color w:val="000000"/>
                <w:kern w:val="0"/>
                <w:sz w:val="20"/>
                <w:szCs w:val="20"/>
                <w14:ligatures w14:val="none"/>
              </w:rPr>
            </w:pPr>
            <w:proofErr w:type="spellStart"/>
            <w:r w:rsidRPr="00EC1D99">
              <w:rPr>
                <w:rFonts w:eastAsia="Times New Roman"/>
                <w:b/>
                <w:bCs/>
                <w:i/>
                <w:color w:val="000000"/>
                <w:kern w:val="0"/>
                <w:sz w:val="20"/>
                <w:szCs w:val="20"/>
                <w14:ligatures w14:val="none"/>
              </w:rPr>
              <w:t>PAR</w:t>
            </w:r>
            <w:r w:rsidRPr="00EC1D99">
              <w:rPr>
                <w:rFonts w:eastAsia="Times New Roman"/>
                <w:b/>
                <w:bCs/>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7CCCFEAC" w14:textId="37F29EC2" w:rsidR="00A80236" w:rsidRPr="006602D9" w:rsidRDefault="00A80236" w:rsidP="00A80236">
            <w:pPr>
              <w:spacing w:after="0" w:line="240" w:lineRule="auto"/>
              <w:jc w:val="right"/>
              <w:rPr>
                <w:b/>
                <w:bCs/>
                <w:color w:val="000000"/>
                <w:sz w:val="20"/>
                <w:szCs w:val="20"/>
                <w:highlight w:val="yellow"/>
              </w:rPr>
            </w:pPr>
            <w:r w:rsidRPr="006602D9">
              <w:rPr>
                <w:b/>
                <w:bCs/>
                <w:color w:val="000000"/>
                <w:sz w:val="20"/>
                <w:szCs w:val="20"/>
              </w:rPr>
              <w:t>0.120±0.060</w:t>
            </w:r>
          </w:p>
        </w:tc>
        <w:tc>
          <w:tcPr>
            <w:tcW w:w="972" w:type="dxa"/>
            <w:tcBorders>
              <w:top w:val="nil"/>
              <w:left w:val="nil"/>
              <w:bottom w:val="single" w:sz="4" w:space="0" w:color="auto"/>
              <w:right w:val="nil"/>
            </w:tcBorders>
            <w:noWrap/>
            <w:vAlign w:val="bottom"/>
          </w:tcPr>
          <w:p w14:paraId="5F530784" w14:textId="71A0B2A6" w:rsidR="00A80236" w:rsidRPr="006602D9" w:rsidRDefault="00A80236" w:rsidP="00A80236">
            <w:pPr>
              <w:spacing w:after="0" w:line="240" w:lineRule="auto"/>
              <w:jc w:val="right"/>
              <w:rPr>
                <w:b/>
                <w:bCs/>
                <w:color w:val="000000"/>
                <w:sz w:val="20"/>
                <w:szCs w:val="20"/>
                <w:highlight w:val="yellow"/>
              </w:rPr>
            </w:pPr>
            <w:r w:rsidRPr="006602D9">
              <w:rPr>
                <w:b/>
                <w:bCs/>
                <w:color w:val="000000"/>
                <w:sz w:val="20"/>
                <w:szCs w:val="20"/>
              </w:rPr>
              <w:t>2.202</w:t>
            </w:r>
          </w:p>
        </w:tc>
        <w:tc>
          <w:tcPr>
            <w:tcW w:w="939" w:type="dxa"/>
            <w:tcBorders>
              <w:top w:val="nil"/>
              <w:left w:val="nil"/>
              <w:bottom w:val="single" w:sz="4" w:space="0" w:color="auto"/>
              <w:right w:val="nil"/>
            </w:tcBorders>
            <w:noWrap/>
            <w:vAlign w:val="bottom"/>
          </w:tcPr>
          <w:p w14:paraId="0F543689" w14:textId="3BBEDCC1" w:rsidR="00A80236" w:rsidRPr="006602D9" w:rsidRDefault="00A80236" w:rsidP="00A80236">
            <w:pPr>
              <w:spacing w:after="0" w:line="240" w:lineRule="auto"/>
              <w:jc w:val="right"/>
              <w:rPr>
                <w:b/>
                <w:bCs/>
                <w:color w:val="000000"/>
                <w:sz w:val="20"/>
                <w:szCs w:val="20"/>
                <w:highlight w:val="yellow"/>
              </w:rPr>
            </w:pPr>
            <w:r w:rsidRPr="006602D9">
              <w:rPr>
                <w:b/>
                <w:bCs/>
                <w:color w:val="000000"/>
                <w:sz w:val="20"/>
                <w:szCs w:val="20"/>
              </w:rPr>
              <w:t>0.028</w:t>
            </w:r>
          </w:p>
        </w:tc>
        <w:tc>
          <w:tcPr>
            <w:tcW w:w="1617" w:type="dxa"/>
            <w:tcBorders>
              <w:top w:val="nil"/>
              <w:left w:val="nil"/>
              <w:bottom w:val="single" w:sz="4" w:space="0" w:color="auto"/>
              <w:right w:val="nil"/>
            </w:tcBorders>
            <w:noWrap/>
            <w:vAlign w:val="bottom"/>
          </w:tcPr>
          <w:p w14:paraId="2CBCE89B" w14:textId="1E7D3640" w:rsidR="00A80236" w:rsidRPr="006602D9" w:rsidRDefault="00A80236" w:rsidP="00A80236">
            <w:pPr>
              <w:spacing w:after="0" w:line="240" w:lineRule="auto"/>
              <w:jc w:val="right"/>
              <w:rPr>
                <w:b/>
                <w:bCs/>
                <w:color w:val="000000"/>
                <w:sz w:val="20"/>
                <w:szCs w:val="20"/>
                <w:highlight w:val="yellow"/>
              </w:rPr>
            </w:pPr>
            <w:r w:rsidRPr="006602D9">
              <w:rPr>
                <w:b/>
                <w:bCs/>
                <w:color w:val="000000"/>
                <w:sz w:val="20"/>
                <w:szCs w:val="20"/>
              </w:rPr>
              <w:t>[0.010, 0.230]</w:t>
            </w:r>
          </w:p>
        </w:tc>
      </w:tr>
      <w:tr w:rsidR="00A80236" w:rsidRPr="00452304" w14:paraId="1D2BD42E" w14:textId="77777777" w:rsidTr="00A80236">
        <w:trPr>
          <w:trHeight w:val="320"/>
        </w:trPr>
        <w:tc>
          <w:tcPr>
            <w:tcW w:w="1294" w:type="dxa"/>
            <w:vMerge w:val="restart"/>
            <w:tcBorders>
              <w:top w:val="single" w:sz="4" w:space="0" w:color="auto"/>
              <w:left w:val="nil"/>
              <w:right w:val="nil"/>
            </w:tcBorders>
            <w:vAlign w:val="center"/>
          </w:tcPr>
          <w:p w14:paraId="01E26DEE" w14:textId="01EAAFB2" w:rsidR="00A80236" w:rsidRPr="008825E3" w:rsidRDefault="00A80236" w:rsidP="00A80236">
            <w:pPr>
              <w:spacing w:after="0" w:line="240" w:lineRule="auto"/>
              <w:rPr>
                <w:rFonts w:eastAsia="Times New Roman"/>
                <w:iCs/>
                <w:color w:val="000000"/>
                <w:kern w:val="0"/>
                <w:sz w:val="20"/>
                <w:szCs w:val="20"/>
                <w:vertAlign w:val="subscript"/>
                <w14:ligatures w14:val="none"/>
              </w:rPr>
            </w:pPr>
            <w:r>
              <w:rPr>
                <w:rFonts w:eastAsia="Times New Roman"/>
                <w:i/>
                <w:iCs/>
                <w:color w:val="000000"/>
                <w:kern w:val="0"/>
                <w:sz w:val="20"/>
                <w:szCs w:val="20"/>
                <w14:ligatures w14:val="none"/>
              </w:rPr>
              <w:t>Root mass fraction</w:t>
            </w:r>
          </w:p>
        </w:tc>
        <w:tc>
          <w:tcPr>
            <w:tcW w:w="1178" w:type="dxa"/>
            <w:vMerge w:val="restart"/>
            <w:tcBorders>
              <w:top w:val="single" w:sz="4" w:space="0" w:color="auto"/>
              <w:left w:val="nil"/>
              <w:right w:val="nil"/>
            </w:tcBorders>
            <w:noWrap/>
            <w:vAlign w:val="center"/>
          </w:tcPr>
          <w:p w14:paraId="669FEB65" w14:textId="77777777" w:rsidR="00A80236" w:rsidRPr="008825E3" w:rsidRDefault="00A80236" w:rsidP="00A80236">
            <w:pPr>
              <w:spacing w:after="0" w:line="240" w:lineRule="auto"/>
              <w:rPr>
                <w:rFonts w:eastAsia="Times New Roman"/>
                <w:color w:val="000000"/>
                <w:kern w:val="0"/>
                <w:sz w:val="20"/>
                <w:szCs w:val="20"/>
                <w14:ligatures w14:val="none"/>
              </w:rPr>
            </w:pPr>
            <w:r w:rsidRPr="008825E3">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bottom"/>
          </w:tcPr>
          <w:p w14:paraId="20167AC8"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19710328" w14:textId="23050241"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-0.638±1.369</w:t>
            </w:r>
          </w:p>
        </w:tc>
        <w:tc>
          <w:tcPr>
            <w:tcW w:w="972" w:type="dxa"/>
            <w:tcBorders>
              <w:top w:val="single" w:sz="4" w:space="0" w:color="auto"/>
              <w:left w:val="nil"/>
              <w:bottom w:val="nil"/>
              <w:right w:val="nil"/>
            </w:tcBorders>
            <w:noWrap/>
            <w:vAlign w:val="bottom"/>
          </w:tcPr>
          <w:p w14:paraId="1F92C75C" w14:textId="7731F9D8"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-0.469</w:t>
            </w:r>
          </w:p>
        </w:tc>
        <w:tc>
          <w:tcPr>
            <w:tcW w:w="939" w:type="dxa"/>
            <w:tcBorders>
              <w:top w:val="single" w:sz="4" w:space="0" w:color="auto"/>
              <w:left w:val="nil"/>
              <w:bottom w:val="nil"/>
              <w:right w:val="nil"/>
            </w:tcBorders>
            <w:noWrap/>
            <w:vAlign w:val="bottom"/>
          </w:tcPr>
          <w:p w14:paraId="5CF6E63E" w14:textId="74FB4971"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0.639</w:t>
            </w:r>
          </w:p>
        </w:tc>
        <w:tc>
          <w:tcPr>
            <w:tcW w:w="1617" w:type="dxa"/>
            <w:tcBorders>
              <w:top w:val="single" w:sz="4" w:space="0" w:color="auto"/>
              <w:left w:val="nil"/>
              <w:bottom w:val="nil"/>
              <w:right w:val="nil"/>
            </w:tcBorders>
            <w:noWrap/>
            <w:vAlign w:val="bottom"/>
          </w:tcPr>
          <w:p w14:paraId="06EBBFDA" w14:textId="62F3215D"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[-3.246, 2.051]</w:t>
            </w:r>
          </w:p>
        </w:tc>
      </w:tr>
      <w:tr w:rsidR="00A80236" w:rsidRPr="00452304" w14:paraId="5C6669A9" w14:textId="77777777" w:rsidTr="00A80236">
        <w:trPr>
          <w:trHeight w:val="320"/>
        </w:trPr>
        <w:tc>
          <w:tcPr>
            <w:tcW w:w="1294" w:type="dxa"/>
            <w:vMerge/>
            <w:tcBorders>
              <w:left w:val="nil"/>
              <w:right w:val="nil"/>
            </w:tcBorders>
          </w:tcPr>
          <w:p w14:paraId="3577B537"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4C6FC3EA"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76BBC60A"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1CA96C44" w14:textId="3C4B4BA8"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12.131±11.204</w:t>
            </w:r>
          </w:p>
        </w:tc>
        <w:tc>
          <w:tcPr>
            <w:tcW w:w="972" w:type="dxa"/>
            <w:tcBorders>
              <w:top w:val="nil"/>
              <w:left w:val="nil"/>
              <w:bottom w:val="nil"/>
              <w:right w:val="nil"/>
            </w:tcBorders>
            <w:noWrap/>
            <w:vAlign w:val="bottom"/>
          </w:tcPr>
          <w:p w14:paraId="2AAB1F22" w14:textId="7D5CC4D4"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1.078</w:t>
            </w:r>
          </w:p>
        </w:tc>
        <w:tc>
          <w:tcPr>
            <w:tcW w:w="939" w:type="dxa"/>
            <w:tcBorders>
              <w:top w:val="nil"/>
              <w:left w:val="nil"/>
              <w:bottom w:val="nil"/>
              <w:right w:val="nil"/>
            </w:tcBorders>
            <w:noWrap/>
            <w:vAlign w:val="bottom"/>
          </w:tcPr>
          <w:p w14:paraId="01D61833" w14:textId="475FBCA9"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0.281</w:t>
            </w:r>
          </w:p>
        </w:tc>
        <w:tc>
          <w:tcPr>
            <w:tcW w:w="1617" w:type="dxa"/>
            <w:tcBorders>
              <w:top w:val="nil"/>
              <w:left w:val="nil"/>
              <w:bottom w:val="nil"/>
              <w:right w:val="nil"/>
            </w:tcBorders>
            <w:noWrap/>
            <w:vAlign w:val="bottom"/>
          </w:tcPr>
          <w:p w14:paraId="0D6AFC86" w14:textId="3F2280D6"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[-8.935, 38.085]</w:t>
            </w:r>
          </w:p>
        </w:tc>
      </w:tr>
      <w:tr w:rsidR="00A80236" w:rsidRPr="00452304" w14:paraId="4F4170F3" w14:textId="77777777" w:rsidTr="00A80236">
        <w:trPr>
          <w:trHeight w:val="320"/>
        </w:trPr>
        <w:tc>
          <w:tcPr>
            <w:tcW w:w="1294" w:type="dxa"/>
            <w:vMerge/>
            <w:tcBorders>
              <w:left w:val="nil"/>
              <w:right w:val="nil"/>
            </w:tcBorders>
          </w:tcPr>
          <w:p w14:paraId="5FF06617"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4895733"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43E30702" w14:textId="77777777" w:rsidR="00A80236" w:rsidRPr="00EC1D99" w:rsidRDefault="00A80236" w:rsidP="00A80236">
            <w:pPr>
              <w:spacing w:after="0" w:line="240" w:lineRule="auto"/>
              <w:rPr>
                <w:rFonts w:eastAsia="Times New Roman"/>
                <w:i/>
                <w:color w:val="000000"/>
                <w:kern w:val="0"/>
                <w:sz w:val="20"/>
                <w:szCs w:val="20"/>
                <w14:ligatures w14:val="none"/>
              </w:rPr>
            </w:pPr>
            <w:proofErr w:type="spellStart"/>
            <w:r w:rsidRPr="00EC1D99">
              <w:rPr>
                <w:rFonts w:eastAsia="Times New Roman"/>
                <w:i/>
                <w:color w:val="000000"/>
                <w:kern w:val="0"/>
                <w:sz w:val="20"/>
                <w:szCs w:val="20"/>
                <w14:ligatures w14:val="none"/>
              </w:rPr>
              <w:t>PAR</w:t>
            </w:r>
            <w:r w:rsidRPr="00EC1D99">
              <w:rPr>
                <w:rFonts w:eastAsia="Times New Roman"/>
                <w:i/>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7790BC81" w14:textId="59E056B7" w:rsidR="00A80236" w:rsidRPr="006602D9" w:rsidRDefault="00A80236" w:rsidP="00A80236">
            <w:pPr>
              <w:spacing w:after="0" w:line="240" w:lineRule="auto"/>
              <w:jc w:val="right"/>
              <w:rPr>
                <w:i/>
                <w:iCs/>
                <w:color w:val="000000"/>
                <w:sz w:val="20"/>
                <w:szCs w:val="20"/>
                <w:highlight w:val="yellow"/>
              </w:rPr>
            </w:pPr>
            <w:r w:rsidRPr="006602D9">
              <w:rPr>
                <w:i/>
                <w:iCs/>
                <w:color w:val="000000"/>
                <w:sz w:val="20"/>
                <w:szCs w:val="20"/>
              </w:rPr>
              <w:t>0.120±0.060</w:t>
            </w:r>
          </w:p>
        </w:tc>
        <w:tc>
          <w:tcPr>
            <w:tcW w:w="972" w:type="dxa"/>
            <w:tcBorders>
              <w:top w:val="nil"/>
              <w:left w:val="nil"/>
              <w:bottom w:val="single" w:sz="4" w:space="0" w:color="auto"/>
              <w:right w:val="nil"/>
            </w:tcBorders>
            <w:noWrap/>
            <w:vAlign w:val="bottom"/>
          </w:tcPr>
          <w:p w14:paraId="069C8678" w14:textId="03A620AC" w:rsidR="00A80236" w:rsidRPr="006602D9" w:rsidRDefault="00A80236" w:rsidP="00A80236">
            <w:pPr>
              <w:spacing w:after="0" w:line="240" w:lineRule="auto"/>
              <w:jc w:val="right"/>
              <w:rPr>
                <w:i/>
                <w:iCs/>
                <w:color w:val="000000"/>
                <w:sz w:val="20"/>
                <w:szCs w:val="20"/>
                <w:highlight w:val="yellow"/>
              </w:rPr>
            </w:pPr>
            <w:r w:rsidRPr="006602D9">
              <w:rPr>
                <w:i/>
                <w:iCs/>
                <w:color w:val="000000"/>
                <w:sz w:val="20"/>
                <w:szCs w:val="20"/>
              </w:rPr>
              <w:t>1.889</w:t>
            </w:r>
          </w:p>
        </w:tc>
        <w:tc>
          <w:tcPr>
            <w:tcW w:w="939" w:type="dxa"/>
            <w:tcBorders>
              <w:top w:val="nil"/>
              <w:left w:val="nil"/>
              <w:bottom w:val="single" w:sz="4" w:space="0" w:color="auto"/>
              <w:right w:val="nil"/>
            </w:tcBorders>
            <w:noWrap/>
            <w:vAlign w:val="bottom"/>
          </w:tcPr>
          <w:p w14:paraId="3DDF68C2" w14:textId="0E622460" w:rsidR="00A80236" w:rsidRPr="006602D9" w:rsidRDefault="00A80236" w:rsidP="00A80236">
            <w:pPr>
              <w:spacing w:after="0" w:line="240" w:lineRule="auto"/>
              <w:jc w:val="right"/>
              <w:rPr>
                <w:i/>
                <w:iCs/>
                <w:color w:val="000000"/>
                <w:sz w:val="20"/>
                <w:szCs w:val="20"/>
                <w:highlight w:val="yellow"/>
              </w:rPr>
            </w:pPr>
            <w:r w:rsidRPr="006602D9">
              <w:rPr>
                <w:i/>
                <w:iCs/>
                <w:color w:val="000000"/>
                <w:sz w:val="20"/>
                <w:szCs w:val="20"/>
              </w:rPr>
              <w:t>0.059</w:t>
            </w:r>
          </w:p>
        </w:tc>
        <w:tc>
          <w:tcPr>
            <w:tcW w:w="1617" w:type="dxa"/>
            <w:tcBorders>
              <w:top w:val="nil"/>
              <w:left w:val="nil"/>
              <w:bottom w:val="single" w:sz="4" w:space="0" w:color="auto"/>
              <w:right w:val="nil"/>
            </w:tcBorders>
            <w:noWrap/>
            <w:vAlign w:val="bottom"/>
          </w:tcPr>
          <w:p w14:paraId="3EC2B909" w14:textId="4E5188BC" w:rsidR="00A80236" w:rsidRPr="006602D9" w:rsidRDefault="00A80236" w:rsidP="00A80236">
            <w:pPr>
              <w:spacing w:after="0" w:line="240" w:lineRule="auto"/>
              <w:jc w:val="right"/>
              <w:rPr>
                <w:i/>
                <w:iCs/>
                <w:color w:val="000000"/>
                <w:sz w:val="20"/>
                <w:szCs w:val="20"/>
                <w:highlight w:val="yellow"/>
              </w:rPr>
            </w:pPr>
            <w:r w:rsidRPr="006602D9">
              <w:rPr>
                <w:i/>
                <w:iCs/>
                <w:color w:val="000000"/>
                <w:sz w:val="20"/>
                <w:szCs w:val="20"/>
              </w:rPr>
              <w:t>[0.000, 0.240]</w:t>
            </w:r>
          </w:p>
        </w:tc>
      </w:tr>
      <w:tr w:rsidR="00A80236" w:rsidRPr="00452304" w14:paraId="4692CA2D" w14:textId="77777777" w:rsidTr="00A80236">
        <w:trPr>
          <w:trHeight w:val="320"/>
        </w:trPr>
        <w:tc>
          <w:tcPr>
            <w:tcW w:w="1294" w:type="dxa"/>
            <w:vMerge/>
            <w:tcBorders>
              <w:left w:val="nil"/>
              <w:right w:val="nil"/>
            </w:tcBorders>
          </w:tcPr>
          <w:p w14:paraId="1C96FC96"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764C5F4" w14:textId="77777777" w:rsidR="00A80236" w:rsidRPr="008825E3" w:rsidRDefault="00A80236" w:rsidP="00A80236">
            <w:pPr>
              <w:spacing w:after="0" w:line="240" w:lineRule="auto"/>
              <w:rPr>
                <w:rFonts w:eastAsia="Times New Roman"/>
                <w:color w:val="000000"/>
                <w:kern w:val="0"/>
                <w:sz w:val="20"/>
                <w:szCs w:val="20"/>
                <w14:ligatures w14:val="none"/>
              </w:rPr>
            </w:pPr>
            <w:r w:rsidRPr="008825E3">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bottom"/>
          </w:tcPr>
          <w:p w14:paraId="200B1C13"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6540D719" w14:textId="13F19AB7"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-0.965±1.045</w:t>
            </w:r>
          </w:p>
        </w:tc>
        <w:tc>
          <w:tcPr>
            <w:tcW w:w="972" w:type="dxa"/>
            <w:tcBorders>
              <w:top w:val="single" w:sz="4" w:space="0" w:color="auto"/>
              <w:left w:val="nil"/>
              <w:bottom w:val="nil"/>
              <w:right w:val="nil"/>
            </w:tcBorders>
            <w:noWrap/>
            <w:vAlign w:val="bottom"/>
          </w:tcPr>
          <w:p w14:paraId="0388BDE4" w14:textId="5E1B4F23"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-0.930</w:t>
            </w:r>
          </w:p>
        </w:tc>
        <w:tc>
          <w:tcPr>
            <w:tcW w:w="939" w:type="dxa"/>
            <w:tcBorders>
              <w:top w:val="single" w:sz="4" w:space="0" w:color="auto"/>
              <w:left w:val="nil"/>
              <w:bottom w:val="nil"/>
              <w:right w:val="nil"/>
            </w:tcBorders>
            <w:noWrap/>
            <w:vAlign w:val="bottom"/>
          </w:tcPr>
          <w:p w14:paraId="2FE98535" w14:textId="1DE659D0"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0.353</w:t>
            </w:r>
          </w:p>
        </w:tc>
        <w:tc>
          <w:tcPr>
            <w:tcW w:w="1617" w:type="dxa"/>
            <w:tcBorders>
              <w:top w:val="single" w:sz="4" w:space="0" w:color="auto"/>
              <w:left w:val="nil"/>
              <w:bottom w:val="nil"/>
              <w:right w:val="nil"/>
            </w:tcBorders>
            <w:noWrap/>
            <w:vAlign w:val="bottom"/>
          </w:tcPr>
          <w:p w14:paraId="2CA810A1" w14:textId="3AA0C813"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[-2.955, 1.076]</w:t>
            </w:r>
          </w:p>
        </w:tc>
      </w:tr>
      <w:tr w:rsidR="00A80236" w:rsidRPr="00452304" w14:paraId="7D8D17A7" w14:textId="77777777" w:rsidTr="00A80236">
        <w:trPr>
          <w:trHeight w:val="320"/>
        </w:trPr>
        <w:tc>
          <w:tcPr>
            <w:tcW w:w="1294" w:type="dxa"/>
            <w:vMerge/>
            <w:tcBorders>
              <w:left w:val="nil"/>
              <w:right w:val="nil"/>
            </w:tcBorders>
          </w:tcPr>
          <w:p w14:paraId="08630A73"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5A94990B"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11C02ED7"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14D19A8A" w14:textId="6F4162F0"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-8.011±8.709</w:t>
            </w:r>
          </w:p>
        </w:tc>
        <w:tc>
          <w:tcPr>
            <w:tcW w:w="972" w:type="dxa"/>
            <w:tcBorders>
              <w:top w:val="nil"/>
              <w:left w:val="nil"/>
              <w:bottom w:val="nil"/>
              <w:right w:val="nil"/>
            </w:tcBorders>
            <w:noWrap/>
            <w:vAlign w:val="bottom"/>
          </w:tcPr>
          <w:p w14:paraId="48226EF5" w14:textId="7CB88CA9"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-1.000</w:t>
            </w:r>
          </w:p>
        </w:tc>
        <w:tc>
          <w:tcPr>
            <w:tcW w:w="939" w:type="dxa"/>
            <w:tcBorders>
              <w:top w:val="nil"/>
              <w:left w:val="nil"/>
              <w:bottom w:val="nil"/>
              <w:right w:val="nil"/>
            </w:tcBorders>
            <w:noWrap/>
            <w:vAlign w:val="bottom"/>
          </w:tcPr>
          <w:p w14:paraId="6C078A23" w14:textId="475F00DE"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0.317</w:t>
            </w:r>
          </w:p>
        </w:tc>
        <w:tc>
          <w:tcPr>
            <w:tcW w:w="1617" w:type="dxa"/>
            <w:tcBorders>
              <w:top w:val="nil"/>
              <w:left w:val="nil"/>
              <w:bottom w:val="nil"/>
              <w:right w:val="nil"/>
            </w:tcBorders>
            <w:noWrap/>
            <w:vAlign w:val="bottom"/>
          </w:tcPr>
          <w:p w14:paraId="784B5872" w14:textId="2962F063"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[-21.902, 8.35</w:t>
            </w:r>
            <w:r>
              <w:rPr>
                <w:color w:val="000000"/>
                <w:sz w:val="20"/>
                <w:szCs w:val="20"/>
              </w:rPr>
              <w:t>0</w:t>
            </w:r>
            <w:r w:rsidRPr="00A80236">
              <w:rPr>
                <w:color w:val="000000"/>
                <w:sz w:val="20"/>
                <w:szCs w:val="20"/>
              </w:rPr>
              <w:t>]</w:t>
            </w:r>
          </w:p>
        </w:tc>
      </w:tr>
      <w:tr w:rsidR="00A80236" w:rsidRPr="00452304" w14:paraId="4BF33AA6" w14:textId="77777777" w:rsidTr="00A80236">
        <w:trPr>
          <w:trHeight w:val="320"/>
        </w:trPr>
        <w:tc>
          <w:tcPr>
            <w:tcW w:w="1294" w:type="dxa"/>
            <w:vMerge/>
            <w:tcBorders>
              <w:left w:val="nil"/>
              <w:right w:val="nil"/>
            </w:tcBorders>
          </w:tcPr>
          <w:p w14:paraId="28D166D1"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462313A"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4607349E"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1D7A743B" w14:textId="2732D49E"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0.03</w:t>
            </w:r>
            <w:r>
              <w:rPr>
                <w:color w:val="000000"/>
                <w:sz w:val="20"/>
                <w:szCs w:val="20"/>
              </w:rPr>
              <w:t>0</w:t>
            </w:r>
            <w:r w:rsidRPr="00A80236">
              <w:rPr>
                <w:color w:val="000000"/>
                <w:sz w:val="20"/>
                <w:szCs w:val="20"/>
              </w:rPr>
              <w:t>±0.05</w:t>
            </w:r>
            <w:r>
              <w:rPr>
                <w:color w:val="000000"/>
                <w:sz w:val="20"/>
                <w:szCs w:val="20"/>
              </w:rPr>
              <w:t>0</w:t>
            </w:r>
          </w:p>
        </w:tc>
        <w:tc>
          <w:tcPr>
            <w:tcW w:w="972" w:type="dxa"/>
            <w:tcBorders>
              <w:top w:val="nil"/>
              <w:left w:val="nil"/>
              <w:bottom w:val="single" w:sz="4" w:space="0" w:color="auto"/>
              <w:right w:val="nil"/>
            </w:tcBorders>
            <w:noWrap/>
            <w:vAlign w:val="bottom"/>
          </w:tcPr>
          <w:p w14:paraId="7DC9C54F" w14:textId="36DBD939"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0.540</w:t>
            </w:r>
          </w:p>
        </w:tc>
        <w:tc>
          <w:tcPr>
            <w:tcW w:w="939" w:type="dxa"/>
            <w:tcBorders>
              <w:top w:val="nil"/>
              <w:left w:val="nil"/>
              <w:bottom w:val="single" w:sz="4" w:space="0" w:color="auto"/>
              <w:right w:val="nil"/>
            </w:tcBorders>
            <w:noWrap/>
            <w:vAlign w:val="bottom"/>
          </w:tcPr>
          <w:p w14:paraId="40A36BA6" w14:textId="675F33D4"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0.589</w:t>
            </w:r>
          </w:p>
        </w:tc>
        <w:tc>
          <w:tcPr>
            <w:tcW w:w="1617" w:type="dxa"/>
            <w:tcBorders>
              <w:top w:val="nil"/>
              <w:left w:val="nil"/>
              <w:bottom w:val="single" w:sz="4" w:space="0" w:color="auto"/>
              <w:right w:val="nil"/>
            </w:tcBorders>
            <w:noWrap/>
            <w:vAlign w:val="bottom"/>
          </w:tcPr>
          <w:p w14:paraId="58659433" w14:textId="0DD116C3"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[-0.07</w:t>
            </w:r>
            <w:r>
              <w:rPr>
                <w:color w:val="000000"/>
                <w:sz w:val="20"/>
                <w:szCs w:val="20"/>
              </w:rPr>
              <w:t>0</w:t>
            </w:r>
            <w:r w:rsidRPr="00A80236">
              <w:rPr>
                <w:color w:val="000000"/>
                <w:sz w:val="20"/>
                <w:szCs w:val="20"/>
              </w:rPr>
              <w:t>, 0.13</w:t>
            </w:r>
            <w:r>
              <w:rPr>
                <w:color w:val="000000"/>
                <w:sz w:val="20"/>
                <w:szCs w:val="20"/>
              </w:rPr>
              <w:t>0</w:t>
            </w:r>
            <w:r w:rsidRPr="00A80236">
              <w:rPr>
                <w:color w:val="000000"/>
                <w:sz w:val="20"/>
                <w:szCs w:val="20"/>
              </w:rPr>
              <w:t>]</w:t>
            </w:r>
          </w:p>
        </w:tc>
      </w:tr>
      <w:tr w:rsidR="00A80236" w:rsidRPr="00452304" w14:paraId="19545C5E" w14:textId="77777777" w:rsidTr="00A80236">
        <w:trPr>
          <w:trHeight w:val="320"/>
        </w:trPr>
        <w:tc>
          <w:tcPr>
            <w:tcW w:w="1294" w:type="dxa"/>
            <w:vMerge/>
            <w:tcBorders>
              <w:left w:val="nil"/>
              <w:right w:val="nil"/>
            </w:tcBorders>
          </w:tcPr>
          <w:p w14:paraId="4D1DCF24"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BA073F2" w14:textId="77777777" w:rsidR="00A80236" w:rsidRPr="008825E3" w:rsidRDefault="00A80236" w:rsidP="00A80236">
            <w:pPr>
              <w:spacing w:after="0" w:line="240" w:lineRule="auto"/>
              <w:rPr>
                <w:rFonts w:eastAsia="Times New Roman"/>
                <w:color w:val="000000"/>
                <w:kern w:val="0"/>
                <w:sz w:val="20"/>
                <w:szCs w:val="20"/>
                <w14:ligatures w14:val="none"/>
              </w:rPr>
            </w:pPr>
            <w:r w:rsidRPr="008825E3">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bottom"/>
          </w:tcPr>
          <w:p w14:paraId="258CB28E"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21AAA870" w14:textId="38D75122"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0.12</w:t>
            </w:r>
            <w:r>
              <w:rPr>
                <w:color w:val="000000"/>
                <w:sz w:val="20"/>
                <w:szCs w:val="20"/>
              </w:rPr>
              <w:t>0</w:t>
            </w:r>
            <w:r w:rsidRPr="00A80236">
              <w:rPr>
                <w:color w:val="000000"/>
                <w:sz w:val="20"/>
                <w:szCs w:val="20"/>
              </w:rPr>
              <w:t>±1.39</w:t>
            </w:r>
            <w:r>
              <w:rPr>
                <w:color w:val="000000"/>
                <w:sz w:val="20"/>
                <w:szCs w:val="20"/>
              </w:rPr>
              <w:t>0</w:t>
            </w:r>
          </w:p>
        </w:tc>
        <w:tc>
          <w:tcPr>
            <w:tcW w:w="972" w:type="dxa"/>
            <w:tcBorders>
              <w:top w:val="single" w:sz="4" w:space="0" w:color="auto"/>
              <w:left w:val="nil"/>
              <w:bottom w:val="nil"/>
              <w:right w:val="nil"/>
            </w:tcBorders>
            <w:noWrap/>
            <w:vAlign w:val="bottom"/>
          </w:tcPr>
          <w:p w14:paraId="2B0C82AB" w14:textId="5243E46F"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0.089</w:t>
            </w:r>
          </w:p>
        </w:tc>
        <w:tc>
          <w:tcPr>
            <w:tcW w:w="939" w:type="dxa"/>
            <w:tcBorders>
              <w:top w:val="single" w:sz="4" w:space="0" w:color="auto"/>
              <w:left w:val="nil"/>
              <w:bottom w:val="nil"/>
              <w:right w:val="nil"/>
            </w:tcBorders>
            <w:noWrap/>
            <w:vAlign w:val="bottom"/>
          </w:tcPr>
          <w:p w14:paraId="19FD9385" w14:textId="2B0C27D1"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0.929</w:t>
            </w:r>
          </w:p>
        </w:tc>
        <w:tc>
          <w:tcPr>
            <w:tcW w:w="1617" w:type="dxa"/>
            <w:tcBorders>
              <w:top w:val="single" w:sz="4" w:space="0" w:color="auto"/>
              <w:left w:val="nil"/>
              <w:bottom w:val="nil"/>
              <w:right w:val="nil"/>
            </w:tcBorders>
            <w:noWrap/>
            <w:vAlign w:val="bottom"/>
          </w:tcPr>
          <w:p w14:paraId="30110E0A" w14:textId="7033ECD1"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[-2.537, 2.86</w:t>
            </w:r>
            <w:r>
              <w:rPr>
                <w:color w:val="000000"/>
                <w:sz w:val="20"/>
                <w:szCs w:val="20"/>
              </w:rPr>
              <w:t>0</w:t>
            </w:r>
            <w:r w:rsidRPr="00A80236">
              <w:rPr>
                <w:color w:val="000000"/>
                <w:sz w:val="20"/>
                <w:szCs w:val="20"/>
              </w:rPr>
              <w:t>]</w:t>
            </w:r>
          </w:p>
        </w:tc>
      </w:tr>
      <w:tr w:rsidR="00A80236" w:rsidRPr="00452304" w14:paraId="3DBB1127" w14:textId="77777777" w:rsidTr="00A80236">
        <w:trPr>
          <w:trHeight w:val="320"/>
        </w:trPr>
        <w:tc>
          <w:tcPr>
            <w:tcW w:w="1294" w:type="dxa"/>
            <w:vMerge/>
            <w:tcBorders>
              <w:left w:val="nil"/>
              <w:right w:val="nil"/>
            </w:tcBorders>
          </w:tcPr>
          <w:p w14:paraId="5468479B"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tcPr>
          <w:p w14:paraId="3F8FEDC2"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0FA10D43"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30867864" w14:textId="6216869D"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13.224±11.438</w:t>
            </w:r>
          </w:p>
        </w:tc>
        <w:tc>
          <w:tcPr>
            <w:tcW w:w="972" w:type="dxa"/>
            <w:tcBorders>
              <w:top w:val="nil"/>
              <w:left w:val="nil"/>
              <w:bottom w:val="nil"/>
              <w:right w:val="nil"/>
            </w:tcBorders>
            <w:noWrap/>
            <w:vAlign w:val="bottom"/>
          </w:tcPr>
          <w:p w14:paraId="31C55EE2" w14:textId="7DE90608"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1.147</w:t>
            </w:r>
          </w:p>
        </w:tc>
        <w:tc>
          <w:tcPr>
            <w:tcW w:w="939" w:type="dxa"/>
            <w:tcBorders>
              <w:top w:val="nil"/>
              <w:left w:val="nil"/>
              <w:bottom w:val="nil"/>
              <w:right w:val="nil"/>
            </w:tcBorders>
            <w:noWrap/>
            <w:vAlign w:val="bottom"/>
          </w:tcPr>
          <w:p w14:paraId="7BD5D3AC" w14:textId="6B5193C8"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0.252</w:t>
            </w:r>
          </w:p>
        </w:tc>
        <w:tc>
          <w:tcPr>
            <w:tcW w:w="1617" w:type="dxa"/>
            <w:tcBorders>
              <w:top w:val="nil"/>
              <w:left w:val="nil"/>
              <w:bottom w:val="nil"/>
              <w:right w:val="nil"/>
            </w:tcBorders>
            <w:noWrap/>
            <w:vAlign w:val="bottom"/>
          </w:tcPr>
          <w:p w14:paraId="552669F0" w14:textId="5650AE1A"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[-8.433, 39.99</w:t>
            </w:r>
            <w:r>
              <w:rPr>
                <w:color w:val="000000"/>
                <w:sz w:val="20"/>
                <w:szCs w:val="20"/>
              </w:rPr>
              <w:t>0</w:t>
            </w:r>
            <w:r w:rsidRPr="00A80236">
              <w:rPr>
                <w:color w:val="000000"/>
                <w:sz w:val="20"/>
                <w:szCs w:val="20"/>
              </w:rPr>
              <w:t>]</w:t>
            </w:r>
          </w:p>
        </w:tc>
      </w:tr>
      <w:tr w:rsidR="00A80236" w:rsidRPr="00452304" w14:paraId="550159A4" w14:textId="77777777" w:rsidTr="00A80236">
        <w:trPr>
          <w:trHeight w:val="320"/>
        </w:trPr>
        <w:tc>
          <w:tcPr>
            <w:tcW w:w="1294" w:type="dxa"/>
            <w:vMerge/>
            <w:tcBorders>
              <w:left w:val="nil"/>
              <w:bottom w:val="single" w:sz="4" w:space="0" w:color="auto"/>
              <w:right w:val="nil"/>
            </w:tcBorders>
          </w:tcPr>
          <w:p w14:paraId="4C8DCD66"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tcPr>
          <w:p w14:paraId="770D9FC9"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60B7EB23"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0AC486FE" w14:textId="220C1494"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0.08</w:t>
            </w:r>
            <w:r>
              <w:rPr>
                <w:color w:val="000000"/>
                <w:sz w:val="20"/>
                <w:szCs w:val="20"/>
              </w:rPr>
              <w:t>0</w:t>
            </w:r>
            <w:r w:rsidRPr="00A80236">
              <w:rPr>
                <w:color w:val="000000"/>
                <w:sz w:val="20"/>
                <w:szCs w:val="20"/>
              </w:rPr>
              <w:t>±0.06</w:t>
            </w:r>
            <w:r>
              <w:rPr>
                <w:color w:val="000000"/>
                <w:sz w:val="20"/>
                <w:szCs w:val="20"/>
              </w:rPr>
              <w:t>0</w:t>
            </w:r>
          </w:p>
        </w:tc>
        <w:tc>
          <w:tcPr>
            <w:tcW w:w="972" w:type="dxa"/>
            <w:tcBorders>
              <w:top w:val="nil"/>
              <w:left w:val="nil"/>
              <w:bottom w:val="single" w:sz="4" w:space="0" w:color="auto"/>
              <w:right w:val="nil"/>
            </w:tcBorders>
            <w:noWrap/>
            <w:vAlign w:val="bottom"/>
          </w:tcPr>
          <w:p w14:paraId="307B799E" w14:textId="709E8B91"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1.328</w:t>
            </w:r>
          </w:p>
        </w:tc>
        <w:tc>
          <w:tcPr>
            <w:tcW w:w="939" w:type="dxa"/>
            <w:tcBorders>
              <w:top w:val="nil"/>
              <w:left w:val="nil"/>
              <w:bottom w:val="single" w:sz="4" w:space="0" w:color="auto"/>
              <w:right w:val="nil"/>
            </w:tcBorders>
            <w:noWrap/>
            <w:vAlign w:val="bottom"/>
          </w:tcPr>
          <w:p w14:paraId="0BF576D9" w14:textId="4CB31C36"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0.184</w:t>
            </w:r>
          </w:p>
        </w:tc>
        <w:tc>
          <w:tcPr>
            <w:tcW w:w="1617" w:type="dxa"/>
            <w:tcBorders>
              <w:top w:val="nil"/>
              <w:left w:val="nil"/>
              <w:bottom w:val="single" w:sz="4" w:space="0" w:color="auto"/>
              <w:right w:val="nil"/>
            </w:tcBorders>
            <w:noWrap/>
            <w:vAlign w:val="bottom"/>
          </w:tcPr>
          <w:p w14:paraId="62DD0B24" w14:textId="01633764"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[-0.04</w:t>
            </w:r>
            <w:r>
              <w:rPr>
                <w:color w:val="000000"/>
                <w:sz w:val="20"/>
                <w:szCs w:val="20"/>
              </w:rPr>
              <w:t>0</w:t>
            </w:r>
            <w:r w:rsidRPr="00A80236">
              <w:rPr>
                <w:color w:val="000000"/>
                <w:sz w:val="20"/>
                <w:szCs w:val="20"/>
              </w:rPr>
              <w:t>, 0.2</w:t>
            </w:r>
            <w:r>
              <w:rPr>
                <w:color w:val="000000"/>
                <w:sz w:val="20"/>
                <w:szCs w:val="20"/>
              </w:rPr>
              <w:t>00</w:t>
            </w:r>
            <w:r w:rsidRPr="00A80236">
              <w:rPr>
                <w:color w:val="000000"/>
                <w:sz w:val="20"/>
                <w:szCs w:val="20"/>
              </w:rPr>
              <w:t>]</w:t>
            </w:r>
          </w:p>
        </w:tc>
      </w:tr>
    </w:tbl>
    <w:p w14:paraId="7A76E758" w14:textId="77777777" w:rsidR="00AF37C5" w:rsidRPr="00A66153" w:rsidRDefault="00AF37C5" w:rsidP="00AF37C5"/>
    <w:p w14:paraId="19BAB795" w14:textId="719F73DF" w:rsidR="00355693" w:rsidRPr="00355693" w:rsidRDefault="00355693" w:rsidP="00AF37C5">
      <w:pPr>
        <w:rPr>
          <w:b/>
          <w:bCs/>
          <w:iCs/>
        </w:rPr>
      </w:pPr>
      <w:r>
        <w:rPr>
          <w:b/>
          <w:bCs/>
          <w:iCs/>
        </w:rPr>
        <w:lastRenderedPageBreak/>
        <w:t>Table S7 (cont.)</w:t>
      </w:r>
    </w:p>
    <w:tbl>
      <w:tblPr>
        <w:tblW w:w="8910" w:type="dxa"/>
        <w:tblLook w:val="04A0" w:firstRow="1" w:lastRow="0" w:firstColumn="1" w:lastColumn="0" w:noHBand="0" w:noVBand="1"/>
      </w:tblPr>
      <w:tblGrid>
        <w:gridCol w:w="1094"/>
        <w:gridCol w:w="1178"/>
        <w:gridCol w:w="1227"/>
        <w:gridCol w:w="1593"/>
        <w:gridCol w:w="972"/>
        <w:gridCol w:w="939"/>
        <w:gridCol w:w="1907"/>
      </w:tblGrid>
      <w:tr w:rsidR="00355693" w:rsidRPr="00452304" w14:paraId="58FD2BF3" w14:textId="77777777" w:rsidTr="00A80236">
        <w:trPr>
          <w:trHeight w:val="320"/>
        </w:trPr>
        <w:tc>
          <w:tcPr>
            <w:tcW w:w="1094" w:type="dxa"/>
            <w:tcBorders>
              <w:top w:val="single" w:sz="4" w:space="0" w:color="auto"/>
              <w:left w:val="nil"/>
              <w:bottom w:val="single" w:sz="4" w:space="0" w:color="auto"/>
              <w:right w:val="nil"/>
            </w:tcBorders>
            <w:vAlign w:val="center"/>
          </w:tcPr>
          <w:p w14:paraId="2DBA8F03" w14:textId="77777777" w:rsidR="00355693" w:rsidRPr="008825E3" w:rsidRDefault="00355693"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690D2387" w14:textId="77777777" w:rsidR="00355693" w:rsidRPr="00452304" w:rsidRDefault="00355693"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3818F026" w14:textId="77777777" w:rsidR="00355693" w:rsidRPr="00452304" w:rsidRDefault="00355693" w:rsidP="00BF3DEC">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1593" w:type="dxa"/>
            <w:tcBorders>
              <w:top w:val="single" w:sz="4" w:space="0" w:color="auto"/>
              <w:left w:val="nil"/>
              <w:bottom w:val="single" w:sz="4" w:space="0" w:color="auto"/>
              <w:right w:val="nil"/>
            </w:tcBorders>
            <w:noWrap/>
            <w:vAlign w:val="center"/>
            <w:hideMark/>
          </w:tcPr>
          <w:p w14:paraId="2FC1B02E" w14:textId="77777777" w:rsidR="00355693" w:rsidRPr="00452304" w:rsidRDefault="00355693" w:rsidP="00BF3DEC">
            <w:pPr>
              <w:spacing w:after="0" w:line="240" w:lineRule="auto"/>
              <w:rPr>
                <w:b/>
                <w:bCs/>
                <w:sz w:val="20"/>
                <w:szCs w:val="20"/>
              </w:rPr>
            </w:pPr>
            <w:r w:rsidRPr="008825E3">
              <w:rPr>
                <w:b/>
                <w:bCs/>
                <w:sz w:val="20"/>
                <w:szCs w:val="20"/>
              </w:rPr>
              <w:t>Coef</w:t>
            </w:r>
            <w:r>
              <w:rPr>
                <w:b/>
                <w:bCs/>
                <w:sz w:val="20"/>
                <w:szCs w:val="20"/>
              </w:rPr>
              <w:t>.</w:t>
            </w:r>
            <w:r w:rsidRPr="008825E3">
              <w:rPr>
                <w:b/>
                <w:bCs/>
                <w:sz w:val="20"/>
                <w:szCs w:val="20"/>
              </w:rPr>
              <w:t xml:space="preserve"> (±SE)</w:t>
            </w:r>
          </w:p>
        </w:tc>
        <w:tc>
          <w:tcPr>
            <w:tcW w:w="972" w:type="dxa"/>
            <w:tcBorders>
              <w:top w:val="single" w:sz="4" w:space="0" w:color="auto"/>
              <w:left w:val="nil"/>
              <w:bottom w:val="single" w:sz="4" w:space="0" w:color="auto"/>
              <w:right w:val="nil"/>
            </w:tcBorders>
            <w:noWrap/>
            <w:vAlign w:val="center"/>
            <w:hideMark/>
          </w:tcPr>
          <w:p w14:paraId="3490AE67" w14:textId="77777777" w:rsidR="00355693" w:rsidRPr="00452304" w:rsidRDefault="00355693" w:rsidP="00BF3DEC">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2D7F6928" w14:textId="77777777" w:rsidR="00355693" w:rsidRPr="00452304" w:rsidRDefault="00355693" w:rsidP="00BF3DEC">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907" w:type="dxa"/>
            <w:tcBorders>
              <w:top w:val="single" w:sz="4" w:space="0" w:color="auto"/>
              <w:left w:val="nil"/>
              <w:bottom w:val="single" w:sz="4" w:space="0" w:color="auto"/>
              <w:right w:val="nil"/>
            </w:tcBorders>
            <w:noWrap/>
            <w:vAlign w:val="center"/>
            <w:hideMark/>
          </w:tcPr>
          <w:p w14:paraId="0BF1DECE" w14:textId="77777777" w:rsidR="00355693" w:rsidRPr="00452304" w:rsidRDefault="00355693" w:rsidP="00BF3DEC">
            <w:pPr>
              <w:spacing w:after="0" w:line="240" w:lineRule="auto"/>
              <w:rPr>
                <w:b/>
                <w:bCs/>
                <w:sz w:val="20"/>
                <w:szCs w:val="20"/>
              </w:rPr>
            </w:pPr>
            <w:r w:rsidRPr="008825E3">
              <w:rPr>
                <w:b/>
                <w:bCs/>
                <w:sz w:val="20"/>
                <w:szCs w:val="20"/>
              </w:rPr>
              <w:t>95% CI</w:t>
            </w:r>
          </w:p>
        </w:tc>
      </w:tr>
      <w:tr w:rsidR="00A80236" w:rsidRPr="00452304" w14:paraId="1CBE9219" w14:textId="77777777" w:rsidTr="00A80236">
        <w:trPr>
          <w:trHeight w:val="320"/>
        </w:trPr>
        <w:tc>
          <w:tcPr>
            <w:tcW w:w="1094" w:type="dxa"/>
            <w:vMerge w:val="restart"/>
            <w:tcBorders>
              <w:top w:val="single" w:sz="4" w:space="0" w:color="auto"/>
              <w:left w:val="nil"/>
              <w:right w:val="nil"/>
            </w:tcBorders>
            <w:vAlign w:val="center"/>
          </w:tcPr>
          <w:p w14:paraId="038BDC14" w14:textId="1DC2AC9D" w:rsidR="00A80236" w:rsidRPr="008825E3" w:rsidRDefault="00A80236" w:rsidP="00A80236">
            <w:pPr>
              <w:spacing w:after="0" w:line="240" w:lineRule="auto"/>
              <w:rPr>
                <w:rFonts w:eastAsia="Times New Roman"/>
                <w:iCs/>
                <w:color w:val="000000"/>
                <w:kern w:val="0"/>
                <w:sz w:val="20"/>
                <w:szCs w:val="20"/>
                <w14:ligatures w14:val="none"/>
              </w:rPr>
            </w:pPr>
            <w:proofErr w:type="spellStart"/>
            <w:proofErr w:type="gramStart"/>
            <w:r>
              <w:rPr>
                <w:rFonts w:eastAsia="Times New Roman"/>
                <w:i/>
                <w:iCs/>
                <w:color w:val="000000"/>
                <w:kern w:val="0"/>
                <w:sz w:val="20"/>
                <w:szCs w:val="20"/>
                <w14:ligatures w14:val="none"/>
              </w:rPr>
              <w:t>Root:shoot</w:t>
            </w:r>
            <w:proofErr w:type="spellEnd"/>
            <w:proofErr w:type="gramEnd"/>
          </w:p>
        </w:tc>
        <w:tc>
          <w:tcPr>
            <w:tcW w:w="1178" w:type="dxa"/>
            <w:vMerge w:val="restart"/>
            <w:tcBorders>
              <w:top w:val="single" w:sz="4" w:space="0" w:color="auto"/>
              <w:left w:val="nil"/>
              <w:right w:val="nil"/>
            </w:tcBorders>
            <w:noWrap/>
            <w:vAlign w:val="center"/>
            <w:hideMark/>
          </w:tcPr>
          <w:p w14:paraId="278693BB" w14:textId="77777777" w:rsidR="00A80236" w:rsidRPr="00452304" w:rsidRDefault="00A80236" w:rsidP="00A80236">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70DE23B4" w14:textId="77777777" w:rsidR="00A80236" w:rsidRPr="00452304" w:rsidRDefault="00A80236" w:rsidP="00A80236">
            <w:pPr>
              <w:spacing w:after="0" w:line="240" w:lineRule="auto"/>
              <w:rPr>
                <w:rFonts w:eastAsia="Times New Roman"/>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150CA821" w14:textId="3E0D1C6C"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-1.025±2.819</w:t>
            </w:r>
          </w:p>
        </w:tc>
        <w:tc>
          <w:tcPr>
            <w:tcW w:w="972" w:type="dxa"/>
            <w:tcBorders>
              <w:top w:val="single" w:sz="4" w:space="0" w:color="auto"/>
              <w:left w:val="nil"/>
              <w:bottom w:val="nil"/>
              <w:right w:val="nil"/>
            </w:tcBorders>
            <w:noWrap/>
            <w:vAlign w:val="bottom"/>
          </w:tcPr>
          <w:p w14:paraId="219AB782" w14:textId="0A6DD3AB"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-0.371</w:t>
            </w:r>
          </w:p>
        </w:tc>
        <w:tc>
          <w:tcPr>
            <w:tcW w:w="939" w:type="dxa"/>
            <w:tcBorders>
              <w:top w:val="single" w:sz="4" w:space="0" w:color="auto"/>
              <w:left w:val="nil"/>
              <w:bottom w:val="nil"/>
              <w:right w:val="nil"/>
            </w:tcBorders>
            <w:noWrap/>
            <w:vAlign w:val="bottom"/>
          </w:tcPr>
          <w:p w14:paraId="477EAE93" w14:textId="5C0CFE1D"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0.711</w:t>
            </w:r>
          </w:p>
        </w:tc>
        <w:tc>
          <w:tcPr>
            <w:tcW w:w="1907" w:type="dxa"/>
            <w:tcBorders>
              <w:top w:val="single" w:sz="4" w:space="0" w:color="auto"/>
              <w:left w:val="nil"/>
              <w:bottom w:val="nil"/>
              <w:right w:val="nil"/>
            </w:tcBorders>
            <w:noWrap/>
            <w:vAlign w:val="bottom"/>
          </w:tcPr>
          <w:p w14:paraId="61FC07A8" w14:textId="5CEFF494"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[-6.265, 4.509]</w:t>
            </w:r>
          </w:p>
        </w:tc>
      </w:tr>
      <w:tr w:rsidR="00A80236" w:rsidRPr="00452304" w14:paraId="35ABA456" w14:textId="77777777" w:rsidTr="00A80236">
        <w:trPr>
          <w:trHeight w:val="320"/>
        </w:trPr>
        <w:tc>
          <w:tcPr>
            <w:tcW w:w="1094" w:type="dxa"/>
            <w:vMerge/>
            <w:tcBorders>
              <w:left w:val="nil"/>
              <w:right w:val="nil"/>
            </w:tcBorders>
          </w:tcPr>
          <w:p w14:paraId="55F7894B"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hideMark/>
          </w:tcPr>
          <w:p w14:paraId="145AF5A3" w14:textId="77777777" w:rsidR="00A80236" w:rsidRPr="00452304"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hideMark/>
          </w:tcPr>
          <w:p w14:paraId="008E3D91" w14:textId="77777777" w:rsidR="00A80236" w:rsidRPr="00452304" w:rsidRDefault="00A80236" w:rsidP="00A80236">
            <w:pPr>
              <w:spacing w:after="0" w:line="240" w:lineRule="auto"/>
              <w:rPr>
                <w:rFonts w:eastAsia="Times New Roman"/>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6BDCA4DC" w14:textId="5E040699"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3.655±28.044</w:t>
            </w:r>
          </w:p>
        </w:tc>
        <w:tc>
          <w:tcPr>
            <w:tcW w:w="972" w:type="dxa"/>
            <w:tcBorders>
              <w:top w:val="nil"/>
              <w:left w:val="nil"/>
              <w:bottom w:val="nil"/>
              <w:right w:val="nil"/>
            </w:tcBorders>
            <w:noWrap/>
            <w:vAlign w:val="bottom"/>
          </w:tcPr>
          <w:p w14:paraId="0AAD8D2E" w14:textId="0A81FECE"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0.145</w:t>
            </w:r>
          </w:p>
        </w:tc>
        <w:tc>
          <w:tcPr>
            <w:tcW w:w="939" w:type="dxa"/>
            <w:tcBorders>
              <w:top w:val="nil"/>
              <w:left w:val="nil"/>
              <w:bottom w:val="nil"/>
              <w:right w:val="nil"/>
            </w:tcBorders>
            <w:noWrap/>
            <w:vAlign w:val="bottom"/>
          </w:tcPr>
          <w:p w14:paraId="3F0DC2F3" w14:textId="2E8AEB94"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0.885</w:t>
            </w:r>
          </w:p>
        </w:tc>
        <w:tc>
          <w:tcPr>
            <w:tcW w:w="1907" w:type="dxa"/>
            <w:tcBorders>
              <w:top w:val="nil"/>
              <w:left w:val="nil"/>
              <w:bottom w:val="nil"/>
              <w:right w:val="nil"/>
            </w:tcBorders>
            <w:noWrap/>
            <w:vAlign w:val="bottom"/>
          </w:tcPr>
          <w:p w14:paraId="0DFCC8AF" w14:textId="49121E94"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[-36.148, 68.27</w:t>
            </w:r>
            <w:r w:rsidR="006602D9">
              <w:rPr>
                <w:color w:val="000000"/>
                <w:sz w:val="20"/>
                <w:szCs w:val="20"/>
              </w:rPr>
              <w:t>0</w:t>
            </w:r>
            <w:r w:rsidRPr="00A80236">
              <w:rPr>
                <w:color w:val="000000"/>
                <w:sz w:val="20"/>
                <w:szCs w:val="20"/>
              </w:rPr>
              <w:t>]</w:t>
            </w:r>
          </w:p>
        </w:tc>
      </w:tr>
      <w:tr w:rsidR="00A80236" w:rsidRPr="00452304" w14:paraId="4342985B" w14:textId="77777777" w:rsidTr="00A80236">
        <w:trPr>
          <w:trHeight w:val="320"/>
        </w:trPr>
        <w:tc>
          <w:tcPr>
            <w:tcW w:w="1094" w:type="dxa"/>
            <w:vMerge/>
            <w:tcBorders>
              <w:left w:val="nil"/>
              <w:right w:val="nil"/>
            </w:tcBorders>
          </w:tcPr>
          <w:p w14:paraId="14CC4B04"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7C668EC6" w14:textId="77777777" w:rsidR="00A80236" w:rsidRPr="00452304"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05803639" w14:textId="77777777" w:rsidR="00A80236" w:rsidRPr="00452304" w:rsidRDefault="00A80236" w:rsidP="00A80236">
            <w:pPr>
              <w:spacing w:after="0" w:line="240" w:lineRule="auto"/>
              <w:rPr>
                <w:rFonts w:eastAsia="Times New Roman"/>
                <w:iCs/>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22ACD897" w14:textId="097CB748"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0.11</w:t>
            </w:r>
            <w:r>
              <w:rPr>
                <w:color w:val="000000"/>
                <w:sz w:val="20"/>
                <w:szCs w:val="20"/>
              </w:rPr>
              <w:t>0</w:t>
            </w:r>
            <w:r w:rsidRPr="00A80236">
              <w:rPr>
                <w:color w:val="000000"/>
                <w:sz w:val="20"/>
                <w:szCs w:val="20"/>
              </w:rPr>
              <w:t>±0.13</w:t>
            </w:r>
            <w:r>
              <w:rPr>
                <w:color w:val="000000"/>
                <w:sz w:val="20"/>
                <w:szCs w:val="20"/>
              </w:rPr>
              <w:t>0</w:t>
            </w:r>
          </w:p>
        </w:tc>
        <w:tc>
          <w:tcPr>
            <w:tcW w:w="972" w:type="dxa"/>
            <w:tcBorders>
              <w:top w:val="nil"/>
              <w:left w:val="nil"/>
              <w:bottom w:val="single" w:sz="4" w:space="0" w:color="auto"/>
              <w:right w:val="nil"/>
            </w:tcBorders>
            <w:noWrap/>
            <w:vAlign w:val="bottom"/>
          </w:tcPr>
          <w:p w14:paraId="5BFDCEF4" w14:textId="4579D96B"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0.841</w:t>
            </w:r>
          </w:p>
        </w:tc>
        <w:tc>
          <w:tcPr>
            <w:tcW w:w="939" w:type="dxa"/>
            <w:tcBorders>
              <w:top w:val="nil"/>
              <w:left w:val="nil"/>
              <w:bottom w:val="single" w:sz="4" w:space="0" w:color="auto"/>
              <w:right w:val="nil"/>
            </w:tcBorders>
            <w:noWrap/>
            <w:vAlign w:val="bottom"/>
          </w:tcPr>
          <w:p w14:paraId="32F94607" w14:textId="299675D2"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0.401</w:t>
            </w:r>
          </w:p>
        </w:tc>
        <w:tc>
          <w:tcPr>
            <w:tcW w:w="1907" w:type="dxa"/>
            <w:tcBorders>
              <w:top w:val="nil"/>
              <w:left w:val="nil"/>
              <w:bottom w:val="single" w:sz="4" w:space="0" w:color="auto"/>
              <w:right w:val="nil"/>
            </w:tcBorders>
            <w:noWrap/>
            <w:vAlign w:val="bottom"/>
          </w:tcPr>
          <w:p w14:paraId="200036CA" w14:textId="470C9738"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[-0.14</w:t>
            </w:r>
            <w:r w:rsidR="006602D9">
              <w:rPr>
                <w:color w:val="000000"/>
                <w:sz w:val="20"/>
                <w:szCs w:val="20"/>
              </w:rPr>
              <w:t>0</w:t>
            </w:r>
            <w:r w:rsidRPr="00A80236">
              <w:rPr>
                <w:color w:val="000000"/>
                <w:sz w:val="20"/>
                <w:szCs w:val="20"/>
              </w:rPr>
              <w:t>, 0.361]</w:t>
            </w:r>
          </w:p>
        </w:tc>
      </w:tr>
      <w:tr w:rsidR="00A80236" w:rsidRPr="00452304" w14:paraId="30597BA6" w14:textId="77777777" w:rsidTr="00A80236">
        <w:trPr>
          <w:trHeight w:val="320"/>
        </w:trPr>
        <w:tc>
          <w:tcPr>
            <w:tcW w:w="1094" w:type="dxa"/>
            <w:vMerge/>
            <w:tcBorders>
              <w:left w:val="nil"/>
              <w:right w:val="nil"/>
            </w:tcBorders>
          </w:tcPr>
          <w:p w14:paraId="6CDBC501"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hideMark/>
          </w:tcPr>
          <w:p w14:paraId="4621B16C" w14:textId="77777777" w:rsidR="00A80236" w:rsidRPr="00452304" w:rsidRDefault="00A80236" w:rsidP="00A80236">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hideMark/>
          </w:tcPr>
          <w:p w14:paraId="15A05208" w14:textId="77777777" w:rsidR="00A80236" w:rsidRPr="00452304" w:rsidRDefault="00A80236" w:rsidP="00A80236">
            <w:pPr>
              <w:spacing w:after="0" w:line="240" w:lineRule="auto"/>
              <w:rPr>
                <w:rFonts w:eastAsia="Times New Roman"/>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4277AF8F" w14:textId="146D2F94"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-3.969±2.891</w:t>
            </w:r>
          </w:p>
        </w:tc>
        <w:tc>
          <w:tcPr>
            <w:tcW w:w="972" w:type="dxa"/>
            <w:tcBorders>
              <w:top w:val="single" w:sz="4" w:space="0" w:color="auto"/>
              <w:left w:val="nil"/>
              <w:bottom w:val="nil"/>
              <w:right w:val="nil"/>
            </w:tcBorders>
            <w:noWrap/>
            <w:vAlign w:val="bottom"/>
          </w:tcPr>
          <w:p w14:paraId="0496D2B3" w14:textId="5AFC3B8A"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-1.422</w:t>
            </w:r>
          </w:p>
        </w:tc>
        <w:tc>
          <w:tcPr>
            <w:tcW w:w="939" w:type="dxa"/>
            <w:tcBorders>
              <w:top w:val="single" w:sz="4" w:space="0" w:color="auto"/>
              <w:left w:val="nil"/>
              <w:bottom w:val="nil"/>
              <w:right w:val="nil"/>
            </w:tcBorders>
            <w:noWrap/>
            <w:vAlign w:val="bottom"/>
          </w:tcPr>
          <w:p w14:paraId="291DD706" w14:textId="1DB5B81D"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0.155</w:t>
            </w:r>
          </w:p>
        </w:tc>
        <w:tc>
          <w:tcPr>
            <w:tcW w:w="1907" w:type="dxa"/>
            <w:tcBorders>
              <w:top w:val="single" w:sz="4" w:space="0" w:color="auto"/>
              <w:left w:val="nil"/>
              <w:bottom w:val="nil"/>
              <w:right w:val="nil"/>
            </w:tcBorders>
            <w:noWrap/>
            <w:vAlign w:val="bottom"/>
          </w:tcPr>
          <w:p w14:paraId="78CECB48" w14:textId="78D96535"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[-9.19</w:t>
            </w:r>
            <w:r w:rsidR="006602D9">
              <w:rPr>
                <w:color w:val="000000"/>
                <w:sz w:val="20"/>
                <w:szCs w:val="20"/>
              </w:rPr>
              <w:t>0</w:t>
            </w:r>
            <w:r w:rsidRPr="00A80236">
              <w:rPr>
                <w:color w:val="000000"/>
                <w:sz w:val="20"/>
                <w:szCs w:val="20"/>
              </w:rPr>
              <w:t>, 1.542]</w:t>
            </w:r>
          </w:p>
        </w:tc>
      </w:tr>
      <w:tr w:rsidR="00A80236" w:rsidRPr="00452304" w14:paraId="5CD38248" w14:textId="77777777" w:rsidTr="00A80236">
        <w:trPr>
          <w:trHeight w:val="320"/>
        </w:trPr>
        <w:tc>
          <w:tcPr>
            <w:tcW w:w="1094" w:type="dxa"/>
            <w:vMerge/>
            <w:tcBorders>
              <w:left w:val="nil"/>
              <w:right w:val="nil"/>
            </w:tcBorders>
          </w:tcPr>
          <w:p w14:paraId="73E957C2"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hideMark/>
          </w:tcPr>
          <w:p w14:paraId="59D8A01E" w14:textId="77777777" w:rsidR="00A80236" w:rsidRPr="00452304"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hideMark/>
          </w:tcPr>
          <w:p w14:paraId="6683754A" w14:textId="77777777" w:rsidR="00A80236" w:rsidRPr="00452304" w:rsidRDefault="00A80236" w:rsidP="00A80236">
            <w:pPr>
              <w:spacing w:after="0" w:line="240" w:lineRule="auto"/>
              <w:rPr>
                <w:rFonts w:eastAsia="Times New Roman"/>
                <w:b/>
                <w:bCs/>
                <w:color w:val="000000"/>
                <w:kern w:val="0"/>
                <w:sz w:val="20"/>
                <w:szCs w:val="20"/>
                <w14:ligatures w14:val="none"/>
              </w:rPr>
            </w:pPr>
            <w:proofErr w:type="spellStart"/>
            <w:r w:rsidRPr="00EC1D99">
              <w:rPr>
                <w:rFonts w:eastAsia="Times New Roman"/>
                <w:b/>
                <w:bCs/>
                <w:i/>
                <w:iCs/>
                <w:color w:val="000000"/>
                <w:kern w:val="0"/>
                <w:sz w:val="20"/>
                <w:szCs w:val="20"/>
                <w14:ligatures w14:val="none"/>
              </w:rPr>
              <w:t>AI</w:t>
            </w:r>
            <w:r w:rsidRPr="00EC1D99">
              <w:rPr>
                <w:rFonts w:eastAsia="Times New Roman"/>
                <w:b/>
                <w:bCs/>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5C378248" w14:textId="3E6F0309" w:rsidR="00A80236" w:rsidRPr="006602D9" w:rsidRDefault="00A80236" w:rsidP="00A80236">
            <w:pPr>
              <w:spacing w:after="0" w:line="240" w:lineRule="auto"/>
              <w:jc w:val="right"/>
              <w:rPr>
                <w:rFonts w:eastAsia="Times New Roman"/>
                <w:b/>
                <w:bCs/>
                <w:color w:val="000000"/>
                <w:kern w:val="0"/>
                <w:sz w:val="20"/>
                <w:szCs w:val="20"/>
                <w:highlight w:val="yellow"/>
                <w14:ligatures w14:val="none"/>
              </w:rPr>
            </w:pPr>
            <w:r w:rsidRPr="006602D9">
              <w:rPr>
                <w:b/>
                <w:bCs/>
                <w:color w:val="000000"/>
                <w:sz w:val="20"/>
                <w:szCs w:val="20"/>
              </w:rPr>
              <w:t>-41.128±27.852</w:t>
            </w:r>
          </w:p>
        </w:tc>
        <w:tc>
          <w:tcPr>
            <w:tcW w:w="972" w:type="dxa"/>
            <w:tcBorders>
              <w:top w:val="nil"/>
              <w:left w:val="nil"/>
              <w:bottom w:val="nil"/>
              <w:right w:val="nil"/>
            </w:tcBorders>
            <w:noWrap/>
            <w:vAlign w:val="bottom"/>
          </w:tcPr>
          <w:p w14:paraId="588DDB4C" w14:textId="41D5A9B9" w:rsidR="00A80236" w:rsidRPr="006602D9" w:rsidRDefault="00A80236" w:rsidP="00A80236">
            <w:pPr>
              <w:spacing w:after="0" w:line="240" w:lineRule="auto"/>
              <w:jc w:val="right"/>
              <w:rPr>
                <w:rFonts w:eastAsia="Times New Roman"/>
                <w:b/>
                <w:bCs/>
                <w:color w:val="000000"/>
                <w:kern w:val="0"/>
                <w:sz w:val="20"/>
                <w:szCs w:val="20"/>
                <w:highlight w:val="yellow"/>
                <w14:ligatures w14:val="none"/>
              </w:rPr>
            </w:pPr>
            <w:r w:rsidRPr="006602D9">
              <w:rPr>
                <w:b/>
                <w:bCs/>
                <w:color w:val="000000"/>
                <w:sz w:val="20"/>
                <w:szCs w:val="20"/>
              </w:rPr>
              <w:t>-2.156</w:t>
            </w:r>
          </w:p>
        </w:tc>
        <w:tc>
          <w:tcPr>
            <w:tcW w:w="939" w:type="dxa"/>
            <w:tcBorders>
              <w:top w:val="nil"/>
              <w:left w:val="nil"/>
              <w:bottom w:val="nil"/>
              <w:right w:val="nil"/>
            </w:tcBorders>
            <w:noWrap/>
            <w:vAlign w:val="bottom"/>
          </w:tcPr>
          <w:p w14:paraId="5522D5F7" w14:textId="055B2811" w:rsidR="00A80236" w:rsidRPr="006602D9" w:rsidRDefault="00A80236" w:rsidP="00A80236">
            <w:pPr>
              <w:spacing w:after="0" w:line="240" w:lineRule="auto"/>
              <w:jc w:val="right"/>
              <w:rPr>
                <w:rFonts w:eastAsia="Times New Roman"/>
                <w:b/>
                <w:bCs/>
                <w:color w:val="000000"/>
                <w:kern w:val="0"/>
                <w:sz w:val="20"/>
                <w:szCs w:val="20"/>
                <w:highlight w:val="yellow"/>
                <w14:ligatures w14:val="none"/>
              </w:rPr>
            </w:pPr>
            <w:r w:rsidRPr="006602D9">
              <w:rPr>
                <w:b/>
                <w:bCs/>
                <w:color w:val="000000"/>
                <w:sz w:val="20"/>
                <w:szCs w:val="20"/>
              </w:rPr>
              <w:t>0.031</w:t>
            </w:r>
          </w:p>
        </w:tc>
        <w:tc>
          <w:tcPr>
            <w:tcW w:w="1907" w:type="dxa"/>
            <w:tcBorders>
              <w:top w:val="nil"/>
              <w:left w:val="nil"/>
              <w:bottom w:val="nil"/>
              <w:right w:val="nil"/>
            </w:tcBorders>
            <w:noWrap/>
            <w:vAlign w:val="bottom"/>
          </w:tcPr>
          <w:p w14:paraId="34773907" w14:textId="78DA511E" w:rsidR="00A80236" w:rsidRPr="006602D9" w:rsidRDefault="00A80236" w:rsidP="00A80236">
            <w:pPr>
              <w:spacing w:after="0" w:line="240" w:lineRule="auto"/>
              <w:jc w:val="right"/>
              <w:rPr>
                <w:rFonts w:eastAsia="Times New Roman"/>
                <w:b/>
                <w:bCs/>
                <w:color w:val="000000"/>
                <w:kern w:val="0"/>
                <w:sz w:val="20"/>
                <w:szCs w:val="20"/>
                <w:highlight w:val="yellow"/>
                <w14:ligatures w14:val="none"/>
              </w:rPr>
            </w:pPr>
            <w:r w:rsidRPr="006602D9">
              <w:rPr>
                <w:b/>
                <w:bCs/>
                <w:color w:val="000000"/>
                <w:sz w:val="20"/>
                <w:szCs w:val="20"/>
              </w:rPr>
              <w:t>[-63.625, -4.706]</w:t>
            </w:r>
          </w:p>
        </w:tc>
      </w:tr>
      <w:tr w:rsidR="00A80236" w:rsidRPr="00452304" w14:paraId="625F2E06" w14:textId="77777777" w:rsidTr="00A80236">
        <w:trPr>
          <w:trHeight w:val="320"/>
        </w:trPr>
        <w:tc>
          <w:tcPr>
            <w:tcW w:w="1094" w:type="dxa"/>
            <w:vMerge/>
            <w:tcBorders>
              <w:left w:val="nil"/>
              <w:right w:val="nil"/>
            </w:tcBorders>
          </w:tcPr>
          <w:p w14:paraId="3939DB99"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7BAA5572" w14:textId="77777777" w:rsidR="00A80236" w:rsidRPr="00452304"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509CE096" w14:textId="77777777" w:rsidR="00A80236" w:rsidRPr="00452304" w:rsidRDefault="00A80236" w:rsidP="00A80236">
            <w:pPr>
              <w:spacing w:after="0" w:line="240" w:lineRule="auto"/>
              <w:rPr>
                <w:rFonts w:eastAsia="Times New Roman"/>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2D60C32B" w14:textId="7F396566"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-0.08</w:t>
            </w:r>
            <w:r>
              <w:rPr>
                <w:color w:val="000000"/>
                <w:sz w:val="20"/>
                <w:szCs w:val="20"/>
              </w:rPr>
              <w:t>0</w:t>
            </w:r>
            <w:r w:rsidRPr="00A80236">
              <w:rPr>
                <w:color w:val="000000"/>
                <w:sz w:val="20"/>
                <w:szCs w:val="20"/>
              </w:rPr>
              <w:t>±0.14</w:t>
            </w:r>
            <w:r>
              <w:rPr>
                <w:color w:val="000000"/>
                <w:sz w:val="20"/>
                <w:szCs w:val="20"/>
              </w:rPr>
              <w:t>0</w:t>
            </w:r>
          </w:p>
        </w:tc>
        <w:tc>
          <w:tcPr>
            <w:tcW w:w="972" w:type="dxa"/>
            <w:tcBorders>
              <w:top w:val="nil"/>
              <w:left w:val="nil"/>
              <w:bottom w:val="single" w:sz="4" w:space="0" w:color="auto"/>
              <w:right w:val="nil"/>
            </w:tcBorders>
            <w:noWrap/>
            <w:vAlign w:val="bottom"/>
          </w:tcPr>
          <w:p w14:paraId="742C18F1" w14:textId="2B62A203"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-0.602</w:t>
            </w:r>
          </w:p>
        </w:tc>
        <w:tc>
          <w:tcPr>
            <w:tcW w:w="939" w:type="dxa"/>
            <w:tcBorders>
              <w:top w:val="nil"/>
              <w:left w:val="nil"/>
              <w:bottom w:val="single" w:sz="4" w:space="0" w:color="auto"/>
              <w:right w:val="nil"/>
            </w:tcBorders>
            <w:noWrap/>
            <w:vAlign w:val="bottom"/>
          </w:tcPr>
          <w:p w14:paraId="5AC5CAF6" w14:textId="25392E16"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0.547</w:t>
            </w:r>
          </w:p>
        </w:tc>
        <w:tc>
          <w:tcPr>
            <w:tcW w:w="1907" w:type="dxa"/>
            <w:tcBorders>
              <w:top w:val="nil"/>
              <w:left w:val="nil"/>
              <w:bottom w:val="single" w:sz="4" w:space="0" w:color="auto"/>
              <w:right w:val="nil"/>
            </w:tcBorders>
            <w:noWrap/>
            <w:vAlign w:val="bottom"/>
          </w:tcPr>
          <w:p w14:paraId="7108317B" w14:textId="1A5B9532"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[-0.349, 0.19</w:t>
            </w:r>
            <w:r>
              <w:rPr>
                <w:color w:val="000000"/>
                <w:sz w:val="20"/>
                <w:szCs w:val="20"/>
              </w:rPr>
              <w:t>0</w:t>
            </w:r>
            <w:r w:rsidRPr="00A80236">
              <w:rPr>
                <w:color w:val="000000"/>
                <w:sz w:val="20"/>
                <w:szCs w:val="20"/>
              </w:rPr>
              <w:t>]</w:t>
            </w:r>
          </w:p>
        </w:tc>
      </w:tr>
      <w:tr w:rsidR="00A80236" w:rsidRPr="00452304" w14:paraId="5A3FE596" w14:textId="77777777" w:rsidTr="00A80236">
        <w:trPr>
          <w:trHeight w:val="320"/>
        </w:trPr>
        <w:tc>
          <w:tcPr>
            <w:tcW w:w="1094" w:type="dxa"/>
            <w:vMerge/>
            <w:tcBorders>
              <w:left w:val="nil"/>
              <w:right w:val="nil"/>
            </w:tcBorders>
          </w:tcPr>
          <w:p w14:paraId="78757D0F"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hideMark/>
          </w:tcPr>
          <w:p w14:paraId="4E4BA355" w14:textId="77777777" w:rsidR="00A80236" w:rsidRPr="00452304" w:rsidRDefault="00A80236" w:rsidP="00A80236">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hideMark/>
          </w:tcPr>
          <w:p w14:paraId="46C5C986" w14:textId="77777777" w:rsidR="00A80236" w:rsidRPr="00452304" w:rsidRDefault="00A80236" w:rsidP="00A80236">
            <w:pPr>
              <w:spacing w:after="0" w:line="240" w:lineRule="auto"/>
              <w:rPr>
                <w:rFonts w:eastAsia="Times New Roman"/>
                <w:i/>
                <w:iCs/>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2CD0E4C2" w14:textId="1788ECE3" w:rsidR="00A80236" w:rsidRPr="00A80236" w:rsidRDefault="00A80236" w:rsidP="00A80236">
            <w:pPr>
              <w:spacing w:after="0" w:line="240" w:lineRule="auto"/>
              <w:jc w:val="right"/>
              <w:rPr>
                <w:rFonts w:eastAsia="Times New Roman"/>
                <w:i/>
                <w:iCs/>
                <w:color w:val="000000"/>
                <w:kern w:val="0"/>
                <w:sz w:val="20"/>
                <w:szCs w:val="20"/>
                <w:highlight w:val="yellow"/>
                <w14:ligatures w14:val="none"/>
              </w:rPr>
            </w:pPr>
            <w:r w:rsidRPr="00A80236">
              <w:rPr>
                <w:color w:val="000000"/>
                <w:sz w:val="20"/>
                <w:szCs w:val="20"/>
              </w:rPr>
              <w:t>-0.419±3.686</w:t>
            </w:r>
          </w:p>
        </w:tc>
        <w:tc>
          <w:tcPr>
            <w:tcW w:w="972" w:type="dxa"/>
            <w:tcBorders>
              <w:top w:val="single" w:sz="4" w:space="0" w:color="auto"/>
              <w:left w:val="nil"/>
              <w:bottom w:val="nil"/>
              <w:right w:val="nil"/>
            </w:tcBorders>
            <w:noWrap/>
            <w:vAlign w:val="bottom"/>
          </w:tcPr>
          <w:p w14:paraId="64E4C077" w14:textId="0E951BC9" w:rsidR="00A80236" w:rsidRPr="00A80236" w:rsidRDefault="00A80236" w:rsidP="00A80236">
            <w:pPr>
              <w:spacing w:after="0" w:line="240" w:lineRule="auto"/>
              <w:jc w:val="right"/>
              <w:rPr>
                <w:rFonts w:eastAsia="Times New Roman"/>
                <w:i/>
                <w:iCs/>
                <w:color w:val="000000"/>
                <w:kern w:val="0"/>
                <w:sz w:val="20"/>
                <w:szCs w:val="20"/>
                <w:highlight w:val="yellow"/>
                <w14:ligatures w14:val="none"/>
              </w:rPr>
            </w:pPr>
            <w:r w:rsidRPr="00A80236">
              <w:rPr>
                <w:color w:val="000000"/>
                <w:sz w:val="20"/>
                <w:szCs w:val="20"/>
              </w:rPr>
              <w:t>-0.116</w:t>
            </w:r>
          </w:p>
        </w:tc>
        <w:tc>
          <w:tcPr>
            <w:tcW w:w="939" w:type="dxa"/>
            <w:tcBorders>
              <w:top w:val="single" w:sz="4" w:space="0" w:color="auto"/>
              <w:left w:val="nil"/>
              <w:bottom w:val="nil"/>
              <w:right w:val="nil"/>
            </w:tcBorders>
            <w:noWrap/>
            <w:vAlign w:val="bottom"/>
          </w:tcPr>
          <w:p w14:paraId="36B874D7" w14:textId="055C2E76" w:rsidR="00A80236" w:rsidRPr="00A80236" w:rsidRDefault="00A80236" w:rsidP="00A80236">
            <w:pPr>
              <w:spacing w:after="0" w:line="240" w:lineRule="auto"/>
              <w:jc w:val="right"/>
              <w:rPr>
                <w:rFonts w:eastAsia="Times New Roman"/>
                <w:i/>
                <w:iCs/>
                <w:color w:val="000000"/>
                <w:kern w:val="0"/>
                <w:sz w:val="20"/>
                <w:szCs w:val="20"/>
                <w:highlight w:val="yellow"/>
                <w14:ligatures w14:val="none"/>
              </w:rPr>
            </w:pPr>
            <w:r w:rsidRPr="00A80236">
              <w:rPr>
                <w:color w:val="000000"/>
                <w:sz w:val="20"/>
                <w:szCs w:val="20"/>
              </w:rPr>
              <w:t>0.908</w:t>
            </w:r>
          </w:p>
        </w:tc>
        <w:tc>
          <w:tcPr>
            <w:tcW w:w="1907" w:type="dxa"/>
            <w:tcBorders>
              <w:top w:val="single" w:sz="4" w:space="0" w:color="auto"/>
              <w:left w:val="nil"/>
              <w:bottom w:val="nil"/>
              <w:right w:val="nil"/>
            </w:tcBorders>
            <w:noWrap/>
            <w:vAlign w:val="bottom"/>
          </w:tcPr>
          <w:p w14:paraId="5D672D40" w14:textId="38ABE49E" w:rsidR="00A80236" w:rsidRPr="00A80236" w:rsidRDefault="00A80236" w:rsidP="00A80236">
            <w:pPr>
              <w:spacing w:after="0" w:line="240" w:lineRule="auto"/>
              <w:jc w:val="right"/>
              <w:rPr>
                <w:rFonts w:eastAsia="Times New Roman"/>
                <w:i/>
                <w:iCs/>
                <w:color w:val="000000"/>
                <w:kern w:val="0"/>
                <w:sz w:val="20"/>
                <w:szCs w:val="20"/>
                <w:highlight w:val="yellow"/>
                <w14:ligatures w14:val="none"/>
              </w:rPr>
            </w:pPr>
            <w:r w:rsidRPr="00A80236">
              <w:rPr>
                <w:color w:val="000000"/>
                <w:sz w:val="20"/>
                <w:szCs w:val="20"/>
              </w:rPr>
              <w:t>[-7.226, 6.897]</w:t>
            </w:r>
          </w:p>
        </w:tc>
      </w:tr>
      <w:tr w:rsidR="00A80236" w:rsidRPr="00452304" w14:paraId="691F1E95" w14:textId="77777777" w:rsidTr="00A80236">
        <w:trPr>
          <w:trHeight w:val="320"/>
        </w:trPr>
        <w:tc>
          <w:tcPr>
            <w:tcW w:w="1094" w:type="dxa"/>
            <w:vMerge/>
            <w:tcBorders>
              <w:left w:val="nil"/>
              <w:right w:val="nil"/>
            </w:tcBorders>
          </w:tcPr>
          <w:p w14:paraId="60579690"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hideMark/>
          </w:tcPr>
          <w:p w14:paraId="1B3801CF" w14:textId="77777777" w:rsidR="00A80236" w:rsidRPr="00452304"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right w:val="nil"/>
            </w:tcBorders>
            <w:noWrap/>
            <w:vAlign w:val="center"/>
            <w:hideMark/>
          </w:tcPr>
          <w:p w14:paraId="4EAA2077" w14:textId="77777777" w:rsidR="00A80236" w:rsidRPr="00452304" w:rsidRDefault="00A80236" w:rsidP="00A80236">
            <w:pPr>
              <w:spacing w:after="0" w:line="240" w:lineRule="auto"/>
              <w:rPr>
                <w:rFonts w:eastAsia="Times New Roman"/>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right w:val="nil"/>
            </w:tcBorders>
            <w:noWrap/>
            <w:vAlign w:val="bottom"/>
          </w:tcPr>
          <w:p w14:paraId="6FAC4CE5" w14:textId="0FBD5A59"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-0.618±37.713</w:t>
            </w:r>
          </w:p>
        </w:tc>
        <w:tc>
          <w:tcPr>
            <w:tcW w:w="972" w:type="dxa"/>
            <w:tcBorders>
              <w:top w:val="nil"/>
              <w:left w:val="nil"/>
              <w:right w:val="nil"/>
            </w:tcBorders>
            <w:noWrap/>
            <w:vAlign w:val="bottom"/>
          </w:tcPr>
          <w:p w14:paraId="400EDAF6" w14:textId="1E094664"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-0.019</w:t>
            </w:r>
          </w:p>
        </w:tc>
        <w:tc>
          <w:tcPr>
            <w:tcW w:w="939" w:type="dxa"/>
            <w:tcBorders>
              <w:top w:val="nil"/>
              <w:left w:val="nil"/>
              <w:right w:val="nil"/>
            </w:tcBorders>
            <w:noWrap/>
            <w:vAlign w:val="bottom"/>
          </w:tcPr>
          <w:p w14:paraId="14F2ED41" w14:textId="3A915DD5"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0.985</w:t>
            </w:r>
          </w:p>
        </w:tc>
        <w:tc>
          <w:tcPr>
            <w:tcW w:w="1907" w:type="dxa"/>
            <w:tcBorders>
              <w:top w:val="nil"/>
              <w:left w:val="nil"/>
              <w:right w:val="nil"/>
            </w:tcBorders>
            <w:noWrap/>
            <w:vAlign w:val="bottom"/>
          </w:tcPr>
          <w:p w14:paraId="4684A0F1" w14:textId="6454CD8D"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[-46.916, 86.06</w:t>
            </w:r>
            <w:r>
              <w:rPr>
                <w:color w:val="000000"/>
                <w:sz w:val="20"/>
                <w:szCs w:val="20"/>
              </w:rPr>
              <w:t>0</w:t>
            </w:r>
            <w:r w:rsidRPr="00A80236">
              <w:rPr>
                <w:color w:val="000000"/>
                <w:sz w:val="20"/>
                <w:szCs w:val="20"/>
              </w:rPr>
              <w:t>]</w:t>
            </w:r>
          </w:p>
        </w:tc>
      </w:tr>
      <w:tr w:rsidR="00A80236" w:rsidRPr="00452304" w14:paraId="26F1E6C7" w14:textId="77777777" w:rsidTr="00A80236">
        <w:trPr>
          <w:trHeight w:val="320"/>
        </w:trPr>
        <w:tc>
          <w:tcPr>
            <w:tcW w:w="1094" w:type="dxa"/>
            <w:vMerge/>
            <w:tcBorders>
              <w:left w:val="nil"/>
              <w:bottom w:val="single" w:sz="4" w:space="0" w:color="auto"/>
              <w:right w:val="nil"/>
            </w:tcBorders>
          </w:tcPr>
          <w:p w14:paraId="69E51C95"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hideMark/>
          </w:tcPr>
          <w:p w14:paraId="158673E5" w14:textId="77777777" w:rsidR="00A80236" w:rsidRPr="00452304"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6218E404" w14:textId="77777777" w:rsidR="00A80236" w:rsidRPr="00452304" w:rsidRDefault="00A80236" w:rsidP="00A80236">
            <w:pPr>
              <w:spacing w:after="0" w:line="240" w:lineRule="auto"/>
              <w:rPr>
                <w:rFonts w:eastAsia="Times New Roman"/>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6FF066C2" w14:textId="44649847"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0.04</w:t>
            </w:r>
            <w:r>
              <w:rPr>
                <w:color w:val="000000"/>
                <w:sz w:val="20"/>
                <w:szCs w:val="20"/>
              </w:rPr>
              <w:t>0</w:t>
            </w:r>
            <w:r w:rsidRPr="00A80236">
              <w:rPr>
                <w:color w:val="000000"/>
                <w:sz w:val="20"/>
                <w:szCs w:val="20"/>
              </w:rPr>
              <w:t>±0.17</w:t>
            </w:r>
            <w:r>
              <w:rPr>
                <w:color w:val="000000"/>
                <w:sz w:val="20"/>
                <w:szCs w:val="20"/>
              </w:rPr>
              <w:t>0</w:t>
            </w:r>
          </w:p>
        </w:tc>
        <w:tc>
          <w:tcPr>
            <w:tcW w:w="972" w:type="dxa"/>
            <w:tcBorders>
              <w:top w:val="nil"/>
              <w:left w:val="nil"/>
              <w:bottom w:val="single" w:sz="4" w:space="0" w:color="auto"/>
              <w:right w:val="nil"/>
            </w:tcBorders>
            <w:noWrap/>
            <w:vAlign w:val="bottom"/>
          </w:tcPr>
          <w:p w14:paraId="74A32399" w14:textId="7260C2B1"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0.227</w:t>
            </w:r>
          </w:p>
        </w:tc>
        <w:tc>
          <w:tcPr>
            <w:tcW w:w="939" w:type="dxa"/>
            <w:tcBorders>
              <w:top w:val="nil"/>
              <w:left w:val="nil"/>
              <w:bottom w:val="single" w:sz="4" w:space="0" w:color="auto"/>
              <w:right w:val="nil"/>
            </w:tcBorders>
            <w:noWrap/>
            <w:vAlign w:val="bottom"/>
          </w:tcPr>
          <w:p w14:paraId="31999FD7" w14:textId="4F75BEEC"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0.821</w:t>
            </w:r>
          </w:p>
        </w:tc>
        <w:tc>
          <w:tcPr>
            <w:tcW w:w="1907" w:type="dxa"/>
            <w:tcBorders>
              <w:top w:val="nil"/>
              <w:left w:val="nil"/>
              <w:bottom w:val="single" w:sz="4" w:space="0" w:color="auto"/>
              <w:right w:val="nil"/>
            </w:tcBorders>
            <w:noWrap/>
            <w:vAlign w:val="bottom"/>
          </w:tcPr>
          <w:p w14:paraId="6D95CD4D" w14:textId="4DF8FED3"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[-0.3</w:t>
            </w:r>
            <w:r>
              <w:rPr>
                <w:color w:val="000000"/>
                <w:sz w:val="20"/>
                <w:szCs w:val="20"/>
              </w:rPr>
              <w:t>00</w:t>
            </w:r>
            <w:r w:rsidRPr="00A80236">
              <w:rPr>
                <w:color w:val="000000"/>
                <w:sz w:val="20"/>
                <w:szCs w:val="20"/>
              </w:rPr>
              <w:t>, 0.381]</w:t>
            </w:r>
          </w:p>
        </w:tc>
      </w:tr>
    </w:tbl>
    <w:p w14:paraId="1C958F16" w14:textId="0900A0C9" w:rsidR="00A52A32" w:rsidRDefault="009E5FB6" w:rsidP="00AF37C5">
      <w:pPr>
        <w:rPr>
          <w:iCs/>
        </w:rPr>
      </w:pPr>
      <w:r>
        <w:rPr>
          <w:iCs/>
          <w:vertAlign w:val="superscript"/>
        </w:rPr>
        <w:t>*</w:t>
      </w:r>
      <w:r>
        <w:rPr>
          <w:iCs/>
        </w:rPr>
        <w:t xml:space="preserve">Trait acronyms are as defined in Fig. 2. </w:t>
      </w:r>
      <w:r w:rsidR="001A23CA">
        <w:t xml:space="preserve">Model coefficients and 95% confidence interval ranges have been transformed to percent change to mimic figures. </w:t>
      </w:r>
      <w:r>
        <w:rPr>
          <w:iCs/>
        </w:rPr>
        <w:t xml:space="preserve">Rows where </w:t>
      </w:r>
      <w:r>
        <w:rPr>
          <w:i/>
        </w:rPr>
        <w:t>p</w:t>
      </w:r>
      <w:r>
        <w:rPr>
          <w:iCs/>
        </w:rPr>
        <w:t xml:space="preserve">-values are less than 0.05 are noted in bold font and </w:t>
      </w:r>
      <w:r>
        <w:rPr>
          <w:i/>
        </w:rPr>
        <w:t>p</w:t>
      </w:r>
      <w:r>
        <w:rPr>
          <w:iCs/>
        </w:rPr>
        <w:t>-values where 0.5&lt;</w:t>
      </w:r>
      <w:r>
        <w:rPr>
          <w:i/>
        </w:rPr>
        <w:t>p</w:t>
      </w:r>
      <w:r>
        <w:rPr>
          <w:iCs/>
        </w:rPr>
        <w:t xml:space="preserve">&lt;0.1 are noted in italic font. Key: </w:t>
      </w:r>
      <w:proofErr w:type="spellStart"/>
      <w:r>
        <w:rPr>
          <w:i/>
        </w:rPr>
        <w:t>T</w:t>
      </w:r>
      <w:r>
        <w:rPr>
          <w:iCs/>
          <w:vertAlign w:val="subscript"/>
        </w:rPr>
        <w:t>g</w:t>
      </w:r>
      <w:proofErr w:type="spellEnd"/>
      <w:r>
        <w:rPr>
          <w:iCs/>
        </w:rPr>
        <w:t>=mean growing season temperature (</w:t>
      </w:r>
      <w:r>
        <w:rPr>
          <w:iCs/>
        </w:rPr>
        <w:sym w:font="Symbol" w:char="F0B0"/>
      </w:r>
      <w:r>
        <w:rPr>
          <w:iCs/>
        </w:rPr>
        <w:t xml:space="preserve">C), </w:t>
      </w:r>
      <w:proofErr w:type="spellStart"/>
      <w:r>
        <w:rPr>
          <w:i/>
        </w:rPr>
        <w:t>AI</w:t>
      </w:r>
      <w:r>
        <w:rPr>
          <w:iCs/>
          <w:vertAlign w:val="subscript"/>
        </w:rPr>
        <w:t>g</w:t>
      </w:r>
      <w:proofErr w:type="spellEnd"/>
      <w:r>
        <w:rPr>
          <w:iCs/>
        </w:rPr>
        <w:t xml:space="preserve">=mean growing season aridity index (unitless), </w:t>
      </w:r>
      <w:proofErr w:type="spellStart"/>
      <w:r>
        <w:rPr>
          <w:i/>
        </w:rPr>
        <w:t>PAR</w:t>
      </w:r>
      <w:r>
        <w:rPr>
          <w:iCs/>
          <w:vertAlign w:val="subscript"/>
        </w:rPr>
        <w:t>g</w:t>
      </w:r>
      <w:proofErr w:type="spellEnd"/>
      <w:r>
        <w:rPr>
          <w:iCs/>
        </w:rPr>
        <w:t>=mean growing season photosynthetically active radiation (</w:t>
      </w:r>
      <w:r>
        <w:rPr>
          <w:iCs/>
          <w:lang w:val="el-GR"/>
        </w:rPr>
        <w:t>μ</w:t>
      </w:r>
      <w:r>
        <w:rPr>
          <w:iCs/>
        </w:rPr>
        <w:t>mol m</w:t>
      </w:r>
      <w:r>
        <w:rPr>
          <w:iCs/>
          <w:vertAlign w:val="superscript"/>
        </w:rPr>
        <w:t>-2</w:t>
      </w:r>
      <w:r>
        <w:rPr>
          <w:iCs/>
        </w:rPr>
        <w:t xml:space="preserve"> s</w:t>
      </w:r>
      <w:r>
        <w:rPr>
          <w:iCs/>
          <w:vertAlign w:val="superscript"/>
        </w:rPr>
        <w:t>-1</w:t>
      </w:r>
      <w:r>
        <w:rPr>
          <w:iCs/>
        </w:rPr>
        <w:t>)</w:t>
      </w:r>
    </w:p>
    <w:p w14:paraId="65EAA779" w14:textId="7627C151" w:rsidR="00080852" w:rsidRDefault="00080852">
      <w:pPr>
        <w:rPr>
          <w:iCs/>
        </w:rPr>
      </w:pPr>
      <w:r>
        <w:rPr>
          <w:iCs/>
        </w:rPr>
        <w:br w:type="page"/>
      </w:r>
    </w:p>
    <w:p w14:paraId="7FCD43CE" w14:textId="209860D4" w:rsidR="00EA2123" w:rsidRDefault="00EA2123" w:rsidP="00EA2123">
      <w:pPr>
        <w:rPr>
          <w:iCs/>
        </w:rPr>
      </w:pPr>
      <w:r>
        <w:rPr>
          <w:b/>
          <w:bCs/>
          <w:iCs/>
        </w:rPr>
        <w:lastRenderedPageBreak/>
        <w:t>Table S</w:t>
      </w:r>
      <w:r w:rsidR="00D52EF1">
        <w:rPr>
          <w:b/>
          <w:bCs/>
          <w:iCs/>
        </w:rPr>
        <w:t>8</w:t>
      </w:r>
      <w:r>
        <w:rPr>
          <w:iCs/>
        </w:rPr>
        <w:t xml:space="preserve"> N</w:t>
      </w:r>
      <w:r>
        <w:rPr>
          <w:iCs/>
          <w:vertAlign w:val="subscript"/>
        </w:rPr>
        <w:t>2</w:t>
      </w:r>
      <w:r>
        <w:rPr>
          <w:iCs/>
        </w:rPr>
        <w:t>-fixer moderator effects on leaf nutrient responses to nutrient addition</w:t>
      </w:r>
    </w:p>
    <w:tbl>
      <w:tblPr>
        <w:tblW w:w="8010" w:type="dxa"/>
        <w:tblLook w:val="04A0" w:firstRow="1" w:lastRow="0" w:firstColumn="1" w:lastColumn="0" w:noHBand="0" w:noVBand="1"/>
      </w:tblPr>
      <w:tblGrid>
        <w:gridCol w:w="1061"/>
        <w:gridCol w:w="1178"/>
        <w:gridCol w:w="1227"/>
        <w:gridCol w:w="866"/>
        <w:gridCol w:w="972"/>
        <w:gridCol w:w="939"/>
        <w:gridCol w:w="1767"/>
      </w:tblGrid>
      <w:tr w:rsidR="00EA2123" w:rsidRPr="00452304" w14:paraId="5834FF44" w14:textId="77777777" w:rsidTr="001A23CA">
        <w:trPr>
          <w:trHeight w:val="320"/>
        </w:trPr>
        <w:tc>
          <w:tcPr>
            <w:tcW w:w="1061" w:type="dxa"/>
            <w:tcBorders>
              <w:top w:val="single" w:sz="4" w:space="0" w:color="auto"/>
              <w:left w:val="nil"/>
              <w:bottom w:val="single" w:sz="4" w:space="0" w:color="auto"/>
              <w:right w:val="nil"/>
            </w:tcBorders>
            <w:vAlign w:val="center"/>
          </w:tcPr>
          <w:p w14:paraId="00AF3D29" w14:textId="77777777" w:rsidR="00EA2123" w:rsidRPr="008825E3" w:rsidRDefault="00EA2123" w:rsidP="006127B4">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5DCA0304" w14:textId="77777777" w:rsidR="00EA2123" w:rsidRPr="00452304" w:rsidRDefault="00EA2123" w:rsidP="006127B4">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29E2A857" w14:textId="77777777" w:rsidR="00EA2123" w:rsidRPr="00452304" w:rsidRDefault="00EA2123" w:rsidP="006127B4">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866" w:type="dxa"/>
            <w:tcBorders>
              <w:top w:val="single" w:sz="4" w:space="0" w:color="auto"/>
              <w:left w:val="nil"/>
              <w:bottom w:val="single" w:sz="4" w:space="0" w:color="auto"/>
              <w:right w:val="nil"/>
            </w:tcBorders>
            <w:noWrap/>
            <w:vAlign w:val="center"/>
            <w:hideMark/>
          </w:tcPr>
          <w:p w14:paraId="7760E885" w14:textId="77777777" w:rsidR="00EA2123" w:rsidRPr="00452304" w:rsidRDefault="00EA2123" w:rsidP="006127B4">
            <w:pPr>
              <w:spacing w:after="0" w:line="240" w:lineRule="auto"/>
              <w:rPr>
                <w:b/>
                <w:bCs/>
                <w:sz w:val="20"/>
                <w:szCs w:val="20"/>
              </w:rPr>
            </w:pPr>
            <w:r w:rsidRPr="008825E3">
              <w:rPr>
                <w:b/>
                <w:bCs/>
                <w:sz w:val="20"/>
                <w:szCs w:val="20"/>
              </w:rPr>
              <w:t>Coef</w:t>
            </w:r>
            <w:r>
              <w:rPr>
                <w:b/>
                <w:bCs/>
                <w:sz w:val="20"/>
                <w:szCs w:val="20"/>
              </w:rPr>
              <w:t>.</w:t>
            </w:r>
          </w:p>
        </w:tc>
        <w:tc>
          <w:tcPr>
            <w:tcW w:w="972" w:type="dxa"/>
            <w:tcBorders>
              <w:top w:val="single" w:sz="4" w:space="0" w:color="auto"/>
              <w:left w:val="nil"/>
              <w:bottom w:val="single" w:sz="4" w:space="0" w:color="auto"/>
              <w:right w:val="nil"/>
            </w:tcBorders>
            <w:noWrap/>
            <w:vAlign w:val="center"/>
            <w:hideMark/>
          </w:tcPr>
          <w:p w14:paraId="5BC52B21" w14:textId="77777777" w:rsidR="00EA2123" w:rsidRPr="00452304" w:rsidRDefault="00EA2123" w:rsidP="006127B4">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361471B9" w14:textId="77777777" w:rsidR="00EA2123" w:rsidRPr="00452304" w:rsidRDefault="00EA2123" w:rsidP="006127B4">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767" w:type="dxa"/>
            <w:tcBorders>
              <w:top w:val="single" w:sz="4" w:space="0" w:color="auto"/>
              <w:left w:val="nil"/>
              <w:bottom w:val="single" w:sz="4" w:space="0" w:color="auto"/>
              <w:right w:val="nil"/>
            </w:tcBorders>
            <w:noWrap/>
            <w:vAlign w:val="center"/>
            <w:hideMark/>
          </w:tcPr>
          <w:p w14:paraId="495B8CCA" w14:textId="77777777" w:rsidR="00EA2123" w:rsidRPr="00452304" w:rsidRDefault="00EA2123" w:rsidP="006127B4">
            <w:pPr>
              <w:spacing w:after="0" w:line="240" w:lineRule="auto"/>
              <w:rPr>
                <w:b/>
                <w:bCs/>
                <w:sz w:val="20"/>
                <w:szCs w:val="20"/>
              </w:rPr>
            </w:pPr>
            <w:r w:rsidRPr="008825E3">
              <w:rPr>
                <w:b/>
                <w:bCs/>
                <w:sz w:val="20"/>
                <w:szCs w:val="20"/>
              </w:rPr>
              <w:t>95% CI</w:t>
            </w:r>
          </w:p>
        </w:tc>
      </w:tr>
      <w:tr w:rsidR="001A23CA" w:rsidRPr="00452304" w14:paraId="7CC13439" w14:textId="77777777" w:rsidTr="00B72AF6">
        <w:trPr>
          <w:trHeight w:val="320"/>
        </w:trPr>
        <w:tc>
          <w:tcPr>
            <w:tcW w:w="1061" w:type="dxa"/>
            <w:vMerge w:val="restart"/>
            <w:tcBorders>
              <w:top w:val="single" w:sz="4" w:space="0" w:color="auto"/>
              <w:left w:val="nil"/>
              <w:right w:val="nil"/>
            </w:tcBorders>
            <w:vAlign w:val="center"/>
          </w:tcPr>
          <w:p w14:paraId="0431C466" w14:textId="77777777" w:rsidR="001A23CA" w:rsidRPr="008A48CF" w:rsidRDefault="001A23CA" w:rsidP="001A23CA">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M</w:t>
            </w:r>
            <w:r>
              <w:rPr>
                <w:rFonts w:eastAsia="Times New Roman"/>
                <w:color w:val="000000"/>
                <w:kern w:val="0"/>
                <w:sz w:val="20"/>
                <w:szCs w:val="20"/>
                <w:vertAlign w:val="subscript"/>
                <w14:ligatures w14:val="none"/>
              </w:rPr>
              <w:t>area</w:t>
            </w:r>
          </w:p>
        </w:tc>
        <w:tc>
          <w:tcPr>
            <w:tcW w:w="1178" w:type="dxa"/>
            <w:vMerge w:val="restart"/>
            <w:tcBorders>
              <w:top w:val="single" w:sz="4" w:space="0" w:color="auto"/>
              <w:left w:val="nil"/>
              <w:right w:val="nil"/>
            </w:tcBorders>
            <w:noWrap/>
            <w:vAlign w:val="center"/>
            <w:hideMark/>
          </w:tcPr>
          <w:p w14:paraId="044837BA" w14:textId="77777777" w:rsidR="001A23CA" w:rsidRPr="001A23CA" w:rsidRDefault="001A23CA" w:rsidP="001A23CA">
            <w:pPr>
              <w:spacing w:after="0" w:line="240" w:lineRule="auto"/>
              <w:rPr>
                <w:rFonts w:eastAsia="Times New Roman"/>
                <w:color w:val="000000"/>
                <w:kern w:val="0"/>
                <w:sz w:val="20"/>
                <w:szCs w:val="20"/>
                <w14:ligatures w14:val="none"/>
              </w:rPr>
            </w:pPr>
            <w:r w:rsidRPr="001A23CA">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618E96A9" w14:textId="77777777" w:rsidR="001A23CA" w:rsidRPr="001A23CA" w:rsidRDefault="001A23CA" w:rsidP="001A23CA">
            <w:pPr>
              <w:spacing w:after="0" w:line="240" w:lineRule="auto"/>
              <w:rPr>
                <w:rFonts w:eastAsia="Times New Roman"/>
                <w:i/>
                <w:iCs/>
                <w:color w:val="000000"/>
                <w:kern w:val="0"/>
                <w:sz w:val="20"/>
                <w:szCs w:val="20"/>
                <w14:ligatures w14:val="none"/>
              </w:rPr>
            </w:pPr>
            <w:r w:rsidRPr="001A23CA">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3636C529" w14:textId="515797D8" w:rsidR="001A23CA" w:rsidRPr="001A23CA" w:rsidRDefault="001A23CA" w:rsidP="00B72AF6">
            <w:pPr>
              <w:spacing w:after="0" w:line="240" w:lineRule="auto"/>
              <w:jc w:val="right"/>
              <w:rPr>
                <w:rFonts w:eastAsia="Times New Roman"/>
                <w:b/>
                <w:bCs/>
                <w:color w:val="000000"/>
                <w:kern w:val="0"/>
                <w:sz w:val="20"/>
                <w:szCs w:val="20"/>
                <w:highlight w:val="yellow"/>
                <w14:ligatures w14:val="none"/>
              </w:rPr>
            </w:pPr>
            <w:r w:rsidRPr="001A23CA">
              <w:rPr>
                <w:b/>
                <w:bCs/>
                <w:color w:val="000000"/>
                <w:sz w:val="20"/>
                <w:szCs w:val="20"/>
              </w:rPr>
              <w:t>-4.305</w:t>
            </w:r>
          </w:p>
        </w:tc>
        <w:tc>
          <w:tcPr>
            <w:tcW w:w="972" w:type="dxa"/>
            <w:vMerge w:val="restart"/>
            <w:tcBorders>
              <w:top w:val="single" w:sz="4" w:space="0" w:color="auto"/>
              <w:left w:val="nil"/>
              <w:right w:val="nil"/>
            </w:tcBorders>
            <w:noWrap/>
            <w:vAlign w:val="center"/>
          </w:tcPr>
          <w:p w14:paraId="6E3681B8" w14:textId="77777777" w:rsidR="001A23CA" w:rsidRPr="001A23CA" w:rsidRDefault="001A23CA" w:rsidP="00B72AF6">
            <w:pPr>
              <w:spacing w:after="0" w:line="240" w:lineRule="auto"/>
              <w:jc w:val="right"/>
              <w:rPr>
                <w:rFonts w:eastAsia="Times New Roman"/>
                <w:b/>
                <w:bCs/>
                <w:color w:val="000000"/>
                <w:kern w:val="0"/>
                <w:sz w:val="20"/>
                <w:szCs w:val="20"/>
                <w14:ligatures w14:val="none"/>
              </w:rPr>
            </w:pPr>
            <w:r w:rsidRPr="001A23CA">
              <w:rPr>
                <w:b/>
                <w:bCs/>
                <w:color w:val="000000"/>
                <w:sz w:val="20"/>
                <w:szCs w:val="20"/>
              </w:rPr>
              <w:t>3.508</w:t>
            </w:r>
          </w:p>
        </w:tc>
        <w:tc>
          <w:tcPr>
            <w:tcW w:w="939" w:type="dxa"/>
            <w:vMerge w:val="restart"/>
            <w:tcBorders>
              <w:top w:val="single" w:sz="4" w:space="0" w:color="auto"/>
              <w:left w:val="nil"/>
              <w:right w:val="nil"/>
            </w:tcBorders>
            <w:noWrap/>
            <w:vAlign w:val="center"/>
          </w:tcPr>
          <w:p w14:paraId="3C1B6927" w14:textId="77777777" w:rsidR="001A23CA" w:rsidRPr="001A23CA" w:rsidRDefault="001A23CA" w:rsidP="00B72AF6">
            <w:pPr>
              <w:spacing w:after="0" w:line="240" w:lineRule="auto"/>
              <w:jc w:val="right"/>
              <w:rPr>
                <w:rFonts w:eastAsia="Times New Roman"/>
                <w:b/>
                <w:bCs/>
                <w:color w:val="000000"/>
                <w:kern w:val="0"/>
                <w:sz w:val="20"/>
                <w:szCs w:val="20"/>
                <w14:ligatures w14:val="none"/>
              </w:rPr>
            </w:pPr>
            <w:r w:rsidRPr="001A23CA">
              <w:rPr>
                <w:b/>
                <w:bCs/>
                <w:color w:val="000000"/>
                <w:sz w:val="20"/>
                <w:szCs w:val="20"/>
              </w:rPr>
              <w:t>&lt;0.001</w:t>
            </w:r>
          </w:p>
        </w:tc>
        <w:tc>
          <w:tcPr>
            <w:tcW w:w="1767" w:type="dxa"/>
            <w:tcBorders>
              <w:top w:val="single" w:sz="4" w:space="0" w:color="auto"/>
              <w:left w:val="nil"/>
              <w:bottom w:val="nil"/>
              <w:right w:val="nil"/>
            </w:tcBorders>
            <w:noWrap/>
            <w:vAlign w:val="center"/>
          </w:tcPr>
          <w:p w14:paraId="029DDA02" w14:textId="64A81878" w:rsidR="001A23CA" w:rsidRPr="001A23CA" w:rsidRDefault="001A23CA" w:rsidP="00B72AF6">
            <w:pPr>
              <w:spacing w:after="0" w:line="240" w:lineRule="auto"/>
              <w:jc w:val="right"/>
              <w:rPr>
                <w:rFonts w:eastAsia="Times New Roman"/>
                <w:b/>
                <w:bCs/>
                <w:color w:val="000000"/>
                <w:kern w:val="0"/>
                <w:sz w:val="20"/>
                <w:szCs w:val="20"/>
                <w:highlight w:val="yellow"/>
                <w14:ligatures w14:val="none"/>
              </w:rPr>
            </w:pPr>
            <w:r w:rsidRPr="001A23CA">
              <w:rPr>
                <w:b/>
                <w:bCs/>
                <w:color w:val="000000"/>
                <w:sz w:val="20"/>
                <w:szCs w:val="20"/>
              </w:rPr>
              <w:t>[-7.873, -0.698]</w:t>
            </w:r>
          </w:p>
        </w:tc>
      </w:tr>
      <w:tr w:rsidR="001A23CA" w:rsidRPr="00452304" w14:paraId="51A9E316" w14:textId="77777777" w:rsidTr="00B72AF6">
        <w:trPr>
          <w:trHeight w:val="320"/>
        </w:trPr>
        <w:tc>
          <w:tcPr>
            <w:tcW w:w="1061" w:type="dxa"/>
            <w:vMerge/>
            <w:tcBorders>
              <w:left w:val="nil"/>
              <w:right w:val="nil"/>
            </w:tcBorders>
          </w:tcPr>
          <w:p w14:paraId="1AFD6313"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05CE9DC2" w14:textId="77777777" w:rsidR="001A23CA" w:rsidRPr="001A23CA"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6286C463" w14:textId="77777777" w:rsidR="001A23CA" w:rsidRPr="001A23CA" w:rsidRDefault="001A23CA" w:rsidP="001A23CA">
            <w:pPr>
              <w:spacing w:after="0" w:line="240" w:lineRule="auto"/>
              <w:rPr>
                <w:rFonts w:eastAsia="Times New Roman"/>
                <w:i/>
                <w:iCs/>
                <w:color w:val="000000"/>
                <w:kern w:val="0"/>
                <w:sz w:val="20"/>
                <w:szCs w:val="20"/>
                <w14:ligatures w14:val="none"/>
              </w:rPr>
            </w:pPr>
            <w:r w:rsidRPr="001A23CA">
              <w:rPr>
                <w:rFonts w:eastAsia="Times New Roman"/>
                <w:i/>
                <w:iCs/>
                <w:color w:val="000000"/>
                <w:kern w:val="0"/>
                <w:sz w:val="20"/>
                <w:szCs w:val="20"/>
                <w14:ligatures w14:val="none"/>
              </w:rPr>
              <w:t>N</w:t>
            </w:r>
            <w:r w:rsidRPr="001A23CA">
              <w:rPr>
                <w:rFonts w:eastAsia="Times New Roman"/>
                <w:i/>
                <w:iCs/>
                <w:color w:val="000000"/>
                <w:kern w:val="0"/>
                <w:sz w:val="20"/>
                <w:szCs w:val="20"/>
                <w:vertAlign w:val="subscript"/>
                <w14:ligatures w14:val="none"/>
              </w:rPr>
              <w:t>2</w:t>
            </w:r>
            <w:r w:rsidRPr="001A23CA">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6728EA8C" w14:textId="65B145DB" w:rsidR="001A23CA" w:rsidRPr="001A23CA" w:rsidRDefault="001A23CA" w:rsidP="00B72AF6">
            <w:pPr>
              <w:spacing w:after="0" w:line="240" w:lineRule="auto"/>
              <w:jc w:val="right"/>
              <w:rPr>
                <w:rFonts w:eastAsia="Times New Roman"/>
                <w:b/>
                <w:bCs/>
                <w:color w:val="000000"/>
                <w:kern w:val="0"/>
                <w:sz w:val="20"/>
                <w:szCs w:val="20"/>
                <w:highlight w:val="yellow"/>
                <w14:ligatures w14:val="none"/>
              </w:rPr>
            </w:pPr>
            <w:r w:rsidRPr="001A23CA">
              <w:rPr>
                <w:b/>
                <w:bCs/>
                <w:color w:val="000000"/>
                <w:sz w:val="20"/>
                <w:szCs w:val="20"/>
              </w:rPr>
              <w:t>13.428</w:t>
            </w:r>
          </w:p>
        </w:tc>
        <w:tc>
          <w:tcPr>
            <w:tcW w:w="972" w:type="dxa"/>
            <w:vMerge/>
            <w:tcBorders>
              <w:left w:val="nil"/>
              <w:bottom w:val="single" w:sz="4" w:space="0" w:color="auto"/>
              <w:right w:val="nil"/>
            </w:tcBorders>
            <w:noWrap/>
            <w:vAlign w:val="center"/>
          </w:tcPr>
          <w:p w14:paraId="27BADBDF" w14:textId="77777777" w:rsidR="001A23CA" w:rsidRPr="001A23CA" w:rsidRDefault="001A23CA" w:rsidP="00B72AF6">
            <w:pPr>
              <w:spacing w:after="0" w:line="240" w:lineRule="auto"/>
              <w:jc w:val="right"/>
              <w:rPr>
                <w:rFonts w:eastAsia="Times New Roman"/>
                <w:b/>
                <w:bCs/>
                <w:color w:val="000000"/>
                <w:kern w:val="0"/>
                <w:sz w:val="20"/>
                <w:szCs w:val="20"/>
                <w14:ligatures w14:val="none"/>
              </w:rPr>
            </w:pPr>
          </w:p>
        </w:tc>
        <w:tc>
          <w:tcPr>
            <w:tcW w:w="939" w:type="dxa"/>
            <w:vMerge/>
            <w:tcBorders>
              <w:left w:val="nil"/>
              <w:bottom w:val="single" w:sz="4" w:space="0" w:color="auto"/>
              <w:right w:val="nil"/>
            </w:tcBorders>
            <w:noWrap/>
            <w:vAlign w:val="center"/>
          </w:tcPr>
          <w:p w14:paraId="4691B9C7" w14:textId="77777777" w:rsidR="001A23CA" w:rsidRPr="001A23CA" w:rsidRDefault="001A23CA" w:rsidP="00B72AF6">
            <w:pPr>
              <w:spacing w:after="0" w:line="240" w:lineRule="auto"/>
              <w:jc w:val="right"/>
              <w:rPr>
                <w:rFonts w:eastAsia="Times New Roman"/>
                <w:b/>
                <w:bCs/>
                <w:color w:val="000000"/>
                <w:kern w:val="0"/>
                <w:sz w:val="20"/>
                <w:szCs w:val="20"/>
                <w14:ligatures w14:val="none"/>
              </w:rPr>
            </w:pPr>
          </w:p>
        </w:tc>
        <w:tc>
          <w:tcPr>
            <w:tcW w:w="1767" w:type="dxa"/>
            <w:tcBorders>
              <w:top w:val="nil"/>
              <w:left w:val="nil"/>
              <w:bottom w:val="single" w:sz="4" w:space="0" w:color="auto"/>
              <w:right w:val="nil"/>
            </w:tcBorders>
            <w:noWrap/>
            <w:vAlign w:val="center"/>
          </w:tcPr>
          <w:p w14:paraId="5F90D0DF" w14:textId="15EEC6FA" w:rsidR="001A23CA" w:rsidRPr="001A23CA" w:rsidRDefault="001A23CA" w:rsidP="00B72AF6">
            <w:pPr>
              <w:spacing w:after="0" w:line="240" w:lineRule="auto"/>
              <w:jc w:val="right"/>
              <w:rPr>
                <w:rFonts w:eastAsia="Times New Roman"/>
                <w:b/>
                <w:bCs/>
                <w:color w:val="000000"/>
                <w:kern w:val="0"/>
                <w:sz w:val="20"/>
                <w:szCs w:val="20"/>
                <w:highlight w:val="yellow"/>
                <w14:ligatures w14:val="none"/>
              </w:rPr>
            </w:pPr>
            <w:r w:rsidRPr="001A23CA">
              <w:rPr>
                <w:b/>
                <w:bCs/>
                <w:color w:val="000000"/>
                <w:sz w:val="20"/>
                <w:szCs w:val="20"/>
              </w:rPr>
              <w:t>[2.737, 25.107]</w:t>
            </w:r>
          </w:p>
        </w:tc>
      </w:tr>
      <w:tr w:rsidR="001A23CA" w:rsidRPr="00452304" w14:paraId="58946205" w14:textId="77777777" w:rsidTr="00B72AF6">
        <w:trPr>
          <w:trHeight w:val="320"/>
        </w:trPr>
        <w:tc>
          <w:tcPr>
            <w:tcW w:w="1061" w:type="dxa"/>
            <w:vMerge/>
            <w:tcBorders>
              <w:left w:val="nil"/>
              <w:right w:val="nil"/>
            </w:tcBorders>
          </w:tcPr>
          <w:p w14:paraId="7D79A84B"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F3A3544" w14:textId="77777777" w:rsidR="001A23CA" w:rsidRPr="001A23CA" w:rsidRDefault="001A23CA" w:rsidP="001A23CA">
            <w:pPr>
              <w:spacing w:after="0" w:line="240" w:lineRule="auto"/>
              <w:rPr>
                <w:rFonts w:eastAsia="Times New Roman"/>
                <w:color w:val="000000"/>
                <w:kern w:val="0"/>
                <w:sz w:val="20"/>
                <w:szCs w:val="20"/>
                <w14:ligatures w14:val="none"/>
              </w:rPr>
            </w:pPr>
            <w:r w:rsidRPr="001A23CA">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371A3A76" w14:textId="77777777" w:rsidR="001A23CA" w:rsidRPr="001A23CA" w:rsidRDefault="001A23CA" w:rsidP="001A23CA">
            <w:pPr>
              <w:spacing w:after="0" w:line="240" w:lineRule="auto"/>
              <w:rPr>
                <w:rFonts w:eastAsia="Times New Roman"/>
                <w:color w:val="000000"/>
                <w:kern w:val="0"/>
                <w:sz w:val="20"/>
                <w:szCs w:val="20"/>
                <w14:ligatures w14:val="none"/>
              </w:rPr>
            </w:pPr>
            <w:r w:rsidRPr="001A23CA">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044182A8" w14:textId="781DE53A"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-0.698</w:t>
            </w:r>
          </w:p>
        </w:tc>
        <w:tc>
          <w:tcPr>
            <w:tcW w:w="972" w:type="dxa"/>
            <w:vMerge w:val="restart"/>
            <w:tcBorders>
              <w:top w:val="single" w:sz="4" w:space="0" w:color="auto"/>
              <w:left w:val="nil"/>
              <w:right w:val="nil"/>
            </w:tcBorders>
            <w:noWrap/>
            <w:vAlign w:val="center"/>
          </w:tcPr>
          <w:p w14:paraId="603E2CF0" w14:textId="77777777" w:rsidR="001A23CA" w:rsidRPr="001A23CA" w:rsidRDefault="001A23CA" w:rsidP="00B72AF6">
            <w:pPr>
              <w:spacing w:after="0" w:line="240" w:lineRule="auto"/>
              <w:jc w:val="right"/>
              <w:rPr>
                <w:b/>
                <w:bCs/>
                <w:color w:val="000000"/>
                <w:sz w:val="20"/>
                <w:szCs w:val="20"/>
              </w:rPr>
            </w:pPr>
            <w:r w:rsidRPr="001A23CA">
              <w:rPr>
                <w:b/>
                <w:bCs/>
                <w:color w:val="000000"/>
                <w:sz w:val="20"/>
                <w:szCs w:val="20"/>
              </w:rPr>
              <w:t>-4.584</w:t>
            </w:r>
          </w:p>
        </w:tc>
        <w:tc>
          <w:tcPr>
            <w:tcW w:w="939" w:type="dxa"/>
            <w:vMerge w:val="restart"/>
            <w:tcBorders>
              <w:top w:val="single" w:sz="4" w:space="0" w:color="auto"/>
              <w:left w:val="nil"/>
              <w:right w:val="nil"/>
            </w:tcBorders>
            <w:noWrap/>
            <w:vAlign w:val="center"/>
          </w:tcPr>
          <w:p w14:paraId="4C4EDF15" w14:textId="77777777" w:rsidR="001A23CA" w:rsidRPr="001A23CA" w:rsidRDefault="001A23CA" w:rsidP="00B72AF6">
            <w:pPr>
              <w:spacing w:after="0" w:line="240" w:lineRule="auto"/>
              <w:jc w:val="right"/>
              <w:rPr>
                <w:b/>
                <w:bCs/>
                <w:color w:val="000000"/>
                <w:sz w:val="20"/>
                <w:szCs w:val="20"/>
              </w:rPr>
            </w:pPr>
            <w:r w:rsidRPr="001A23CA">
              <w:rPr>
                <w:b/>
                <w:bCs/>
                <w:color w:val="000000"/>
                <w:sz w:val="20"/>
                <w:szCs w:val="20"/>
              </w:rPr>
              <w:t>&lt;0.001</w:t>
            </w:r>
          </w:p>
        </w:tc>
        <w:tc>
          <w:tcPr>
            <w:tcW w:w="1767" w:type="dxa"/>
            <w:tcBorders>
              <w:top w:val="single" w:sz="4" w:space="0" w:color="auto"/>
              <w:left w:val="nil"/>
              <w:bottom w:val="nil"/>
              <w:right w:val="nil"/>
            </w:tcBorders>
            <w:noWrap/>
            <w:vAlign w:val="center"/>
          </w:tcPr>
          <w:p w14:paraId="08D1180D" w14:textId="5380BFE9"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[-4.209, 2.840]</w:t>
            </w:r>
          </w:p>
        </w:tc>
      </w:tr>
      <w:tr w:rsidR="001A23CA" w:rsidRPr="00452304" w14:paraId="1A11D244" w14:textId="77777777" w:rsidTr="00B72AF6">
        <w:trPr>
          <w:trHeight w:val="320"/>
        </w:trPr>
        <w:tc>
          <w:tcPr>
            <w:tcW w:w="1061" w:type="dxa"/>
            <w:vMerge/>
            <w:tcBorders>
              <w:left w:val="nil"/>
              <w:right w:val="nil"/>
            </w:tcBorders>
          </w:tcPr>
          <w:p w14:paraId="4F81359A"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AF24258" w14:textId="77777777" w:rsidR="001A23CA" w:rsidRPr="001A23CA"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AE7E4F0" w14:textId="77777777" w:rsidR="001A23CA" w:rsidRPr="001A23CA" w:rsidRDefault="001A23CA" w:rsidP="001A23CA">
            <w:pPr>
              <w:spacing w:after="0" w:line="240" w:lineRule="auto"/>
              <w:rPr>
                <w:rFonts w:eastAsia="Times New Roman"/>
                <w:color w:val="000000"/>
                <w:kern w:val="0"/>
                <w:sz w:val="20"/>
                <w:szCs w:val="20"/>
                <w14:ligatures w14:val="none"/>
              </w:rPr>
            </w:pPr>
            <w:r w:rsidRPr="001A23CA">
              <w:rPr>
                <w:rFonts w:eastAsia="Times New Roman"/>
                <w:i/>
                <w:iCs/>
                <w:color w:val="000000"/>
                <w:kern w:val="0"/>
                <w:sz w:val="20"/>
                <w:szCs w:val="20"/>
                <w14:ligatures w14:val="none"/>
              </w:rPr>
              <w:t>N</w:t>
            </w:r>
            <w:r w:rsidRPr="001A23CA">
              <w:rPr>
                <w:rFonts w:eastAsia="Times New Roman"/>
                <w:i/>
                <w:iCs/>
                <w:color w:val="000000"/>
                <w:kern w:val="0"/>
                <w:sz w:val="20"/>
                <w:szCs w:val="20"/>
                <w:vertAlign w:val="subscript"/>
                <w14:ligatures w14:val="none"/>
              </w:rPr>
              <w:t>2</w:t>
            </w:r>
            <w:r w:rsidRPr="001A23CA">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1D46A328" w14:textId="67BCBE1B"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-15.718</w:t>
            </w:r>
          </w:p>
        </w:tc>
        <w:tc>
          <w:tcPr>
            <w:tcW w:w="972" w:type="dxa"/>
            <w:vMerge/>
            <w:tcBorders>
              <w:left w:val="nil"/>
              <w:bottom w:val="single" w:sz="4" w:space="0" w:color="auto"/>
              <w:right w:val="nil"/>
            </w:tcBorders>
            <w:noWrap/>
            <w:vAlign w:val="center"/>
          </w:tcPr>
          <w:p w14:paraId="39EDF273" w14:textId="77777777" w:rsidR="001A23CA" w:rsidRPr="001A23CA" w:rsidRDefault="001A23CA" w:rsidP="00B72AF6">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787AF31A" w14:textId="77777777" w:rsidR="001A23CA" w:rsidRPr="001A23CA" w:rsidRDefault="001A23CA" w:rsidP="00B72AF6">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1FCD17AC" w14:textId="63723F42"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[-21.886, -9.063]</w:t>
            </w:r>
          </w:p>
        </w:tc>
      </w:tr>
      <w:tr w:rsidR="001A23CA" w:rsidRPr="00452304" w14:paraId="4566F26A" w14:textId="77777777" w:rsidTr="00B72AF6">
        <w:trPr>
          <w:trHeight w:val="320"/>
        </w:trPr>
        <w:tc>
          <w:tcPr>
            <w:tcW w:w="1061" w:type="dxa"/>
            <w:vMerge/>
            <w:tcBorders>
              <w:left w:val="nil"/>
              <w:right w:val="nil"/>
            </w:tcBorders>
          </w:tcPr>
          <w:p w14:paraId="38BC37B2"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7B17BF6" w14:textId="77777777" w:rsidR="001A23CA" w:rsidRPr="001A23CA" w:rsidRDefault="001A23CA" w:rsidP="001A23CA">
            <w:pPr>
              <w:spacing w:after="0" w:line="240" w:lineRule="auto"/>
              <w:rPr>
                <w:rFonts w:eastAsia="Times New Roman"/>
                <w:color w:val="000000"/>
                <w:kern w:val="0"/>
                <w:sz w:val="20"/>
                <w:szCs w:val="20"/>
                <w14:ligatures w14:val="none"/>
              </w:rPr>
            </w:pPr>
            <w:r w:rsidRPr="001A23CA">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5EED4D1B" w14:textId="77777777" w:rsidR="001A23CA" w:rsidRPr="001A23CA" w:rsidRDefault="001A23CA" w:rsidP="001A23CA">
            <w:pPr>
              <w:spacing w:after="0" w:line="240" w:lineRule="auto"/>
              <w:rPr>
                <w:rFonts w:eastAsia="Times New Roman"/>
                <w:color w:val="000000"/>
                <w:kern w:val="0"/>
                <w:sz w:val="20"/>
                <w:szCs w:val="20"/>
                <w14:ligatures w14:val="none"/>
              </w:rPr>
            </w:pPr>
            <w:r w:rsidRPr="001A23CA">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50B3DC40" w14:textId="04ABF835"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-4.972</w:t>
            </w:r>
          </w:p>
        </w:tc>
        <w:tc>
          <w:tcPr>
            <w:tcW w:w="972" w:type="dxa"/>
            <w:vMerge w:val="restart"/>
            <w:tcBorders>
              <w:top w:val="single" w:sz="4" w:space="0" w:color="auto"/>
              <w:left w:val="nil"/>
              <w:right w:val="nil"/>
            </w:tcBorders>
            <w:noWrap/>
            <w:vAlign w:val="center"/>
          </w:tcPr>
          <w:p w14:paraId="1F155C1E" w14:textId="77777777" w:rsidR="001A23CA" w:rsidRPr="001A23CA" w:rsidRDefault="001A23CA" w:rsidP="00B72AF6">
            <w:pPr>
              <w:spacing w:after="0" w:line="240" w:lineRule="auto"/>
              <w:jc w:val="right"/>
              <w:rPr>
                <w:b/>
                <w:bCs/>
                <w:color w:val="000000"/>
                <w:sz w:val="20"/>
                <w:szCs w:val="20"/>
              </w:rPr>
            </w:pPr>
            <w:r w:rsidRPr="001A23CA">
              <w:rPr>
                <w:b/>
                <w:bCs/>
                <w:color w:val="000000"/>
                <w:sz w:val="20"/>
                <w:szCs w:val="20"/>
              </w:rPr>
              <w:t>3.015</w:t>
            </w:r>
          </w:p>
        </w:tc>
        <w:tc>
          <w:tcPr>
            <w:tcW w:w="939" w:type="dxa"/>
            <w:vMerge w:val="restart"/>
            <w:tcBorders>
              <w:top w:val="single" w:sz="4" w:space="0" w:color="auto"/>
              <w:left w:val="nil"/>
              <w:right w:val="nil"/>
            </w:tcBorders>
            <w:noWrap/>
            <w:vAlign w:val="center"/>
          </w:tcPr>
          <w:p w14:paraId="117BAEB6" w14:textId="77777777" w:rsidR="001A23CA" w:rsidRPr="001A23CA" w:rsidRDefault="001A23CA" w:rsidP="00B72AF6">
            <w:pPr>
              <w:spacing w:after="0" w:line="240" w:lineRule="auto"/>
              <w:jc w:val="right"/>
              <w:rPr>
                <w:b/>
                <w:bCs/>
                <w:color w:val="000000"/>
                <w:sz w:val="20"/>
                <w:szCs w:val="20"/>
              </w:rPr>
            </w:pPr>
            <w:r w:rsidRPr="001A23CA">
              <w:rPr>
                <w:b/>
                <w:bCs/>
                <w:color w:val="000000"/>
                <w:sz w:val="20"/>
                <w:szCs w:val="20"/>
              </w:rPr>
              <w:t>0.003</w:t>
            </w:r>
          </w:p>
        </w:tc>
        <w:tc>
          <w:tcPr>
            <w:tcW w:w="1767" w:type="dxa"/>
            <w:tcBorders>
              <w:top w:val="single" w:sz="4" w:space="0" w:color="auto"/>
              <w:left w:val="nil"/>
              <w:bottom w:val="nil"/>
              <w:right w:val="nil"/>
            </w:tcBorders>
            <w:noWrap/>
            <w:vAlign w:val="center"/>
          </w:tcPr>
          <w:p w14:paraId="50EA3E5A" w14:textId="43CC9FE7"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[-8.057, -1.882]</w:t>
            </w:r>
          </w:p>
        </w:tc>
      </w:tr>
      <w:tr w:rsidR="001A23CA" w:rsidRPr="00452304" w14:paraId="527B74D2" w14:textId="77777777" w:rsidTr="00B72AF6">
        <w:trPr>
          <w:trHeight w:val="320"/>
        </w:trPr>
        <w:tc>
          <w:tcPr>
            <w:tcW w:w="1061" w:type="dxa"/>
            <w:vMerge/>
            <w:tcBorders>
              <w:left w:val="nil"/>
              <w:bottom w:val="single" w:sz="4" w:space="0" w:color="auto"/>
              <w:right w:val="nil"/>
            </w:tcBorders>
          </w:tcPr>
          <w:p w14:paraId="196E9FAE"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3F0A184" w14:textId="77777777" w:rsidR="001A23CA" w:rsidRPr="001A23CA"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1710D7D" w14:textId="77777777" w:rsidR="001A23CA" w:rsidRPr="001A23CA" w:rsidRDefault="001A23CA" w:rsidP="001A23CA">
            <w:pPr>
              <w:spacing w:after="0" w:line="240" w:lineRule="auto"/>
              <w:rPr>
                <w:rFonts w:eastAsia="Times New Roman"/>
                <w:color w:val="000000"/>
                <w:kern w:val="0"/>
                <w:sz w:val="20"/>
                <w:szCs w:val="20"/>
                <w14:ligatures w14:val="none"/>
              </w:rPr>
            </w:pPr>
            <w:r w:rsidRPr="001A23CA">
              <w:rPr>
                <w:rFonts w:eastAsia="Times New Roman"/>
                <w:i/>
                <w:iCs/>
                <w:color w:val="000000"/>
                <w:kern w:val="0"/>
                <w:sz w:val="20"/>
                <w:szCs w:val="20"/>
                <w14:ligatures w14:val="none"/>
              </w:rPr>
              <w:t>N</w:t>
            </w:r>
            <w:r w:rsidRPr="001A23CA">
              <w:rPr>
                <w:rFonts w:eastAsia="Times New Roman"/>
                <w:i/>
                <w:iCs/>
                <w:color w:val="000000"/>
                <w:kern w:val="0"/>
                <w:sz w:val="20"/>
                <w:szCs w:val="20"/>
                <w:vertAlign w:val="subscript"/>
                <w14:ligatures w14:val="none"/>
              </w:rPr>
              <w:t>2</w:t>
            </w:r>
            <w:r w:rsidRPr="001A23CA">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691F214A" w14:textId="2A240EDC"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7.681</w:t>
            </w:r>
          </w:p>
        </w:tc>
        <w:tc>
          <w:tcPr>
            <w:tcW w:w="972" w:type="dxa"/>
            <w:vMerge/>
            <w:tcBorders>
              <w:left w:val="nil"/>
              <w:bottom w:val="single" w:sz="4" w:space="0" w:color="auto"/>
              <w:right w:val="nil"/>
            </w:tcBorders>
            <w:noWrap/>
            <w:vAlign w:val="center"/>
          </w:tcPr>
          <w:p w14:paraId="6A4D0C84" w14:textId="77777777" w:rsidR="001A23CA" w:rsidRPr="001A23CA" w:rsidRDefault="001A23CA" w:rsidP="00B72AF6">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28E61A31" w14:textId="77777777" w:rsidR="001A23CA" w:rsidRPr="001A23CA" w:rsidRDefault="001A23CA" w:rsidP="00B72AF6">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1E879568" w14:textId="77121FA5"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[-0.995, 17.117]</w:t>
            </w:r>
          </w:p>
        </w:tc>
      </w:tr>
      <w:tr w:rsidR="001A23CA" w:rsidRPr="00452304" w14:paraId="496CD96D" w14:textId="77777777" w:rsidTr="00B72AF6">
        <w:trPr>
          <w:trHeight w:val="320"/>
        </w:trPr>
        <w:tc>
          <w:tcPr>
            <w:tcW w:w="1061" w:type="dxa"/>
            <w:vMerge w:val="restart"/>
            <w:tcBorders>
              <w:top w:val="single" w:sz="4" w:space="0" w:color="auto"/>
              <w:left w:val="nil"/>
              <w:right w:val="nil"/>
            </w:tcBorders>
            <w:vAlign w:val="center"/>
          </w:tcPr>
          <w:p w14:paraId="653D8569" w14:textId="77777777" w:rsidR="001A23CA" w:rsidRPr="008A48CF" w:rsidRDefault="001A23CA" w:rsidP="001A23CA">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N</w:t>
            </w:r>
            <w:r>
              <w:rPr>
                <w:rFonts w:eastAsia="Times New Roman"/>
                <w:color w:val="000000"/>
                <w:kern w:val="0"/>
                <w:sz w:val="20"/>
                <w:szCs w:val="20"/>
                <w:vertAlign w:val="subscript"/>
                <w14:ligatures w14:val="none"/>
              </w:rPr>
              <w:t>mass</w:t>
            </w:r>
            <w:proofErr w:type="spellEnd"/>
          </w:p>
        </w:tc>
        <w:tc>
          <w:tcPr>
            <w:tcW w:w="1178" w:type="dxa"/>
            <w:vMerge w:val="restart"/>
            <w:tcBorders>
              <w:top w:val="single" w:sz="4" w:space="0" w:color="auto"/>
              <w:left w:val="nil"/>
              <w:right w:val="nil"/>
            </w:tcBorders>
            <w:noWrap/>
            <w:vAlign w:val="center"/>
          </w:tcPr>
          <w:p w14:paraId="04340748" w14:textId="77777777" w:rsidR="001A23CA" w:rsidRPr="001A23CA" w:rsidRDefault="001A23CA" w:rsidP="001A23CA">
            <w:pPr>
              <w:spacing w:after="0" w:line="240" w:lineRule="auto"/>
              <w:rPr>
                <w:rFonts w:eastAsia="Times New Roman"/>
                <w:color w:val="000000"/>
                <w:kern w:val="0"/>
                <w:sz w:val="20"/>
                <w:szCs w:val="20"/>
                <w14:ligatures w14:val="none"/>
              </w:rPr>
            </w:pPr>
            <w:r w:rsidRPr="001A23CA">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5B080B7A" w14:textId="77777777" w:rsidR="001A23CA" w:rsidRPr="001A23CA" w:rsidRDefault="001A23CA" w:rsidP="001A23CA">
            <w:pPr>
              <w:spacing w:after="0" w:line="240" w:lineRule="auto"/>
              <w:rPr>
                <w:rFonts w:eastAsia="Times New Roman"/>
                <w:color w:val="000000"/>
                <w:kern w:val="0"/>
                <w:sz w:val="20"/>
                <w:szCs w:val="20"/>
                <w14:ligatures w14:val="none"/>
              </w:rPr>
            </w:pPr>
            <w:r w:rsidRPr="001A23CA">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5EAD3B9C" w14:textId="6AA5C19C"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16.532</w:t>
            </w:r>
          </w:p>
        </w:tc>
        <w:tc>
          <w:tcPr>
            <w:tcW w:w="972" w:type="dxa"/>
            <w:vMerge w:val="restart"/>
            <w:tcBorders>
              <w:top w:val="single" w:sz="4" w:space="0" w:color="auto"/>
              <w:left w:val="nil"/>
              <w:right w:val="nil"/>
            </w:tcBorders>
            <w:noWrap/>
            <w:vAlign w:val="center"/>
          </w:tcPr>
          <w:p w14:paraId="36D4A5EA" w14:textId="77777777" w:rsidR="001A23CA" w:rsidRPr="001A23CA" w:rsidRDefault="001A23CA" w:rsidP="00B72AF6">
            <w:pPr>
              <w:spacing w:after="0" w:line="240" w:lineRule="auto"/>
              <w:jc w:val="right"/>
              <w:rPr>
                <w:b/>
                <w:bCs/>
                <w:color w:val="000000"/>
                <w:sz w:val="20"/>
                <w:szCs w:val="20"/>
              </w:rPr>
            </w:pPr>
            <w:r w:rsidRPr="001A23CA">
              <w:rPr>
                <w:b/>
                <w:bCs/>
                <w:color w:val="000000"/>
                <w:sz w:val="20"/>
                <w:szCs w:val="20"/>
              </w:rPr>
              <w:t>-4.498</w:t>
            </w:r>
          </w:p>
        </w:tc>
        <w:tc>
          <w:tcPr>
            <w:tcW w:w="939" w:type="dxa"/>
            <w:vMerge w:val="restart"/>
            <w:tcBorders>
              <w:top w:val="single" w:sz="4" w:space="0" w:color="auto"/>
              <w:left w:val="nil"/>
              <w:right w:val="nil"/>
            </w:tcBorders>
            <w:noWrap/>
            <w:vAlign w:val="center"/>
          </w:tcPr>
          <w:p w14:paraId="16EDDE79" w14:textId="77777777" w:rsidR="001A23CA" w:rsidRPr="001A23CA" w:rsidRDefault="001A23CA" w:rsidP="00B72AF6">
            <w:pPr>
              <w:spacing w:after="0" w:line="240" w:lineRule="auto"/>
              <w:jc w:val="right"/>
              <w:rPr>
                <w:b/>
                <w:bCs/>
                <w:color w:val="000000"/>
                <w:sz w:val="20"/>
                <w:szCs w:val="20"/>
              </w:rPr>
            </w:pPr>
            <w:r w:rsidRPr="001A23CA">
              <w:rPr>
                <w:b/>
                <w:bCs/>
                <w:color w:val="000000"/>
                <w:sz w:val="20"/>
                <w:szCs w:val="20"/>
              </w:rPr>
              <w:t>&lt;0.001</w:t>
            </w:r>
          </w:p>
        </w:tc>
        <w:tc>
          <w:tcPr>
            <w:tcW w:w="1767" w:type="dxa"/>
            <w:tcBorders>
              <w:top w:val="single" w:sz="4" w:space="0" w:color="auto"/>
              <w:left w:val="nil"/>
              <w:bottom w:val="nil"/>
              <w:right w:val="nil"/>
            </w:tcBorders>
            <w:noWrap/>
            <w:vAlign w:val="center"/>
          </w:tcPr>
          <w:p w14:paraId="3E7C80FA" w14:textId="0C7574C0"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[11.182, 22.018]</w:t>
            </w:r>
          </w:p>
        </w:tc>
      </w:tr>
      <w:tr w:rsidR="001A23CA" w:rsidRPr="00452304" w14:paraId="0FBE9D0F" w14:textId="77777777" w:rsidTr="00B72AF6">
        <w:trPr>
          <w:trHeight w:val="320"/>
        </w:trPr>
        <w:tc>
          <w:tcPr>
            <w:tcW w:w="1061" w:type="dxa"/>
            <w:vMerge/>
            <w:tcBorders>
              <w:left w:val="nil"/>
              <w:right w:val="nil"/>
            </w:tcBorders>
          </w:tcPr>
          <w:p w14:paraId="6FDE05EF"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3968BC6" w14:textId="77777777" w:rsidR="001A23CA" w:rsidRPr="001A23CA"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17CFEA0" w14:textId="77777777" w:rsidR="001A23CA" w:rsidRPr="001A23CA" w:rsidRDefault="001A23CA" w:rsidP="001A23CA">
            <w:pPr>
              <w:spacing w:after="0" w:line="240" w:lineRule="auto"/>
              <w:rPr>
                <w:rFonts w:eastAsia="Times New Roman"/>
                <w:color w:val="000000"/>
                <w:kern w:val="0"/>
                <w:sz w:val="20"/>
                <w:szCs w:val="20"/>
                <w14:ligatures w14:val="none"/>
              </w:rPr>
            </w:pPr>
            <w:r w:rsidRPr="001A23CA">
              <w:rPr>
                <w:rFonts w:eastAsia="Times New Roman"/>
                <w:i/>
                <w:iCs/>
                <w:color w:val="000000"/>
                <w:kern w:val="0"/>
                <w:sz w:val="20"/>
                <w:szCs w:val="20"/>
                <w14:ligatures w14:val="none"/>
              </w:rPr>
              <w:t>N</w:t>
            </w:r>
            <w:r w:rsidRPr="001A23CA">
              <w:rPr>
                <w:rFonts w:eastAsia="Times New Roman"/>
                <w:i/>
                <w:iCs/>
                <w:color w:val="000000"/>
                <w:kern w:val="0"/>
                <w:sz w:val="20"/>
                <w:szCs w:val="20"/>
                <w:vertAlign w:val="subscript"/>
                <w14:ligatures w14:val="none"/>
              </w:rPr>
              <w:t>2</w:t>
            </w:r>
            <w:r w:rsidRPr="001A23CA">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234115D8" w14:textId="76164543"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-3.052</w:t>
            </w:r>
          </w:p>
        </w:tc>
        <w:tc>
          <w:tcPr>
            <w:tcW w:w="972" w:type="dxa"/>
            <w:vMerge/>
            <w:tcBorders>
              <w:left w:val="nil"/>
              <w:bottom w:val="single" w:sz="4" w:space="0" w:color="auto"/>
              <w:right w:val="nil"/>
            </w:tcBorders>
            <w:noWrap/>
            <w:vAlign w:val="center"/>
          </w:tcPr>
          <w:p w14:paraId="12EFD185" w14:textId="77777777" w:rsidR="001A23CA" w:rsidRPr="001A23CA" w:rsidRDefault="001A23CA" w:rsidP="00B72AF6">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15458AD3" w14:textId="77777777" w:rsidR="001A23CA" w:rsidRPr="001A23CA" w:rsidRDefault="001A23CA" w:rsidP="00B72AF6">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27EB7A46" w14:textId="4A4BA834"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[-11.219, 5.760]</w:t>
            </w:r>
          </w:p>
        </w:tc>
      </w:tr>
      <w:tr w:rsidR="001A23CA" w:rsidRPr="00452304" w14:paraId="649C1FC5" w14:textId="77777777" w:rsidTr="00B72AF6">
        <w:trPr>
          <w:trHeight w:val="320"/>
        </w:trPr>
        <w:tc>
          <w:tcPr>
            <w:tcW w:w="1061" w:type="dxa"/>
            <w:vMerge/>
            <w:tcBorders>
              <w:left w:val="nil"/>
              <w:right w:val="nil"/>
            </w:tcBorders>
          </w:tcPr>
          <w:p w14:paraId="1E9C02D2"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224F8DF" w14:textId="77777777" w:rsidR="001A23CA" w:rsidRPr="001A23CA" w:rsidRDefault="001A23CA" w:rsidP="001A23CA">
            <w:pPr>
              <w:spacing w:after="0" w:line="240" w:lineRule="auto"/>
              <w:rPr>
                <w:rFonts w:eastAsia="Times New Roman"/>
                <w:color w:val="000000"/>
                <w:kern w:val="0"/>
                <w:sz w:val="20"/>
                <w:szCs w:val="20"/>
                <w14:ligatures w14:val="none"/>
              </w:rPr>
            </w:pPr>
            <w:r w:rsidRPr="001A23CA">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3F6C60E6" w14:textId="77777777" w:rsidR="001A23CA" w:rsidRPr="001A23CA" w:rsidRDefault="001A23CA" w:rsidP="001A23CA">
            <w:pPr>
              <w:spacing w:after="0" w:line="240" w:lineRule="auto"/>
              <w:rPr>
                <w:rFonts w:eastAsia="Times New Roman"/>
                <w:color w:val="000000"/>
                <w:kern w:val="0"/>
                <w:sz w:val="20"/>
                <w:szCs w:val="20"/>
                <w14:ligatures w14:val="none"/>
              </w:rPr>
            </w:pPr>
            <w:r w:rsidRPr="001A23CA">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3BCE21E2" w14:textId="010D7963"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-0.598</w:t>
            </w:r>
          </w:p>
        </w:tc>
        <w:tc>
          <w:tcPr>
            <w:tcW w:w="972" w:type="dxa"/>
            <w:vMerge w:val="restart"/>
            <w:tcBorders>
              <w:top w:val="single" w:sz="4" w:space="0" w:color="auto"/>
              <w:left w:val="nil"/>
              <w:right w:val="nil"/>
            </w:tcBorders>
            <w:noWrap/>
            <w:vAlign w:val="center"/>
          </w:tcPr>
          <w:p w14:paraId="6DF6BC22" w14:textId="77777777" w:rsidR="001A23CA" w:rsidRPr="001A23CA" w:rsidRDefault="001A23CA" w:rsidP="00B72AF6">
            <w:pPr>
              <w:spacing w:after="0" w:line="240" w:lineRule="auto"/>
              <w:jc w:val="right"/>
              <w:rPr>
                <w:b/>
                <w:bCs/>
                <w:color w:val="000000"/>
                <w:sz w:val="20"/>
                <w:szCs w:val="20"/>
              </w:rPr>
            </w:pPr>
            <w:r w:rsidRPr="001A23CA">
              <w:rPr>
                <w:b/>
                <w:bCs/>
                <w:color w:val="000000"/>
                <w:sz w:val="20"/>
                <w:szCs w:val="20"/>
              </w:rPr>
              <w:t>3.454</w:t>
            </w:r>
          </w:p>
        </w:tc>
        <w:tc>
          <w:tcPr>
            <w:tcW w:w="939" w:type="dxa"/>
            <w:vMerge w:val="restart"/>
            <w:tcBorders>
              <w:top w:val="single" w:sz="4" w:space="0" w:color="auto"/>
              <w:left w:val="nil"/>
              <w:right w:val="nil"/>
            </w:tcBorders>
            <w:noWrap/>
            <w:vAlign w:val="center"/>
          </w:tcPr>
          <w:p w14:paraId="2D9C46CF" w14:textId="77777777" w:rsidR="001A23CA" w:rsidRPr="001A23CA" w:rsidRDefault="001A23CA" w:rsidP="00B72AF6">
            <w:pPr>
              <w:spacing w:after="0" w:line="240" w:lineRule="auto"/>
              <w:jc w:val="right"/>
              <w:rPr>
                <w:b/>
                <w:bCs/>
                <w:color w:val="000000"/>
                <w:sz w:val="20"/>
                <w:szCs w:val="20"/>
              </w:rPr>
            </w:pPr>
            <w:r w:rsidRPr="001A23CA">
              <w:rPr>
                <w:b/>
                <w:bCs/>
                <w:color w:val="000000"/>
                <w:sz w:val="20"/>
                <w:szCs w:val="20"/>
              </w:rPr>
              <w:t>0.001</w:t>
            </w:r>
          </w:p>
        </w:tc>
        <w:tc>
          <w:tcPr>
            <w:tcW w:w="1767" w:type="dxa"/>
            <w:tcBorders>
              <w:top w:val="single" w:sz="4" w:space="0" w:color="auto"/>
              <w:left w:val="nil"/>
              <w:bottom w:val="nil"/>
              <w:right w:val="nil"/>
            </w:tcBorders>
            <w:noWrap/>
            <w:vAlign w:val="center"/>
          </w:tcPr>
          <w:p w14:paraId="5F554099" w14:textId="75A15BCC"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[-3.149, 2.020]</w:t>
            </w:r>
          </w:p>
        </w:tc>
      </w:tr>
      <w:tr w:rsidR="001A23CA" w:rsidRPr="00452304" w14:paraId="70EA4BB6" w14:textId="77777777" w:rsidTr="00B72AF6">
        <w:trPr>
          <w:trHeight w:val="320"/>
        </w:trPr>
        <w:tc>
          <w:tcPr>
            <w:tcW w:w="1061" w:type="dxa"/>
            <w:vMerge/>
            <w:tcBorders>
              <w:left w:val="nil"/>
              <w:right w:val="nil"/>
            </w:tcBorders>
          </w:tcPr>
          <w:p w14:paraId="547BC1E0"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AC98B23" w14:textId="77777777" w:rsidR="001A23CA" w:rsidRPr="001A23CA"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0EB929D" w14:textId="77777777" w:rsidR="001A23CA" w:rsidRPr="001A23CA" w:rsidRDefault="001A23CA" w:rsidP="001A23CA">
            <w:pPr>
              <w:spacing w:after="0" w:line="240" w:lineRule="auto"/>
              <w:rPr>
                <w:rFonts w:eastAsia="Times New Roman"/>
                <w:color w:val="000000"/>
                <w:kern w:val="0"/>
                <w:sz w:val="20"/>
                <w:szCs w:val="20"/>
                <w14:ligatures w14:val="none"/>
              </w:rPr>
            </w:pPr>
            <w:r w:rsidRPr="001A23CA">
              <w:rPr>
                <w:rFonts w:eastAsia="Times New Roman"/>
                <w:i/>
                <w:iCs/>
                <w:color w:val="000000"/>
                <w:kern w:val="0"/>
                <w:sz w:val="20"/>
                <w:szCs w:val="20"/>
                <w14:ligatures w14:val="none"/>
              </w:rPr>
              <w:t>N</w:t>
            </w:r>
            <w:r w:rsidRPr="001A23CA">
              <w:rPr>
                <w:rFonts w:eastAsia="Times New Roman"/>
                <w:i/>
                <w:iCs/>
                <w:color w:val="000000"/>
                <w:kern w:val="0"/>
                <w:sz w:val="20"/>
                <w:szCs w:val="20"/>
                <w:vertAlign w:val="subscript"/>
                <w14:ligatures w14:val="none"/>
              </w:rPr>
              <w:t>2</w:t>
            </w:r>
            <w:r w:rsidRPr="001A23CA">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38643CCB" w14:textId="151BC0B9"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12.187</w:t>
            </w:r>
          </w:p>
        </w:tc>
        <w:tc>
          <w:tcPr>
            <w:tcW w:w="972" w:type="dxa"/>
            <w:vMerge/>
            <w:tcBorders>
              <w:left w:val="nil"/>
              <w:bottom w:val="single" w:sz="4" w:space="0" w:color="auto"/>
              <w:right w:val="nil"/>
            </w:tcBorders>
            <w:noWrap/>
            <w:vAlign w:val="center"/>
          </w:tcPr>
          <w:p w14:paraId="787D1494" w14:textId="77777777" w:rsidR="001A23CA" w:rsidRPr="001A23CA" w:rsidRDefault="001A23CA" w:rsidP="00B72AF6">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718B73FD" w14:textId="77777777" w:rsidR="001A23CA" w:rsidRPr="001A23CA" w:rsidRDefault="001A23CA" w:rsidP="00B72AF6">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0DEDA547" w14:textId="1890F048"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[4.917, 19.842]</w:t>
            </w:r>
          </w:p>
        </w:tc>
      </w:tr>
      <w:tr w:rsidR="001A23CA" w:rsidRPr="00452304" w14:paraId="7D570AB8" w14:textId="77777777" w:rsidTr="00B72AF6">
        <w:trPr>
          <w:trHeight w:val="320"/>
        </w:trPr>
        <w:tc>
          <w:tcPr>
            <w:tcW w:w="1061" w:type="dxa"/>
            <w:vMerge/>
            <w:tcBorders>
              <w:left w:val="nil"/>
              <w:right w:val="nil"/>
            </w:tcBorders>
          </w:tcPr>
          <w:p w14:paraId="67678ACA"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A444306" w14:textId="77777777" w:rsidR="001A23CA" w:rsidRPr="001A23CA" w:rsidRDefault="001A23CA" w:rsidP="001A23CA">
            <w:pPr>
              <w:spacing w:after="0" w:line="240" w:lineRule="auto"/>
              <w:rPr>
                <w:rFonts w:eastAsia="Times New Roman"/>
                <w:color w:val="000000"/>
                <w:kern w:val="0"/>
                <w:sz w:val="20"/>
                <w:szCs w:val="20"/>
                <w14:ligatures w14:val="none"/>
              </w:rPr>
            </w:pPr>
            <w:r w:rsidRPr="001A23CA">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77CBF646" w14:textId="77777777" w:rsidR="001A23CA" w:rsidRPr="001A23CA" w:rsidRDefault="001A23CA" w:rsidP="001A23CA">
            <w:pPr>
              <w:spacing w:after="0" w:line="240" w:lineRule="auto"/>
              <w:rPr>
                <w:rFonts w:eastAsia="Times New Roman"/>
                <w:color w:val="000000"/>
                <w:kern w:val="0"/>
                <w:sz w:val="20"/>
                <w:szCs w:val="20"/>
                <w14:ligatures w14:val="none"/>
              </w:rPr>
            </w:pPr>
            <w:r w:rsidRPr="001A23CA">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66B3C500" w14:textId="47B5CF44"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14.683</w:t>
            </w:r>
          </w:p>
        </w:tc>
        <w:tc>
          <w:tcPr>
            <w:tcW w:w="972" w:type="dxa"/>
            <w:vMerge w:val="restart"/>
            <w:tcBorders>
              <w:top w:val="single" w:sz="4" w:space="0" w:color="auto"/>
              <w:left w:val="nil"/>
              <w:right w:val="nil"/>
            </w:tcBorders>
            <w:noWrap/>
            <w:vAlign w:val="center"/>
          </w:tcPr>
          <w:p w14:paraId="19998EA8" w14:textId="77777777" w:rsidR="001A23CA" w:rsidRPr="001A23CA" w:rsidRDefault="001A23CA" w:rsidP="00B72AF6">
            <w:pPr>
              <w:spacing w:after="0" w:line="240" w:lineRule="auto"/>
              <w:jc w:val="right"/>
              <w:rPr>
                <w:b/>
                <w:bCs/>
                <w:color w:val="000000"/>
                <w:sz w:val="20"/>
                <w:szCs w:val="20"/>
              </w:rPr>
            </w:pPr>
            <w:r w:rsidRPr="001A23CA">
              <w:rPr>
                <w:b/>
                <w:bCs/>
                <w:color w:val="000000"/>
                <w:sz w:val="20"/>
                <w:szCs w:val="20"/>
              </w:rPr>
              <w:t>-2.258</w:t>
            </w:r>
          </w:p>
        </w:tc>
        <w:tc>
          <w:tcPr>
            <w:tcW w:w="939" w:type="dxa"/>
            <w:vMerge w:val="restart"/>
            <w:tcBorders>
              <w:top w:val="single" w:sz="4" w:space="0" w:color="auto"/>
              <w:left w:val="nil"/>
              <w:right w:val="nil"/>
            </w:tcBorders>
            <w:noWrap/>
            <w:vAlign w:val="center"/>
          </w:tcPr>
          <w:p w14:paraId="33028DF6" w14:textId="77777777" w:rsidR="001A23CA" w:rsidRPr="001A23CA" w:rsidRDefault="001A23CA" w:rsidP="00B72AF6">
            <w:pPr>
              <w:spacing w:after="0" w:line="240" w:lineRule="auto"/>
              <w:jc w:val="right"/>
              <w:rPr>
                <w:b/>
                <w:bCs/>
                <w:color w:val="000000"/>
                <w:sz w:val="20"/>
                <w:szCs w:val="20"/>
              </w:rPr>
            </w:pPr>
            <w:r w:rsidRPr="001A23CA">
              <w:rPr>
                <w:b/>
                <w:bCs/>
                <w:color w:val="000000"/>
                <w:sz w:val="20"/>
                <w:szCs w:val="20"/>
              </w:rPr>
              <w:t>0.024</w:t>
            </w:r>
          </w:p>
        </w:tc>
        <w:tc>
          <w:tcPr>
            <w:tcW w:w="1767" w:type="dxa"/>
            <w:tcBorders>
              <w:top w:val="single" w:sz="4" w:space="0" w:color="auto"/>
              <w:left w:val="nil"/>
              <w:bottom w:val="nil"/>
              <w:right w:val="nil"/>
            </w:tcBorders>
            <w:noWrap/>
            <w:vAlign w:val="center"/>
          </w:tcPr>
          <w:p w14:paraId="040CE26C" w14:textId="4B884264"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[9.308, 20.322]</w:t>
            </w:r>
          </w:p>
        </w:tc>
      </w:tr>
      <w:tr w:rsidR="001A23CA" w:rsidRPr="00452304" w14:paraId="567C2F6F" w14:textId="77777777" w:rsidTr="00B72AF6">
        <w:trPr>
          <w:trHeight w:val="320"/>
        </w:trPr>
        <w:tc>
          <w:tcPr>
            <w:tcW w:w="1061" w:type="dxa"/>
            <w:vMerge/>
            <w:tcBorders>
              <w:left w:val="nil"/>
              <w:bottom w:val="single" w:sz="4" w:space="0" w:color="auto"/>
              <w:right w:val="nil"/>
            </w:tcBorders>
          </w:tcPr>
          <w:p w14:paraId="0F432B9C"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EECAF67" w14:textId="77777777" w:rsidR="001A23CA" w:rsidRPr="001A23CA" w:rsidRDefault="001A23CA" w:rsidP="001A23CA">
            <w:pPr>
              <w:spacing w:after="0" w:line="240" w:lineRule="auto"/>
              <w:rPr>
                <w:rFonts w:eastAsia="Times New Roman"/>
                <w:b/>
                <w:bCs/>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911D0F1" w14:textId="77777777" w:rsidR="001A23CA" w:rsidRPr="001A23CA" w:rsidRDefault="001A23CA" w:rsidP="001A23CA">
            <w:pPr>
              <w:spacing w:after="0" w:line="240" w:lineRule="auto"/>
              <w:rPr>
                <w:rFonts w:eastAsia="Times New Roman"/>
                <w:color w:val="000000"/>
                <w:kern w:val="0"/>
                <w:sz w:val="20"/>
                <w:szCs w:val="20"/>
                <w14:ligatures w14:val="none"/>
              </w:rPr>
            </w:pPr>
            <w:r w:rsidRPr="001A23CA">
              <w:rPr>
                <w:rFonts w:eastAsia="Times New Roman"/>
                <w:i/>
                <w:iCs/>
                <w:color w:val="000000"/>
                <w:kern w:val="0"/>
                <w:sz w:val="20"/>
                <w:szCs w:val="20"/>
                <w14:ligatures w14:val="none"/>
              </w:rPr>
              <w:t>N</w:t>
            </w:r>
            <w:r w:rsidRPr="001A23CA">
              <w:rPr>
                <w:rFonts w:eastAsia="Times New Roman"/>
                <w:i/>
                <w:iCs/>
                <w:color w:val="000000"/>
                <w:kern w:val="0"/>
                <w:sz w:val="20"/>
                <w:szCs w:val="20"/>
                <w:vertAlign w:val="subscript"/>
                <w14:ligatures w14:val="none"/>
              </w:rPr>
              <w:t>2</w:t>
            </w:r>
            <w:r w:rsidRPr="001A23CA">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3B89952D" w14:textId="54896672"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2.532</w:t>
            </w:r>
          </w:p>
        </w:tc>
        <w:tc>
          <w:tcPr>
            <w:tcW w:w="972" w:type="dxa"/>
            <w:vMerge/>
            <w:tcBorders>
              <w:left w:val="nil"/>
              <w:bottom w:val="single" w:sz="4" w:space="0" w:color="auto"/>
              <w:right w:val="nil"/>
            </w:tcBorders>
            <w:noWrap/>
            <w:vAlign w:val="center"/>
          </w:tcPr>
          <w:p w14:paraId="282CC148" w14:textId="77777777" w:rsidR="001A23CA" w:rsidRPr="001A23CA" w:rsidRDefault="001A23CA" w:rsidP="00B72AF6">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57FFAA24" w14:textId="77777777" w:rsidR="001A23CA" w:rsidRPr="001A23CA" w:rsidRDefault="001A23CA" w:rsidP="00B72AF6">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062F0FC2" w14:textId="3D13D77D"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[-7.318, 13.542]</w:t>
            </w:r>
          </w:p>
        </w:tc>
      </w:tr>
      <w:tr w:rsidR="001A23CA" w:rsidRPr="00452304" w14:paraId="5D926493" w14:textId="77777777" w:rsidTr="00B72AF6">
        <w:trPr>
          <w:trHeight w:val="320"/>
        </w:trPr>
        <w:tc>
          <w:tcPr>
            <w:tcW w:w="1061" w:type="dxa"/>
            <w:vMerge w:val="restart"/>
            <w:tcBorders>
              <w:top w:val="single" w:sz="4" w:space="0" w:color="auto"/>
              <w:left w:val="nil"/>
              <w:right w:val="nil"/>
            </w:tcBorders>
            <w:vAlign w:val="center"/>
          </w:tcPr>
          <w:p w14:paraId="7534AABC" w14:textId="77777777" w:rsidR="001A23CA" w:rsidRPr="008A48CF"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color w:val="000000"/>
                <w:kern w:val="0"/>
                <w:sz w:val="20"/>
                <w:szCs w:val="20"/>
                <w:vertAlign w:val="subscript"/>
                <w14:ligatures w14:val="none"/>
              </w:rPr>
              <w:t>area</w:t>
            </w:r>
          </w:p>
        </w:tc>
        <w:tc>
          <w:tcPr>
            <w:tcW w:w="1178" w:type="dxa"/>
            <w:vMerge w:val="restart"/>
            <w:tcBorders>
              <w:top w:val="single" w:sz="4" w:space="0" w:color="auto"/>
              <w:left w:val="nil"/>
              <w:right w:val="nil"/>
            </w:tcBorders>
            <w:noWrap/>
            <w:vAlign w:val="center"/>
          </w:tcPr>
          <w:p w14:paraId="0086E058" w14:textId="77777777" w:rsidR="001A23CA" w:rsidRPr="00452304" w:rsidRDefault="001A23CA" w:rsidP="001A23CA">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51592E9D"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655E220A" w14:textId="527CA2D1" w:rsidR="001A23CA" w:rsidRPr="001A23CA" w:rsidRDefault="001A23CA" w:rsidP="00B72AF6">
            <w:pPr>
              <w:spacing w:after="0" w:line="240" w:lineRule="auto"/>
              <w:jc w:val="right"/>
              <w:rPr>
                <w:color w:val="000000"/>
                <w:sz w:val="20"/>
                <w:szCs w:val="20"/>
                <w:highlight w:val="yellow"/>
              </w:rPr>
            </w:pPr>
            <w:r w:rsidRPr="001A23CA">
              <w:rPr>
                <w:color w:val="000000"/>
                <w:sz w:val="20"/>
                <w:szCs w:val="20"/>
              </w:rPr>
              <w:t>13.088</w:t>
            </w:r>
          </w:p>
        </w:tc>
        <w:tc>
          <w:tcPr>
            <w:tcW w:w="972" w:type="dxa"/>
            <w:vMerge w:val="restart"/>
            <w:tcBorders>
              <w:top w:val="single" w:sz="4" w:space="0" w:color="auto"/>
              <w:left w:val="nil"/>
              <w:right w:val="nil"/>
            </w:tcBorders>
            <w:noWrap/>
            <w:vAlign w:val="center"/>
          </w:tcPr>
          <w:p w14:paraId="674CB93D" w14:textId="1C72B0AA" w:rsidR="001A23CA" w:rsidRPr="001A23CA" w:rsidRDefault="001A23CA" w:rsidP="00B72AF6">
            <w:pPr>
              <w:spacing w:after="0" w:line="240" w:lineRule="auto"/>
              <w:jc w:val="right"/>
              <w:rPr>
                <w:color w:val="000000"/>
                <w:sz w:val="20"/>
                <w:szCs w:val="20"/>
                <w:highlight w:val="yellow"/>
              </w:rPr>
            </w:pPr>
            <w:r w:rsidRPr="001A23CA">
              <w:rPr>
                <w:color w:val="000000"/>
                <w:sz w:val="20"/>
                <w:szCs w:val="20"/>
              </w:rPr>
              <w:t>1.423</w:t>
            </w:r>
          </w:p>
        </w:tc>
        <w:tc>
          <w:tcPr>
            <w:tcW w:w="939" w:type="dxa"/>
            <w:vMerge w:val="restart"/>
            <w:tcBorders>
              <w:top w:val="single" w:sz="4" w:space="0" w:color="auto"/>
              <w:left w:val="nil"/>
              <w:right w:val="nil"/>
            </w:tcBorders>
            <w:noWrap/>
            <w:vAlign w:val="center"/>
          </w:tcPr>
          <w:p w14:paraId="056B50AD" w14:textId="73D52D05" w:rsidR="001A23CA" w:rsidRPr="001A23CA" w:rsidRDefault="001A23CA" w:rsidP="00B72AF6">
            <w:pPr>
              <w:spacing w:after="0" w:line="240" w:lineRule="auto"/>
              <w:jc w:val="right"/>
              <w:rPr>
                <w:color w:val="000000"/>
                <w:sz w:val="20"/>
                <w:szCs w:val="20"/>
                <w:highlight w:val="yellow"/>
              </w:rPr>
            </w:pPr>
            <w:r w:rsidRPr="001A23CA">
              <w:rPr>
                <w:color w:val="000000"/>
                <w:sz w:val="20"/>
                <w:szCs w:val="20"/>
              </w:rPr>
              <w:t>0.155</w:t>
            </w:r>
          </w:p>
        </w:tc>
        <w:tc>
          <w:tcPr>
            <w:tcW w:w="1767" w:type="dxa"/>
            <w:tcBorders>
              <w:top w:val="single" w:sz="4" w:space="0" w:color="auto"/>
              <w:left w:val="nil"/>
              <w:bottom w:val="nil"/>
              <w:right w:val="nil"/>
            </w:tcBorders>
            <w:noWrap/>
            <w:vAlign w:val="center"/>
          </w:tcPr>
          <w:p w14:paraId="0102A577" w14:textId="285E4009" w:rsidR="001A23CA" w:rsidRPr="001A23CA" w:rsidRDefault="001A23CA" w:rsidP="00B72AF6">
            <w:pPr>
              <w:spacing w:after="0" w:line="240" w:lineRule="auto"/>
              <w:jc w:val="right"/>
              <w:rPr>
                <w:color w:val="000000"/>
                <w:sz w:val="20"/>
                <w:szCs w:val="20"/>
                <w:highlight w:val="yellow"/>
              </w:rPr>
            </w:pPr>
            <w:r w:rsidRPr="001A23CA">
              <w:rPr>
                <w:color w:val="000000"/>
                <w:sz w:val="20"/>
                <w:szCs w:val="20"/>
              </w:rPr>
              <w:t>[4.394, 22.385]</w:t>
            </w:r>
          </w:p>
        </w:tc>
      </w:tr>
      <w:tr w:rsidR="001A23CA" w:rsidRPr="00452304" w14:paraId="51D8BBE6" w14:textId="77777777" w:rsidTr="00B72AF6">
        <w:trPr>
          <w:trHeight w:val="320"/>
        </w:trPr>
        <w:tc>
          <w:tcPr>
            <w:tcW w:w="1061" w:type="dxa"/>
            <w:vMerge/>
            <w:tcBorders>
              <w:left w:val="nil"/>
              <w:right w:val="nil"/>
            </w:tcBorders>
          </w:tcPr>
          <w:p w14:paraId="54294AE5"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F2B2349" w14:textId="77777777" w:rsidR="001A23CA" w:rsidRPr="00452304"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4F5772B"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17E989AF" w14:textId="2EF2F788" w:rsidR="001A23CA" w:rsidRPr="001A23CA" w:rsidRDefault="001A23CA" w:rsidP="00B72AF6">
            <w:pPr>
              <w:spacing w:after="0" w:line="240" w:lineRule="auto"/>
              <w:jc w:val="right"/>
              <w:rPr>
                <w:color w:val="000000"/>
                <w:sz w:val="20"/>
                <w:szCs w:val="20"/>
                <w:highlight w:val="yellow"/>
              </w:rPr>
            </w:pPr>
            <w:r w:rsidRPr="001A23CA">
              <w:rPr>
                <w:color w:val="000000"/>
                <w:sz w:val="20"/>
                <w:szCs w:val="20"/>
              </w:rPr>
              <w:t>20.563</w:t>
            </w:r>
          </w:p>
        </w:tc>
        <w:tc>
          <w:tcPr>
            <w:tcW w:w="972" w:type="dxa"/>
            <w:vMerge/>
            <w:tcBorders>
              <w:left w:val="nil"/>
              <w:bottom w:val="single" w:sz="4" w:space="0" w:color="auto"/>
              <w:right w:val="nil"/>
            </w:tcBorders>
            <w:noWrap/>
            <w:vAlign w:val="center"/>
          </w:tcPr>
          <w:p w14:paraId="7553C8FA" w14:textId="77777777" w:rsidR="001A23CA" w:rsidRPr="001A23CA" w:rsidRDefault="001A23CA" w:rsidP="00B72AF6">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2A5206D3" w14:textId="77777777" w:rsidR="001A23CA" w:rsidRPr="001A23CA" w:rsidRDefault="001A23CA" w:rsidP="00B72AF6">
            <w:pPr>
              <w:spacing w:after="0" w:line="240" w:lineRule="auto"/>
              <w:jc w:val="right"/>
              <w:rPr>
                <w:color w:val="000000"/>
                <w:sz w:val="20"/>
                <w:szCs w:val="20"/>
                <w:highlight w:val="yellow"/>
              </w:rPr>
            </w:pPr>
          </w:p>
        </w:tc>
        <w:tc>
          <w:tcPr>
            <w:tcW w:w="1767" w:type="dxa"/>
            <w:tcBorders>
              <w:top w:val="nil"/>
              <w:left w:val="nil"/>
              <w:bottom w:val="single" w:sz="4" w:space="0" w:color="auto"/>
              <w:right w:val="nil"/>
            </w:tcBorders>
            <w:noWrap/>
            <w:vAlign w:val="center"/>
          </w:tcPr>
          <w:p w14:paraId="27DC84A0" w14:textId="117371B3" w:rsidR="001A23CA" w:rsidRPr="001A23CA" w:rsidRDefault="001A23CA" w:rsidP="00B72AF6">
            <w:pPr>
              <w:spacing w:after="0" w:line="240" w:lineRule="auto"/>
              <w:jc w:val="right"/>
              <w:rPr>
                <w:color w:val="000000"/>
                <w:sz w:val="20"/>
                <w:szCs w:val="20"/>
                <w:highlight w:val="yellow"/>
              </w:rPr>
            </w:pPr>
            <w:r w:rsidRPr="001A23CA">
              <w:rPr>
                <w:color w:val="000000"/>
                <w:sz w:val="20"/>
                <w:szCs w:val="20"/>
              </w:rPr>
              <w:t>[7.466, 35.256]</w:t>
            </w:r>
          </w:p>
        </w:tc>
      </w:tr>
      <w:tr w:rsidR="001A23CA" w:rsidRPr="00452304" w14:paraId="5E708F77" w14:textId="77777777" w:rsidTr="00B72AF6">
        <w:trPr>
          <w:trHeight w:val="320"/>
        </w:trPr>
        <w:tc>
          <w:tcPr>
            <w:tcW w:w="1061" w:type="dxa"/>
            <w:vMerge/>
            <w:tcBorders>
              <w:left w:val="nil"/>
              <w:right w:val="nil"/>
            </w:tcBorders>
          </w:tcPr>
          <w:p w14:paraId="02AD553A"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EAB5069" w14:textId="77777777" w:rsidR="001A23CA" w:rsidRPr="00452304" w:rsidRDefault="001A23CA" w:rsidP="001A23CA">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D38AAC9"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21FC94F2" w14:textId="678E88A6" w:rsidR="001A23CA" w:rsidRPr="001A23CA" w:rsidRDefault="001A23CA" w:rsidP="00B72AF6">
            <w:pPr>
              <w:spacing w:after="0" w:line="240" w:lineRule="auto"/>
              <w:jc w:val="right"/>
              <w:rPr>
                <w:i/>
                <w:iCs/>
                <w:color w:val="000000"/>
                <w:sz w:val="20"/>
                <w:szCs w:val="20"/>
                <w:highlight w:val="yellow"/>
              </w:rPr>
            </w:pPr>
            <w:r w:rsidRPr="001A23CA">
              <w:rPr>
                <w:i/>
                <w:iCs/>
                <w:color w:val="000000"/>
                <w:sz w:val="20"/>
                <w:szCs w:val="20"/>
              </w:rPr>
              <w:t>2.429</w:t>
            </w:r>
          </w:p>
        </w:tc>
        <w:tc>
          <w:tcPr>
            <w:tcW w:w="972" w:type="dxa"/>
            <w:vMerge w:val="restart"/>
            <w:tcBorders>
              <w:top w:val="single" w:sz="4" w:space="0" w:color="auto"/>
              <w:left w:val="nil"/>
              <w:right w:val="nil"/>
            </w:tcBorders>
            <w:noWrap/>
            <w:vAlign w:val="center"/>
          </w:tcPr>
          <w:p w14:paraId="71EADD08" w14:textId="2A27B43A" w:rsidR="001A23CA" w:rsidRPr="001A23CA" w:rsidRDefault="001A23CA" w:rsidP="00B72AF6">
            <w:pPr>
              <w:spacing w:after="0" w:line="240" w:lineRule="auto"/>
              <w:jc w:val="right"/>
              <w:rPr>
                <w:i/>
                <w:iCs/>
                <w:color w:val="000000"/>
                <w:sz w:val="20"/>
                <w:szCs w:val="20"/>
                <w:highlight w:val="yellow"/>
              </w:rPr>
            </w:pPr>
            <w:r w:rsidRPr="001A23CA">
              <w:rPr>
                <w:i/>
                <w:iCs/>
                <w:color w:val="000000"/>
                <w:sz w:val="20"/>
                <w:szCs w:val="20"/>
              </w:rPr>
              <w:t>1.836</w:t>
            </w:r>
          </w:p>
        </w:tc>
        <w:tc>
          <w:tcPr>
            <w:tcW w:w="939" w:type="dxa"/>
            <w:vMerge w:val="restart"/>
            <w:tcBorders>
              <w:top w:val="single" w:sz="4" w:space="0" w:color="auto"/>
              <w:left w:val="nil"/>
              <w:right w:val="nil"/>
            </w:tcBorders>
            <w:noWrap/>
            <w:vAlign w:val="center"/>
          </w:tcPr>
          <w:p w14:paraId="5A2E62EE" w14:textId="599AB1CC" w:rsidR="001A23CA" w:rsidRPr="001A23CA" w:rsidRDefault="001A23CA" w:rsidP="00B72AF6">
            <w:pPr>
              <w:spacing w:after="0" w:line="240" w:lineRule="auto"/>
              <w:jc w:val="right"/>
              <w:rPr>
                <w:i/>
                <w:iCs/>
                <w:color w:val="000000"/>
                <w:sz w:val="20"/>
                <w:szCs w:val="20"/>
                <w:highlight w:val="yellow"/>
              </w:rPr>
            </w:pPr>
            <w:r w:rsidRPr="001A23CA">
              <w:rPr>
                <w:i/>
                <w:iCs/>
                <w:color w:val="000000"/>
                <w:sz w:val="20"/>
                <w:szCs w:val="20"/>
              </w:rPr>
              <w:t>0.066</w:t>
            </w:r>
          </w:p>
        </w:tc>
        <w:tc>
          <w:tcPr>
            <w:tcW w:w="1767" w:type="dxa"/>
            <w:tcBorders>
              <w:top w:val="single" w:sz="4" w:space="0" w:color="auto"/>
              <w:left w:val="nil"/>
              <w:bottom w:val="nil"/>
              <w:right w:val="nil"/>
            </w:tcBorders>
            <w:noWrap/>
            <w:vAlign w:val="center"/>
          </w:tcPr>
          <w:p w14:paraId="40963B5F" w14:textId="175BC067" w:rsidR="001A23CA" w:rsidRPr="001A23CA" w:rsidRDefault="001A23CA" w:rsidP="00B72AF6">
            <w:pPr>
              <w:spacing w:after="0" w:line="240" w:lineRule="auto"/>
              <w:jc w:val="right"/>
              <w:rPr>
                <w:i/>
                <w:iCs/>
                <w:color w:val="000000"/>
                <w:sz w:val="20"/>
                <w:szCs w:val="20"/>
                <w:highlight w:val="yellow"/>
              </w:rPr>
            </w:pPr>
            <w:r w:rsidRPr="001A23CA">
              <w:rPr>
                <w:i/>
                <w:iCs/>
                <w:color w:val="000000"/>
                <w:sz w:val="20"/>
                <w:szCs w:val="20"/>
              </w:rPr>
              <w:t>[-5.351, 10.738]</w:t>
            </w:r>
          </w:p>
        </w:tc>
      </w:tr>
      <w:tr w:rsidR="001A23CA" w:rsidRPr="00452304" w14:paraId="6886E84D" w14:textId="77777777" w:rsidTr="00B72AF6">
        <w:trPr>
          <w:trHeight w:val="320"/>
        </w:trPr>
        <w:tc>
          <w:tcPr>
            <w:tcW w:w="1061" w:type="dxa"/>
            <w:vMerge/>
            <w:tcBorders>
              <w:left w:val="nil"/>
              <w:right w:val="nil"/>
            </w:tcBorders>
          </w:tcPr>
          <w:p w14:paraId="1F3CADE9"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5E889C6" w14:textId="77777777" w:rsidR="001A23CA" w:rsidRPr="00452304"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4FA71BB"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46E9F610" w14:textId="145D23FA" w:rsidR="001A23CA" w:rsidRPr="001A23CA" w:rsidRDefault="001A23CA" w:rsidP="00B72AF6">
            <w:pPr>
              <w:spacing w:after="0" w:line="240" w:lineRule="auto"/>
              <w:jc w:val="right"/>
              <w:rPr>
                <w:i/>
                <w:iCs/>
                <w:color w:val="000000"/>
                <w:sz w:val="20"/>
                <w:szCs w:val="20"/>
                <w:highlight w:val="yellow"/>
              </w:rPr>
            </w:pPr>
            <w:r w:rsidRPr="001A23CA">
              <w:rPr>
                <w:i/>
                <w:iCs/>
                <w:color w:val="000000"/>
                <w:sz w:val="20"/>
                <w:szCs w:val="20"/>
              </w:rPr>
              <w:t>11.516</w:t>
            </w:r>
          </w:p>
        </w:tc>
        <w:tc>
          <w:tcPr>
            <w:tcW w:w="972" w:type="dxa"/>
            <w:vMerge/>
            <w:tcBorders>
              <w:left w:val="nil"/>
              <w:bottom w:val="single" w:sz="4" w:space="0" w:color="auto"/>
              <w:right w:val="nil"/>
            </w:tcBorders>
            <w:noWrap/>
            <w:vAlign w:val="center"/>
          </w:tcPr>
          <w:p w14:paraId="1891A9A5" w14:textId="77777777" w:rsidR="001A23CA" w:rsidRPr="001A23CA" w:rsidRDefault="001A23CA" w:rsidP="00B72AF6">
            <w:pPr>
              <w:spacing w:after="0" w:line="240" w:lineRule="auto"/>
              <w:jc w:val="right"/>
              <w:rPr>
                <w:i/>
                <w:iCs/>
                <w:color w:val="000000"/>
                <w:sz w:val="20"/>
                <w:szCs w:val="20"/>
                <w:highlight w:val="yellow"/>
              </w:rPr>
            </w:pPr>
          </w:p>
        </w:tc>
        <w:tc>
          <w:tcPr>
            <w:tcW w:w="939" w:type="dxa"/>
            <w:vMerge/>
            <w:tcBorders>
              <w:left w:val="nil"/>
              <w:bottom w:val="single" w:sz="4" w:space="0" w:color="auto"/>
              <w:right w:val="nil"/>
            </w:tcBorders>
            <w:noWrap/>
            <w:vAlign w:val="center"/>
          </w:tcPr>
          <w:p w14:paraId="2725CCA6" w14:textId="77777777" w:rsidR="001A23CA" w:rsidRPr="001A23CA" w:rsidRDefault="001A23CA" w:rsidP="00B72AF6">
            <w:pPr>
              <w:spacing w:after="0" w:line="240" w:lineRule="auto"/>
              <w:jc w:val="right"/>
              <w:rPr>
                <w:i/>
                <w:iCs/>
                <w:color w:val="000000"/>
                <w:sz w:val="20"/>
                <w:szCs w:val="20"/>
                <w:highlight w:val="yellow"/>
              </w:rPr>
            </w:pPr>
          </w:p>
        </w:tc>
        <w:tc>
          <w:tcPr>
            <w:tcW w:w="1767" w:type="dxa"/>
            <w:tcBorders>
              <w:top w:val="nil"/>
              <w:left w:val="nil"/>
              <w:bottom w:val="single" w:sz="4" w:space="0" w:color="auto"/>
              <w:right w:val="nil"/>
            </w:tcBorders>
            <w:noWrap/>
            <w:vAlign w:val="center"/>
          </w:tcPr>
          <w:p w14:paraId="7028CE80" w14:textId="781A3BE2" w:rsidR="001A23CA" w:rsidRPr="001A23CA" w:rsidRDefault="001A23CA" w:rsidP="00B72AF6">
            <w:pPr>
              <w:spacing w:after="0" w:line="240" w:lineRule="auto"/>
              <w:jc w:val="right"/>
              <w:rPr>
                <w:i/>
                <w:iCs/>
                <w:color w:val="000000"/>
                <w:sz w:val="20"/>
                <w:szCs w:val="20"/>
                <w:highlight w:val="yellow"/>
              </w:rPr>
            </w:pPr>
            <w:r w:rsidRPr="001A23CA">
              <w:rPr>
                <w:i/>
                <w:iCs/>
                <w:color w:val="000000"/>
                <w:sz w:val="20"/>
                <w:szCs w:val="20"/>
              </w:rPr>
              <w:t>[-0.598, 25.107]</w:t>
            </w:r>
          </w:p>
        </w:tc>
      </w:tr>
      <w:tr w:rsidR="001A23CA" w:rsidRPr="00452304" w14:paraId="73F86FB6" w14:textId="77777777" w:rsidTr="00B72AF6">
        <w:trPr>
          <w:trHeight w:val="320"/>
        </w:trPr>
        <w:tc>
          <w:tcPr>
            <w:tcW w:w="1061" w:type="dxa"/>
            <w:vMerge/>
            <w:tcBorders>
              <w:left w:val="nil"/>
              <w:right w:val="nil"/>
            </w:tcBorders>
          </w:tcPr>
          <w:p w14:paraId="1A8AD014"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A5D5DA4" w14:textId="77777777" w:rsidR="001A23CA" w:rsidRPr="00452304" w:rsidRDefault="001A23CA" w:rsidP="001A23CA">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4ADE3644"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49D4B8CD" w14:textId="4C092C55" w:rsidR="001A23CA" w:rsidRPr="001A23CA" w:rsidRDefault="001A23CA" w:rsidP="00B72AF6">
            <w:pPr>
              <w:spacing w:after="0" w:line="240" w:lineRule="auto"/>
              <w:jc w:val="right"/>
              <w:rPr>
                <w:color w:val="000000"/>
                <w:sz w:val="20"/>
                <w:szCs w:val="20"/>
                <w:highlight w:val="yellow"/>
              </w:rPr>
            </w:pPr>
            <w:r w:rsidRPr="001A23CA">
              <w:rPr>
                <w:color w:val="000000"/>
                <w:sz w:val="20"/>
                <w:szCs w:val="20"/>
              </w:rPr>
              <w:t>16.532</w:t>
            </w:r>
          </w:p>
        </w:tc>
        <w:tc>
          <w:tcPr>
            <w:tcW w:w="972" w:type="dxa"/>
            <w:vMerge w:val="restart"/>
            <w:tcBorders>
              <w:top w:val="single" w:sz="4" w:space="0" w:color="auto"/>
              <w:left w:val="nil"/>
              <w:right w:val="nil"/>
            </w:tcBorders>
            <w:noWrap/>
            <w:vAlign w:val="center"/>
          </w:tcPr>
          <w:p w14:paraId="00C2721C" w14:textId="428FB087" w:rsidR="001A23CA" w:rsidRPr="001A23CA" w:rsidRDefault="001A23CA" w:rsidP="00B72AF6">
            <w:pPr>
              <w:spacing w:after="0" w:line="240" w:lineRule="auto"/>
              <w:jc w:val="right"/>
              <w:rPr>
                <w:color w:val="000000"/>
                <w:sz w:val="20"/>
                <w:szCs w:val="20"/>
                <w:highlight w:val="yellow"/>
              </w:rPr>
            </w:pPr>
            <w:r w:rsidRPr="001A23CA">
              <w:rPr>
                <w:color w:val="000000"/>
                <w:sz w:val="20"/>
                <w:szCs w:val="20"/>
              </w:rPr>
              <w:t>0.615</w:t>
            </w:r>
          </w:p>
        </w:tc>
        <w:tc>
          <w:tcPr>
            <w:tcW w:w="939" w:type="dxa"/>
            <w:vMerge w:val="restart"/>
            <w:tcBorders>
              <w:top w:val="single" w:sz="4" w:space="0" w:color="auto"/>
              <w:left w:val="nil"/>
              <w:right w:val="nil"/>
            </w:tcBorders>
            <w:noWrap/>
            <w:vAlign w:val="center"/>
          </w:tcPr>
          <w:p w14:paraId="3EA04349" w14:textId="03DE46F4" w:rsidR="001A23CA" w:rsidRPr="001A23CA" w:rsidRDefault="001A23CA" w:rsidP="00B72AF6">
            <w:pPr>
              <w:spacing w:after="0" w:line="240" w:lineRule="auto"/>
              <w:jc w:val="right"/>
              <w:rPr>
                <w:color w:val="000000"/>
                <w:sz w:val="20"/>
                <w:szCs w:val="20"/>
                <w:highlight w:val="yellow"/>
              </w:rPr>
            </w:pPr>
            <w:r w:rsidRPr="001A23CA">
              <w:rPr>
                <w:color w:val="000000"/>
                <w:sz w:val="20"/>
                <w:szCs w:val="20"/>
              </w:rPr>
              <w:t>0.539</w:t>
            </w:r>
          </w:p>
        </w:tc>
        <w:tc>
          <w:tcPr>
            <w:tcW w:w="1767" w:type="dxa"/>
            <w:tcBorders>
              <w:top w:val="single" w:sz="4" w:space="0" w:color="auto"/>
              <w:left w:val="nil"/>
              <w:bottom w:val="nil"/>
              <w:right w:val="nil"/>
            </w:tcBorders>
            <w:noWrap/>
            <w:vAlign w:val="center"/>
          </w:tcPr>
          <w:p w14:paraId="25421A52" w14:textId="1CE775C8" w:rsidR="001A23CA" w:rsidRPr="001A23CA" w:rsidRDefault="001A23CA" w:rsidP="00B72AF6">
            <w:pPr>
              <w:spacing w:after="0" w:line="240" w:lineRule="auto"/>
              <w:jc w:val="right"/>
              <w:rPr>
                <w:color w:val="000000"/>
                <w:sz w:val="20"/>
                <w:szCs w:val="20"/>
                <w:highlight w:val="yellow"/>
              </w:rPr>
            </w:pPr>
            <w:r w:rsidRPr="001A23CA">
              <w:rPr>
                <w:color w:val="000000"/>
                <w:sz w:val="20"/>
                <w:szCs w:val="20"/>
              </w:rPr>
              <w:t>[8.981, 24.608]</w:t>
            </w:r>
          </w:p>
        </w:tc>
      </w:tr>
      <w:tr w:rsidR="001A23CA" w:rsidRPr="00452304" w14:paraId="77FB80F9" w14:textId="77777777" w:rsidTr="00B72AF6">
        <w:trPr>
          <w:trHeight w:val="320"/>
        </w:trPr>
        <w:tc>
          <w:tcPr>
            <w:tcW w:w="1061" w:type="dxa"/>
            <w:vMerge/>
            <w:tcBorders>
              <w:left w:val="nil"/>
              <w:bottom w:val="single" w:sz="4" w:space="0" w:color="auto"/>
              <w:right w:val="nil"/>
            </w:tcBorders>
          </w:tcPr>
          <w:p w14:paraId="1CE2949A"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B6B989C" w14:textId="77777777" w:rsidR="001A23CA" w:rsidRPr="00452304"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9CA6926"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55308D6D" w14:textId="0CAC6B6A" w:rsidR="001A23CA" w:rsidRPr="001A23CA" w:rsidRDefault="001A23CA" w:rsidP="00B72AF6">
            <w:pPr>
              <w:spacing w:after="0" w:line="240" w:lineRule="auto"/>
              <w:jc w:val="right"/>
              <w:rPr>
                <w:color w:val="000000"/>
                <w:sz w:val="20"/>
                <w:szCs w:val="20"/>
                <w:highlight w:val="yellow"/>
              </w:rPr>
            </w:pPr>
            <w:r w:rsidRPr="001A23CA">
              <w:rPr>
                <w:color w:val="000000"/>
                <w:sz w:val="20"/>
                <w:szCs w:val="20"/>
              </w:rPr>
              <w:t>20.202</w:t>
            </w:r>
          </w:p>
        </w:tc>
        <w:tc>
          <w:tcPr>
            <w:tcW w:w="972" w:type="dxa"/>
            <w:vMerge/>
            <w:tcBorders>
              <w:left w:val="nil"/>
              <w:bottom w:val="single" w:sz="4" w:space="0" w:color="auto"/>
              <w:right w:val="nil"/>
            </w:tcBorders>
            <w:noWrap/>
            <w:vAlign w:val="center"/>
          </w:tcPr>
          <w:p w14:paraId="42AE7866" w14:textId="77777777" w:rsidR="001A23CA" w:rsidRPr="001A23CA" w:rsidRDefault="001A23CA" w:rsidP="00B72AF6">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3A4DA6D0" w14:textId="77777777" w:rsidR="001A23CA" w:rsidRPr="001A23CA" w:rsidRDefault="001A23CA" w:rsidP="00B72AF6">
            <w:pPr>
              <w:spacing w:after="0" w:line="240" w:lineRule="auto"/>
              <w:jc w:val="right"/>
              <w:rPr>
                <w:color w:val="000000"/>
                <w:sz w:val="20"/>
                <w:szCs w:val="20"/>
                <w:highlight w:val="yellow"/>
              </w:rPr>
            </w:pPr>
          </w:p>
        </w:tc>
        <w:tc>
          <w:tcPr>
            <w:tcW w:w="1767" w:type="dxa"/>
            <w:tcBorders>
              <w:top w:val="nil"/>
              <w:left w:val="nil"/>
              <w:bottom w:val="single" w:sz="4" w:space="0" w:color="auto"/>
              <w:right w:val="nil"/>
            </w:tcBorders>
            <w:noWrap/>
            <w:vAlign w:val="center"/>
          </w:tcPr>
          <w:p w14:paraId="50055786" w14:textId="2E80D427" w:rsidR="001A23CA" w:rsidRPr="001A23CA" w:rsidRDefault="001A23CA" w:rsidP="00B72AF6">
            <w:pPr>
              <w:spacing w:after="0" w:line="240" w:lineRule="auto"/>
              <w:jc w:val="right"/>
              <w:rPr>
                <w:color w:val="000000"/>
                <w:sz w:val="20"/>
                <w:szCs w:val="20"/>
                <w:highlight w:val="yellow"/>
              </w:rPr>
            </w:pPr>
            <w:r w:rsidRPr="001A23CA">
              <w:rPr>
                <w:color w:val="000000"/>
                <w:sz w:val="20"/>
                <w:szCs w:val="20"/>
              </w:rPr>
              <w:t>[7.037, 34.851]</w:t>
            </w:r>
          </w:p>
        </w:tc>
      </w:tr>
      <w:tr w:rsidR="001A23CA" w:rsidRPr="00452304" w14:paraId="3023241E" w14:textId="77777777" w:rsidTr="00B72AF6">
        <w:trPr>
          <w:trHeight w:val="320"/>
        </w:trPr>
        <w:tc>
          <w:tcPr>
            <w:tcW w:w="1061" w:type="dxa"/>
            <w:vMerge w:val="restart"/>
            <w:tcBorders>
              <w:top w:val="single" w:sz="4" w:space="0" w:color="auto"/>
              <w:left w:val="nil"/>
              <w:right w:val="nil"/>
            </w:tcBorders>
            <w:vAlign w:val="center"/>
          </w:tcPr>
          <w:p w14:paraId="068FD3BC" w14:textId="77777777" w:rsidR="001A23CA" w:rsidRPr="009D19EF" w:rsidRDefault="001A23CA" w:rsidP="001A23CA">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mass</w:t>
            </w:r>
            <w:proofErr w:type="spellEnd"/>
          </w:p>
        </w:tc>
        <w:tc>
          <w:tcPr>
            <w:tcW w:w="1178" w:type="dxa"/>
            <w:vMerge w:val="restart"/>
            <w:tcBorders>
              <w:top w:val="single" w:sz="4" w:space="0" w:color="auto"/>
              <w:left w:val="nil"/>
              <w:right w:val="nil"/>
            </w:tcBorders>
            <w:noWrap/>
            <w:vAlign w:val="center"/>
          </w:tcPr>
          <w:p w14:paraId="56BA8FC3" w14:textId="77777777" w:rsidR="001A23CA" w:rsidRPr="00452304" w:rsidRDefault="001A23CA" w:rsidP="001A23CA">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4E2A1C15"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40842F37" w14:textId="486D5E0F" w:rsidR="001A23CA" w:rsidRPr="00A13DC2" w:rsidRDefault="001A23CA" w:rsidP="00B72AF6">
            <w:pPr>
              <w:spacing w:after="0" w:line="240" w:lineRule="auto"/>
              <w:jc w:val="right"/>
              <w:rPr>
                <w:b/>
                <w:bCs/>
                <w:color w:val="000000"/>
                <w:sz w:val="20"/>
                <w:szCs w:val="20"/>
                <w:highlight w:val="yellow"/>
              </w:rPr>
            </w:pPr>
            <w:r w:rsidRPr="00A13DC2">
              <w:rPr>
                <w:b/>
                <w:bCs/>
                <w:color w:val="000000"/>
                <w:sz w:val="20"/>
                <w:szCs w:val="20"/>
              </w:rPr>
              <w:t>-8.972</w:t>
            </w:r>
          </w:p>
        </w:tc>
        <w:tc>
          <w:tcPr>
            <w:tcW w:w="972" w:type="dxa"/>
            <w:vMerge w:val="restart"/>
            <w:tcBorders>
              <w:top w:val="single" w:sz="4" w:space="0" w:color="auto"/>
              <w:left w:val="nil"/>
              <w:right w:val="nil"/>
            </w:tcBorders>
            <w:noWrap/>
            <w:vAlign w:val="center"/>
          </w:tcPr>
          <w:p w14:paraId="2A1425CD" w14:textId="77777777" w:rsidR="001A23CA" w:rsidRPr="001A23CA" w:rsidRDefault="001A23CA" w:rsidP="00B72AF6">
            <w:pPr>
              <w:spacing w:after="0" w:line="240" w:lineRule="auto"/>
              <w:jc w:val="right"/>
              <w:rPr>
                <w:b/>
                <w:bCs/>
                <w:color w:val="000000"/>
                <w:sz w:val="20"/>
                <w:szCs w:val="20"/>
              </w:rPr>
            </w:pPr>
            <w:r w:rsidRPr="001A23CA">
              <w:rPr>
                <w:b/>
                <w:bCs/>
                <w:color w:val="000000"/>
                <w:sz w:val="20"/>
                <w:szCs w:val="20"/>
              </w:rPr>
              <w:t>2.595</w:t>
            </w:r>
          </w:p>
        </w:tc>
        <w:tc>
          <w:tcPr>
            <w:tcW w:w="939" w:type="dxa"/>
            <w:vMerge w:val="restart"/>
            <w:tcBorders>
              <w:top w:val="single" w:sz="4" w:space="0" w:color="auto"/>
              <w:left w:val="nil"/>
              <w:right w:val="nil"/>
            </w:tcBorders>
            <w:noWrap/>
            <w:vAlign w:val="center"/>
          </w:tcPr>
          <w:p w14:paraId="61FAF4A0" w14:textId="77777777" w:rsidR="001A23CA" w:rsidRPr="001A23CA" w:rsidRDefault="001A23CA" w:rsidP="00B72AF6">
            <w:pPr>
              <w:spacing w:after="0" w:line="240" w:lineRule="auto"/>
              <w:jc w:val="right"/>
              <w:rPr>
                <w:b/>
                <w:bCs/>
                <w:color w:val="000000"/>
                <w:sz w:val="20"/>
                <w:szCs w:val="20"/>
              </w:rPr>
            </w:pPr>
            <w:r w:rsidRPr="001A23CA">
              <w:rPr>
                <w:b/>
                <w:bCs/>
                <w:color w:val="000000"/>
                <w:sz w:val="20"/>
                <w:szCs w:val="20"/>
              </w:rPr>
              <w:t>0.009</w:t>
            </w:r>
          </w:p>
        </w:tc>
        <w:tc>
          <w:tcPr>
            <w:tcW w:w="1767" w:type="dxa"/>
            <w:tcBorders>
              <w:top w:val="single" w:sz="4" w:space="0" w:color="auto"/>
              <w:left w:val="nil"/>
              <w:bottom w:val="nil"/>
              <w:right w:val="nil"/>
            </w:tcBorders>
            <w:noWrap/>
            <w:vAlign w:val="center"/>
          </w:tcPr>
          <w:p w14:paraId="73877F14" w14:textId="00D79475"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[-14.956, -2.566]</w:t>
            </w:r>
          </w:p>
        </w:tc>
      </w:tr>
      <w:tr w:rsidR="001A23CA" w:rsidRPr="00452304" w14:paraId="2E428843" w14:textId="77777777" w:rsidTr="00B72AF6">
        <w:trPr>
          <w:trHeight w:val="320"/>
        </w:trPr>
        <w:tc>
          <w:tcPr>
            <w:tcW w:w="1061" w:type="dxa"/>
            <w:vMerge/>
            <w:tcBorders>
              <w:left w:val="nil"/>
              <w:right w:val="nil"/>
            </w:tcBorders>
            <w:vAlign w:val="center"/>
          </w:tcPr>
          <w:p w14:paraId="4F2D647F"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B752E8F" w14:textId="77777777" w:rsidR="001A23CA" w:rsidRPr="00452304"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987F64B"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70008CFC" w14:textId="6E072F1A" w:rsidR="001A23CA" w:rsidRPr="00A13DC2" w:rsidRDefault="001A23CA" w:rsidP="00B72AF6">
            <w:pPr>
              <w:spacing w:after="0" w:line="240" w:lineRule="auto"/>
              <w:jc w:val="right"/>
              <w:rPr>
                <w:b/>
                <w:bCs/>
                <w:color w:val="000000"/>
                <w:sz w:val="20"/>
                <w:szCs w:val="20"/>
                <w:highlight w:val="yellow"/>
              </w:rPr>
            </w:pPr>
            <w:r w:rsidRPr="00A13DC2">
              <w:rPr>
                <w:b/>
                <w:bCs/>
                <w:color w:val="000000"/>
                <w:sz w:val="20"/>
                <w:szCs w:val="20"/>
              </w:rPr>
              <w:t>4.185</w:t>
            </w:r>
          </w:p>
        </w:tc>
        <w:tc>
          <w:tcPr>
            <w:tcW w:w="972" w:type="dxa"/>
            <w:vMerge/>
            <w:tcBorders>
              <w:left w:val="nil"/>
              <w:bottom w:val="single" w:sz="4" w:space="0" w:color="auto"/>
              <w:right w:val="nil"/>
            </w:tcBorders>
            <w:noWrap/>
            <w:vAlign w:val="center"/>
          </w:tcPr>
          <w:p w14:paraId="602D9568" w14:textId="77777777" w:rsidR="001A23CA" w:rsidRPr="001A23CA" w:rsidRDefault="001A23CA" w:rsidP="00B72AF6">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4FC9AC58" w14:textId="77777777" w:rsidR="001A23CA" w:rsidRPr="001A23CA" w:rsidRDefault="001A23CA" w:rsidP="00B72AF6">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06E58596" w14:textId="560BCC77"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[-7.133, 17.000]</w:t>
            </w:r>
          </w:p>
        </w:tc>
      </w:tr>
      <w:tr w:rsidR="001A23CA" w:rsidRPr="00452304" w14:paraId="1A352D54" w14:textId="77777777" w:rsidTr="00B72AF6">
        <w:trPr>
          <w:trHeight w:val="320"/>
        </w:trPr>
        <w:tc>
          <w:tcPr>
            <w:tcW w:w="1061" w:type="dxa"/>
            <w:vMerge/>
            <w:tcBorders>
              <w:left w:val="nil"/>
              <w:right w:val="nil"/>
            </w:tcBorders>
            <w:vAlign w:val="center"/>
          </w:tcPr>
          <w:p w14:paraId="497231BB"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CEAA009" w14:textId="77777777" w:rsidR="001A23CA" w:rsidRPr="00452304" w:rsidRDefault="001A23CA" w:rsidP="001A23CA">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00A4F97"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769C10EB" w14:textId="30E934BB" w:rsidR="001A23CA" w:rsidRPr="00A13DC2" w:rsidRDefault="001A23CA" w:rsidP="00B72AF6">
            <w:pPr>
              <w:spacing w:after="0" w:line="240" w:lineRule="auto"/>
              <w:jc w:val="right"/>
              <w:rPr>
                <w:b/>
                <w:bCs/>
                <w:color w:val="000000"/>
                <w:sz w:val="20"/>
                <w:szCs w:val="20"/>
                <w:highlight w:val="yellow"/>
              </w:rPr>
            </w:pPr>
            <w:r w:rsidRPr="00A13DC2">
              <w:rPr>
                <w:b/>
                <w:bCs/>
                <w:color w:val="000000"/>
                <w:sz w:val="20"/>
                <w:szCs w:val="20"/>
              </w:rPr>
              <w:t>55.893</w:t>
            </w:r>
          </w:p>
        </w:tc>
        <w:tc>
          <w:tcPr>
            <w:tcW w:w="972" w:type="dxa"/>
            <w:vMerge w:val="restart"/>
            <w:tcBorders>
              <w:top w:val="single" w:sz="4" w:space="0" w:color="auto"/>
              <w:left w:val="nil"/>
              <w:right w:val="nil"/>
            </w:tcBorders>
            <w:noWrap/>
            <w:vAlign w:val="center"/>
          </w:tcPr>
          <w:p w14:paraId="5C4208FF" w14:textId="77777777" w:rsidR="001A23CA" w:rsidRPr="001A23CA" w:rsidRDefault="001A23CA" w:rsidP="00B72AF6">
            <w:pPr>
              <w:spacing w:after="0" w:line="240" w:lineRule="auto"/>
              <w:jc w:val="right"/>
              <w:rPr>
                <w:b/>
                <w:bCs/>
                <w:color w:val="000000"/>
                <w:sz w:val="20"/>
                <w:szCs w:val="20"/>
              </w:rPr>
            </w:pPr>
            <w:r w:rsidRPr="001A23CA">
              <w:rPr>
                <w:b/>
                <w:bCs/>
                <w:color w:val="000000"/>
                <w:sz w:val="20"/>
                <w:szCs w:val="20"/>
              </w:rPr>
              <w:t>5.376</w:t>
            </w:r>
          </w:p>
        </w:tc>
        <w:tc>
          <w:tcPr>
            <w:tcW w:w="939" w:type="dxa"/>
            <w:vMerge w:val="restart"/>
            <w:tcBorders>
              <w:top w:val="single" w:sz="4" w:space="0" w:color="auto"/>
              <w:left w:val="nil"/>
              <w:right w:val="nil"/>
            </w:tcBorders>
            <w:noWrap/>
            <w:vAlign w:val="center"/>
          </w:tcPr>
          <w:p w14:paraId="6C60019D" w14:textId="77777777" w:rsidR="001A23CA" w:rsidRPr="001A23CA" w:rsidRDefault="001A23CA" w:rsidP="00B72AF6">
            <w:pPr>
              <w:spacing w:after="0" w:line="240" w:lineRule="auto"/>
              <w:jc w:val="right"/>
              <w:rPr>
                <w:b/>
                <w:bCs/>
                <w:color w:val="000000"/>
                <w:sz w:val="20"/>
                <w:szCs w:val="20"/>
              </w:rPr>
            </w:pPr>
            <w:r w:rsidRPr="001A23CA">
              <w:rPr>
                <w:b/>
                <w:bCs/>
                <w:color w:val="000000"/>
                <w:sz w:val="20"/>
                <w:szCs w:val="20"/>
              </w:rPr>
              <w:t>&lt;0.001</w:t>
            </w:r>
          </w:p>
        </w:tc>
        <w:tc>
          <w:tcPr>
            <w:tcW w:w="1767" w:type="dxa"/>
            <w:tcBorders>
              <w:top w:val="single" w:sz="4" w:space="0" w:color="auto"/>
              <w:left w:val="nil"/>
              <w:bottom w:val="nil"/>
              <w:right w:val="nil"/>
            </w:tcBorders>
            <w:noWrap/>
            <w:vAlign w:val="center"/>
          </w:tcPr>
          <w:p w14:paraId="3A2AE237" w14:textId="6A001C78"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[34.716, 80.219]</w:t>
            </w:r>
          </w:p>
        </w:tc>
      </w:tr>
      <w:tr w:rsidR="001A23CA" w:rsidRPr="00452304" w14:paraId="55C46DA0" w14:textId="77777777" w:rsidTr="00B72AF6">
        <w:trPr>
          <w:trHeight w:val="320"/>
        </w:trPr>
        <w:tc>
          <w:tcPr>
            <w:tcW w:w="1061" w:type="dxa"/>
            <w:vMerge/>
            <w:tcBorders>
              <w:left w:val="nil"/>
              <w:right w:val="nil"/>
            </w:tcBorders>
            <w:vAlign w:val="center"/>
          </w:tcPr>
          <w:p w14:paraId="05189EB9"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C8DE352" w14:textId="77777777" w:rsidR="001A23CA" w:rsidRPr="00452304"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A56788A"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325AFF01" w14:textId="666ACDD1" w:rsidR="001A23CA" w:rsidRPr="00A13DC2" w:rsidRDefault="001A23CA" w:rsidP="00B72AF6">
            <w:pPr>
              <w:spacing w:after="0" w:line="240" w:lineRule="auto"/>
              <w:jc w:val="right"/>
              <w:rPr>
                <w:b/>
                <w:bCs/>
                <w:color w:val="000000"/>
                <w:sz w:val="20"/>
                <w:szCs w:val="20"/>
                <w:highlight w:val="yellow"/>
              </w:rPr>
            </w:pPr>
            <w:r w:rsidRPr="00A13DC2">
              <w:rPr>
                <w:b/>
                <w:bCs/>
                <w:color w:val="000000"/>
                <w:sz w:val="20"/>
                <w:szCs w:val="20"/>
              </w:rPr>
              <w:t>100.973</w:t>
            </w:r>
          </w:p>
        </w:tc>
        <w:tc>
          <w:tcPr>
            <w:tcW w:w="972" w:type="dxa"/>
            <w:vMerge/>
            <w:tcBorders>
              <w:left w:val="nil"/>
              <w:bottom w:val="single" w:sz="4" w:space="0" w:color="auto"/>
              <w:right w:val="nil"/>
            </w:tcBorders>
            <w:noWrap/>
            <w:vAlign w:val="center"/>
          </w:tcPr>
          <w:p w14:paraId="67F59E08" w14:textId="77777777" w:rsidR="001A23CA" w:rsidRPr="001A23CA" w:rsidRDefault="001A23CA" w:rsidP="00B72AF6">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54BC7C7C" w14:textId="77777777" w:rsidR="001A23CA" w:rsidRPr="001A23CA" w:rsidRDefault="001A23CA" w:rsidP="00B72AF6">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5E008A3F" w14:textId="3F8504E5"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[70.063, 137.501]</w:t>
            </w:r>
          </w:p>
        </w:tc>
      </w:tr>
      <w:tr w:rsidR="001A23CA" w:rsidRPr="00452304" w14:paraId="59BB1DE1" w14:textId="77777777" w:rsidTr="00B72AF6">
        <w:trPr>
          <w:trHeight w:val="320"/>
        </w:trPr>
        <w:tc>
          <w:tcPr>
            <w:tcW w:w="1061" w:type="dxa"/>
            <w:vMerge/>
            <w:tcBorders>
              <w:left w:val="nil"/>
              <w:right w:val="nil"/>
            </w:tcBorders>
            <w:vAlign w:val="center"/>
          </w:tcPr>
          <w:p w14:paraId="6BAE6BB0"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D66339A" w14:textId="77777777" w:rsidR="001A23CA" w:rsidRPr="00452304" w:rsidRDefault="001A23CA" w:rsidP="001A23CA">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74D66DBD"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613CE0D9" w14:textId="1BE9D23D" w:rsidR="001A23CA" w:rsidRPr="00A13DC2" w:rsidRDefault="001A23CA" w:rsidP="00B72AF6">
            <w:pPr>
              <w:spacing w:after="0" w:line="240" w:lineRule="auto"/>
              <w:jc w:val="right"/>
              <w:rPr>
                <w:b/>
                <w:bCs/>
                <w:color w:val="000000"/>
                <w:sz w:val="20"/>
                <w:szCs w:val="20"/>
                <w:highlight w:val="yellow"/>
              </w:rPr>
            </w:pPr>
            <w:r w:rsidRPr="00A13DC2">
              <w:rPr>
                <w:b/>
                <w:bCs/>
                <w:color w:val="000000"/>
                <w:sz w:val="20"/>
                <w:szCs w:val="20"/>
              </w:rPr>
              <w:t>43.190</w:t>
            </w:r>
          </w:p>
        </w:tc>
        <w:tc>
          <w:tcPr>
            <w:tcW w:w="972" w:type="dxa"/>
            <w:vMerge w:val="restart"/>
            <w:tcBorders>
              <w:top w:val="single" w:sz="4" w:space="0" w:color="auto"/>
              <w:left w:val="nil"/>
              <w:right w:val="nil"/>
            </w:tcBorders>
            <w:noWrap/>
            <w:vAlign w:val="center"/>
          </w:tcPr>
          <w:p w14:paraId="778AC1F7" w14:textId="77777777" w:rsidR="001A23CA" w:rsidRPr="001A23CA" w:rsidRDefault="001A23CA" w:rsidP="00B72AF6">
            <w:pPr>
              <w:spacing w:after="0" w:line="240" w:lineRule="auto"/>
              <w:jc w:val="right"/>
              <w:rPr>
                <w:b/>
                <w:bCs/>
                <w:color w:val="000000"/>
                <w:sz w:val="20"/>
                <w:szCs w:val="20"/>
              </w:rPr>
            </w:pPr>
            <w:r w:rsidRPr="001A23CA">
              <w:rPr>
                <w:b/>
                <w:bCs/>
                <w:color w:val="000000"/>
                <w:sz w:val="20"/>
                <w:szCs w:val="20"/>
              </w:rPr>
              <w:t>2.021</w:t>
            </w:r>
          </w:p>
        </w:tc>
        <w:tc>
          <w:tcPr>
            <w:tcW w:w="939" w:type="dxa"/>
            <w:vMerge w:val="restart"/>
            <w:tcBorders>
              <w:top w:val="single" w:sz="4" w:space="0" w:color="auto"/>
              <w:left w:val="nil"/>
              <w:right w:val="nil"/>
            </w:tcBorders>
            <w:noWrap/>
            <w:vAlign w:val="center"/>
          </w:tcPr>
          <w:p w14:paraId="21401878" w14:textId="77777777" w:rsidR="001A23CA" w:rsidRPr="001A23CA" w:rsidRDefault="001A23CA" w:rsidP="00B72AF6">
            <w:pPr>
              <w:spacing w:after="0" w:line="240" w:lineRule="auto"/>
              <w:jc w:val="right"/>
              <w:rPr>
                <w:b/>
                <w:bCs/>
                <w:color w:val="000000"/>
                <w:sz w:val="20"/>
                <w:szCs w:val="20"/>
              </w:rPr>
            </w:pPr>
            <w:r w:rsidRPr="001A23CA">
              <w:rPr>
                <w:b/>
                <w:bCs/>
                <w:color w:val="000000"/>
                <w:sz w:val="20"/>
                <w:szCs w:val="20"/>
              </w:rPr>
              <w:t>0.043</w:t>
            </w:r>
          </w:p>
        </w:tc>
        <w:tc>
          <w:tcPr>
            <w:tcW w:w="1767" w:type="dxa"/>
            <w:tcBorders>
              <w:top w:val="single" w:sz="4" w:space="0" w:color="auto"/>
              <w:left w:val="nil"/>
              <w:bottom w:val="nil"/>
              <w:right w:val="nil"/>
            </w:tcBorders>
            <w:noWrap/>
            <w:vAlign w:val="center"/>
          </w:tcPr>
          <w:p w14:paraId="32F7711C" w14:textId="0D4F3280"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[25.986, 62.580]</w:t>
            </w:r>
          </w:p>
        </w:tc>
      </w:tr>
      <w:tr w:rsidR="001A23CA" w:rsidRPr="00452304" w14:paraId="7871602B" w14:textId="77777777" w:rsidTr="00B72AF6">
        <w:trPr>
          <w:trHeight w:val="320"/>
        </w:trPr>
        <w:tc>
          <w:tcPr>
            <w:tcW w:w="1061" w:type="dxa"/>
            <w:vMerge/>
            <w:tcBorders>
              <w:left w:val="nil"/>
              <w:bottom w:val="single" w:sz="4" w:space="0" w:color="auto"/>
              <w:right w:val="nil"/>
            </w:tcBorders>
            <w:vAlign w:val="center"/>
          </w:tcPr>
          <w:p w14:paraId="7A76315A"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3504A20" w14:textId="77777777" w:rsidR="001A23CA" w:rsidRPr="00452304"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A386DD6"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41DA9E22" w14:textId="0789F4C3" w:rsidR="001A23CA" w:rsidRPr="00A13DC2" w:rsidRDefault="001A23CA" w:rsidP="00B72AF6">
            <w:pPr>
              <w:spacing w:after="0" w:line="240" w:lineRule="auto"/>
              <w:jc w:val="right"/>
              <w:rPr>
                <w:b/>
                <w:bCs/>
                <w:color w:val="000000"/>
                <w:sz w:val="20"/>
                <w:szCs w:val="20"/>
                <w:highlight w:val="yellow"/>
              </w:rPr>
            </w:pPr>
            <w:r w:rsidRPr="00A13DC2">
              <w:rPr>
                <w:b/>
                <w:bCs/>
                <w:color w:val="000000"/>
                <w:sz w:val="20"/>
                <w:szCs w:val="20"/>
              </w:rPr>
              <w:t>67.197</w:t>
            </w:r>
          </w:p>
        </w:tc>
        <w:tc>
          <w:tcPr>
            <w:tcW w:w="972" w:type="dxa"/>
            <w:vMerge/>
            <w:tcBorders>
              <w:left w:val="nil"/>
              <w:bottom w:val="single" w:sz="4" w:space="0" w:color="auto"/>
              <w:right w:val="nil"/>
            </w:tcBorders>
            <w:noWrap/>
            <w:vAlign w:val="center"/>
          </w:tcPr>
          <w:p w14:paraId="7AF14DB3" w14:textId="77777777" w:rsidR="001A23CA" w:rsidRPr="001A23CA" w:rsidRDefault="001A23CA" w:rsidP="00B72AF6">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163EB395" w14:textId="77777777" w:rsidR="001A23CA" w:rsidRPr="001A23CA" w:rsidRDefault="001A23CA" w:rsidP="00B72AF6">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7E7C0FA6" w14:textId="4B13CBBC"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[38.265, 102.182]</w:t>
            </w:r>
          </w:p>
        </w:tc>
      </w:tr>
      <w:tr w:rsidR="001A23CA" w:rsidRPr="00452304" w14:paraId="22606D2C" w14:textId="77777777" w:rsidTr="00B72AF6">
        <w:trPr>
          <w:trHeight w:val="320"/>
        </w:trPr>
        <w:tc>
          <w:tcPr>
            <w:tcW w:w="1061" w:type="dxa"/>
            <w:vMerge w:val="restart"/>
            <w:tcBorders>
              <w:top w:val="single" w:sz="4" w:space="0" w:color="auto"/>
              <w:left w:val="nil"/>
              <w:right w:val="nil"/>
            </w:tcBorders>
            <w:vAlign w:val="center"/>
          </w:tcPr>
          <w:p w14:paraId="30833E0B" w14:textId="77777777" w:rsidR="001A23CA" w:rsidRPr="009D19EF" w:rsidRDefault="001A23CA" w:rsidP="001A23CA">
            <w:pPr>
              <w:spacing w:after="0" w:line="240" w:lineRule="auto"/>
              <w:rPr>
                <w:rFonts w:eastAsia="Times New Roman"/>
                <w:color w:val="000000"/>
                <w:kern w:val="0"/>
                <w:sz w:val="20"/>
                <w:szCs w:val="20"/>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area</w:t>
            </w:r>
            <w:proofErr w:type="spellEnd"/>
          </w:p>
        </w:tc>
        <w:tc>
          <w:tcPr>
            <w:tcW w:w="1178" w:type="dxa"/>
            <w:vMerge w:val="restart"/>
            <w:tcBorders>
              <w:top w:val="single" w:sz="4" w:space="0" w:color="auto"/>
              <w:left w:val="nil"/>
              <w:right w:val="nil"/>
            </w:tcBorders>
            <w:noWrap/>
            <w:vAlign w:val="center"/>
          </w:tcPr>
          <w:p w14:paraId="35EFFF8B" w14:textId="77777777" w:rsidR="001A23CA" w:rsidRPr="00452304" w:rsidRDefault="001A23CA" w:rsidP="001A23CA">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532B3F47"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3D276115" w14:textId="5692CFA6"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-8.057</w:t>
            </w:r>
          </w:p>
        </w:tc>
        <w:tc>
          <w:tcPr>
            <w:tcW w:w="972" w:type="dxa"/>
            <w:vMerge w:val="restart"/>
            <w:tcBorders>
              <w:top w:val="single" w:sz="4" w:space="0" w:color="auto"/>
              <w:left w:val="nil"/>
              <w:right w:val="nil"/>
            </w:tcBorders>
            <w:noWrap/>
            <w:vAlign w:val="center"/>
          </w:tcPr>
          <w:p w14:paraId="2AC437C0" w14:textId="782F08FC"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7.716</w:t>
            </w:r>
          </w:p>
        </w:tc>
        <w:tc>
          <w:tcPr>
            <w:tcW w:w="939" w:type="dxa"/>
            <w:vMerge w:val="restart"/>
            <w:tcBorders>
              <w:top w:val="single" w:sz="4" w:space="0" w:color="auto"/>
              <w:left w:val="nil"/>
              <w:right w:val="nil"/>
            </w:tcBorders>
            <w:noWrap/>
            <w:vAlign w:val="center"/>
          </w:tcPr>
          <w:p w14:paraId="449B816A" w14:textId="1419AE39"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&lt;0.001</w:t>
            </w:r>
          </w:p>
        </w:tc>
        <w:tc>
          <w:tcPr>
            <w:tcW w:w="1767" w:type="dxa"/>
            <w:tcBorders>
              <w:top w:val="single" w:sz="4" w:space="0" w:color="auto"/>
              <w:left w:val="nil"/>
              <w:bottom w:val="nil"/>
              <w:right w:val="nil"/>
            </w:tcBorders>
            <w:noWrap/>
            <w:vAlign w:val="center"/>
          </w:tcPr>
          <w:p w14:paraId="1CC08FFC" w14:textId="12B4337F"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[-20.547, 6.396]</w:t>
            </w:r>
          </w:p>
        </w:tc>
      </w:tr>
      <w:tr w:rsidR="001A23CA" w:rsidRPr="00452304" w14:paraId="7B7915A6" w14:textId="77777777" w:rsidTr="00B72AF6">
        <w:trPr>
          <w:trHeight w:val="320"/>
        </w:trPr>
        <w:tc>
          <w:tcPr>
            <w:tcW w:w="1061" w:type="dxa"/>
            <w:vMerge/>
            <w:tcBorders>
              <w:left w:val="nil"/>
              <w:right w:val="nil"/>
            </w:tcBorders>
          </w:tcPr>
          <w:p w14:paraId="6848F46B"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1D598FE" w14:textId="77777777" w:rsidR="001A23CA" w:rsidRPr="00452304"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A5B263D"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65D69D18" w14:textId="5E49984F"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37.163</w:t>
            </w:r>
          </w:p>
        </w:tc>
        <w:tc>
          <w:tcPr>
            <w:tcW w:w="972" w:type="dxa"/>
            <w:vMerge/>
            <w:tcBorders>
              <w:left w:val="nil"/>
              <w:bottom w:val="single" w:sz="4" w:space="0" w:color="auto"/>
              <w:right w:val="nil"/>
            </w:tcBorders>
            <w:noWrap/>
            <w:vAlign w:val="center"/>
          </w:tcPr>
          <w:p w14:paraId="75557EA0" w14:textId="77777777" w:rsidR="001A23CA" w:rsidRPr="001A23CA" w:rsidRDefault="001A23CA" w:rsidP="00B72AF6">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6BE7C951" w14:textId="77777777" w:rsidR="001A23CA" w:rsidRPr="001A23CA" w:rsidRDefault="001A23CA" w:rsidP="00B72AF6">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362318BF" w14:textId="71B890E5"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[15.258, 63.068]</w:t>
            </w:r>
          </w:p>
        </w:tc>
      </w:tr>
      <w:tr w:rsidR="001A23CA" w:rsidRPr="00452304" w14:paraId="3CD19735" w14:textId="77777777" w:rsidTr="00B72AF6">
        <w:trPr>
          <w:trHeight w:val="320"/>
        </w:trPr>
        <w:tc>
          <w:tcPr>
            <w:tcW w:w="1061" w:type="dxa"/>
            <w:vMerge/>
            <w:tcBorders>
              <w:left w:val="nil"/>
              <w:right w:val="nil"/>
            </w:tcBorders>
          </w:tcPr>
          <w:p w14:paraId="6F407F55"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861CDA7" w14:textId="77777777" w:rsidR="001A23CA" w:rsidRPr="00452304" w:rsidRDefault="001A23CA" w:rsidP="001A23CA">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7B1B3730"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5E211D21" w14:textId="66E871E0"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68.371</w:t>
            </w:r>
          </w:p>
        </w:tc>
        <w:tc>
          <w:tcPr>
            <w:tcW w:w="972" w:type="dxa"/>
            <w:vMerge w:val="restart"/>
            <w:tcBorders>
              <w:top w:val="single" w:sz="4" w:space="0" w:color="auto"/>
              <w:left w:val="nil"/>
              <w:right w:val="nil"/>
            </w:tcBorders>
            <w:noWrap/>
            <w:vAlign w:val="center"/>
          </w:tcPr>
          <w:p w14:paraId="37675C05" w14:textId="677EAD99"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3.46</w:t>
            </w:r>
          </w:p>
        </w:tc>
        <w:tc>
          <w:tcPr>
            <w:tcW w:w="939" w:type="dxa"/>
            <w:vMerge w:val="restart"/>
            <w:tcBorders>
              <w:top w:val="single" w:sz="4" w:space="0" w:color="auto"/>
              <w:left w:val="nil"/>
              <w:right w:val="nil"/>
            </w:tcBorders>
            <w:noWrap/>
            <w:vAlign w:val="center"/>
          </w:tcPr>
          <w:p w14:paraId="13420E46" w14:textId="260DF048"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0.001</w:t>
            </w:r>
          </w:p>
        </w:tc>
        <w:tc>
          <w:tcPr>
            <w:tcW w:w="1767" w:type="dxa"/>
            <w:tcBorders>
              <w:top w:val="single" w:sz="4" w:space="0" w:color="auto"/>
              <w:left w:val="nil"/>
              <w:bottom w:val="nil"/>
              <w:right w:val="nil"/>
            </w:tcBorders>
            <w:noWrap/>
            <w:vAlign w:val="center"/>
          </w:tcPr>
          <w:p w14:paraId="682A60D4" w14:textId="7A949394"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[36.479, 107.716]</w:t>
            </w:r>
          </w:p>
        </w:tc>
      </w:tr>
      <w:tr w:rsidR="001A23CA" w:rsidRPr="00452304" w14:paraId="7DE71072" w14:textId="77777777" w:rsidTr="00B72AF6">
        <w:trPr>
          <w:trHeight w:val="320"/>
        </w:trPr>
        <w:tc>
          <w:tcPr>
            <w:tcW w:w="1061" w:type="dxa"/>
            <w:vMerge/>
            <w:tcBorders>
              <w:left w:val="nil"/>
              <w:right w:val="nil"/>
            </w:tcBorders>
          </w:tcPr>
          <w:p w14:paraId="4FA29F33"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CC2444A" w14:textId="77777777" w:rsidR="001A23CA" w:rsidRPr="00452304"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3C29FC7"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4C78676A" w14:textId="16DE3ADA"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101.778</w:t>
            </w:r>
          </w:p>
        </w:tc>
        <w:tc>
          <w:tcPr>
            <w:tcW w:w="972" w:type="dxa"/>
            <w:vMerge/>
            <w:tcBorders>
              <w:left w:val="nil"/>
              <w:bottom w:val="single" w:sz="4" w:space="0" w:color="auto"/>
              <w:right w:val="nil"/>
            </w:tcBorders>
            <w:noWrap/>
            <w:vAlign w:val="center"/>
          </w:tcPr>
          <w:p w14:paraId="42242A58" w14:textId="77777777" w:rsidR="001A23CA" w:rsidRPr="001A23CA" w:rsidRDefault="001A23CA" w:rsidP="00B72AF6">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00794DD6" w14:textId="77777777" w:rsidR="001A23CA" w:rsidRPr="001A23CA" w:rsidRDefault="001A23CA" w:rsidP="00B72AF6">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48ABB261" w14:textId="32511EB5"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[60.480, 153.958]</w:t>
            </w:r>
          </w:p>
        </w:tc>
      </w:tr>
      <w:tr w:rsidR="001A23CA" w:rsidRPr="00452304" w14:paraId="6A7A9892" w14:textId="77777777" w:rsidTr="00B72AF6">
        <w:trPr>
          <w:trHeight w:val="320"/>
        </w:trPr>
        <w:tc>
          <w:tcPr>
            <w:tcW w:w="1061" w:type="dxa"/>
            <w:vMerge/>
            <w:tcBorders>
              <w:left w:val="nil"/>
              <w:right w:val="nil"/>
            </w:tcBorders>
          </w:tcPr>
          <w:p w14:paraId="246EEF95"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EE9FEDF" w14:textId="77777777" w:rsidR="001A23CA" w:rsidRPr="00452304" w:rsidRDefault="001A23CA" w:rsidP="001A23CA">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01E37F64"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0F9AD2A8" w14:textId="03EE709F"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45.936</w:t>
            </w:r>
          </w:p>
        </w:tc>
        <w:tc>
          <w:tcPr>
            <w:tcW w:w="972" w:type="dxa"/>
            <w:vMerge w:val="restart"/>
            <w:tcBorders>
              <w:top w:val="single" w:sz="4" w:space="0" w:color="auto"/>
              <w:left w:val="nil"/>
              <w:right w:val="nil"/>
            </w:tcBorders>
            <w:noWrap/>
            <w:vAlign w:val="center"/>
          </w:tcPr>
          <w:p w14:paraId="41903AC5" w14:textId="654731F0"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3.819</w:t>
            </w:r>
          </w:p>
        </w:tc>
        <w:tc>
          <w:tcPr>
            <w:tcW w:w="939" w:type="dxa"/>
            <w:vMerge w:val="restart"/>
            <w:tcBorders>
              <w:top w:val="single" w:sz="4" w:space="0" w:color="auto"/>
              <w:left w:val="nil"/>
              <w:right w:val="nil"/>
            </w:tcBorders>
            <w:noWrap/>
            <w:vAlign w:val="center"/>
          </w:tcPr>
          <w:p w14:paraId="552B69D6" w14:textId="622972F1"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&lt;0.001</w:t>
            </w:r>
          </w:p>
        </w:tc>
        <w:tc>
          <w:tcPr>
            <w:tcW w:w="1767" w:type="dxa"/>
            <w:tcBorders>
              <w:top w:val="single" w:sz="4" w:space="0" w:color="auto"/>
              <w:left w:val="nil"/>
              <w:bottom w:val="nil"/>
              <w:right w:val="nil"/>
            </w:tcBorders>
            <w:noWrap/>
            <w:vAlign w:val="center"/>
          </w:tcPr>
          <w:p w14:paraId="7D882183" w14:textId="7CC86393"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[19.006, 78.961]</w:t>
            </w:r>
          </w:p>
        </w:tc>
      </w:tr>
      <w:tr w:rsidR="001A23CA" w:rsidRPr="00452304" w14:paraId="3E9868DF" w14:textId="77777777" w:rsidTr="00B72AF6">
        <w:trPr>
          <w:trHeight w:val="320"/>
        </w:trPr>
        <w:tc>
          <w:tcPr>
            <w:tcW w:w="1061" w:type="dxa"/>
            <w:vMerge/>
            <w:tcBorders>
              <w:left w:val="nil"/>
              <w:bottom w:val="single" w:sz="4" w:space="0" w:color="auto"/>
              <w:right w:val="nil"/>
            </w:tcBorders>
          </w:tcPr>
          <w:p w14:paraId="7C3C0E26"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6F7C456" w14:textId="77777777" w:rsidR="001A23CA" w:rsidRPr="00452304"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A33ECBD"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050DCBCE" w14:textId="14CED3DE"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85.151</w:t>
            </w:r>
          </w:p>
        </w:tc>
        <w:tc>
          <w:tcPr>
            <w:tcW w:w="972" w:type="dxa"/>
            <w:vMerge/>
            <w:tcBorders>
              <w:left w:val="nil"/>
              <w:bottom w:val="single" w:sz="4" w:space="0" w:color="auto"/>
              <w:right w:val="nil"/>
            </w:tcBorders>
            <w:noWrap/>
            <w:vAlign w:val="center"/>
          </w:tcPr>
          <w:p w14:paraId="7D5059B3" w14:textId="77777777" w:rsidR="001A23CA" w:rsidRPr="001A23CA" w:rsidRDefault="001A23CA" w:rsidP="00B72AF6">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0E8E2D41" w14:textId="77777777" w:rsidR="001A23CA" w:rsidRPr="001A23CA" w:rsidRDefault="001A23CA" w:rsidP="00B72AF6">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7F6AC870" w14:textId="6FED0225"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[46.375, 134.199]</w:t>
            </w:r>
          </w:p>
        </w:tc>
      </w:tr>
      <w:tr w:rsidR="001A23CA" w:rsidRPr="00452304" w14:paraId="79940512" w14:textId="77777777" w:rsidTr="00B72AF6">
        <w:trPr>
          <w:trHeight w:val="320"/>
        </w:trPr>
        <w:tc>
          <w:tcPr>
            <w:tcW w:w="1061" w:type="dxa"/>
            <w:vMerge w:val="restart"/>
            <w:tcBorders>
              <w:top w:val="single" w:sz="4" w:space="0" w:color="auto"/>
              <w:left w:val="nil"/>
              <w:right w:val="nil"/>
            </w:tcBorders>
            <w:vAlign w:val="center"/>
          </w:tcPr>
          <w:p w14:paraId="5DE5DB94" w14:textId="0A4FDC3A" w:rsidR="001A23CA" w:rsidRPr="00620CAA" w:rsidRDefault="001A23CA" w:rsidP="001A23CA">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Leaf N:P</w:t>
            </w:r>
          </w:p>
        </w:tc>
        <w:tc>
          <w:tcPr>
            <w:tcW w:w="1178" w:type="dxa"/>
            <w:vMerge w:val="restart"/>
            <w:tcBorders>
              <w:top w:val="single" w:sz="4" w:space="0" w:color="auto"/>
              <w:left w:val="nil"/>
              <w:right w:val="nil"/>
            </w:tcBorders>
            <w:noWrap/>
            <w:vAlign w:val="center"/>
          </w:tcPr>
          <w:p w14:paraId="56259A33" w14:textId="23F443A1" w:rsidR="001A23CA" w:rsidRPr="00452304" w:rsidRDefault="001A23CA" w:rsidP="001A23CA">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7B9983C5" w14:textId="3B218055" w:rsidR="001A23CA" w:rsidRDefault="001A23CA" w:rsidP="001A23CA">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4B611653" w14:textId="5DA29C47"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19.363</w:t>
            </w:r>
          </w:p>
        </w:tc>
        <w:tc>
          <w:tcPr>
            <w:tcW w:w="972" w:type="dxa"/>
            <w:vMerge w:val="restart"/>
            <w:tcBorders>
              <w:top w:val="single" w:sz="4" w:space="0" w:color="auto"/>
              <w:left w:val="nil"/>
              <w:right w:val="nil"/>
            </w:tcBorders>
            <w:noWrap/>
            <w:vAlign w:val="center"/>
          </w:tcPr>
          <w:p w14:paraId="66A24E6F" w14:textId="328B3926"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-5.375</w:t>
            </w:r>
          </w:p>
        </w:tc>
        <w:tc>
          <w:tcPr>
            <w:tcW w:w="939" w:type="dxa"/>
            <w:vMerge w:val="restart"/>
            <w:tcBorders>
              <w:top w:val="single" w:sz="4" w:space="0" w:color="auto"/>
              <w:left w:val="nil"/>
              <w:right w:val="nil"/>
            </w:tcBorders>
            <w:noWrap/>
            <w:vAlign w:val="center"/>
          </w:tcPr>
          <w:p w14:paraId="7BA7E1D2" w14:textId="221C425F"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&lt;0.001</w:t>
            </w:r>
          </w:p>
        </w:tc>
        <w:tc>
          <w:tcPr>
            <w:tcW w:w="1767" w:type="dxa"/>
            <w:tcBorders>
              <w:top w:val="single" w:sz="4" w:space="0" w:color="auto"/>
              <w:left w:val="nil"/>
              <w:bottom w:val="nil"/>
              <w:right w:val="nil"/>
            </w:tcBorders>
            <w:noWrap/>
            <w:vAlign w:val="center"/>
          </w:tcPr>
          <w:p w14:paraId="728F2BE6" w14:textId="72782F3D"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[7.788, 32.313]</w:t>
            </w:r>
          </w:p>
        </w:tc>
      </w:tr>
      <w:tr w:rsidR="001A23CA" w:rsidRPr="00452304" w14:paraId="0F53593A" w14:textId="77777777" w:rsidTr="00B72AF6">
        <w:trPr>
          <w:trHeight w:val="320"/>
        </w:trPr>
        <w:tc>
          <w:tcPr>
            <w:tcW w:w="1061" w:type="dxa"/>
            <w:vMerge/>
            <w:tcBorders>
              <w:left w:val="nil"/>
              <w:right w:val="nil"/>
            </w:tcBorders>
          </w:tcPr>
          <w:p w14:paraId="3E9380BF"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BBEE6F2" w14:textId="77777777" w:rsidR="001A23CA" w:rsidRPr="00452304"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5AE974D" w14:textId="0F451D8A" w:rsidR="001A23CA" w:rsidRDefault="001A23CA" w:rsidP="001A23CA">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35EF2018" w14:textId="42522536"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-8.881</w:t>
            </w:r>
          </w:p>
        </w:tc>
        <w:tc>
          <w:tcPr>
            <w:tcW w:w="972" w:type="dxa"/>
            <w:vMerge/>
            <w:tcBorders>
              <w:left w:val="nil"/>
              <w:bottom w:val="single" w:sz="4" w:space="0" w:color="auto"/>
              <w:right w:val="nil"/>
            </w:tcBorders>
            <w:noWrap/>
            <w:vAlign w:val="center"/>
          </w:tcPr>
          <w:p w14:paraId="31AEF842" w14:textId="77777777" w:rsidR="001A23CA" w:rsidRPr="001A23CA" w:rsidRDefault="001A23CA" w:rsidP="00B72AF6">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2076D704" w14:textId="77777777" w:rsidR="001A23CA" w:rsidRPr="001A23CA" w:rsidRDefault="001A23CA" w:rsidP="00B72AF6">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0A238288" w14:textId="07B92349"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[-20.626, 4.603]</w:t>
            </w:r>
          </w:p>
        </w:tc>
      </w:tr>
      <w:tr w:rsidR="001A23CA" w:rsidRPr="00452304" w14:paraId="48A3F0A8" w14:textId="77777777" w:rsidTr="00B72AF6">
        <w:trPr>
          <w:trHeight w:val="320"/>
        </w:trPr>
        <w:tc>
          <w:tcPr>
            <w:tcW w:w="1061" w:type="dxa"/>
            <w:vMerge/>
            <w:tcBorders>
              <w:left w:val="nil"/>
              <w:right w:val="nil"/>
            </w:tcBorders>
          </w:tcPr>
          <w:p w14:paraId="0B92B3EE"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60D6B3C" w14:textId="6CD34D47" w:rsidR="001A23CA" w:rsidRPr="00452304" w:rsidRDefault="001A23CA" w:rsidP="001A23CA">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BD79200" w14:textId="698AF6BF" w:rsidR="001A23CA" w:rsidRDefault="001A23CA" w:rsidP="001A23CA">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3808BC21" w14:textId="646A6527" w:rsidR="001A23CA" w:rsidRPr="001A23CA" w:rsidRDefault="001A23CA" w:rsidP="00B72AF6">
            <w:pPr>
              <w:spacing w:after="0" w:line="240" w:lineRule="auto"/>
              <w:jc w:val="right"/>
              <w:rPr>
                <w:b/>
                <w:bCs/>
                <w:color w:val="000000"/>
                <w:sz w:val="20"/>
                <w:szCs w:val="20"/>
                <w:highlight w:val="yellow"/>
              </w:rPr>
            </w:pPr>
            <w:r w:rsidRPr="001A23CA">
              <w:rPr>
                <w:color w:val="000000"/>
                <w:sz w:val="20"/>
                <w:szCs w:val="20"/>
              </w:rPr>
              <w:t>-31.065</w:t>
            </w:r>
          </w:p>
        </w:tc>
        <w:tc>
          <w:tcPr>
            <w:tcW w:w="972" w:type="dxa"/>
            <w:vMerge w:val="restart"/>
            <w:tcBorders>
              <w:top w:val="single" w:sz="4" w:space="0" w:color="auto"/>
              <w:left w:val="nil"/>
              <w:right w:val="nil"/>
            </w:tcBorders>
            <w:noWrap/>
            <w:vAlign w:val="center"/>
          </w:tcPr>
          <w:p w14:paraId="42260552" w14:textId="295589A8" w:rsidR="001A23CA" w:rsidRPr="001A23CA" w:rsidRDefault="001A23CA" w:rsidP="00B72AF6">
            <w:pPr>
              <w:spacing w:after="0" w:line="240" w:lineRule="auto"/>
              <w:jc w:val="right"/>
              <w:rPr>
                <w:b/>
                <w:bCs/>
                <w:color w:val="000000"/>
                <w:sz w:val="20"/>
                <w:szCs w:val="20"/>
                <w:highlight w:val="yellow"/>
              </w:rPr>
            </w:pPr>
            <w:r w:rsidRPr="001A23CA">
              <w:rPr>
                <w:color w:val="000000"/>
                <w:sz w:val="20"/>
                <w:szCs w:val="20"/>
              </w:rPr>
              <w:t>-1.638</w:t>
            </w:r>
          </w:p>
        </w:tc>
        <w:tc>
          <w:tcPr>
            <w:tcW w:w="939" w:type="dxa"/>
            <w:vMerge w:val="restart"/>
            <w:tcBorders>
              <w:top w:val="single" w:sz="4" w:space="0" w:color="auto"/>
              <w:left w:val="nil"/>
              <w:right w:val="nil"/>
            </w:tcBorders>
            <w:noWrap/>
            <w:vAlign w:val="center"/>
          </w:tcPr>
          <w:p w14:paraId="47A6F1A1" w14:textId="518EB5C4" w:rsidR="001A23CA" w:rsidRPr="001A23CA" w:rsidRDefault="001A23CA" w:rsidP="00B72AF6">
            <w:pPr>
              <w:spacing w:after="0" w:line="240" w:lineRule="auto"/>
              <w:jc w:val="right"/>
              <w:rPr>
                <w:b/>
                <w:bCs/>
                <w:color w:val="000000"/>
                <w:sz w:val="20"/>
                <w:szCs w:val="20"/>
                <w:highlight w:val="yellow"/>
              </w:rPr>
            </w:pPr>
            <w:r w:rsidRPr="001A23CA">
              <w:rPr>
                <w:color w:val="000000"/>
                <w:sz w:val="20"/>
                <w:szCs w:val="20"/>
              </w:rPr>
              <w:t>0.101</w:t>
            </w:r>
          </w:p>
        </w:tc>
        <w:tc>
          <w:tcPr>
            <w:tcW w:w="1767" w:type="dxa"/>
            <w:tcBorders>
              <w:top w:val="single" w:sz="4" w:space="0" w:color="auto"/>
              <w:left w:val="nil"/>
              <w:bottom w:val="nil"/>
              <w:right w:val="nil"/>
            </w:tcBorders>
            <w:noWrap/>
            <w:vAlign w:val="center"/>
          </w:tcPr>
          <w:p w14:paraId="6A909B55" w14:textId="6D13E729" w:rsidR="001A23CA" w:rsidRPr="001A23CA" w:rsidRDefault="001A23CA" w:rsidP="00B72AF6">
            <w:pPr>
              <w:spacing w:after="0" w:line="240" w:lineRule="auto"/>
              <w:jc w:val="right"/>
              <w:rPr>
                <w:b/>
                <w:bCs/>
                <w:color w:val="000000"/>
                <w:sz w:val="20"/>
                <w:szCs w:val="20"/>
                <w:highlight w:val="yellow"/>
              </w:rPr>
            </w:pPr>
            <w:r w:rsidRPr="001A23CA">
              <w:rPr>
                <w:color w:val="000000"/>
                <w:sz w:val="20"/>
                <w:szCs w:val="20"/>
              </w:rPr>
              <w:t>[-40.19</w:t>
            </w:r>
            <w:r>
              <w:rPr>
                <w:color w:val="000000"/>
                <w:sz w:val="20"/>
                <w:szCs w:val="20"/>
              </w:rPr>
              <w:t>0</w:t>
            </w:r>
            <w:r w:rsidRPr="001A23CA">
              <w:rPr>
                <w:color w:val="000000"/>
                <w:sz w:val="20"/>
                <w:szCs w:val="20"/>
              </w:rPr>
              <w:t>, -20.547]</w:t>
            </w:r>
          </w:p>
        </w:tc>
      </w:tr>
      <w:tr w:rsidR="001A23CA" w:rsidRPr="00452304" w14:paraId="70E48BA0" w14:textId="77777777" w:rsidTr="00B72AF6">
        <w:trPr>
          <w:trHeight w:val="320"/>
        </w:trPr>
        <w:tc>
          <w:tcPr>
            <w:tcW w:w="1061" w:type="dxa"/>
            <w:vMerge/>
            <w:tcBorders>
              <w:left w:val="nil"/>
              <w:right w:val="nil"/>
            </w:tcBorders>
          </w:tcPr>
          <w:p w14:paraId="545442A2"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F8D2661" w14:textId="77777777" w:rsidR="001A23CA" w:rsidRPr="00452304"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50635CD" w14:textId="1328DF65" w:rsidR="001A23CA" w:rsidRDefault="001A23CA" w:rsidP="001A23CA">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7A4AB5C9" w14:textId="60B76F85" w:rsidR="001A23CA" w:rsidRPr="001A23CA" w:rsidRDefault="001A23CA" w:rsidP="00B72AF6">
            <w:pPr>
              <w:spacing w:after="0" w:line="240" w:lineRule="auto"/>
              <w:jc w:val="right"/>
              <w:rPr>
                <w:b/>
                <w:bCs/>
                <w:color w:val="000000"/>
                <w:sz w:val="20"/>
                <w:szCs w:val="20"/>
                <w:highlight w:val="yellow"/>
              </w:rPr>
            </w:pPr>
            <w:r w:rsidRPr="001A23CA">
              <w:rPr>
                <w:color w:val="000000"/>
                <w:sz w:val="20"/>
                <w:szCs w:val="20"/>
              </w:rPr>
              <w:t>-36.365</w:t>
            </w:r>
          </w:p>
        </w:tc>
        <w:tc>
          <w:tcPr>
            <w:tcW w:w="972" w:type="dxa"/>
            <w:vMerge/>
            <w:tcBorders>
              <w:left w:val="nil"/>
              <w:bottom w:val="single" w:sz="4" w:space="0" w:color="auto"/>
              <w:right w:val="nil"/>
            </w:tcBorders>
            <w:noWrap/>
            <w:vAlign w:val="center"/>
          </w:tcPr>
          <w:p w14:paraId="1F2CE8B1" w14:textId="77777777" w:rsidR="001A23CA" w:rsidRPr="001A23CA" w:rsidRDefault="001A23CA" w:rsidP="00B72AF6">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18E78DC5" w14:textId="77777777" w:rsidR="001A23CA" w:rsidRPr="001A23CA" w:rsidRDefault="001A23CA" w:rsidP="00B72AF6">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06366C47" w14:textId="51CFB311" w:rsidR="001A23CA" w:rsidRPr="001A23CA" w:rsidRDefault="001A23CA" w:rsidP="00B72AF6">
            <w:pPr>
              <w:spacing w:after="0" w:line="240" w:lineRule="auto"/>
              <w:jc w:val="right"/>
              <w:rPr>
                <w:b/>
                <w:bCs/>
                <w:color w:val="000000"/>
                <w:sz w:val="20"/>
                <w:szCs w:val="20"/>
                <w:highlight w:val="yellow"/>
              </w:rPr>
            </w:pPr>
            <w:r w:rsidRPr="001A23CA">
              <w:rPr>
                <w:color w:val="000000"/>
                <w:sz w:val="20"/>
                <w:szCs w:val="20"/>
              </w:rPr>
              <w:t>[-46.206, -24.723]</w:t>
            </w:r>
          </w:p>
        </w:tc>
      </w:tr>
      <w:tr w:rsidR="001A23CA" w:rsidRPr="00452304" w14:paraId="265372A6" w14:textId="77777777" w:rsidTr="00B72AF6">
        <w:trPr>
          <w:trHeight w:val="320"/>
        </w:trPr>
        <w:tc>
          <w:tcPr>
            <w:tcW w:w="1061" w:type="dxa"/>
            <w:vMerge/>
            <w:tcBorders>
              <w:left w:val="nil"/>
              <w:right w:val="nil"/>
            </w:tcBorders>
          </w:tcPr>
          <w:p w14:paraId="0ACD5CEF"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372EE35" w14:textId="01489C2D" w:rsidR="001A23CA" w:rsidRPr="00452304" w:rsidRDefault="001A23CA" w:rsidP="001A23CA">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6B290F43" w14:textId="220EEFA6" w:rsidR="001A23CA" w:rsidRDefault="001A23CA" w:rsidP="001A23CA">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213B7D65" w14:textId="783E1FCC"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-18.045</w:t>
            </w:r>
          </w:p>
        </w:tc>
        <w:tc>
          <w:tcPr>
            <w:tcW w:w="972" w:type="dxa"/>
            <w:vMerge w:val="restart"/>
            <w:tcBorders>
              <w:top w:val="single" w:sz="4" w:space="0" w:color="auto"/>
              <w:left w:val="nil"/>
              <w:right w:val="nil"/>
            </w:tcBorders>
            <w:noWrap/>
            <w:vAlign w:val="center"/>
          </w:tcPr>
          <w:p w14:paraId="02464F81" w14:textId="58C9823B"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-8.141</w:t>
            </w:r>
          </w:p>
        </w:tc>
        <w:tc>
          <w:tcPr>
            <w:tcW w:w="939" w:type="dxa"/>
            <w:vMerge w:val="restart"/>
            <w:tcBorders>
              <w:top w:val="single" w:sz="4" w:space="0" w:color="auto"/>
              <w:left w:val="nil"/>
              <w:right w:val="nil"/>
            </w:tcBorders>
            <w:noWrap/>
            <w:vAlign w:val="center"/>
          </w:tcPr>
          <w:p w14:paraId="5E64CA19" w14:textId="4595F6E3"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&lt;0.001</w:t>
            </w:r>
          </w:p>
        </w:tc>
        <w:tc>
          <w:tcPr>
            <w:tcW w:w="1767" w:type="dxa"/>
            <w:tcBorders>
              <w:top w:val="single" w:sz="4" w:space="0" w:color="auto"/>
              <w:left w:val="nil"/>
              <w:bottom w:val="nil"/>
              <w:right w:val="nil"/>
            </w:tcBorders>
            <w:noWrap/>
            <w:vAlign w:val="center"/>
          </w:tcPr>
          <w:p w14:paraId="5BAA10CD" w14:textId="28156BF8"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[-26.948, -8.057]</w:t>
            </w:r>
          </w:p>
        </w:tc>
      </w:tr>
      <w:tr w:rsidR="001A23CA" w:rsidRPr="00452304" w14:paraId="2F049571" w14:textId="77777777" w:rsidTr="00B72AF6">
        <w:trPr>
          <w:trHeight w:val="320"/>
        </w:trPr>
        <w:tc>
          <w:tcPr>
            <w:tcW w:w="1061" w:type="dxa"/>
            <w:vMerge/>
            <w:tcBorders>
              <w:left w:val="nil"/>
              <w:bottom w:val="single" w:sz="4" w:space="0" w:color="auto"/>
              <w:right w:val="nil"/>
            </w:tcBorders>
          </w:tcPr>
          <w:p w14:paraId="09EFD4F4"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0C939A8" w14:textId="77777777" w:rsidR="001A23CA" w:rsidRPr="00452304"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2B5B188" w14:textId="320C717F" w:rsidR="001A23CA" w:rsidRDefault="001A23CA" w:rsidP="001A23CA">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1F687D88" w14:textId="430E6FF5"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-46.900</w:t>
            </w:r>
          </w:p>
        </w:tc>
        <w:tc>
          <w:tcPr>
            <w:tcW w:w="972" w:type="dxa"/>
            <w:vMerge/>
            <w:tcBorders>
              <w:left w:val="nil"/>
              <w:bottom w:val="single" w:sz="4" w:space="0" w:color="auto"/>
              <w:right w:val="nil"/>
            </w:tcBorders>
            <w:noWrap/>
            <w:vAlign w:val="center"/>
          </w:tcPr>
          <w:p w14:paraId="06A49D0E" w14:textId="77777777" w:rsidR="001A23CA" w:rsidRPr="001A23CA" w:rsidRDefault="001A23CA" w:rsidP="00B72AF6">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7429E2F9" w14:textId="77777777" w:rsidR="001A23CA" w:rsidRPr="001A23CA" w:rsidRDefault="001A23CA" w:rsidP="00B72AF6">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05F54FD7" w14:textId="58DBC5EF"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[-54.388, -38.245]</w:t>
            </w:r>
          </w:p>
        </w:tc>
      </w:tr>
    </w:tbl>
    <w:p w14:paraId="77FC1A56" w14:textId="3D46BA7F" w:rsidR="00EA2123" w:rsidRDefault="009E5FB6" w:rsidP="00EA2123">
      <w:pPr>
        <w:rPr>
          <w:iCs/>
        </w:rPr>
      </w:pPr>
      <w:r>
        <w:rPr>
          <w:vertAlign w:val="superscript"/>
        </w:rPr>
        <w:lastRenderedPageBreak/>
        <w:t>*</w:t>
      </w:r>
      <w:r>
        <w:t>Significant effects noted in bold font.</w:t>
      </w:r>
      <w:r w:rsidR="00620CAA">
        <w:t xml:space="preserve"> </w:t>
      </w:r>
      <w:r w:rsidR="001A23CA">
        <w:t xml:space="preserve">Model coefficients and 95% confidence interval ranges have been transformed to percent change to mimic figures. </w:t>
      </w:r>
      <w:r>
        <w:t xml:space="preserve">Key: </w:t>
      </w:r>
      <w:r>
        <w:rPr>
          <w:i/>
          <w:iCs/>
        </w:rPr>
        <w:t>M</w:t>
      </w:r>
      <w:r>
        <w:rPr>
          <w:iCs/>
          <w:vertAlign w:val="subscript"/>
        </w:rPr>
        <w:t>area</w:t>
      </w:r>
      <w:r>
        <w:rPr>
          <w:iCs/>
        </w:rPr>
        <w:t>=leaf biomass per unit leaf area (g m</w:t>
      </w:r>
      <w:r>
        <w:rPr>
          <w:iCs/>
          <w:vertAlign w:val="superscript"/>
        </w:rPr>
        <w:t>-2</w:t>
      </w:r>
      <w:r>
        <w:rPr>
          <w:iCs/>
        </w:rPr>
        <w:t xml:space="preserve">); </w:t>
      </w:r>
      <w:proofErr w:type="spellStart"/>
      <w:r>
        <w:rPr>
          <w:i/>
        </w:rPr>
        <w:t>N</w:t>
      </w:r>
      <w:r>
        <w:rPr>
          <w:iCs/>
          <w:vertAlign w:val="subscript"/>
        </w:rPr>
        <w:t>mass</w:t>
      </w:r>
      <w:proofErr w:type="spellEnd"/>
      <w:r>
        <w:t>=leaf nitrogen content per unit leaf biomass (</w:t>
      </w:r>
      <w:proofErr w:type="spellStart"/>
      <w:r>
        <w:t>gN</w:t>
      </w:r>
      <w:proofErr w:type="spellEnd"/>
      <w:r>
        <w:t xml:space="preserve"> g</w:t>
      </w:r>
      <w:r>
        <w:rPr>
          <w:vertAlign w:val="superscript"/>
        </w:rPr>
        <w:t>-1</w:t>
      </w:r>
      <w:r>
        <w:t xml:space="preserve">); </w:t>
      </w:r>
      <w:r>
        <w:rPr>
          <w:i/>
          <w:iCs/>
        </w:rPr>
        <w:t>N</w:t>
      </w:r>
      <w:r>
        <w:rPr>
          <w:vertAlign w:val="subscript"/>
        </w:rPr>
        <w:t>area</w:t>
      </w:r>
      <w:r>
        <w:t>=leaf nitrogen content per unit leaf area (</w:t>
      </w:r>
      <w:proofErr w:type="spellStart"/>
      <w:r>
        <w:t>gN</w:t>
      </w:r>
      <w:proofErr w:type="spellEnd"/>
      <w:r>
        <w:t xml:space="preserve"> m</w:t>
      </w:r>
      <w:r>
        <w:rPr>
          <w:vertAlign w:val="superscript"/>
        </w:rPr>
        <w:t>-2</w:t>
      </w:r>
      <w:r>
        <w:t xml:space="preserve">); </w:t>
      </w:r>
      <w:proofErr w:type="spellStart"/>
      <w:r>
        <w:rPr>
          <w:i/>
          <w:iCs/>
        </w:rPr>
        <w:t>P</w:t>
      </w:r>
      <w:r>
        <w:rPr>
          <w:vertAlign w:val="subscript"/>
        </w:rPr>
        <w:t>mass</w:t>
      </w:r>
      <w:proofErr w:type="spellEnd"/>
      <w:r>
        <w:t>=leaf phosphorus content per unit leaf biomass (</w:t>
      </w:r>
      <w:proofErr w:type="spellStart"/>
      <w:r>
        <w:t>gP</w:t>
      </w:r>
      <w:proofErr w:type="spellEnd"/>
      <w:r>
        <w:t xml:space="preserve"> g</w:t>
      </w:r>
      <w:r>
        <w:rPr>
          <w:vertAlign w:val="superscript"/>
        </w:rPr>
        <w:t>-1</w:t>
      </w:r>
      <w:r>
        <w:t xml:space="preserve">); </w:t>
      </w:r>
      <w:proofErr w:type="spellStart"/>
      <w:r>
        <w:rPr>
          <w:i/>
          <w:iCs/>
        </w:rPr>
        <w:t>P</w:t>
      </w:r>
      <w:r>
        <w:rPr>
          <w:vertAlign w:val="subscript"/>
        </w:rPr>
        <w:t>area</w:t>
      </w:r>
      <w:proofErr w:type="spellEnd"/>
      <w:r>
        <w:t>=leaf phosphorus content per unit leaf area (</w:t>
      </w:r>
      <w:proofErr w:type="spellStart"/>
      <w:r>
        <w:t>gP</w:t>
      </w:r>
      <w:proofErr w:type="spellEnd"/>
      <w:r>
        <w:t xml:space="preserve"> m</w:t>
      </w:r>
      <w:r>
        <w:rPr>
          <w:vertAlign w:val="superscript"/>
        </w:rPr>
        <w:t>-2</w:t>
      </w:r>
      <w:r>
        <w:t>)</w:t>
      </w:r>
    </w:p>
    <w:p w14:paraId="1D8B4197" w14:textId="77777777" w:rsidR="00EA2123" w:rsidRDefault="00EA2123" w:rsidP="00EA2123">
      <w:pPr>
        <w:rPr>
          <w:iCs/>
        </w:rPr>
      </w:pPr>
      <w:r>
        <w:rPr>
          <w:iCs/>
        </w:rPr>
        <w:br w:type="page"/>
      </w:r>
    </w:p>
    <w:p w14:paraId="74D6F037" w14:textId="3E6FA516" w:rsidR="00EA2123" w:rsidRDefault="00EA2123" w:rsidP="00EA2123">
      <w:pPr>
        <w:rPr>
          <w:iCs/>
        </w:rPr>
      </w:pPr>
      <w:r>
        <w:rPr>
          <w:b/>
          <w:bCs/>
          <w:iCs/>
        </w:rPr>
        <w:lastRenderedPageBreak/>
        <w:t>Table S</w:t>
      </w:r>
      <w:r w:rsidR="00D52EF1">
        <w:rPr>
          <w:b/>
          <w:bCs/>
          <w:iCs/>
        </w:rPr>
        <w:t>9</w:t>
      </w:r>
      <w:r>
        <w:rPr>
          <w:iCs/>
        </w:rPr>
        <w:t xml:space="preserve"> Mycorrhizal acquisition strategy moderator effects on leaf nutrient responses to nutrient addition</w:t>
      </w:r>
    </w:p>
    <w:tbl>
      <w:tblPr>
        <w:tblW w:w="8010" w:type="dxa"/>
        <w:tblLook w:val="04A0" w:firstRow="1" w:lastRow="0" w:firstColumn="1" w:lastColumn="0" w:noHBand="0" w:noVBand="1"/>
      </w:tblPr>
      <w:tblGrid>
        <w:gridCol w:w="918"/>
        <w:gridCol w:w="1178"/>
        <w:gridCol w:w="1227"/>
        <w:gridCol w:w="1009"/>
        <w:gridCol w:w="972"/>
        <w:gridCol w:w="939"/>
        <w:gridCol w:w="1767"/>
      </w:tblGrid>
      <w:tr w:rsidR="00EA2123" w:rsidRPr="00452304" w14:paraId="61933DD2" w14:textId="77777777" w:rsidTr="00A56843">
        <w:trPr>
          <w:trHeight w:val="320"/>
        </w:trPr>
        <w:tc>
          <w:tcPr>
            <w:tcW w:w="918" w:type="dxa"/>
            <w:tcBorders>
              <w:top w:val="single" w:sz="4" w:space="0" w:color="auto"/>
              <w:left w:val="nil"/>
              <w:bottom w:val="single" w:sz="4" w:space="0" w:color="auto"/>
              <w:right w:val="nil"/>
            </w:tcBorders>
            <w:vAlign w:val="center"/>
          </w:tcPr>
          <w:p w14:paraId="74CA5DFF" w14:textId="77777777" w:rsidR="00EA2123" w:rsidRPr="008825E3" w:rsidRDefault="00EA2123" w:rsidP="006127B4">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1284EEC2" w14:textId="77777777" w:rsidR="00EA2123" w:rsidRPr="00452304" w:rsidRDefault="00EA2123" w:rsidP="006127B4">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10C84A57" w14:textId="77777777" w:rsidR="00EA2123" w:rsidRPr="00452304" w:rsidRDefault="00EA2123" w:rsidP="006127B4">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1009" w:type="dxa"/>
            <w:tcBorders>
              <w:top w:val="single" w:sz="4" w:space="0" w:color="auto"/>
              <w:left w:val="nil"/>
              <w:bottom w:val="single" w:sz="4" w:space="0" w:color="auto"/>
              <w:right w:val="nil"/>
            </w:tcBorders>
            <w:noWrap/>
            <w:vAlign w:val="center"/>
            <w:hideMark/>
          </w:tcPr>
          <w:p w14:paraId="6ED8B87B" w14:textId="77777777" w:rsidR="00EA2123" w:rsidRPr="00452304" w:rsidRDefault="00EA2123" w:rsidP="006127B4">
            <w:pPr>
              <w:spacing w:after="0" w:line="240" w:lineRule="auto"/>
              <w:rPr>
                <w:b/>
                <w:bCs/>
                <w:sz w:val="20"/>
                <w:szCs w:val="20"/>
              </w:rPr>
            </w:pPr>
            <w:r w:rsidRPr="008825E3">
              <w:rPr>
                <w:b/>
                <w:bCs/>
                <w:sz w:val="20"/>
                <w:szCs w:val="20"/>
              </w:rPr>
              <w:t>Coef</w:t>
            </w:r>
            <w:r>
              <w:rPr>
                <w:b/>
                <w:bCs/>
                <w:sz w:val="20"/>
                <w:szCs w:val="20"/>
              </w:rPr>
              <w:t>.</w:t>
            </w:r>
          </w:p>
        </w:tc>
        <w:tc>
          <w:tcPr>
            <w:tcW w:w="972" w:type="dxa"/>
            <w:tcBorders>
              <w:top w:val="single" w:sz="4" w:space="0" w:color="auto"/>
              <w:left w:val="nil"/>
              <w:bottom w:val="single" w:sz="4" w:space="0" w:color="auto"/>
              <w:right w:val="nil"/>
            </w:tcBorders>
            <w:noWrap/>
            <w:vAlign w:val="center"/>
            <w:hideMark/>
          </w:tcPr>
          <w:p w14:paraId="0B2A2E76" w14:textId="77777777" w:rsidR="00EA2123" w:rsidRPr="00452304" w:rsidRDefault="00EA2123" w:rsidP="006127B4">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6C452E5F" w14:textId="77777777" w:rsidR="00EA2123" w:rsidRPr="00452304" w:rsidRDefault="00EA2123" w:rsidP="006127B4">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767" w:type="dxa"/>
            <w:tcBorders>
              <w:top w:val="single" w:sz="4" w:space="0" w:color="auto"/>
              <w:left w:val="nil"/>
              <w:bottom w:val="single" w:sz="4" w:space="0" w:color="auto"/>
              <w:right w:val="nil"/>
            </w:tcBorders>
            <w:noWrap/>
            <w:vAlign w:val="center"/>
            <w:hideMark/>
          </w:tcPr>
          <w:p w14:paraId="3510D39F" w14:textId="77777777" w:rsidR="00EA2123" w:rsidRPr="00452304" w:rsidRDefault="00EA2123" w:rsidP="006127B4">
            <w:pPr>
              <w:spacing w:after="0" w:line="240" w:lineRule="auto"/>
              <w:rPr>
                <w:b/>
                <w:bCs/>
                <w:sz w:val="20"/>
                <w:szCs w:val="20"/>
              </w:rPr>
            </w:pPr>
            <w:r w:rsidRPr="008825E3">
              <w:rPr>
                <w:b/>
                <w:bCs/>
                <w:sz w:val="20"/>
                <w:szCs w:val="20"/>
              </w:rPr>
              <w:t>95% CI</w:t>
            </w:r>
          </w:p>
        </w:tc>
      </w:tr>
      <w:tr w:rsidR="00A56843" w:rsidRPr="00452304" w14:paraId="3FC0511A" w14:textId="77777777" w:rsidTr="00A56843">
        <w:trPr>
          <w:trHeight w:val="320"/>
        </w:trPr>
        <w:tc>
          <w:tcPr>
            <w:tcW w:w="918" w:type="dxa"/>
            <w:vMerge w:val="restart"/>
            <w:tcBorders>
              <w:top w:val="single" w:sz="4" w:space="0" w:color="auto"/>
              <w:left w:val="nil"/>
              <w:right w:val="nil"/>
            </w:tcBorders>
            <w:vAlign w:val="center"/>
          </w:tcPr>
          <w:p w14:paraId="68B790EE" w14:textId="77777777" w:rsidR="00A56843" w:rsidRPr="008A48CF" w:rsidRDefault="00A56843" w:rsidP="00A56843">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M</w:t>
            </w:r>
            <w:r>
              <w:rPr>
                <w:rFonts w:eastAsia="Times New Roman"/>
                <w:color w:val="000000"/>
                <w:kern w:val="0"/>
                <w:sz w:val="20"/>
                <w:szCs w:val="20"/>
                <w:vertAlign w:val="subscript"/>
                <w14:ligatures w14:val="none"/>
              </w:rPr>
              <w:t>area</w:t>
            </w:r>
          </w:p>
        </w:tc>
        <w:tc>
          <w:tcPr>
            <w:tcW w:w="1178" w:type="dxa"/>
            <w:vMerge w:val="restart"/>
            <w:tcBorders>
              <w:top w:val="single" w:sz="4" w:space="0" w:color="auto"/>
              <w:left w:val="nil"/>
              <w:right w:val="nil"/>
            </w:tcBorders>
            <w:noWrap/>
            <w:vAlign w:val="center"/>
            <w:hideMark/>
          </w:tcPr>
          <w:p w14:paraId="653FED06" w14:textId="77777777" w:rsidR="00A56843" w:rsidRPr="00452304" w:rsidRDefault="00A56843" w:rsidP="00A56843">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6074F4F7" w14:textId="77777777" w:rsidR="00A56843" w:rsidRPr="00452304" w:rsidRDefault="00A56843" w:rsidP="00A5684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01E69641" w14:textId="0A0C18BA" w:rsidR="00A56843" w:rsidRPr="00A13DC2" w:rsidRDefault="00A56843" w:rsidP="00A56843">
            <w:pPr>
              <w:spacing w:after="0" w:line="240" w:lineRule="auto"/>
              <w:jc w:val="right"/>
              <w:rPr>
                <w:rFonts w:eastAsia="Times New Roman"/>
                <w:b/>
                <w:bCs/>
                <w:color w:val="000000"/>
                <w:kern w:val="0"/>
                <w:sz w:val="20"/>
                <w:szCs w:val="20"/>
                <w:highlight w:val="yellow"/>
                <w14:ligatures w14:val="none"/>
              </w:rPr>
            </w:pPr>
            <w:r w:rsidRPr="00A13DC2">
              <w:rPr>
                <w:b/>
                <w:bCs/>
                <w:color w:val="000000"/>
                <w:sz w:val="20"/>
                <w:szCs w:val="20"/>
              </w:rPr>
              <w:t>1.106</w:t>
            </w:r>
          </w:p>
        </w:tc>
        <w:tc>
          <w:tcPr>
            <w:tcW w:w="972" w:type="dxa"/>
            <w:vMerge w:val="restart"/>
            <w:tcBorders>
              <w:top w:val="single" w:sz="4" w:space="0" w:color="auto"/>
              <w:left w:val="nil"/>
              <w:right w:val="nil"/>
            </w:tcBorders>
            <w:noWrap/>
            <w:vAlign w:val="center"/>
          </w:tcPr>
          <w:p w14:paraId="061EEC05" w14:textId="77777777" w:rsidR="00A56843" w:rsidRPr="00A13DC2" w:rsidRDefault="00A56843" w:rsidP="00A56843">
            <w:pPr>
              <w:spacing w:after="0" w:line="240" w:lineRule="auto"/>
              <w:jc w:val="right"/>
              <w:rPr>
                <w:rFonts w:eastAsia="Times New Roman"/>
                <w:b/>
                <w:bCs/>
                <w:color w:val="000000"/>
                <w:kern w:val="0"/>
                <w:sz w:val="20"/>
                <w:szCs w:val="20"/>
                <w14:ligatures w14:val="none"/>
              </w:rPr>
            </w:pPr>
            <w:r w:rsidRPr="00A13DC2">
              <w:rPr>
                <w:b/>
                <w:bCs/>
                <w:color w:val="000000"/>
                <w:sz w:val="20"/>
                <w:szCs w:val="20"/>
              </w:rPr>
              <w:t>-2.472</w:t>
            </w:r>
          </w:p>
        </w:tc>
        <w:tc>
          <w:tcPr>
            <w:tcW w:w="939" w:type="dxa"/>
            <w:vMerge w:val="restart"/>
            <w:tcBorders>
              <w:top w:val="single" w:sz="4" w:space="0" w:color="auto"/>
              <w:left w:val="nil"/>
              <w:right w:val="nil"/>
            </w:tcBorders>
            <w:noWrap/>
            <w:vAlign w:val="center"/>
          </w:tcPr>
          <w:p w14:paraId="6B513C54" w14:textId="77777777" w:rsidR="00A56843" w:rsidRPr="00A13DC2" w:rsidRDefault="00A56843" w:rsidP="00A56843">
            <w:pPr>
              <w:spacing w:after="0" w:line="240" w:lineRule="auto"/>
              <w:jc w:val="right"/>
              <w:rPr>
                <w:rFonts w:eastAsia="Times New Roman"/>
                <w:b/>
                <w:bCs/>
                <w:color w:val="000000"/>
                <w:kern w:val="0"/>
                <w:sz w:val="20"/>
                <w:szCs w:val="20"/>
                <w14:ligatures w14:val="none"/>
              </w:rPr>
            </w:pPr>
            <w:r w:rsidRPr="00A13DC2">
              <w:rPr>
                <w:b/>
                <w:bCs/>
                <w:color w:val="000000"/>
                <w:sz w:val="20"/>
                <w:szCs w:val="20"/>
              </w:rPr>
              <w:t>0.013</w:t>
            </w:r>
          </w:p>
        </w:tc>
        <w:tc>
          <w:tcPr>
            <w:tcW w:w="1767" w:type="dxa"/>
            <w:tcBorders>
              <w:top w:val="single" w:sz="4" w:space="0" w:color="auto"/>
              <w:left w:val="nil"/>
              <w:bottom w:val="nil"/>
              <w:right w:val="nil"/>
            </w:tcBorders>
            <w:noWrap/>
            <w:vAlign w:val="center"/>
          </w:tcPr>
          <w:p w14:paraId="2684626A" w14:textId="71214891" w:rsidR="00A56843" w:rsidRPr="00A13DC2" w:rsidRDefault="00A56843" w:rsidP="00A56843">
            <w:pPr>
              <w:spacing w:after="0" w:line="240" w:lineRule="auto"/>
              <w:jc w:val="right"/>
              <w:rPr>
                <w:rFonts w:eastAsia="Times New Roman"/>
                <w:b/>
                <w:bCs/>
                <w:color w:val="000000"/>
                <w:kern w:val="0"/>
                <w:sz w:val="20"/>
                <w:szCs w:val="20"/>
                <w:highlight w:val="yellow"/>
                <w14:ligatures w14:val="none"/>
              </w:rPr>
            </w:pPr>
            <w:r w:rsidRPr="00A13DC2">
              <w:rPr>
                <w:b/>
                <w:bCs/>
                <w:color w:val="000000"/>
                <w:sz w:val="20"/>
                <w:szCs w:val="20"/>
              </w:rPr>
              <w:t>[-3.921, 6.290]</w:t>
            </w:r>
          </w:p>
        </w:tc>
      </w:tr>
      <w:tr w:rsidR="00A56843" w:rsidRPr="00452304" w14:paraId="7166548C" w14:textId="77777777" w:rsidTr="00A56843">
        <w:trPr>
          <w:trHeight w:val="320"/>
        </w:trPr>
        <w:tc>
          <w:tcPr>
            <w:tcW w:w="918" w:type="dxa"/>
            <w:vMerge/>
            <w:tcBorders>
              <w:left w:val="nil"/>
              <w:right w:val="nil"/>
            </w:tcBorders>
          </w:tcPr>
          <w:p w14:paraId="4FF42F0E"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65BE1968"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48E18525" w14:textId="77777777" w:rsidR="00A56843" w:rsidRPr="00452304" w:rsidRDefault="00A56843" w:rsidP="00A5684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0EBDB888" w14:textId="36175114" w:rsidR="00A56843" w:rsidRPr="00A13DC2" w:rsidRDefault="00A56843" w:rsidP="00A56843">
            <w:pPr>
              <w:spacing w:after="0" w:line="240" w:lineRule="auto"/>
              <w:jc w:val="right"/>
              <w:rPr>
                <w:rFonts w:eastAsia="Times New Roman"/>
                <w:b/>
                <w:bCs/>
                <w:color w:val="000000"/>
                <w:kern w:val="0"/>
                <w:sz w:val="20"/>
                <w:szCs w:val="20"/>
                <w:highlight w:val="yellow"/>
                <w14:ligatures w14:val="none"/>
              </w:rPr>
            </w:pPr>
            <w:r w:rsidRPr="00A13DC2">
              <w:rPr>
                <w:b/>
                <w:bCs/>
                <w:color w:val="000000"/>
                <w:sz w:val="20"/>
                <w:szCs w:val="20"/>
              </w:rPr>
              <w:t>-4.496</w:t>
            </w:r>
          </w:p>
        </w:tc>
        <w:tc>
          <w:tcPr>
            <w:tcW w:w="972" w:type="dxa"/>
            <w:vMerge/>
            <w:tcBorders>
              <w:left w:val="nil"/>
              <w:bottom w:val="single" w:sz="4" w:space="0" w:color="auto"/>
              <w:right w:val="nil"/>
            </w:tcBorders>
            <w:noWrap/>
            <w:vAlign w:val="center"/>
          </w:tcPr>
          <w:p w14:paraId="1F5CF5F3" w14:textId="77777777" w:rsidR="00A56843" w:rsidRPr="00A13DC2" w:rsidRDefault="00A56843" w:rsidP="00A56843">
            <w:pPr>
              <w:spacing w:after="0" w:line="240" w:lineRule="auto"/>
              <w:jc w:val="right"/>
              <w:rPr>
                <w:rFonts w:eastAsia="Times New Roman"/>
                <w:b/>
                <w:bCs/>
                <w:color w:val="000000"/>
                <w:kern w:val="0"/>
                <w:sz w:val="20"/>
                <w:szCs w:val="20"/>
                <w14:ligatures w14:val="none"/>
              </w:rPr>
            </w:pPr>
          </w:p>
        </w:tc>
        <w:tc>
          <w:tcPr>
            <w:tcW w:w="939" w:type="dxa"/>
            <w:vMerge/>
            <w:tcBorders>
              <w:left w:val="nil"/>
              <w:bottom w:val="single" w:sz="4" w:space="0" w:color="auto"/>
              <w:right w:val="nil"/>
            </w:tcBorders>
            <w:noWrap/>
            <w:vAlign w:val="center"/>
          </w:tcPr>
          <w:p w14:paraId="4C543C20" w14:textId="77777777" w:rsidR="00A56843" w:rsidRPr="00A13DC2" w:rsidRDefault="00A56843" w:rsidP="00A56843">
            <w:pPr>
              <w:spacing w:after="0" w:line="240" w:lineRule="auto"/>
              <w:jc w:val="right"/>
              <w:rPr>
                <w:rFonts w:eastAsia="Times New Roman"/>
                <w:b/>
                <w:bCs/>
                <w:color w:val="000000"/>
                <w:kern w:val="0"/>
                <w:sz w:val="20"/>
                <w:szCs w:val="20"/>
                <w14:ligatures w14:val="none"/>
              </w:rPr>
            </w:pPr>
          </w:p>
        </w:tc>
        <w:tc>
          <w:tcPr>
            <w:tcW w:w="1767" w:type="dxa"/>
            <w:tcBorders>
              <w:top w:val="nil"/>
              <w:left w:val="nil"/>
              <w:bottom w:val="single" w:sz="4" w:space="0" w:color="auto"/>
              <w:right w:val="nil"/>
            </w:tcBorders>
            <w:noWrap/>
            <w:vAlign w:val="center"/>
          </w:tcPr>
          <w:p w14:paraId="56937117" w14:textId="4F69B74F" w:rsidR="00A56843" w:rsidRPr="00A13DC2" w:rsidRDefault="00A56843" w:rsidP="00A56843">
            <w:pPr>
              <w:spacing w:after="0" w:line="240" w:lineRule="auto"/>
              <w:jc w:val="right"/>
              <w:rPr>
                <w:rFonts w:eastAsia="Times New Roman"/>
                <w:b/>
                <w:bCs/>
                <w:color w:val="000000"/>
                <w:kern w:val="0"/>
                <w:sz w:val="20"/>
                <w:szCs w:val="20"/>
                <w:highlight w:val="yellow"/>
                <w14:ligatures w14:val="none"/>
              </w:rPr>
            </w:pPr>
            <w:r w:rsidRPr="00A13DC2">
              <w:rPr>
                <w:b/>
                <w:bCs/>
                <w:color w:val="000000"/>
                <w:sz w:val="20"/>
                <w:szCs w:val="20"/>
              </w:rPr>
              <w:t>[-7.688, -1.094]</w:t>
            </w:r>
          </w:p>
        </w:tc>
      </w:tr>
      <w:tr w:rsidR="00A56843" w:rsidRPr="00452304" w14:paraId="0CF3A850" w14:textId="77777777" w:rsidTr="00A56843">
        <w:trPr>
          <w:trHeight w:val="320"/>
        </w:trPr>
        <w:tc>
          <w:tcPr>
            <w:tcW w:w="918" w:type="dxa"/>
            <w:vMerge/>
            <w:tcBorders>
              <w:left w:val="nil"/>
              <w:right w:val="nil"/>
            </w:tcBorders>
          </w:tcPr>
          <w:p w14:paraId="7DC66CDA"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04AD9E9"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2969D15"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3714F583" w14:textId="7A8E170A"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0.3</w:t>
            </w:r>
            <w:r>
              <w:rPr>
                <w:color w:val="000000"/>
                <w:sz w:val="20"/>
                <w:szCs w:val="20"/>
              </w:rPr>
              <w:t>00</w:t>
            </w:r>
          </w:p>
        </w:tc>
        <w:tc>
          <w:tcPr>
            <w:tcW w:w="972" w:type="dxa"/>
            <w:vMerge w:val="restart"/>
            <w:tcBorders>
              <w:top w:val="single" w:sz="4" w:space="0" w:color="auto"/>
              <w:left w:val="nil"/>
              <w:right w:val="nil"/>
            </w:tcBorders>
            <w:noWrap/>
            <w:vAlign w:val="center"/>
          </w:tcPr>
          <w:p w14:paraId="3A1B75FC" w14:textId="77777777" w:rsidR="00A56843" w:rsidRPr="00A56843" w:rsidRDefault="00A56843" w:rsidP="00A56843">
            <w:pPr>
              <w:spacing w:after="0" w:line="240" w:lineRule="auto"/>
              <w:jc w:val="right"/>
              <w:rPr>
                <w:color w:val="000000"/>
                <w:sz w:val="20"/>
                <w:szCs w:val="20"/>
              </w:rPr>
            </w:pPr>
            <w:r w:rsidRPr="00A56843">
              <w:rPr>
                <w:color w:val="000000"/>
                <w:sz w:val="20"/>
                <w:szCs w:val="20"/>
              </w:rPr>
              <w:t>-1.026</w:t>
            </w:r>
          </w:p>
        </w:tc>
        <w:tc>
          <w:tcPr>
            <w:tcW w:w="939" w:type="dxa"/>
            <w:vMerge w:val="restart"/>
            <w:tcBorders>
              <w:top w:val="single" w:sz="4" w:space="0" w:color="auto"/>
              <w:left w:val="nil"/>
              <w:right w:val="nil"/>
            </w:tcBorders>
            <w:noWrap/>
            <w:vAlign w:val="center"/>
          </w:tcPr>
          <w:p w14:paraId="4A8A24C1" w14:textId="77777777" w:rsidR="00A56843" w:rsidRPr="00A56843" w:rsidRDefault="00A56843" w:rsidP="00A56843">
            <w:pPr>
              <w:spacing w:after="0" w:line="240" w:lineRule="auto"/>
              <w:jc w:val="right"/>
              <w:rPr>
                <w:color w:val="000000"/>
                <w:sz w:val="20"/>
                <w:szCs w:val="20"/>
              </w:rPr>
            </w:pPr>
            <w:r w:rsidRPr="00A56843">
              <w:rPr>
                <w:color w:val="000000"/>
                <w:sz w:val="20"/>
                <w:szCs w:val="20"/>
              </w:rPr>
              <w:t>0.305</w:t>
            </w:r>
          </w:p>
        </w:tc>
        <w:tc>
          <w:tcPr>
            <w:tcW w:w="1767" w:type="dxa"/>
            <w:tcBorders>
              <w:top w:val="single" w:sz="4" w:space="0" w:color="auto"/>
              <w:left w:val="nil"/>
              <w:bottom w:val="nil"/>
              <w:right w:val="nil"/>
            </w:tcBorders>
            <w:noWrap/>
            <w:vAlign w:val="center"/>
          </w:tcPr>
          <w:p w14:paraId="30B0E2A5" w14:textId="0A8EF33E"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[-4.113, 5.022]</w:t>
            </w:r>
          </w:p>
        </w:tc>
      </w:tr>
      <w:tr w:rsidR="00A56843" w:rsidRPr="00452304" w14:paraId="5DF6480A" w14:textId="77777777" w:rsidTr="00A56843">
        <w:trPr>
          <w:trHeight w:val="320"/>
        </w:trPr>
        <w:tc>
          <w:tcPr>
            <w:tcW w:w="918" w:type="dxa"/>
            <w:vMerge/>
            <w:tcBorders>
              <w:left w:val="nil"/>
              <w:right w:val="nil"/>
            </w:tcBorders>
          </w:tcPr>
          <w:p w14:paraId="7A8CCCC4"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69874E4"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1C901B5"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37533D0B" w14:textId="3CD4BC9E"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-1.784</w:t>
            </w:r>
          </w:p>
        </w:tc>
        <w:tc>
          <w:tcPr>
            <w:tcW w:w="972" w:type="dxa"/>
            <w:vMerge/>
            <w:tcBorders>
              <w:left w:val="nil"/>
              <w:bottom w:val="single" w:sz="4" w:space="0" w:color="auto"/>
              <w:right w:val="nil"/>
            </w:tcBorders>
            <w:noWrap/>
            <w:vAlign w:val="center"/>
          </w:tcPr>
          <w:p w14:paraId="0F59A2FE" w14:textId="77777777" w:rsidR="00A56843" w:rsidRPr="00A56843" w:rsidRDefault="00A56843" w:rsidP="00A56843">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7CCEB580" w14:textId="77777777" w:rsidR="00A56843" w:rsidRPr="00A56843" w:rsidRDefault="00A56843" w:rsidP="00A56843">
            <w:pPr>
              <w:spacing w:after="0" w:line="240" w:lineRule="auto"/>
              <w:jc w:val="right"/>
              <w:rPr>
                <w:color w:val="000000"/>
                <w:sz w:val="20"/>
                <w:szCs w:val="20"/>
              </w:rPr>
            </w:pPr>
          </w:p>
        </w:tc>
        <w:tc>
          <w:tcPr>
            <w:tcW w:w="1767" w:type="dxa"/>
            <w:tcBorders>
              <w:top w:val="nil"/>
              <w:left w:val="nil"/>
              <w:bottom w:val="single" w:sz="4" w:space="0" w:color="auto"/>
              <w:right w:val="nil"/>
            </w:tcBorders>
            <w:noWrap/>
            <w:vAlign w:val="center"/>
          </w:tcPr>
          <w:p w14:paraId="2115D76E" w14:textId="56286542"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[-4.877, 1.41]</w:t>
            </w:r>
          </w:p>
        </w:tc>
      </w:tr>
      <w:tr w:rsidR="00A56843" w:rsidRPr="00452304" w14:paraId="3A115B55" w14:textId="77777777" w:rsidTr="00A56843">
        <w:trPr>
          <w:trHeight w:val="320"/>
        </w:trPr>
        <w:tc>
          <w:tcPr>
            <w:tcW w:w="918" w:type="dxa"/>
            <w:vMerge/>
            <w:tcBorders>
              <w:left w:val="nil"/>
              <w:right w:val="nil"/>
            </w:tcBorders>
          </w:tcPr>
          <w:p w14:paraId="4C36807F"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1EC724F"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46EA294D"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203F3854" w14:textId="7702564E" w:rsidR="00A56843" w:rsidRPr="00A13DC2" w:rsidRDefault="00A56843" w:rsidP="00A56843">
            <w:pPr>
              <w:spacing w:after="0" w:line="240" w:lineRule="auto"/>
              <w:jc w:val="right"/>
              <w:rPr>
                <w:b/>
                <w:bCs/>
                <w:color w:val="000000"/>
                <w:sz w:val="20"/>
                <w:szCs w:val="20"/>
                <w:highlight w:val="yellow"/>
              </w:rPr>
            </w:pPr>
            <w:r w:rsidRPr="00A13DC2">
              <w:rPr>
                <w:b/>
                <w:bCs/>
                <w:color w:val="000000"/>
                <w:sz w:val="20"/>
                <w:szCs w:val="20"/>
              </w:rPr>
              <w:t>-14.871</w:t>
            </w:r>
          </w:p>
        </w:tc>
        <w:tc>
          <w:tcPr>
            <w:tcW w:w="972" w:type="dxa"/>
            <w:vMerge w:val="restart"/>
            <w:tcBorders>
              <w:top w:val="single" w:sz="4" w:space="0" w:color="auto"/>
              <w:left w:val="nil"/>
              <w:right w:val="nil"/>
            </w:tcBorders>
            <w:noWrap/>
            <w:vAlign w:val="center"/>
          </w:tcPr>
          <w:p w14:paraId="3460C1B0" w14:textId="77777777" w:rsidR="00A56843" w:rsidRPr="00A13DC2" w:rsidRDefault="00A56843" w:rsidP="00A56843">
            <w:pPr>
              <w:spacing w:after="0" w:line="240" w:lineRule="auto"/>
              <w:jc w:val="right"/>
              <w:rPr>
                <w:b/>
                <w:bCs/>
                <w:color w:val="000000"/>
                <w:sz w:val="20"/>
                <w:szCs w:val="20"/>
              </w:rPr>
            </w:pPr>
            <w:r w:rsidRPr="00A13DC2">
              <w:rPr>
                <w:b/>
                <w:bCs/>
                <w:color w:val="000000"/>
                <w:sz w:val="20"/>
                <w:szCs w:val="20"/>
              </w:rPr>
              <w:t>4.265</w:t>
            </w:r>
          </w:p>
        </w:tc>
        <w:tc>
          <w:tcPr>
            <w:tcW w:w="939" w:type="dxa"/>
            <w:vMerge w:val="restart"/>
            <w:tcBorders>
              <w:top w:val="single" w:sz="4" w:space="0" w:color="auto"/>
              <w:left w:val="nil"/>
              <w:right w:val="nil"/>
            </w:tcBorders>
            <w:noWrap/>
            <w:vAlign w:val="center"/>
          </w:tcPr>
          <w:p w14:paraId="7EF3483D" w14:textId="77777777" w:rsidR="00A56843" w:rsidRPr="00A13DC2" w:rsidRDefault="00A56843" w:rsidP="00A56843">
            <w:pPr>
              <w:spacing w:after="0" w:line="240" w:lineRule="auto"/>
              <w:jc w:val="right"/>
              <w:rPr>
                <w:b/>
                <w:bCs/>
                <w:color w:val="000000"/>
                <w:sz w:val="20"/>
                <w:szCs w:val="20"/>
              </w:rPr>
            </w:pPr>
            <w:r w:rsidRPr="00A13DC2">
              <w:rPr>
                <w:b/>
                <w:bCs/>
                <w:color w:val="000000"/>
                <w:sz w:val="20"/>
                <w:szCs w:val="20"/>
              </w:rPr>
              <w:t>&lt;0.001</w:t>
            </w:r>
          </w:p>
        </w:tc>
        <w:tc>
          <w:tcPr>
            <w:tcW w:w="1767" w:type="dxa"/>
            <w:tcBorders>
              <w:top w:val="single" w:sz="4" w:space="0" w:color="auto"/>
              <w:left w:val="nil"/>
              <w:bottom w:val="nil"/>
              <w:right w:val="nil"/>
            </w:tcBorders>
            <w:noWrap/>
            <w:vAlign w:val="center"/>
          </w:tcPr>
          <w:p w14:paraId="56273B0E" w14:textId="268E508C" w:rsidR="00A56843" w:rsidRPr="00A13DC2" w:rsidRDefault="00A56843" w:rsidP="00A56843">
            <w:pPr>
              <w:spacing w:after="0" w:line="240" w:lineRule="auto"/>
              <w:jc w:val="right"/>
              <w:rPr>
                <w:b/>
                <w:bCs/>
                <w:color w:val="000000"/>
                <w:sz w:val="20"/>
                <w:szCs w:val="20"/>
                <w:highlight w:val="yellow"/>
              </w:rPr>
            </w:pPr>
            <w:r w:rsidRPr="00A13DC2">
              <w:rPr>
                <w:b/>
                <w:bCs/>
                <w:color w:val="000000"/>
                <w:sz w:val="20"/>
                <w:szCs w:val="20"/>
              </w:rPr>
              <w:t>[-20.308, -8.972]</w:t>
            </w:r>
          </w:p>
        </w:tc>
      </w:tr>
      <w:tr w:rsidR="00A56843" w:rsidRPr="00452304" w14:paraId="7C0F5443" w14:textId="77777777" w:rsidTr="00A56843">
        <w:trPr>
          <w:trHeight w:val="320"/>
        </w:trPr>
        <w:tc>
          <w:tcPr>
            <w:tcW w:w="918" w:type="dxa"/>
            <w:vMerge/>
            <w:tcBorders>
              <w:left w:val="nil"/>
              <w:bottom w:val="single" w:sz="4" w:space="0" w:color="auto"/>
              <w:right w:val="nil"/>
            </w:tcBorders>
          </w:tcPr>
          <w:p w14:paraId="46E99E26"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B650295"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D20BB63"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2BC193B7" w14:textId="726A4BD8" w:rsidR="00A56843" w:rsidRPr="00A13DC2" w:rsidRDefault="00A56843" w:rsidP="00A56843">
            <w:pPr>
              <w:spacing w:after="0" w:line="240" w:lineRule="auto"/>
              <w:jc w:val="right"/>
              <w:rPr>
                <w:b/>
                <w:bCs/>
                <w:color w:val="000000"/>
                <w:sz w:val="20"/>
                <w:szCs w:val="20"/>
                <w:highlight w:val="yellow"/>
              </w:rPr>
            </w:pPr>
            <w:r w:rsidRPr="00A13DC2">
              <w:rPr>
                <w:b/>
                <w:bCs/>
                <w:color w:val="000000"/>
                <w:sz w:val="20"/>
                <w:szCs w:val="20"/>
              </w:rPr>
              <w:t>-2.955</w:t>
            </w:r>
          </w:p>
        </w:tc>
        <w:tc>
          <w:tcPr>
            <w:tcW w:w="972" w:type="dxa"/>
            <w:vMerge/>
            <w:tcBorders>
              <w:left w:val="nil"/>
              <w:bottom w:val="single" w:sz="4" w:space="0" w:color="auto"/>
              <w:right w:val="nil"/>
            </w:tcBorders>
            <w:noWrap/>
            <w:vAlign w:val="center"/>
          </w:tcPr>
          <w:p w14:paraId="3C4CA9A6" w14:textId="77777777" w:rsidR="00A56843" w:rsidRPr="00A13DC2" w:rsidRDefault="00A56843" w:rsidP="00A56843">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64151ACC" w14:textId="77777777" w:rsidR="00A56843" w:rsidRPr="00A13DC2" w:rsidRDefault="00A56843" w:rsidP="00A56843">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18B1E79E" w14:textId="7FA89BDF" w:rsidR="00A56843" w:rsidRPr="00A13DC2" w:rsidRDefault="00A56843" w:rsidP="00A56843">
            <w:pPr>
              <w:spacing w:after="0" w:line="240" w:lineRule="auto"/>
              <w:jc w:val="right"/>
              <w:rPr>
                <w:b/>
                <w:bCs/>
                <w:color w:val="000000"/>
                <w:sz w:val="20"/>
                <w:szCs w:val="20"/>
                <w:highlight w:val="yellow"/>
              </w:rPr>
            </w:pPr>
            <w:r w:rsidRPr="00A13DC2">
              <w:rPr>
                <w:b/>
                <w:bCs/>
                <w:color w:val="000000"/>
                <w:sz w:val="20"/>
                <w:szCs w:val="20"/>
              </w:rPr>
              <w:t>[-6.947, 1.207]</w:t>
            </w:r>
          </w:p>
        </w:tc>
      </w:tr>
      <w:tr w:rsidR="00A56843" w:rsidRPr="00452304" w14:paraId="4D995407" w14:textId="77777777" w:rsidTr="00A56843">
        <w:trPr>
          <w:trHeight w:val="320"/>
        </w:trPr>
        <w:tc>
          <w:tcPr>
            <w:tcW w:w="918" w:type="dxa"/>
            <w:vMerge w:val="restart"/>
            <w:tcBorders>
              <w:top w:val="single" w:sz="4" w:space="0" w:color="auto"/>
              <w:left w:val="nil"/>
              <w:right w:val="nil"/>
            </w:tcBorders>
            <w:vAlign w:val="center"/>
          </w:tcPr>
          <w:p w14:paraId="7320938F" w14:textId="77777777" w:rsidR="00A56843" w:rsidRPr="008A48CF" w:rsidRDefault="00A56843" w:rsidP="00A56843">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N</w:t>
            </w:r>
            <w:r>
              <w:rPr>
                <w:rFonts w:eastAsia="Times New Roman"/>
                <w:color w:val="000000"/>
                <w:kern w:val="0"/>
                <w:sz w:val="20"/>
                <w:szCs w:val="20"/>
                <w:vertAlign w:val="subscript"/>
                <w14:ligatures w14:val="none"/>
              </w:rPr>
              <w:t>mass</w:t>
            </w:r>
            <w:proofErr w:type="spellEnd"/>
          </w:p>
        </w:tc>
        <w:tc>
          <w:tcPr>
            <w:tcW w:w="1178" w:type="dxa"/>
            <w:vMerge w:val="restart"/>
            <w:tcBorders>
              <w:top w:val="single" w:sz="4" w:space="0" w:color="auto"/>
              <w:left w:val="nil"/>
              <w:right w:val="nil"/>
            </w:tcBorders>
            <w:noWrap/>
            <w:vAlign w:val="center"/>
          </w:tcPr>
          <w:p w14:paraId="43C9D381"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30C3CDC3"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62B979C5" w14:textId="78C8D3E8"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16.067</w:t>
            </w:r>
          </w:p>
        </w:tc>
        <w:tc>
          <w:tcPr>
            <w:tcW w:w="972" w:type="dxa"/>
            <w:vMerge w:val="restart"/>
            <w:tcBorders>
              <w:top w:val="single" w:sz="4" w:space="0" w:color="auto"/>
              <w:left w:val="nil"/>
              <w:right w:val="nil"/>
            </w:tcBorders>
            <w:noWrap/>
            <w:vAlign w:val="center"/>
          </w:tcPr>
          <w:p w14:paraId="008162CC" w14:textId="77777777" w:rsidR="00A56843" w:rsidRPr="00A56843" w:rsidRDefault="00A56843" w:rsidP="00A56843">
            <w:pPr>
              <w:spacing w:after="0" w:line="240" w:lineRule="auto"/>
              <w:jc w:val="right"/>
              <w:rPr>
                <w:color w:val="000000"/>
                <w:sz w:val="20"/>
                <w:szCs w:val="20"/>
              </w:rPr>
            </w:pPr>
            <w:r w:rsidRPr="00A56843">
              <w:rPr>
                <w:color w:val="000000"/>
                <w:sz w:val="20"/>
                <w:szCs w:val="20"/>
              </w:rPr>
              <w:t>-0.561</w:t>
            </w:r>
          </w:p>
        </w:tc>
        <w:tc>
          <w:tcPr>
            <w:tcW w:w="939" w:type="dxa"/>
            <w:vMerge w:val="restart"/>
            <w:tcBorders>
              <w:top w:val="single" w:sz="4" w:space="0" w:color="auto"/>
              <w:left w:val="nil"/>
              <w:right w:val="nil"/>
            </w:tcBorders>
            <w:noWrap/>
            <w:vAlign w:val="center"/>
          </w:tcPr>
          <w:p w14:paraId="7EB7D29E" w14:textId="77777777" w:rsidR="00A56843" w:rsidRPr="00A56843" w:rsidRDefault="00A56843" w:rsidP="00A56843">
            <w:pPr>
              <w:spacing w:after="0" w:line="240" w:lineRule="auto"/>
              <w:jc w:val="right"/>
              <w:rPr>
                <w:color w:val="000000"/>
                <w:sz w:val="20"/>
                <w:szCs w:val="20"/>
              </w:rPr>
            </w:pPr>
            <w:r w:rsidRPr="00A56843">
              <w:rPr>
                <w:color w:val="000000"/>
                <w:sz w:val="20"/>
                <w:szCs w:val="20"/>
              </w:rPr>
              <w:t>0.575</w:t>
            </w:r>
          </w:p>
        </w:tc>
        <w:tc>
          <w:tcPr>
            <w:tcW w:w="1767" w:type="dxa"/>
            <w:tcBorders>
              <w:top w:val="single" w:sz="4" w:space="0" w:color="auto"/>
              <w:left w:val="nil"/>
              <w:bottom w:val="nil"/>
              <w:right w:val="nil"/>
            </w:tcBorders>
            <w:noWrap/>
            <w:vAlign w:val="center"/>
          </w:tcPr>
          <w:p w14:paraId="6D180589" w14:textId="3AD55405"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[9.199, 23.491]</w:t>
            </w:r>
          </w:p>
        </w:tc>
      </w:tr>
      <w:tr w:rsidR="00A56843" w:rsidRPr="00452304" w14:paraId="2581A92E" w14:textId="77777777" w:rsidTr="00A56843">
        <w:trPr>
          <w:trHeight w:val="320"/>
        </w:trPr>
        <w:tc>
          <w:tcPr>
            <w:tcW w:w="918" w:type="dxa"/>
            <w:vMerge/>
            <w:tcBorders>
              <w:left w:val="nil"/>
              <w:right w:val="nil"/>
            </w:tcBorders>
          </w:tcPr>
          <w:p w14:paraId="0E3962BE"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A8DD077"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D833CF9"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6EC6EAD4" w14:textId="16882282"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14.683</w:t>
            </w:r>
          </w:p>
        </w:tc>
        <w:tc>
          <w:tcPr>
            <w:tcW w:w="972" w:type="dxa"/>
            <w:vMerge/>
            <w:tcBorders>
              <w:left w:val="nil"/>
              <w:bottom w:val="single" w:sz="4" w:space="0" w:color="auto"/>
              <w:right w:val="nil"/>
            </w:tcBorders>
            <w:noWrap/>
            <w:vAlign w:val="center"/>
          </w:tcPr>
          <w:p w14:paraId="602BC711" w14:textId="77777777" w:rsidR="00A56843" w:rsidRPr="00A56843" w:rsidRDefault="00A56843" w:rsidP="00A56843">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0A80C15A" w14:textId="77777777" w:rsidR="00A56843" w:rsidRPr="00A56843" w:rsidRDefault="00A56843" w:rsidP="00A56843">
            <w:pPr>
              <w:spacing w:after="0" w:line="240" w:lineRule="auto"/>
              <w:jc w:val="right"/>
              <w:rPr>
                <w:color w:val="000000"/>
                <w:sz w:val="20"/>
                <w:szCs w:val="20"/>
              </w:rPr>
            </w:pPr>
          </w:p>
        </w:tc>
        <w:tc>
          <w:tcPr>
            <w:tcW w:w="1767" w:type="dxa"/>
            <w:tcBorders>
              <w:top w:val="nil"/>
              <w:left w:val="nil"/>
              <w:bottom w:val="single" w:sz="4" w:space="0" w:color="auto"/>
              <w:right w:val="nil"/>
            </w:tcBorders>
            <w:noWrap/>
            <w:vAlign w:val="center"/>
          </w:tcPr>
          <w:p w14:paraId="08865BF0" w14:textId="4F108D10"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[9.527, 20.081]</w:t>
            </w:r>
          </w:p>
        </w:tc>
      </w:tr>
      <w:tr w:rsidR="00A56843" w:rsidRPr="00452304" w14:paraId="73F2BFB8" w14:textId="77777777" w:rsidTr="00A56843">
        <w:trPr>
          <w:trHeight w:val="320"/>
        </w:trPr>
        <w:tc>
          <w:tcPr>
            <w:tcW w:w="918" w:type="dxa"/>
            <w:vMerge/>
            <w:tcBorders>
              <w:left w:val="nil"/>
              <w:right w:val="nil"/>
            </w:tcBorders>
          </w:tcPr>
          <w:p w14:paraId="7A441CE1"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214D568"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44BBF64"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38FA132E" w14:textId="4CC311E6"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-1.686</w:t>
            </w:r>
          </w:p>
        </w:tc>
        <w:tc>
          <w:tcPr>
            <w:tcW w:w="972" w:type="dxa"/>
            <w:vMerge w:val="restart"/>
            <w:tcBorders>
              <w:top w:val="single" w:sz="4" w:space="0" w:color="auto"/>
              <w:left w:val="nil"/>
              <w:right w:val="nil"/>
            </w:tcBorders>
            <w:noWrap/>
            <w:vAlign w:val="center"/>
          </w:tcPr>
          <w:p w14:paraId="6CBE99DC" w14:textId="77777777" w:rsidR="00A56843" w:rsidRPr="00A56843" w:rsidRDefault="00A56843" w:rsidP="00A56843">
            <w:pPr>
              <w:spacing w:after="0" w:line="240" w:lineRule="auto"/>
              <w:jc w:val="right"/>
              <w:rPr>
                <w:color w:val="000000"/>
                <w:sz w:val="20"/>
                <w:szCs w:val="20"/>
              </w:rPr>
            </w:pPr>
            <w:r w:rsidRPr="00A56843">
              <w:rPr>
                <w:color w:val="000000"/>
                <w:sz w:val="20"/>
                <w:szCs w:val="20"/>
              </w:rPr>
              <w:t>1.077</w:t>
            </w:r>
          </w:p>
        </w:tc>
        <w:tc>
          <w:tcPr>
            <w:tcW w:w="939" w:type="dxa"/>
            <w:vMerge w:val="restart"/>
            <w:tcBorders>
              <w:top w:val="single" w:sz="4" w:space="0" w:color="auto"/>
              <w:left w:val="nil"/>
              <w:right w:val="nil"/>
            </w:tcBorders>
            <w:noWrap/>
            <w:vAlign w:val="center"/>
          </w:tcPr>
          <w:p w14:paraId="67217811" w14:textId="77777777" w:rsidR="00A56843" w:rsidRPr="00A56843" w:rsidRDefault="00A56843" w:rsidP="00A56843">
            <w:pPr>
              <w:spacing w:after="0" w:line="240" w:lineRule="auto"/>
              <w:jc w:val="right"/>
              <w:rPr>
                <w:color w:val="000000"/>
                <w:sz w:val="20"/>
                <w:szCs w:val="20"/>
              </w:rPr>
            </w:pPr>
            <w:r w:rsidRPr="00A56843">
              <w:rPr>
                <w:color w:val="000000"/>
                <w:sz w:val="20"/>
                <w:szCs w:val="20"/>
              </w:rPr>
              <w:t>0.281</w:t>
            </w:r>
          </w:p>
        </w:tc>
        <w:tc>
          <w:tcPr>
            <w:tcW w:w="1767" w:type="dxa"/>
            <w:tcBorders>
              <w:top w:val="single" w:sz="4" w:space="0" w:color="auto"/>
              <w:left w:val="nil"/>
              <w:bottom w:val="nil"/>
              <w:right w:val="nil"/>
            </w:tcBorders>
            <w:noWrap/>
            <w:vAlign w:val="center"/>
          </w:tcPr>
          <w:p w14:paraId="0A081AA4" w14:textId="304445CF"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[-6.293, 3.252]</w:t>
            </w:r>
          </w:p>
        </w:tc>
      </w:tr>
      <w:tr w:rsidR="00A56843" w:rsidRPr="00452304" w14:paraId="21167A43" w14:textId="77777777" w:rsidTr="00A56843">
        <w:trPr>
          <w:trHeight w:val="320"/>
        </w:trPr>
        <w:tc>
          <w:tcPr>
            <w:tcW w:w="918" w:type="dxa"/>
            <w:vMerge/>
            <w:tcBorders>
              <w:left w:val="nil"/>
              <w:right w:val="nil"/>
            </w:tcBorders>
          </w:tcPr>
          <w:p w14:paraId="42B1F43F"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FF3FF36"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E928ACB"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26E34EDC" w14:textId="792A38CF"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0.803</w:t>
            </w:r>
          </w:p>
        </w:tc>
        <w:tc>
          <w:tcPr>
            <w:tcW w:w="972" w:type="dxa"/>
            <w:vMerge/>
            <w:tcBorders>
              <w:left w:val="nil"/>
              <w:bottom w:val="single" w:sz="4" w:space="0" w:color="auto"/>
              <w:right w:val="nil"/>
            </w:tcBorders>
            <w:noWrap/>
            <w:vAlign w:val="center"/>
          </w:tcPr>
          <w:p w14:paraId="795521D7" w14:textId="77777777" w:rsidR="00A56843" w:rsidRPr="00A56843" w:rsidRDefault="00A56843" w:rsidP="00A56843">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52001FBA" w14:textId="77777777" w:rsidR="00A56843" w:rsidRPr="00A56843" w:rsidRDefault="00A56843" w:rsidP="00A56843">
            <w:pPr>
              <w:spacing w:after="0" w:line="240" w:lineRule="auto"/>
              <w:jc w:val="right"/>
              <w:rPr>
                <w:color w:val="000000"/>
                <w:sz w:val="20"/>
                <w:szCs w:val="20"/>
              </w:rPr>
            </w:pPr>
          </w:p>
        </w:tc>
        <w:tc>
          <w:tcPr>
            <w:tcW w:w="1767" w:type="dxa"/>
            <w:tcBorders>
              <w:top w:val="nil"/>
              <w:left w:val="nil"/>
              <w:bottom w:val="single" w:sz="4" w:space="0" w:color="auto"/>
              <w:right w:val="nil"/>
            </w:tcBorders>
            <w:noWrap/>
            <w:vAlign w:val="center"/>
          </w:tcPr>
          <w:p w14:paraId="69CE0EB1" w14:textId="439B0D34"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[-1.686, 3.355]</w:t>
            </w:r>
          </w:p>
        </w:tc>
      </w:tr>
      <w:tr w:rsidR="00A56843" w:rsidRPr="00452304" w14:paraId="61F6872F" w14:textId="77777777" w:rsidTr="00A56843">
        <w:trPr>
          <w:trHeight w:val="320"/>
        </w:trPr>
        <w:tc>
          <w:tcPr>
            <w:tcW w:w="918" w:type="dxa"/>
            <w:vMerge/>
            <w:tcBorders>
              <w:left w:val="nil"/>
              <w:right w:val="nil"/>
            </w:tcBorders>
          </w:tcPr>
          <w:p w14:paraId="765D2DA2"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FACA320"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4CFAE574"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50418375" w14:textId="169B5E15"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17.117</w:t>
            </w:r>
          </w:p>
        </w:tc>
        <w:tc>
          <w:tcPr>
            <w:tcW w:w="972" w:type="dxa"/>
            <w:vMerge w:val="restart"/>
            <w:tcBorders>
              <w:top w:val="single" w:sz="4" w:space="0" w:color="auto"/>
              <w:left w:val="nil"/>
              <w:right w:val="nil"/>
            </w:tcBorders>
            <w:noWrap/>
            <w:vAlign w:val="center"/>
          </w:tcPr>
          <w:p w14:paraId="7C5D040E" w14:textId="77777777" w:rsidR="00A56843" w:rsidRPr="00A56843" w:rsidRDefault="00A56843" w:rsidP="00A56843">
            <w:pPr>
              <w:spacing w:after="0" w:line="240" w:lineRule="auto"/>
              <w:jc w:val="right"/>
              <w:rPr>
                <w:color w:val="000000"/>
                <w:sz w:val="20"/>
                <w:szCs w:val="20"/>
              </w:rPr>
            </w:pPr>
            <w:r w:rsidRPr="00A56843">
              <w:rPr>
                <w:color w:val="000000"/>
                <w:sz w:val="20"/>
                <w:szCs w:val="20"/>
              </w:rPr>
              <w:t>-1.041</w:t>
            </w:r>
          </w:p>
        </w:tc>
        <w:tc>
          <w:tcPr>
            <w:tcW w:w="939" w:type="dxa"/>
            <w:vMerge w:val="restart"/>
            <w:tcBorders>
              <w:top w:val="single" w:sz="4" w:space="0" w:color="auto"/>
              <w:left w:val="nil"/>
              <w:right w:val="nil"/>
            </w:tcBorders>
            <w:noWrap/>
            <w:vAlign w:val="center"/>
          </w:tcPr>
          <w:p w14:paraId="17718426" w14:textId="77777777" w:rsidR="00A56843" w:rsidRPr="00A56843" w:rsidRDefault="00A56843" w:rsidP="00A56843">
            <w:pPr>
              <w:spacing w:after="0" w:line="240" w:lineRule="auto"/>
              <w:jc w:val="right"/>
              <w:rPr>
                <w:color w:val="000000"/>
                <w:sz w:val="20"/>
                <w:szCs w:val="20"/>
              </w:rPr>
            </w:pPr>
            <w:r w:rsidRPr="00A56843">
              <w:rPr>
                <w:color w:val="000000"/>
                <w:sz w:val="20"/>
                <w:szCs w:val="20"/>
              </w:rPr>
              <w:t>0.298</w:t>
            </w:r>
          </w:p>
        </w:tc>
        <w:tc>
          <w:tcPr>
            <w:tcW w:w="1767" w:type="dxa"/>
            <w:tcBorders>
              <w:top w:val="single" w:sz="4" w:space="0" w:color="auto"/>
              <w:left w:val="nil"/>
              <w:bottom w:val="nil"/>
              <w:right w:val="nil"/>
            </w:tcBorders>
            <w:noWrap/>
            <w:vAlign w:val="center"/>
          </w:tcPr>
          <w:p w14:paraId="78E77167" w14:textId="4198E924"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[8.981, 25.86]</w:t>
            </w:r>
          </w:p>
        </w:tc>
      </w:tr>
      <w:tr w:rsidR="00A56843" w:rsidRPr="00452304" w14:paraId="02A6DDEB" w14:textId="77777777" w:rsidTr="00A56843">
        <w:trPr>
          <w:trHeight w:val="320"/>
        </w:trPr>
        <w:tc>
          <w:tcPr>
            <w:tcW w:w="918" w:type="dxa"/>
            <w:vMerge/>
            <w:tcBorders>
              <w:left w:val="nil"/>
              <w:bottom w:val="single" w:sz="4" w:space="0" w:color="auto"/>
              <w:right w:val="nil"/>
            </w:tcBorders>
          </w:tcPr>
          <w:p w14:paraId="49ACFF33"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CC71B4D"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D6F0F4C"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38AAA489" w14:textId="6484B146"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13.428</w:t>
            </w:r>
          </w:p>
        </w:tc>
        <w:tc>
          <w:tcPr>
            <w:tcW w:w="972" w:type="dxa"/>
            <w:vMerge/>
            <w:tcBorders>
              <w:left w:val="nil"/>
              <w:bottom w:val="single" w:sz="4" w:space="0" w:color="auto"/>
              <w:right w:val="nil"/>
            </w:tcBorders>
            <w:noWrap/>
            <w:vAlign w:val="center"/>
          </w:tcPr>
          <w:p w14:paraId="0576F204" w14:textId="77777777" w:rsidR="00A56843" w:rsidRPr="00A56843" w:rsidRDefault="00A56843" w:rsidP="00A56843">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3F2F398D" w14:textId="77777777" w:rsidR="00A56843" w:rsidRPr="00A56843" w:rsidRDefault="00A56843" w:rsidP="00A56843">
            <w:pPr>
              <w:spacing w:after="0" w:line="240" w:lineRule="auto"/>
              <w:jc w:val="right"/>
              <w:rPr>
                <w:color w:val="000000"/>
                <w:sz w:val="20"/>
                <w:szCs w:val="20"/>
              </w:rPr>
            </w:pPr>
          </w:p>
        </w:tc>
        <w:tc>
          <w:tcPr>
            <w:tcW w:w="1767" w:type="dxa"/>
            <w:tcBorders>
              <w:top w:val="nil"/>
              <w:left w:val="nil"/>
              <w:bottom w:val="single" w:sz="4" w:space="0" w:color="auto"/>
              <w:right w:val="nil"/>
            </w:tcBorders>
            <w:noWrap/>
            <w:vAlign w:val="center"/>
          </w:tcPr>
          <w:p w14:paraId="11BFB59C" w14:textId="628B7ADE"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[8.329, 18.887]</w:t>
            </w:r>
          </w:p>
        </w:tc>
      </w:tr>
      <w:tr w:rsidR="00A56843" w:rsidRPr="00452304" w14:paraId="061C23F3" w14:textId="77777777" w:rsidTr="00A56843">
        <w:trPr>
          <w:trHeight w:val="320"/>
        </w:trPr>
        <w:tc>
          <w:tcPr>
            <w:tcW w:w="918" w:type="dxa"/>
            <w:vMerge w:val="restart"/>
            <w:tcBorders>
              <w:top w:val="single" w:sz="4" w:space="0" w:color="auto"/>
              <w:left w:val="nil"/>
              <w:right w:val="nil"/>
            </w:tcBorders>
            <w:vAlign w:val="center"/>
          </w:tcPr>
          <w:p w14:paraId="569C3558" w14:textId="77777777" w:rsidR="00A56843" w:rsidRPr="008A48CF"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color w:val="000000"/>
                <w:kern w:val="0"/>
                <w:sz w:val="20"/>
                <w:szCs w:val="20"/>
                <w:vertAlign w:val="subscript"/>
                <w14:ligatures w14:val="none"/>
              </w:rPr>
              <w:t>area</w:t>
            </w:r>
          </w:p>
        </w:tc>
        <w:tc>
          <w:tcPr>
            <w:tcW w:w="1178" w:type="dxa"/>
            <w:vMerge w:val="restart"/>
            <w:tcBorders>
              <w:top w:val="single" w:sz="4" w:space="0" w:color="auto"/>
              <w:left w:val="nil"/>
              <w:right w:val="nil"/>
            </w:tcBorders>
            <w:noWrap/>
            <w:vAlign w:val="center"/>
          </w:tcPr>
          <w:p w14:paraId="41B75AEB"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3227D412"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3CFF8331" w14:textId="5FD2A923"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4.289</w:t>
            </w:r>
          </w:p>
        </w:tc>
        <w:tc>
          <w:tcPr>
            <w:tcW w:w="972" w:type="dxa"/>
            <w:vMerge w:val="restart"/>
            <w:tcBorders>
              <w:top w:val="single" w:sz="4" w:space="0" w:color="auto"/>
              <w:left w:val="nil"/>
              <w:right w:val="nil"/>
            </w:tcBorders>
            <w:noWrap/>
            <w:vAlign w:val="center"/>
          </w:tcPr>
          <w:p w14:paraId="3158C1AC" w14:textId="523D503D" w:rsidR="00A56843" w:rsidRPr="00A56843" w:rsidRDefault="00A56843" w:rsidP="00A56843">
            <w:pPr>
              <w:spacing w:after="0" w:line="240" w:lineRule="auto"/>
              <w:jc w:val="right"/>
              <w:rPr>
                <w:b/>
                <w:bCs/>
                <w:color w:val="000000"/>
                <w:sz w:val="20"/>
                <w:szCs w:val="20"/>
              </w:rPr>
            </w:pPr>
            <w:r w:rsidRPr="00A56843">
              <w:rPr>
                <w:b/>
                <w:bCs/>
                <w:color w:val="000000"/>
                <w:sz w:val="20"/>
                <w:szCs w:val="20"/>
              </w:rPr>
              <w:t>2.231</w:t>
            </w:r>
          </w:p>
        </w:tc>
        <w:tc>
          <w:tcPr>
            <w:tcW w:w="939" w:type="dxa"/>
            <w:vMerge w:val="restart"/>
            <w:tcBorders>
              <w:top w:val="single" w:sz="4" w:space="0" w:color="auto"/>
              <w:left w:val="nil"/>
              <w:right w:val="nil"/>
            </w:tcBorders>
            <w:noWrap/>
            <w:vAlign w:val="center"/>
          </w:tcPr>
          <w:p w14:paraId="350AB947" w14:textId="3B177180" w:rsidR="00A56843" w:rsidRPr="00A56843" w:rsidRDefault="00A56843" w:rsidP="00A56843">
            <w:pPr>
              <w:spacing w:after="0" w:line="240" w:lineRule="auto"/>
              <w:jc w:val="right"/>
              <w:rPr>
                <w:b/>
                <w:bCs/>
                <w:color w:val="000000"/>
                <w:sz w:val="20"/>
                <w:szCs w:val="20"/>
              </w:rPr>
            </w:pPr>
            <w:r w:rsidRPr="00A56843">
              <w:rPr>
                <w:b/>
                <w:bCs/>
                <w:color w:val="000000"/>
                <w:sz w:val="20"/>
                <w:szCs w:val="20"/>
              </w:rPr>
              <w:t>0.026</w:t>
            </w:r>
          </w:p>
        </w:tc>
        <w:tc>
          <w:tcPr>
            <w:tcW w:w="1767" w:type="dxa"/>
            <w:tcBorders>
              <w:top w:val="single" w:sz="4" w:space="0" w:color="auto"/>
              <w:left w:val="nil"/>
              <w:bottom w:val="nil"/>
              <w:right w:val="nil"/>
            </w:tcBorders>
            <w:noWrap/>
            <w:vAlign w:val="center"/>
          </w:tcPr>
          <w:p w14:paraId="7772B1CE" w14:textId="5F1F07E4"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[-6.387, 16.300]</w:t>
            </w:r>
          </w:p>
        </w:tc>
      </w:tr>
      <w:tr w:rsidR="00A56843" w:rsidRPr="00452304" w14:paraId="0A6458EE" w14:textId="77777777" w:rsidTr="00A56843">
        <w:trPr>
          <w:trHeight w:val="320"/>
        </w:trPr>
        <w:tc>
          <w:tcPr>
            <w:tcW w:w="918" w:type="dxa"/>
            <w:vMerge/>
            <w:tcBorders>
              <w:left w:val="nil"/>
              <w:right w:val="nil"/>
            </w:tcBorders>
          </w:tcPr>
          <w:p w14:paraId="009BDB5A"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63AB667"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5747BCA"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20BDC8AE" w14:textId="7B2B59D9"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14.339</w:t>
            </w:r>
          </w:p>
        </w:tc>
        <w:tc>
          <w:tcPr>
            <w:tcW w:w="972" w:type="dxa"/>
            <w:vMerge/>
            <w:tcBorders>
              <w:left w:val="nil"/>
              <w:bottom w:val="single" w:sz="4" w:space="0" w:color="auto"/>
              <w:right w:val="nil"/>
            </w:tcBorders>
            <w:noWrap/>
            <w:vAlign w:val="center"/>
          </w:tcPr>
          <w:p w14:paraId="2BC87BF3" w14:textId="77777777" w:rsidR="00A56843" w:rsidRPr="00A56843" w:rsidRDefault="00A56843" w:rsidP="00A56843">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4547F0B8" w14:textId="77777777" w:rsidR="00A56843" w:rsidRPr="00A56843" w:rsidRDefault="00A56843" w:rsidP="00A56843">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73EA9BB5" w14:textId="4467FDD2"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[5.548, 23.738]</w:t>
            </w:r>
          </w:p>
        </w:tc>
      </w:tr>
      <w:tr w:rsidR="00A56843" w:rsidRPr="00452304" w14:paraId="436008DE" w14:textId="77777777" w:rsidTr="00A56843">
        <w:trPr>
          <w:trHeight w:val="320"/>
        </w:trPr>
        <w:tc>
          <w:tcPr>
            <w:tcW w:w="918" w:type="dxa"/>
            <w:vMerge/>
            <w:tcBorders>
              <w:left w:val="nil"/>
              <w:right w:val="nil"/>
            </w:tcBorders>
          </w:tcPr>
          <w:p w14:paraId="46B464C6"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18AD042"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5641CAA"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3CAC7170" w14:textId="591BFC8D"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4.707</w:t>
            </w:r>
          </w:p>
        </w:tc>
        <w:tc>
          <w:tcPr>
            <w:tcW w:w="972" w:type="dxa"/>
            <w:vMerge w:val="restart"/>
            <w:tcBorders>
              <w:top w:val="single" w:sz="4" w:space="0" w:color="auto"/>
              <w:left w:val="nil"/>
              <w:right w:val="nil"/>
            </w:tcBorders>
            <w:noWrap/>
            <w:vAlign w:val="center"/>
          </w:tcPr>
          <w:p w14:paraId="3E889AB2" w14:textId="1E0AC75C" w:rsidR="00A56843" w:rsidRPr="00A56843" w:rsidRDefault="00A56843" w:rsidP="00A56843">
            <w:pPr>
              <w:spacing w:after="0" w:line="240" w:lineRule="auto"/>
              <w:jc w:val="right"/>
              <w:rPr>
                <w:color w:val="000000"/>
                <w:sz w:val="20"/>
                <w:szCs w:val="20"/>
              </w:rPr>
            </w:pPr>
            <w:r w:rsidRPr="00A56843">
              <w:rPr>
                <w:color w:val="000000"/>
                <w:sz w:val="20"/>
                <w:szCs w:val="20"/>
              </w:rPr>
              <w:t>-0.429</w:t>
            </w:r>
          </w:p>
        </w:tc>
        <w:tc>
          <w:tcPr>
            <w:tcW w:w="939" w:type="dxa"/>
            <w:vMerge w:val="restart"/>
            <w:tcBorders>
              <w:top w:val="single" w:sz="4" w:space="0" w:color="auto"/>
              <w:left w:val="nil"/>
              <w:right w:val="nil"/>
            </w:tcBorders>
            <w:noWrap/>
            <w:vAlign w:val="center"/>
          </w:tcPr>
          <w:p w14:paraId="19A383AC" w14:textId="68945D55" w:rsidR="00A56843" w:rsidRPr="00A56843" w:rsidRDefault="00A56843" w:rsidP="00A56843">
            <w:pPr>
              <w:spacing w:after="0" w:line="240" w:lineRule="auto"/>
              <w:jc w:val="right"/>
              <w:rPr>
                <w:color w:val="000000"/>
                <w:sz w:val="20"/>
                <w:szCs w:val="20"/>
              </w:rPr>
            </w:pPr>
            <w:r w:rsidRPr="00A56843">
              <w:rPr>
                <w:color w:val="000000"/>
                <w:sz w:val="20"/>
                <w:szCs w:val="20"/>
              </w:rPr>
              <w:t>0.668</w:t>
            </w:r>
          </w:p>
        </w:tc>
        <w:tc>
          <w:tcPr>
            <w:tcW w:w="1767" w:type="dxa"/>
            <w:tcBorders>
              <w:top w:val="single" w:sz="4" w:space="0" w:color="auto"/>
              <w:left w:val="nil"/>
              <w:bottom w:val="nil"/>
              <w:right w:val="nil"/>
            </w:tcBorders>
            <w:noWrap/>
            <w:vAlign w:val="center"/>
          </w:tcPr>
          <w:p w14:paraId="30FF0B44" w14:textId="4D8F699B"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[-5.541, 15.951]</w:t>
            </w:r>
          </w:p>
        </w:tc>
      </w:tr>
      <w:tr w:rsidR="00A56843" w:rsidRPr="00452304" w14:paraId="208D070D" w14:textId="77777777" w:rsidTr="00A56843">
        <w:trPr>
          <w:trHeight w:val="320"/>
        </w:trPr>
        <w:tc>
          <w:tcPr>
            <w:tcW w:w="918" w:type="dxa"/>
            <w:vMerge/>
            <w:tcBorders>
              <w:left w:val="nil"/>
              <w:right w:val="nil"/>
            </w:tcBorders>
          </w:tcPr>
          <w:p w14:paraId="56410C55"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882F0FF"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264317D"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08CB73DC" w14:textId="29827663"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2.942</w:t>
            </w:r>
          </w:p>
        </w:tc>
        <w:tc>
          <w:tcPr>
            <w:tcW w:w="972" w:type="dxa"/>
            <w:vMerge/>
            <w:tcBorders>
              <w:left w:val="nil"/>
              <w:bottom w:val="single" w:sz="4" w:space="0" w:color="auto"/>
              <w:right w:val="nil"/>
            </w:tcBorders>
            <w:noWrap/>
            <w:vAlign w:val="center"/>
          </w:tcPr>
          <w:p w14:paraId="00288489" w14:textId="77777777" w:rsidR="00A56843" w:rsidRPr="00A56843" w:rsidRDefault="00A56843" w:rsidP="00A56843">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2D71256E" w14:textId="77777777" w:rsidR="00A56843" w:rsidRPr="00A56843" w:rsidRDefault="00A56843" w:rsidP="00A56843">
            <w:pPr>
              <w:spacing w:after="0" w:line="240" w:lineRule="auto"/>
              <w:jc w:val="right"/>
              <w:rPr>
                <w:color w:val="000000"/>
                <w:sz w:val="20"/>
                <w:szCs w:val="20"/>
              </w:rPr>
            </w:pPr>
          </w:p>
        </w:tc>
        <w:tc>
          <w:tcPr>
            <w:tcW w:w="1767" w:type="dxa"/>
            <w:tcBorders>
              <w:top w:val="nil"/>
              <w:left w:val="nil"/>
              <w:bottom w:val="single" w:sz="4" w:space="0" w:color="auto"/>
              <w:right w:val="nil"/>
            </w:tcBorders>
            <w:noWrap/>
            <w:vAlign w:val="center"/>
          </w:tcPr>
          <w:p w14:paraId="68B5C680" w14:textId="71F61970"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[-4.687, 11.071]</w:t>
            </w:r>
          </w:p>
        </w:tc>
      </w:tr>
      <w:tr w:rsidR="00A56843" w:rsidRPr="00452304" w14:paraId="3CB6460E" w14:textId="77777777" w:rsidTr="00A56843">
        <w:trPr>
          <w:trHeight w:val="320"/>
        </w:trPr>
        <w:tc>
          <w:tcPr>
            <w:tcW w:w="918" w:type="dxa"/>
            <w:vMerge/>
            <w:tcBorders>
              <w:left w:val="nil"/>
              <w:right w:val="nil"/>
            </w:tcBorders>
          </w:tcPr>
          <w:p w14:paraId="5D543C70"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39F6FCE"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1690E085"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4F020803" w14:textId="7F0F340D"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17.351</w:t>
            </w:r>
          </w:p>
        </w:tc>
        <w:tc>
          <w:tcPr>
            <w:tcW w:w="972" w:type="dxa"/>
            <w:vMerge w:val="restart"/>
            <w:tcBorders>
              <w:top w:val="single" w:sz="4" w:space="0" w:color="auto"/>
              <w:left w:val="nil"/>
              <w:right w:val="nil"/>
            </w:tcBorders>
            <w:noWrap/>
            <w:vAlign w:val="center"/>
          </w:tcPr>
          <w:p w14:paraId="1BFA2FB0" w14:textId="7B14EF2C" w:rsidR="00A56843" w:rsidRPr="00A56843" w:rsidRDefault="00A56843" w:rsidP="00A56843">
            <w:pPr>
              <w:spacing w:after="0" w:line="240" w:lineRule="auto"/>
              <w:jc w:val="right"/>
              <w:rPr>
                <w:color w:val="000000"/>
                <w:sz w:val="20"/>
                <w:szCs w:val="20"/>
              </w:rPr>
            </w:pPr>
            <w:r w:rsidRPr="00A56843">
              <w:rPr>
                <w:color w:val="000000"/>
                <w:sz w:val="20"/>
                <w:szCs w:val="20"/>
              </w:rPr>
              <w:t>-0.162</w:t>
            </w:r>
          </w:p>
        </w:tc>
        <w:tc>
          <w:tcPr>
            <w:tcW w:w="939" w:type="dxa"/>
            <w:vMerge w:val="restart"/>
            <w:tcBorders>
              <w:top w:val="single" w:sz="4" w:space="0" w:color="auto"/>
              <w:left w:val="nil"/>
              <w:right w:val="nil"/>
            </w:tcBorders>
            <w:noWrap/>
            <w:vAlign w:val="center"/>
          </w:tcPr>
          <w:p w14:paraId="6804292F" w14:textId="41714FF3" w:rsidR="00A56843" w:rsidRPr="00A56843" w:rsidRDefault="00A56843" w:rsidP="00A56843">
            <w:pPr>
              <w:spacing w:after="0" w:line="240" w:lineRule="auto"/>
              <w:jc w:val="right"/>
              <w:rPr>
                <w:color w:val="000000"/>
                <w:sz w:val="20"/>
                <w:szCs w:val="20"/>
              </w:rPr>
            </w:pPr>
            <w:r w:rsidRPr="00A56843">
              <w:rPr>
                <w:color w:val="000000"/>
                <w:sz w:val="20"/>
                <w:szCs w:val="20"/>
              </w:rPr>
              <w:t>0.872</w:t>
            </w:r>
          </w:p>
        </w:tc>
        <w:tc>
          <w:tcPr>
            <w:tcW w:w="1767" w:type="dxa"/>
            <w:tcBorders>
              <w:top w:val="single" w:sz="4" w:space="0" w:color="auto"/>
              <w:left w:val="nil"/>
              <w:bottom w:val="nil"/>
              <w:right w:val="nil"/>
            </w:tcBorders>
            <w:noWrap/>
            <w:vAlign w:val="center"/>
          </w:tcPr>
          <w:p w14:paraId="02ACDD66" w14:textId="2DD03A15"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[6.396, 29.434]</w:t>
            </w:r>
          </w:p>
        </w:tc>
      </w:tr>
      <w:tr w:rsidR="00A56843" w:rsidRPr="00452304" w14:paraId="500BF6F6" w14:textId="77777777" w:rsidTr="00A56843">
        <w:trPr>
          <w:trHeight w:val="320"/>
        </w:trPr>
        <w:tc>
          <w:tcPr>
            <w:tcW w:w="918" w:type="dxa"/>
            <w:vMerge/>
            <w:tcBorders>
              <w:left w:val="nil"/>
              <w:bottom w:val="single" w:sz="4" w:space="0" w:color="auto"/>
              <w:right w:val="nil"/>
            </w:tcBorders>
          </w:tcPr>
          <w:p w14:paraId="37AA632D"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EAB88E5"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5AF80F9"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28F3AABF" w14:textId="71C3DDE9"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16.532</w:t>
            </w:r>
          </w:p>
        </w:tc>
        <w:tc>
          <w:tcPr>
            <w:tcW w:w="972" w:type="dxa"/>
            <w:vMerge/>
            <w:tcBorders>
              <w:left w:val="nil"/>
              <w:bottom w:val="single" w:sz="4" w:space="0" w:color="auto"/>
              <w:right w:val="nil"/>
            </w:tcBorders>
            <w:noWrap/>
            <w:vAlign w:val="center"/>
          </w:tcPr>
          <w:p w14:paraId="26EA3682" w14:textId="77777777" w:rsidR="00A56843" w:rsidRPr="00A56843" w:rsidRDefault="00A56843" w:rsidP="00A56843">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0239D9E5" w14:textId="77777777" w:rsidR="00A56843" w:rsidRPr="00A56843" w:rsidRDefault="00A56843" w:rsidP="00A56843">
            <w:pPr>
              <w:spacing w:after="0" w:line="240" w:lineRule="auto"/>
              <w:jc w:val="right"/>
              <w:rPr>
                <w:color w:val="000000"/>
                <w:sz w:val="20"/>
                <w:szCs w:val="20"/>
              </w:rPr>
            </w:pPr>
          </w:p>
        </w:tc>
        <w:tc>
          <w:tcPr>
            <w:tcW w:w="1767" w:type="dxa"/>
            <w:tcBorders>
              <w:top w:val="nil"/>
              <w:left w:val="nil"/>
              <w:bottom w:val="single" w:sz="4" w:space="0" w:color="auto"/>
              <w:right w:val="nil"/>
            </w:tcBorders>
            <w:noWrap/>
            <w:vAlign w:val="center"/>
          </w:tcPr>
          <w:p w14:paraId="0068D04E" w14:textId="47D8E89F"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[8.981, 24.732]</w:t>
            </w:r>
          </w:p>
        </w:tc>
      </w:tr>
      <w:tr w:rsidR="00A56843" w:rsidRPr="00452304" w14:paraId="1BEFBF73" w14:textId="77777777" w:rsidTr="00A56843">
        <w:trPr>
          <w:trHeight w:val="320"/>
        </w:trPr>
        <w:tc>
          <w:tcPr>
            <w:tcW w:w="918" w:type="dxa"/>
            <w:vMerge w:val="restart"/>
            <w:tcBorders>
              <w:top w:val="single" w:sz="4" w:space="0" w:color="auto"/>
              <w:left w:val="nil"/>
              <w:right w:val="nil"/>
            </w:tcBorders>
            <w:vAlign w:val="center"/>
          </w:tcPr>
          <w:p w14:paraId="760E15CC" w14:textId="77777777" w:rsidR="00A56843" w:rsidRPr="009D19EF" w:rsidRDefault="00A56843" w:rsidP="00A56843">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mass</w:t>
            </w:r>
            <w:proofErr w:type="spellEnd"/>
          </w:p>
        </w:tc>
        <w:tc>
          <w:tcPr>
            <w:tcW w:w="1178" w:type="dxa"/>
            <w:vMerge w:val="restart"/>
            <w:tcBorders>
              <w:top w:val="single" w:sz="4" w:space="0" w:color="auto"/>
              <w:left w:val="nil"/>
              <w:right w:val="nil"/>
            </w:tcBorders>
            <w:noWrap/>
            <w:vAlign w:val="center"/>
          </w:tcPr>
          <w:p w14:paraId="15672C45"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321A21F8"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2F95E4D6" w14:textId="674E887F" w:rsidR="00A56843" w:rsidRPr="00A13DC2" w:rsidRDefault="00A56843" w:rsidP="00A56843">
            <w:pPr>
              <w:spacing w:after="0" w:line="240" w:lineRule="auto"/>
              <w:jc w:val="right"/>
              <w:rPr>
                <w:b/>
                <w:bCs/>
                <w:color w:val="000000"/>
                <w:sz w:val="20"/>
                <w:szCs w:val="20"/>
                <w:highlight w:val="yellow"/>
              </w:rPr>
            </w:pPr>
            <w:r w:rsidRPr="00A13DC2">
              <w:rPr>
                <w:b/>
                <w:bCs/>
                <w:color w:val="000000"/>
                <w:sz w:val="20"/>
                <w:szCs w:val="20"/>
              </w:rPr>
              <w:t>-20.308</w:t>
            </w:r>
          </w:p>
        </w:tc>
        <w:tc>
          <w:tcPr>
            <w:tcW w:w="972" w:type="dxa"/>
            <w:vMerge w:val="restart"/>
            <w:tcBorders>
              <w:top w:val="single" w:sz="4" w:space="0" w:color="auto"/>
              <w:left w:val="nil"/>
              <w:right w:val="nil"/>
            </w:tcBorders>
            <w:noWrap/>
            <w:vAlign w:val="center"/>
          </w:tcPr>
          <w:p w14:paraId="2478B2FF" w14:textId="77777777" w:rsidR="00A56843" w:rsidRPr="00A13DC2" w:rsidRDefault="00A56843" w:rsidP="00A56843">
            <w:pPr>
              <w:spacing w:after="0" w:line="240" w:lineRule="auto"/>
              <w:jc w:val="right"/>
              <w:rPr>
                <w:b/>
                <w:bCs/>
                <w:color w:val="000000"/>
                <w:sz w:val="20"/>
                <w:szCs w:val="20"/>
              </w:rPr>
            </w:pPr>
            <w:r w:rsidRPr="00A13DC2">
              <w:rPr>
                <w:b/>
                <w:bCs/>
                <w:color w:val="000000"/>
                <w:sz w:val="20"/>
                <w:szCs w:val="20"/>
              </w:rPr>
              <w:t>6.069</w:t>
            </w:r>
          </w:p>
        </w:tc>
        <w:tc>
          <w:tcPr>
            <w:tcW w:w="939" w:type="dxa"/>
            <w:vMerge w:val="restart"/>
            <w:tcBorders>
              <w:top w:val="single" w:sz="4" w:space="0" w:color="auto"/>
              <w:left w:val="nil"/>
              <w:right w:val="nil"/>
            </w:tcBorders>
            <w:noWrap/>
            <w:vAlign w:val="center"/>
          </w:tcPr>
          <w:p w14:paraId="45779E87" w14:textId="77777777" w:rsidR="00A56843" w:rsidRPr="00A13DC2" w:rsidRDefault="00A56843" w:rsidP="00A56843">
            <w:pPr>
              <w:spacing w:after="0" w:line="240" w:lineRule="auto"/>
              <w:jc w:val="right"/>
              <w:rPr>
                <w:b/>
                <w:bCs/>
                <w:color w:val="000000"/>
                <w:sz w:val="20"/>
                <w:szCs w:val="20"/>
              </w:rPr>
            </w:pPr>
            <w:r w:rsidRPr="00A13DC2">
              <w:rPr>
                <w:b/>
                <w:bCs/>
                <w:color w:val="000000"/>
                <w:sz w:val="20"/>
                <w:szCs w:val="20"/>
              </w:rPr>
              <w:t>&lt;0.001</w:t>
            </w:r>
          </w:p>
        </w:tc>
        <w:tc>
          <w:tcPr>
            <w:tcW w:w="1767" w:type="dxa"/>
            <w:tcBorders>
              <w:top w:val="single" w:sz="4" w:space="0" w:color="auto"/>
              <w:left w:val="nil"/>
              <w:bottom w:val="nil"/>
              <w:right w:val="nil"/>
            </w:tcBorders>
            <w:noWrap/>
            <w:vAlign w:val="center"/>
          </w:tcPr>
          <w:p w14:paraId="19097C3C" w14:textId="0D398C71" w:rsidR="00A56843" w:rsidRPr="00A13DC2" w:rsidRDefault="00A56843" w:rsidP="00A56843">
            <w:pPr>
              <w:spacing w:after="0" w:line="240" w:lineRule="auto"/>
              <w:jc w:val="right"/>
              <w:rPr>
                <w:b/>
                <w:bCs/>
                <w:color w:val="000000"/>
                <w:sz w:val="20"/>
                <w:szCs w:val="20"/>
                <w:highlight w:val="yellow"/>
              </w:rPr>
            </w:pPr>
            <w:r w:rsidRPr="00A13DC2">
              <w:rPr>
                <w:b/>
                <w:bCs/>
                <w:color w:val="000000"/>
                <w:sz w:val="20"/>
                <w:szCs w:val="20"/>
              </w:rPr>
              <w:t>[-26.288, -13.843]</w:t>
            </w:r>
          </w:p>
        </w:tc>
      </w:tr>
      <w:tr w:rsidR="00A56843" w:rsidRPr="00452304" w14:paraId="5387CCC1" w14:textId="77777777" w:rsidTr="00A56843">
        <w:trPr>
          <w:trHeight w:val="320"/>
        </w:trPr>
        <w:tc>
          <w:tcPr>
            <w:tcW w:w="918" w:type="dxa"/>
            <w:vMerge/>
            <w:tcBorders>
              <w:left w:val="nil"/>
              <w:right w:val="nil"/>
            </w:tcBorders>
            <w:vAlign w:val="center"/>
          </w:tcPr>
          <w:p w14:paraId="5790545A"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700D5AA"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611B3D9"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002D648D" w14:textId="40ED3C9B" w:rsidR="00A56843" w:rsidRPr="00A13DC2" w:rsidRDefault="00A56843" w:rsidP="00A56843">
            <w:pPr>
              <w:spacing w:after="0" w:line="240" w:lineRule="auto"/>
              <w:jc w:val="right"/>
              <w:rPr>
                <w:b/>
                <w:bCs/>
                <w:color w:val="000000"/>
                <w:sz w:val="20"/>
                <w:szCs w:val="20"/>
                <w:highlight w:val="yellow"/>
              </w:rPr>
            </w:pPr>
            <w:r w:rsidRPr="00A13DC2">
              <w:rPr>
                <w:b/>
                <w:bCs/>
                <w:color w:val="000000"/>
                <w:sz w:val="20"/>
                <w:szCs w:val="20"/>
              </w:rPr>
              <w:t>-6.387</w:t>
            </w:r>
          </w:p>
        </w:tc>
        <w:tc>
          <w:tcPr>
            <w:tcW w:w="972" w:type="dxa"/>
            <w:vMerge/>
            <w:tcBorders>
              <w:left w:val="nil"/>
              <w:bottom w:val="single" w:sz="4" w:space="0" w:color="auto"/>
              <w:right w:val="nil"/>
            </w:tcBorders>
            <w:noWrap/>
            <w:vAlign w:val="center"/>
          </w:tcPr>
          <w:p w14:paraId="68772B18" w14:textId="77777777" w:rsidR="00A56843" w:rsidRPr="00A13DC2" w:rsidRDefault="00A56843" w:rsidP="00A56843">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3EBD2890" w14:textId="77777777" w:rsidR="00A56843" w:rsidRPr="00A13DC2" w:rsidRDefault="00A56843" w:rsidP="00A56843">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79C9F34D" w14:textId="4AFAAF83" w:rsidR="00A56843" w:rsidRPr="00A13DC2" w:rsidRDefault="00A56843" w:rsidP="00A56843">
            <w:pPr>
              <w:spacing w:after="0" w:line="240" w:lineRule="auto"/>
              <w:jc w:val="right"/>
              <w:rPr>
                <w:b/>
                <w:bCs/>
                <w:color w:val="000000"/>
                <w:sz w:val="20"/>
                <w:szCs w:val="20"/>
                <w:highlight w:val="yellow"/>
              </w:rPr>
            </w:pPr>
            <w:r w:rsidRPr="00A13DC2">
              <w:rPr>
                <w:b/>
                <w:bCs/>
                <w:color w:val="000000"/>
                <w:sz w:val="20"/>
                <w:szCs w:val="20"/>
              </w:rPr>
              <w:t>[-12.103, -0.300]</w:t>
            </w:r>
          </w:p>
        </w:tc>
      </w:tr>
      <w:tr w:rsidR="00A56843" w:rsidRPr="00452304" w14:paraId="1D2F53A8" w14:textId="77777777" w:rsidTr="00A56843">
        <w:trPr>
          <w:trHeight w:val="320"/>
        </w:trPr>
        <w:tc>
          <w:tcPr>
            <w:tcW w:w="918" w:type="dxa"/>
            <w:vMerge/>
            <w:tcBorders>
              <w:left w:val="nil"/>
              <w:right w:val="nil"/>
            </w:tcBorders>
            <w:vAlign w:val="center"/>
          </w:tcPr>
          <w:p w14:paraId="1BC6E4A7"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83E9AA8"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54BFFD84"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646D8CAA" w14:textId="36DB1649" w:rsidR="00A56843" w:rsidRPr="00A13DC2" w:rsidRDefault="00A56843" w:rsidP="00A56843">
            <w:pPr>
              <w:spacing w:after="0" w:line="240" w:lineRule="auto"/>
              <w:jc w:val="right"/>
              <w:rPr>
                <w:b/>
                <w:bCs/>
                <w:color w:val="000000"/>
                <w:sz w:val="20"/>
                <w:szCs w:val="20"/>
                <w:highlight w:val="yellow"/>
              </w:rPr>
            </w:pPr>
            <w:r w:rsidRPr="00A13DC2">
              <w:rPr>
                <w:b/>
                <w:bCs/>
                <w:color w:val="000000"/>
                <w:sz w:val="20"/>
                <w:szCs w:val="20"/>
              </w:rPr>
              <w:t>123.67</w:t>
            </w:r>
          </w:p>
        </w:tc>
        <w:tc>
          <w:tcPr>
            <w:tcW w:w="972" w:type="dxa"/>
            <w:vMerge w:val="restart"/>
            <w:tcBorders>
              <w:top w:val="single" w:sz="4" w:space="0" w:color="auto"/>
              <w:left w:val="nil"/>
              <w:right w:val="nil"/>
            </w:tcBorders>
            <w:noWrap/>
            <w:vAlign w:val="center"/>
          </w:tcPr>
          <w:p w14:paraId="59BA3C2F" w14:textId="77777777" w:rsidR="00A56843" w:rsidRPr="00A13DC2" w:rsidRDefault="00A56843" w:rsidP="00A56843">
            <w:pPr>
              <w:spacing w:after="0" w:line="240" w:lineRule="auto"/>
              <w:jc w:val="right"/>
              <w:rPr>
                <w:b/>
                <w:bCs/>
                <w:color w:val="000000"/>
                <w:sz w:val="20"/>
                <w:szCs w:val="20"/>
              </w:rPr>
            </w:pPr>
            <w:r w:rsidRPr="00A13DC2">
              <w:rPr>
                <w:b/>
                <w:bCs/>
                <w:color w:val="000000"/>
                <w:sz w:val="20"/>
                <w:szCs w:val="20"/>
              </w:rPr>
              <w:t>-6.408</w:t>
            </w:r>
          </w:p>
        </w:tc>
        <w:tc>
          <w:tcPr>
            <w:tcW w:w="939" w:type="dxa"/>
            <w:vMerge w:val="restart"/>
            <w:tcBorders>
              <w:top w:val="single" w:sz="4" w:space="0" w:color="auto"/>
              <w:left w:val="nil"/>
              <w:right w:val="nil"/>
            </w:tcBorders>
            <w:noWrap/>
            <w:vAlign w:val="center"/>
          </w:tcPr>
          <w:p w14:paraId="58A3BC87" w14:textId="77777777" w:rsidR="00A56843" w:rsidRPr="00A13DC2" w:rsidRDefault="00A56843" w:rsidP="00A56843">
            <w:pPr>
              <w:spacing w:after="0" w:line="240" w:lineRule="auto"/>
              <w:jc w:val="right"/>
              <w:rPr>
                <w:b/>
                <w:bCs/>
                <w:color w:val="000000"/>
                <w:sz w:val="20"/>
                <w:szCs w:val="20"/>
              </w:rPr>
            </w:pPr>
            <w:r w:rsidRPr="00A13DC2">
              <w:rPr>
                <w:b/>
                <w:bCs/>
                <w:color w:val="000000"/>
                <w:sz w:val="20"/>
                <w:szCs w:val="20"/>
              </w:rPr>
              <w:t>&lt;0.001</w:t>
            </w:r>
          </w:p>
        </w:tc>
        <w:tc>
          <w:tcPr>
            <w:tcW w:w="1767" w:type="dxa"/>
            <w:tcBorders>
              <w:top w:val="single" w:sz="4" w:space="0" w:color="auto"/>
              <w:left w:val="nil"/>
              <w:bottom w:val="nil"/>
              <w:right w:val="nil"/>
            </w:tcBorders>
            <w:noWrap/>
            <w:vAlign w:val="center"/>
          </w:tcPr>
          <w:p w14:paraId="1C845EA3" w14:textId="0E2C0418" w:rsidR="00A56843" w:rsidRPr="00A13DC2" w:rsidRDefault="00A56843" w:rsidP="00A56843">
            <w:pPr>
              <w:spacing w:after="0" w:line="240" w:lineRule="auto"/>
              <w:jc w:val="right"/>
              <w:rPr>
                <w:b/>
                <w:bCs/>
                <w:color w:val="000000"/>
                <w:sz w:val="20"/>
                <w:szCs w:val="20"/>
                <w:highlight w:val="yellow"/>
              </w:rPr>
            </w:pPr>
            <w:r w:rsidRPr="00A13DC2">
              <w:rPr>
                <w:b/>
                <w:bCs/>
                <w:color w:val="000000"/>
                <w:sz w:val="20"/>
                <w:szCs w:val="20"/>
              </w:rPr>
              <w:t>[89.080, 164.323]</w:t>
            </w:r>
          </w:p>
        </w:tc>
      </w:tr>
      <w:tr w:rsidR="00A56843" w:rsidRPr="00452304" w14:paraId="25BBDCC4" w14:textId="77777777" w:rsidTr="00A56843">
        <w:trPr>
          <w:trHeight w:val="320"/>
        </w:trPr>
        <w:tc>
          <w:tcPr>
            <w:tcW w:w="918" w:type="dxa"/>
            <w:vMerge/>
            <w:tcBorders>
              <w:left w:val="nil"/>
              <w:right w:val="nil"/>
            </w:tcBorders>
            <w:vAlign w:val="center"/>
          </w:tcPr>
          <w:p w14:paraId="3BA90F9A"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FC849EE"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1C91823"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3AAFC70A" w14:textId="362B4107" w:rsidR="00A56843" w:rsidRPr="00A13DC2" w:rsidRDefault="00A56843" w:rsidP="00A56843">
            <w:pPr>
              <w:spacing w:after="0" w:line="240" w:lineRule="auto"/>
              <w:jc w:val="right"/>
              <w:rPr>
                <w:b/>
                <w:bCs/>
                <w:color w:val="000000"/>
                <w:sz w:val="20"/>
                <w:szCs w:val="20"/>
                <w:highlight w:val="yellow"/>
              </w:rPr>
            </w:pPr>
            <w:r w:rsidRPr="00A13DC2">
              <w:rPr>
                <w:b/>
                <w:bCs/>
                <w:color w:val="000000"/>
                <w:sz w:val="20"/>
                <w:szCs w:val="20"/>
              </w:rPr>
              <w:t>54.496</w:t>
            </w:r>
          </w:p>
        </w:tc>
        <w:tc>
          <w:tcPr>
            <w:tcW w:w="972" w:type="dxa"/>
            <w:vMerge/>
            <w:tcBorders>
              <w:left w:val="nil"/>
              <w:bottom w:val="single" w:sz="4" w:space="0" w:color="auto"/>
              <w:right w:val="nil"/>
            </w:tcBorders>
            <w:noWrap/>
            <w:vAlign w:val="center"/>
          </w:tcPr>
          <w:p w14:paraId="047399B0" w14:textId="77777777" w:rsidR="00A56843" w:rsidRPr="00A13DC2" w:rsidRDefault="00A56843" w:rsidP="00A56843">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61DB9A40" w14:textId="77777777" w:rsidR="00A56843" w:rsidRPr="00A13DC2" w:rsidRDefault="00A56843" w:rsidP="00A56843">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40B9749F" w14:textId="0939C3B5" w:rsidR="00A56843" w:rsidRPr="00A13DC2" w:rsidRDefault="00A56843" w:rsidP="00A56843">
            <w:pPr>
              <w:spacing w:after="0" w:line="240" w:lineRule="auto"/>
              <w:jc w:val="right"/>
              <w:rPr>
                <w:b/>
                <w:bCs/>
                <w:color w:val="000000"/>
                <w:sz w:val="20"/>
                <w:szCs w:val="20"/>
                <w:highlight w:val="yellow"/>
              </w:rPr>
            </w:pPr>
            <w:r w:rsidRPr="00A13DC2">
              <w:rPr>
                <w:b/>
                <w:bCs/>
                <w:color w:val="000000"/>
                <w:sz w:val="20"/>
                <w:szCs w:val="20"/>
              </w:rPr>
              <w:t>[35.391, 76.297]</w:t>
            </w:r>
          </w:p>
        </w:tc>
      </w:tr>
      <w:tr w:rsidR="00A56843" w:rsidRPr="00452304" w14:paraId="549F4627" w14:textId="77777777" w:rsidTr="00A56843">
        <w:trPr>
          <w:trHeight w:val="320"/>
        </w:trPr>
        <w:tc>
          <w:tcPr>
            <w:tcW w:w="918" w:type="dxa"/>
            <w:vMerge/>
            <w:tcBorders>
              <w:left w:val="nil"/>
              <w:right w:val="nil"/>
            </w:tcBorders>
            <w:vAlign w:val="center"/>
          </w:tcPr>
          <w:p w14:paraId="33111F59"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2EC727F"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33F151D2"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4BDCBD68" w14:textId="710C08A3" w:rsidR="00A56843" w:rsidRPr="00A13DC2" w:rsidRDefault="00A56843" w:rsidP="00A56843">
            <w:pPr>
              <w:spacing w:after="0" w:line="240" w:lineRule="auto"/>
              <w:jc w:val="right"/>
              <w:rPr>
                <w:b/>
                <w:bCs/>
                <w:color w:val="000000"/>
                <w:sz w:val="20"/>
                <w:szCs w:val="20"/>
                <w:highlight w:val="yellow"/>
              </w:rPr>
            </w:pPr>
            <w:r w:rsidRPr="00A13DC2">
              <w:rPr>
                <w:b/>
                <w:bCs/>
                <w:color w:val="000000"/>
                <w:sz w:val="20"/>
                <w:szCs w:val="20"/>
              </w:rPr>
              <w:t>29.823</w:t>
            </w:r>
          </w:p>
        </w:tc>
        <w:tc>
          <w:tcPr>
            <w:tcW w:w="972" w:type="dxa"/>
            <w:vMerge w:val="restart"/>
            <w:tcBorders>
              <w:top w:val="single" w:sz="4" w:space="0" w:color="auto"/>
              <w:left w:val="nil"/>
              <w:right w:val="nil"/>
            </w:tcBorders>
            <w:noWrap/>
            <w:vAlign w:val="center"/>
          </w:tcPr>
          <w:p w14:paraId="6E5B09A2" w14:textId="77777777" w:rsidR="00A56843" w:rsidRPr="00A13DC2" w:rsidRDefault="00A56843" w:rsidP="00A56843">
            <w:pPr>
              <w:spacing w:after="0" w:line="240" w:lineRule="auto"/>
              <w:jc w:val="right"/>
              <w:rPr>
                <w:b/>
                <w:bCs/>
                <w:color w:val="000000"/>
                <w:sz w:val="20"/>
                <w:szCs w:val="20"/>
              </w:rPr>
            </w:pPr>
            <w:r w:rsidRPr="00A13DC2">
              <w:rPr>
                <w:b/>
                <w:bCs/>
                <w:color w:val="000000"/>
                <w:sz w:val="20"/>
                <w:szCs w:val="20"/>
              </w:rPr>
              <w:t>3.544</w:t>
            </w:r>
          </w:p>
        </w:tc>
        <w:tc>
          <w:tcPr>
            <w:tcW w:w="939" w:type="dxa"/>
            <w:vMerge w:val="restart"/>
            <w:tcBorders>
              <w:top w:val="single" w:sz="4" w:space="0" w:color="auto"/>
              <w:left w:val="nil"/>
              <w:right w:val="nil"/>
            </w:tcBorders>
            <w:noWrap/>
            <w:vAlign w:val="center"/>
          </w:tcPr>
          <w:p w14:paraId="358D774D" w14:textId="77777777" w:rsidR="00A56843" w:rsidRPr="00A13DC2" w:rsidRDefault="00A56843" w:rsidP="00A56843">
            <w:pPr>
              <w:spacing w:after="0" w:line="240" w:lineRule="auto"/>
              <w:jc w:val="right"/>
              <w:rPr>
                <w:b/>
                <w:bCs/>
                <w:color w:val="000000"/>
                <w:sz w:val="20"/>
                <w:szCs w:val="20"/>
              </w:rPr>
            </w:pPr>
            <w:r w:rsidRPr="00A13DC2">
              <w:rPr>
                <w:b/>
                <w:bCs/>
                <w:color w:val="000000"/>
                <w:sz w:val="20"/>
                <w:szCs w:val="20"/>
              </w:rPr>
              <w:t>&lt;0.001</w:t>
            </w:r>
          </w:p>
        </w:tc>
        <w:tc>
          <w:tcPr>
            <w:tcW w:w="1767" w:type="dxa"/>
            <w:tcBorders>
              <w:top w:val="single" w:sz="4" w:space="0" w:color="auto"/>
              <w:left w:val="nil"/>
              <w:bottom w:val="nil"/>
              <w:right w:val="nil"/>
            </w:tcBorders>
            <w:noWrap/>
            <w:vAlign w:val="center"/>
          </w:tcPr>
          <w:p w14:paraId="0F268A96" w14:textId="402B0262" w:rsidR="00A56843" w:rsidRPr="00A13DC2" w:rsidRDefault="00A56843" w:rsidP="00A56843">
            <w:pPr>
              <w:spacing w:after="0" w:line="240" w:lineRule="auto"/>
              <w:jc w:val="right"/>
              <w:rPr>
                <w:b/>
                <w:bCs/>
                <w:color w:val="000000"/>
                <w:sz w:val="20"/>
                <w:szCs w:val="20"/>
                <w:highlight w:val="yellow"/>
              </w:rPr>
            </w:pPr>
            <w:r w:rsidRPr="00A13DC2">
              <w:rPr>
                <w:b/>
                <w:bCs/>
                <w:color w:val="000000"/>
                <w:sz w:val="20"/>
                <w:szCs w:val="20"/>
              </w:rPr>
              <w:t>[12.637, 49.631]</w:t>
            </w:r>
          </w:p>
        </w:tc>
      </w:tr>
      <w:tr w:rsidR="00A56843" w:rsidRPr="00452304" w14:paraId="76076F30" w14:textId="77777777" w:rsidTr="00A56843">
        <w:trPr>
          <w:trHeight w:val="320"/>
        </w:trPr>
        <w:tc>
          <w:tcPr>
            <w:tcW w:w="918" w:type="dxa"/>
            <w:vMerge/>
            <w:tcBorders>
              <w:left w:val="nil"/>
              <w:bottom w:val="single" w:sz="4" w:space="0" w:color="auto"/>
              <w:right w:val="nil"/>
            </w:tcBorders>
            <w:vAlign w:val="center"/>
          </w:tcPr>
          <w:p w14:paraId="7D531FB4"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8F43EEA"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D1E80E2"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26432AE8" w14:textId="232F30C2" w:rsidR="00A56843" w:rsidRPr="00A13DC2" w:rsidRDefault="00A56843" w:rsidP="00A56843">
            <w:pPr>
              <w:spacing w:after="0" w:line="240" w:lineRule="auto"/>
              <w:jc w:val="right"/>
              <w:rPr>
                <w:b/>
                <w:bCs/>
                <w:color w:val="000000"/>
                <w:sz w:val="20"/>
                <w:szCs w:val="20"/>
                <w:highlight w:val="yellow"/>
              </w:rPr>
            </w:pPr>
            <w:r w:rsidRPr="00A13DC2">
              <w:rPr>
                <w:b/>
                <w:bCs/>
                <w:color w:val="000000"/>
                <w:sz w:val="20"/>
                <w:szCs w:val="20"/>
              </w:rPr>
              <w:t>46.375</w:t>
            </w:r>
          </w:p>
        </w:tc>
        <w:tc>
          <w:tcPr>
            <w:tcW w:w="972" w:type="dxa"/>
            <w:vMerge/>
            <w:tcBorders>
              <w:left w:val="nil"/>
              <w:bottom w:val="single" w:sz="4" w:space="0" w:color="auto"/>
              <w:right w:val="nil"/>
            </w:tcBorders>
            <w:noWrap/>
            <w:vAlign w:val="center"/>
          </w:tcPr>
          <w:p w14:paraId="79D1C0B9" w14:textId="77777777" w:rsidR="00A56843" w:rsidRPr="00A13DC2" w:rsidRDefault="00A56843" w:rsidP="00A56843">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7EDB6D1E" w14:textId="77777777" w:rsidR="00A56843" w:rsidRPr="00A13DC2" w:rsidRDefault="00A56843" w:rsidP="00A56843">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42F6181A" w14:textId="49A5B57B" w:rsidR="00A56843" w:rsidRPr="00A13DC2" w:rsidRDefault="00A56843" w:rsidP="00A56843">
            <w:pPr>
              <w:spacing w:after="0" w:line="240" w:lineRule="auto"/>
              <w:jc w:val="right"/>
              <w:rPr>
                <w:b/>
                <w:bCs/>
                <w:color w:val="000000"/>
                <w:sz w:val="20"/>
                <w:szCs w:val="20"/>
                <w:highlight w:val="yellow"/>
              </w:rPr>
            </w:pPr>
            <w:r w:rsidRPr="00A13DC2">
              <w:rPr>
                <w:b/>
                <w:bCs/>
                <w:color w:val="000000"/>
                <w:sz w:val="20"/>
                <w:szCs w:val="20"/>
              </w:rPr>
              <w:t>[28.660, 66.529]</w:t>
            </w:r>
          </w:p>
        </w:tc>
      </w:tr>
      <w:tr w:rsidR="00A56843" w:rsidRPr="00452304" w14:paraId="7D926F2A" w14:textId="77777777" w:rsidTr="00A56843">
        <w:trPr>
          <w:trHeight w:val="320"/>
        </w:trPr>
        <w:tc>
          <w:tcPr>
            <w:tcW w:w="918" w:type="dxa"/>
            <w:vMerge w:val="restart"/>
            <w:tcBorders>
              <w:top w:val="single" w:sz="4" w:space="0" w:color="auto"/>
              <w:left w:val="nil"/>
              <w:right w:val="nil"/>
            </w:tcBorders>
            <w:vAlign w:val="center"/>
          </w:tcPr>
          <w:p w14:paraId="16418B29" w14:textId="77777777" w:rsidR="00A56843" w:rsidRPr="009D19EF" w:rsidRDefault="00A56843" w:rsidP="00A56843">
            <w:pPr>
              <w:spacing w:after="0" w:line="240" w:lineRule="auto"/>
              <w:rPr>
                <w:rFonts w:eastAsia="Times New Roman"/>
                <w:color w:val="000000"/>
                <w:kern w:val="0"/>
                <w:sz w:val="20"/>
                <w:szCs w:val="20"/>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area</w:t>
            </w:r>
            <w:proofErr w:type="spellEnd"/>
          </w:p>
        </w:tc>
        <w:tc>
          <w:tcPr>
            <w:tcW w:w="1178" w:type="dxa"/>
            <w:vMerge w:val="restart"/>
            <w:tcBorders>
              <w:top w:val="single" w:sz="4" w:space="0" w:color="auto"/>
              <w:left w:val="nil"/>
              <w:right w:val="nil"/>
            </w:tcBorders>
            <w:noWrap/>
            <w:vAlign w:val="center"/>
          </w:tcPr>
          <w:p w14:paraId="6B846DFF"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527CC220"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17303472" w14:textId="73F3197B"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-4.591</w:t>
            </w:r>
          </w:p>
        </w:tc>
        <w:tc>
          <w:tcPr>
            <w:tcW w:w="972" w:type="dxa"/>
            <w:vMerge w:val="restart"/>
            <w:tcBorders>
              <w:top w:val="single" w:sz="4" w:space="0" w:color="auto"/>
              <w:left w:val="nil"/>
              <w:right w:val="nil"/>
            </w:tcBorders>
            <w:noWrap/>
            <w:vAlign w:val="center"/>
          </w:tcPr>
          <w:p w14:paraId="2F58C5B1" w14:textId="428B83C8" w:rsidR="00A56843" w:rsidRPr="00A56843" w:rsidRDefault="00A56843" w:rsidP="00A56843">
            <w:pPr>
              <w:spacing w:after="0" w:line="240" w:lineRule="auto"/>
              <w:jc w:val="right"/>
              <w:rPr>
                <w:color w:val="000000"/>
                <w:sz w:val="20"/>
                <w:szCs w:val="20"/>
              </w:rPr>
            </w:pPr>
            <w:r w:rsidRPr="00A56843">
              <w:rPr>
                <w:color w:val="000000"/>
                <w:sz w:val="20"/>
                <w:szCs w:val="20"/>
              </w:rPr>
              <w:t>-0.129</w:t>
            </w:r>
          </w:p>
        </w:tc>
        <w:tc>
          <w:tcPr>
            <w:tcW w:w="939" w:type="dxa"/>
            <w:vMerge w:val="restart"/>
            <w:tcBorders>
              <w:top w:val="single" w:sz="4" w:space="0" w:color="auto"/>
              <w:left w:val="nil"/>
              <w:right w:val="nil"/>
            </w:tcBorders>
            <w:noWrap/>
            <w:vAlign w:val="center"/>
          </w:tcPr>
          <w:p w14:paraId="7BA4EDB1" w14:textId="4E3B1FEA" w:rsidR="00A56843" w:rsidRPr="00A56843" w:rsidRDefault="00A56843" w:rsidP="00A56843">
            <w:pPr>
              <w:spacing w:after="0" w:line="240" w:lineRule="auto"/>
              <w:jc w:val="right"/>
              <w:rPr>
                <w:color w:val="000000"/>
                <w:sz w:val="20"/>
                <w:szCs w:val="20"/>
              </w:rPr>
            </w:pPr>
            <w:r w:rsidRPr="00A56843">
              <w:rPr>
                <w:color w:val="000000"/>
                <w:sz w:val="20"/>
                <w:szCs w:val="20"/>
              </w:rPr>
              <w:t>0.897</w:t>
            </w:r>
          </w:p>
        </w:tc>
        <w:tc>
          <w:tcPr>
            <w:tcW w:w="1767" w:type="dxa"/>
            <w:tcBorders>
              <w:top w:val="single" w:sz="4" w:space="0" w:color="auto"/>
              <w:left w:val="nil"/>
              <w:bottom w:val="nil"/>
              <w:right w:val="nil"/>
            </w:tcBorders>
            <w:noWrap/>
            <w:vAlign w:val="center"/>
          </w:tcPr>
          <w:p w14:paraId="013F89B4" w14:textId="09A0D678"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[-20.943, 15.027]</w:t>
            </w:r>
          </w:p>
        </w:tc>
      </w:tr>
      <w:tr w:rsidR="00A56843" w:rsidRPr="00452304" w14:paraId="437DA4E7" w14:textId="77777777" w:rsidTr="00A56843">
        <w:trPr>
          <w:trHeight w:val="320"/>
        </w:trPr>
        <w:tc>
          <w:tcPr>
            <w:tcW w:w="918" w:type="dxa"/>
            <w:vMerge/>
            <w:tcBorders>
              <w:left w:val="nil"/>
              <w:right w:val="nil"/>
            </w:tcBorders>
          </w:tcPr>
          <w:p w14:paraId="75BFA7F9"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49C01A7"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FF849CB"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7333E0B0" w14:textId="493EB8DA"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-5.446</w:t>
            </w:r>
          </w:p>
        </w:tc>
        <w:tc>
          <w:tcPr>
            <w:tcW w:w="972" w:type="dxa"/>
            <w:vMerge/>
            <w:tcBorders>
              <w:left w:val="nil"/>
              <w:bottom w:val="single" w:sz="4" w:space="0" w:color="auto"/>
              <w:right w:val="nil"/>
            </w:tcBorders>
            <w:noWrap/>
            <w:vAlign w:val="center"/>
          </w:tcPr>
          <w:p w14:paraId="283FA804" w14:textId="77777777" w:rsidR="00A56843" w:rsidRPr="00A56843" w:rsidRDefault="00A56843" w:rsidP="00A56843">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2D1D6078" w14:textId="77777777" w:rsidR="00A56843" w:rsidRPr="00A56843" w:rsidRDefault="00A56843" w:rsidP="00A56843">
            <w:pPr>
              <w:spacing w:after="0" w:line="240" w:lineRule="auto"/>
              <w:jc w:val="right"/>
              <w:rPr>
                <w:color w:val="000000"/>
                <w:sz w:val="20"/>
                <w:szCs w:val="20"/>
              </w:rPr>
            </w:pPr>
          </w:p>
        </w:tc>
        <w:tc>
          <w:tcPr>
            <w:tcW w:w="1767" w:type="dxa"/>
            <w:tcBorders>
              <w:top w:val="nil"/>
              <w:left w:val="nil"/>
              <w:bottom w:val="single" w:sz="4" w:space="0" w:color="auto"/>
              <w:right w:val="nil"/>
            </w:tcBorders>
            <w:noWrap/>
            <w:vAlign w:val="center"/>
          </w:tcPr>
          <w:p w14:paraId="5B0AAC37" w14:textId="7CB9C315"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[-17.799, 8.654]</w:t>
            </w:r>
          </w:p>
        </w:tc>
      </w:tr>
      <w:tr w:rsidR="00A56843" w:rsidRPr="00452304" w14:paraId="597C9566" w14:textId="77777777" w:rsidTr="00A56843">
        <w:trPr>
          <w:trHeight w:val="320"/>
        </w:trPr>
        <w:tc>
          <w:tcPr>
            <w:tcW w:w="918" w:type="dxa"/>
            <w:vMerge/>
            <w:tcBorders>
              <w:left w:val="nil"/>
              <w:right w:val="nil"/>
            </w:tcBorders>
          </w:tcPr>
          <w:p w14:paraId="462C1379"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3F3F5D4"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612A9CEE"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3AD34B46" w14:textId="537D5EAD"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194.763</w:t>
            </w:r>
          </w:p>
        </w:tc>
        <w:tc>
          <w:tcPr>
            <w:tcW w:w="972" w:type="dxa"/>
            <w:vMerge w:val="restart"/>
            <w:tcBorders>
              <w:top w:val="single" w:sz="4" w:space="0" w:color="auto"/>
              <w:left w:val="nil"/>
              <w:right w:val="nil"/>
            </w:tcBorders>
            <w:noWrap/>
            <w:vAlign w:val="center"/>
          </w:tcPr>
          <w:p w14:paraId="56FB9D16" w14:textId="06FEC14F" w:rsidR="00A56843" w:rsidRPr="00A56843" w:rsidRDefault="00A56843" w:rsidP="00A56843">
            <w:pPr>
              <w:spacing w:after="0" w:line="240" w:lineRule="auto"/>
              <w:jc w:val="right"/>
              <w:rPr>
                <w:b/>
                <w:bCs/>
                <w:color w:val="000000"/>
                <w:sz w:val="20"/>
                <w:szCs w:val="20"/>
              </w:rPr>
            </w:pPr>
            <w:r w:rsidRPr="00A56843">
              <w:rPr>
                <w:b/>
                <w:bCs/>
                <w:color w:val="000000"/>
                <w:sz w:val="20"/>
                <w:szCs w:val="20"/>
              </w:rPr>
              <w:t>-8.585</w:t>
            </w:r>
          </w:p>
        </w:tc>
        <w:tc>
          <w:tcPr>
            <w:tcW w:w="939" w:type="dxa"/>
            <w:vMerge w:val="restart"/>
            <w:tcBorders>
              <w:top w:val="single" w:sz="4" w:space="0" w:color="auto"/>
              <w:left w:val="nil"/>
              <w:right w:val="nil"/>
            </w:tcBorders>
            <w:noWrap/>
            <w:vAlign w:val="center"/>
          </w:tcPr>
          <w:p w14:paraId="0DC63AF9" w14:textId="2B29E1EF" w:rsidR="00A56843" w:rsidRPr="00A56843" w:rsidRDefault="00A56843" w:rsidP="00A56843">
            <w:pPr>
              <w:spacing w:after="0" w:line="240" w:lineRule="auto"/>
              <w:jc w:val="right"/>
              <w:rPr>
                <w:b/>
                <w:bCs/>
                <w:color w:val="000000"/>
                <w:sz w:val="20"/>
                <w:szCs w:val="20"/>
              </w:rPr>
            </w:pPr>
            <w:r w:rsidRPr="00A56843">
              <w:rPr>
                <w:b/>
                <w:bCs/>
                <w:color w:val="000000"/>
                <w:sz w:val="20"/>
                <w:szCs w:val="20"/>
              </w:rPr>
              <w:t>&lt;0.001</w:t>
            </w:r>
          </w:p>
        </w:tc>
        <w:tc>
          <w:tcPr>
            <w:tcW w:w="1767" w:type="dxa"/>
            <w:tcBorders>
              <w:top w:val="single" w:sz="4" w:space="0" w:color="auto"/>
              <w:left w:val="nil"/>
              <w:bottom w:val="nil"/>
              <w:right w:val="nil"/>
            </w:tcBorders>
            <w:noWrap/>
            <w:vAlign w:val="center"/>
          </w:tcPr>
          <w:p w14:paraId="08D11E1B" w14:textId="6702B5FC"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[126.144, 284.203]</w:t>
            </w:r>
          </w:p>
        </w:tc>
      </w:tr>
      <w:tr w:rsidR="00A56843" w:rsidRPr="00452304" w14:paraId="01570233" w14:textId="77777777" w:rsidTr="00A56843">
        <w:trPr>
          <w:trHeight w:val="320"/>
        </w:trPr>
        <w:tc>
          <w:tcPr>
            <w:tcW w:w="918" w:type="dxa"/>
            <w:vMerge/>
            <w:tcBorders>
              <w:left w:val="nil"/>
              <w:right w:val="nil"/>
            </w:tcBorders>
          </w:tcPr>
          <w:p w14:paraId="1B7C4E9C"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AE08760"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2B6130A"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7E054411" w14:textId="76E913F1"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60.159</w:t>
            </w:r>
          </w:p>
        </w:tc>
        <w:tc>
          <w:tcPr>
            <w:tcW w:w="972" w:type="dxa"/>
            <w:vMerge/>
            <w:tcBorders>
              <w:left w:val="nil"/>
              <w:bottom w:val="single" w:sz="4" w:space="0" w:color="auto"/>
              <w:right w:val="nil"/>
            </w:tcBorders>
            <w:noWrap/>
            <w:vAlign w:val="center"/>
          </w:tcPr>
          <w:p w14:paraId="2B112D6C" w14:textId="77777777" w:rsidR="00A56843" w:rsidRPr="00A56843" w:rsidRDefault="00A56843" w:rsidP="00A56843">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4D085BA1" w14:textId="77777777" w:rsidR="00A56843" w:rsidRPr="00A56843" w:rsidRDefault="00A56843" w:rsidP="00A56843">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54B00FB2" w14:textId="6D203B87"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[26.617, 102.587]</w:t>
            </w:r>
          </w:p>
        </w:tc>
      </w:tr>
      <w:tr w:rsidR="00A56843" w:rsidRPr="00452304" w14:paraId="08F2EAA6" w14:textId="77777777" w:rsidTr="00A56843">
        <w:trPr>
          <w:trHeight w:val="320"/>
        </w:trPr>
        <w:tc>
          <w:tcPr>
            <w:tcW w:w="918" w:type="dxa"/>
            <w:vMerge/>
            <w:tcBorders>
              <w:left w:val="nil"/>
              <w:right w:val="nil"/>
            </w:tcBorders>
          </w:tcPr>
          <w:p w14:paraId="01FC0C8A"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D79AB7A"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7FB44623"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41F3A400" w14:textId="64C9011A"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50.381</w:t>
            </w:r>
          </w:p>
        </w:tc>
        <w:tc>
          <w:tcPr>
            <w:tcW w:w="972" w:type="dxa"/>
            <w:vMerge w:val="restart"/>
            <w:tcBorders>
              <w:top w:val="single" w:sz="4" w:space="0" w:color="auto"/>
              <w:left w:val="nil"/>
              <w:right w:val="nil"/>
            </w:tcBorders>
            <w:noWrap/>
            <w:vAlign w:val="center"/>
          </w:tcPr>
          <w:p w14:paraId="3AE7746F" w14:textId="746C4B1A" w:rsidR="00A56843" w:rsidRPr="00A56843" w:rsidRDefault="00A56843" w:rsidP="00A56843">
            <w:pPr>
              <w:spacing w:after="0" w:line="240" w:lineRule="auto"/>
              <w:jc w:val="right"/>
              <w:rPr>
                <w:color w:val="000000"/>
                <w:sz w:val="20"/>
                <w:szCs w:val="20"/>
              </w:rPr>
            </w:pPr>
            <w:r w:rsidRPr="00A56843">
              <w:rPr>
                <w:color w:val="000000"/>
                <w:sz w:val="20"/>
                <w:szCs w:val="20"/>
              </w:rPr>
              <w:t>-0.294</w:t>
            </w:r>
          </w:p>
        </w:tc>
        <w:tc>
          <w:tcPr>
            <w:tcW w:w="939" w:type="dxa"/>
            <w:vMerge w:val="restart"/>
            <w:tcBorders>
              <w:top w:val="single" w:sz="4" w:space="0" w:color="auto"/>
              <w:left w:val="nil"/>
              <w:right w:val="nil"/>
            </w:tcBorders>
            <w:noWrap/>
            <w:vAlign w:val="center"/>
          </w:tcPr>
          <w:p w14:paraId="5C6A9765" w14:textId="4284B34C" w:rsidR="00A56843" w:rsidRPr="00A56843" w:rsidRDefault="00A56843" w:rsidP="00A56843">
            <w:pPr>
              <w:spacing w:after="0" w:line="240" w:lineRule="auto"/>
              <w:jc w:val="right"/>
              <w:rPr>
                <w:color w:val="000000"/>
                <w:sz w:val="20"/>
                <w:szCs w:val="20"/>
              </w:rPr>
            </w:pPr>
            <w:r w:rsidRPr="00A56843">
              <w:rPr>
                <w:color w:val="000000"/>
                <w:sz w:val="20"/>
                <w:szCs w:val="20"/>
              </w:rPr>
              <w:t>0.769</w:t>
            </w:r>
          </w:p>
        </w:tc>
        <w:tc>
          <w:tcPr>
            <w:tcW w:w="1767" w:type="dxa"/>
            <w:tcBorders>
              <w:top w:val="single" w:sz="4" w:space="0" w:color="auto"/>
              <w:left w:val="nil"/>
              <w:bottom w:val="nil"/>
              <w:right w:val="nil"/>
            </w:tcBorders>
            <w:noWrap/>
            <w:vAlign w:val="center"/>
          </w:tcPr>
          <w:p w14:paraId="003EEC11" w14:textId="75300254"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[18.412, 90.98</w:t>
            </w:r>
            <w:r>
              <w:rPr>
                <w:color w:val="000000"/>
                <w:sz w:val="20"/>
                <w:szCs w:val="20"/>
              </w:rPr>
              <w:t>0</w:t>
            </w:r>
            <w:r w:rsidRPr="00A56843">
              <w:rPr>
                <w:color w:val="000000"/>
                <w:sz w:val="20"/>
                <w:szCs w:val="20"/>
              </w:rPr>
              <w:t>]</w:t>
            </w:r>
          </w:p>
        </w:tc>
      </w:tr>
      <w:tr w:rsidR="00A56843" w:rsidRPr="00452304" w14:paraId="3A873043" w14:textId="77777777" w:rsidTr="00A56843">
        <w:trPr>
          <w:trHeight w:val="320"/>
        </w:trPr>
        <w:tc>
          <w:tcPr>
            <w:tcW w:w="918" w:type="dxa"/>
            <w:vMerge/>
            <w:tcBorders>
              <w:left w:val="nil"/>
              <w:bottom w:val="single" w:sz="4" w:space="0" w:color="auto"/>
              <w:right w:val="nil"/>
            </w:tcBorders>
          </w:tcPr>
          <w:p w14:paraId="6A2084B2"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C8F9730"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BA80AFE"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68BA842B" w14:textId="33D68587"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47.108</w:t>
            </w:r>
          </w:p>
        </w:tc>
        <w:tc>
          <w:tcPr>
            <w:tcW w:w="972" w:type="dxa"/>
            <w:vMerge/>
            <w:tcBorders>
              <w:left w:val="nil"/>
              <w:bottom w:val="single" w:sz="4" w:space="0" w:color="auto"/>
              <w:right w:val="nil"/>
            </w:tcBorders>
            <w:noWrap/>
            <w:vAlign w:val="center"/>
          </w:tcPr>
          <w:p w14:paraId="566D53EA" w14:textId="77777777" w:rsidR="00A56843" w:rsidRPr="00A56843" w:rsidRDefault="00A56843" w:rsidP="00A56843">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3B39203C" w14:textId="77777777" w:rsidR="00A56843" w:rsidRPr="00A56843" w:rsidRDefault="00A56843" w:rsidP="00A56843">
            <w:pPr>
              <w:spacing w:after="0" w:line="240" w:lineRule="auto"/>
              <w:jc w:val="right"/>
              <w:rPr>
                <w:color w:val="000000"/>
                <w:sz w:val="20"/>
                <w:szCs w:val="20"/>
              </w:rPr>
            </w:pPr>
          </w:p>
        </w:tc>
        <w:tc>
          <w:tcPr>
            <w:tcW w:w="1767" w:type="dxa"/>
            <w:tcBorders>
              <w:top w:val="nil"/>
              <w:left w:val="nil"/>
              <w:bottom w:val="single" w:sz="4" w:space="0" w:color="auto"/>
              <w:right w:val="nil"/>
            </w:tcBorders>
            <w:noWrap/>
            <w:vAlign w:val="center"/>
          </w:tcPr>
          <w:p w14:paraId="19966AAD" w14:textId="249D0B74"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[19.961, 80.579]</w:t>
            </w:r>
          </w:p>
        </w:tc>
      </w:tr>
      <w:tr w:rsidR="00A56843" w:rsidRPr="00452304" w14:paraId="4D3BCF53" w14:textId="77777777" w:rsidTr="00A56843">
        <w:trPr>
          <w:trHeight w:val="320"/>
        </w:trPr>
        <w:tc>
          <w:tcPr>
            <w:tcW w:w="918" w:type="dxa"/>
            <w:vMerge w:val="restart"/>
            <w:tcBorders>
              <w:top w:val="single" w:sz="4" w:space="0" w:color="auto"/>
              <w:left w:val="nil"/>
              <w:right w:val="nil"/>
            </w:tcBorders>
          </w:tcPr>
          <w:p w14:paraId="02E5EA2B" w14:textId="5715CEDB" w:rsidR="00A56843" w:rsidRPr="00620CAA" w:rsidRDefault="00A56843" w:rsidP="00A5684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Leaf N:P</w:t>
            </w:r>
          </w:p>
        </w:tc>
        <w:tc>
          <w:tcPr>
            <w:tcW w:w="1178" w:type="dxa"/>
            <w:vMerge w:val="restart"/>
            <w:tcBorders>
              <w:top w:val="single" w:sz="4" w:space="0" w:color="auto"/>
              <w:left w:val="nil"/>
              <w:right w:val="nil"/>
            </w:tcBorders>
            <w:noWrap/>
            <w:vAlign w:val="center"/>
          </w:tcPr>
          <w:p w14:paraId="4955364F" w14:textId="420DFDC0"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65114180" w14:textId="2DCC928E" w:rsidR="00A56843" w:rsidRDefault="00A56843" w:rsidP="00A5684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620AC34F" w14:textId="47CD5DDD" w:rsidR="00A56843" w:rsidRPr="00A56843" w:rsidRDefault="00A56843" w:rsidP="00A56843">
            <w:pPr>
              <w:spacing w:after="0" w:line="240" w:lineRule="auto"/>
              <w:jc w:val="right"/>
              <w:rPr>
                <w:i/>
                <w:iCs/>
                <w:color w:val="000000"/>
                <w:sz w:val="20"/>
                <w:szCs w:val="20"/>
                <w:highlight w:val="yellow"/>
              </w:rPr>
            </w:pPr>
            <w:r w:rsidRPr="00A56843">
              <w:rPr>
                <w:i/>
                <w:iCs/>
                <w:color w:val="000000"/>
                <w:sz w:val="20"/>
                <w:szCs w:val="20"/>
              </w:rPr>
              <w:t>5.654</w:t>
            </w:r>
          </w:p>
        </w:tc>
        <w:tc>
          <w:tcPr>
            <w:tcW w:w="972" w:type="dxa"/>
            <w:vMerge w:val="restart"/>
            <w:tcBorders>
              <w:top w:val="single" w:sz="4" w:space="0" w:color="auto"/>
              <w:left w:val="nil"/>
              <w:right w:val="nil"/>
            </w:tcBorders>
            <w:noWrap/>
            <w:vAlign w:val="center"/>
          </w:tcPr>
          <w:p w14:paraId="51F3988C" w14:textId="3D3B7638" w:rsidR="00A56843" w:rsidRPr="00A56843" w:rsidRDefault="00A56843" w:rsidP="00A56843">
            <w:pPr>
              <w:spacing w:after="0" w:line="240" w:lineRule="auto"/>
              <w:jc w:val="right"/>
              <w:rPr>
                <w:i/>
                <w:iCs/>
                <w:color w:val="000000"/>
                <w:sz w:val="20"/>
                <w:szCs w:val="20"/>
              </w:rPr>
            </w:pPr>
            <w:r w:rsidRPr="00A56843">
              <w:rPr>
                <w:i/>
                <w:iCs/>
                <w:color w:val="000000"/>
                <w:sz w:val="20"/>
                <w:szCs w:val="20"/>
              </w:rPr>
              <w:t>1.93</w:t>
            </w:r>
            <w:r>
              <w:rPr>
                <w:i/>
                <w:iCs/>
                <w:color w:val="000000"/>
                <w:sz w:val="20"/>
                <w:szCs w:val="20"/>
              </w:rPr>
              <w:t>0</w:t>
            </w:r>
          </w:p>
        </w:tc>
        <w:tc>
          <w:tcPr>
            <w:tcW w:w="939" w:type="dxa"/>
            <w:vMerge w:val="restart"/>
            <w:tcBorders>
              <w:top w:val="single" w:sz="4" w:space="0" w:color="auto"/>
              <w:left w:val="nil"/>
              <w:right w:val="nil"/>
            </w:tcBorders>
            <w:noWrap/>
            <w:vAlign w:val="center"/>
          </w:tcPr>
          <w:p w14:paraId="09300D74" w14:textId="6EB2FA9D" w:rsidR="00A56843" w:rsidRPr="00A56843" w:rsidRDefault="00A56843" w:rsidP="00A56843">
            <w:pPr>
              <w:spacing w:after="0" w:line="240" w:lineRule="auto"/>
              <w:jc w:val="right"/>
              <w:rPr>
                <w:i/>
                <w:iCs/>
                <w:color w:val="000000"/>
                <w:sz w:val="20"/>
                <w:szCs w:val="20"/>
              </w:rPr>
            </w:pPr>
            <w:r w:rsidRPr="00A56843">
              <w:rPr>
                <w:i/>
                <w:iCs/>
                <w:color w:val="000000"/>
                <w:sz w:val="20"/>
                <w:szCs w:val="20"/>
              </w:rPr>
              <w:t>0.054</w:t>
            </w:r>
          </w:p>
        </w:tc>
        <w:tc>
          <w:tcPr>
            <w:tcW w:w="1767" w:type="dxa"/>
            <w:tcBorders>
              <w:top w:val="single" w:sz="4" w:space="0" w:color="auto"/>
              <w:left w:val="nil"/>
              <w:bottom w:val="nil"/>
              <w:right w:val="nil"/>
            </w:tcBorders>
            <w:noWrap/>
            <w:vAlign w:val="center"/>
          </w:tcPr>
          <w:p w14:paraId="1380BF69" w14:textId="37CD15BE" w:rsidR="00A56843" w:rsidRPr="00A56843" w:rsidRDefault="00A56843" w:rsidP="00A56843">
            <w:pPr>
              <w:spacing w:after="0" w:line="240" w:lineRule="auto"/>
              <w:jc w:val="right"/>
              <w:rPr>
                <w:i/>
                <w:iCs/>
                <w:color w:val="000000"/>
                <w:sz w:val="20"/>
                <w:szCs w:val="20"/>
                <w:highlight w:val="yellow"/>
              </w:rPr>
            </w:pPr>
            <w:r w:rsidRPr="00A56843">
              <w:rPr>
                <w:i/>
                <w:iCs/>
                <w:color w:val="000000"/>
                <w:sz w:val="20"/>
                <w:szCs w:val="20"/>
              </w:rPr>
              <w:t>[-8.698, 22.262]</w:t>
            </w:r>
          </w:p>
        </w:tc>
      </w:tr>
      <w:tr w:rsidR="00A56843" w:rsidRPr="00452304" w14:paraId="44AFE351" w14:textId="77777777" w:rsidTr="00A56843">
        <w:trPr>
          <w:trHeight w:val="320"/>
        </w:trPr>
        <w:tc>
          <w:tcPr>
            <w:tcW w:w="918" w:type="dxa"/>
            <w:vMerge/>
            <w:tcBorders>
              <w:left w:val="nil"/>
              <w:right w:val="nil"/>
            </w:tcBorders>
          </w:tcPr>
          <w:p w14:paraId="0A8D7521"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FD31B86"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0D3C7C9" w14:textId="1C1F2954" w:rsidR="00A56843" w:rsidRDefault="00A56843" w:rsidP="00A5684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27A43746" w14:textId="2C96CE9D" w:rsidR="00A56843" w:rsidRPr="00A56843" w:rsidRDefault="00A56843" w:rsidP="00A56843">
            <w:pPr>
              <w:spacing w:after="0" w:line="240" w:lineRule="auto"/>
              <w:jc w:val="right"/>
              <w:rPr>
                <w:i/>
                <w:iCs/>
                <w:color w:val="000000"/>
                <w:sz w:val="20"/>
                <w:szCs w:val="20"/>
                <w:highlight w:val="yellow"/>
              </w:rPr>
            </w:pPr>
            <w:r w:rsidRPr="00A56843">
              <w:rPr>
                <w:i/>
                <w:iCs/>
                <w:color w:val="000000"/>
                <w:sz w:val="20"/>
                <w:szCs w:val="20"/>
              </w:rPr>
              <w:t>19.125</w:t>
            </w:r>
          </w:p>
        </w:tc>
        <w:tc>
          <w:tcPr>
            <w:tcW w:w="972" w:type="dxa"/>
            <w:vMerge/>
            <w:tcBorders>
              <w:left w:val="nil"/>
              <w:bottom w:val="single" w:sz="4" w:space="0" w:color="auto"/>
              <w:right w:val="nil"/>
            </w:tcBorders>
            <w:noWrap/>
            <w:vAlign w:val="center"/>
          </w:tcPr>
          <w:p w14:paraId="61E93652" w14:textId="53CCE216" w:rsidR="00A56843" w:rsidRPr="00A56843" w:rsidRDefault="00A56843" w:rsidP="00A56843">
            <w:pPr>
              <w:spacing w:after="0" w:line="240" w:lineRule="auto"/>
              <w:jc w:val="right"/>
              <w:rPr>
                <w:i/>
                <w:iCs/>
                <w:color w:val="000000"/>
                <w:sz w:val="20"/>
                <w:szCs w:val="20"/>
              </w:rPr>
            </w:pPr>
          </w:p>
        </w:tc>
        <w:tc>
          <w:tcPr>
            <w:tcW w:w="939" w:type="dxa"/>
            <w:vMerge/>
            <w:tcBorders>
              <w:left w:val="nil"/>
              <w:bottom w:val="single" w:sz="4" w:space="0" w:color="auto"/>
              <w:right w:val="nil"/>
            </w:tcBorders>
            <w:noWrap/>
            <w:vAlign w:val="center"/>
          </w:tcPr>
          <w:p w14:paraId="4AD5C2FA" w14:textId="07E141FF" w:rsidR="00A56843" w:rsidRPr="00A56843" w:rsidRDefault="00A56843" w:rsidP="00A56843">
            <w:pPr>
              <w:spacing w:after="0" w:line="240" w:lineRule="auto"/>
              <w:jc w:val="right"/>
              <w:rPr>
                <w:i/>
                <w:iCs/>
                <w:color w:val="000000"/>
                <w:sz w:val="20"/>
                <w:szCs w:val="20"/>
              </w:rPr>
            </w:pPr>
          </w:p>
        </w:tc>
        <w:tc>
          <w:tcPr>
            <w:tcW w:w="1767" w:type="dxa"/>
            <w:tcBorders>
              <w:top w:val="nil"/>
              <w:left w:val="nil"/>
              <w:bottom w:val="single" w:sz="4" w:space="0" w:color="auto"/>
              <w:right w:val="nil"/>
            </w:tcBorders>
            <w:noWrap/>
            <w:vAlign w:val="center"/>
          </w:tcPr>
          <w:p w14:paraId="05A5CCD6" w14:textId="4DD637C4" w:rsidR="00A56843" w:rsidRPr="00A56843" w:rsidRDefault="00A56843" w:rsidP="00A56843">
            <w:pPr>
              <w:spacing w:after="0" w:line="240" w:lineRule="auto"/>
              <w:jc w:val="right"/>
              <w:rPr>
                <w:i/>
                <w:iCs/>
                <w:color w:val="000000"/>
                <w:sz w:val="20"/>
                <w:szCs w:val="20"/>
                <w:highlight w:val="yellow"/>
              </w:rPr>
            </w:pPr>
            <w:r w:rsidRPr="00A56843">
              <w:rPr>
                <w:i/>
                <w:iCs/>
                <w:color w:val="000000"/>
                <w:sz w:val="20"/>
                <w:szCs w:val="20"/>
              </w:rPr>
              <w:t>[8.004, 31.390]</w:t>
            </w:r>
          </w:p>
        </w:tc>
      </w:tr>
      <w:tr w:rsidR="00A56843" w:rsidRPr="00452304" w14:paraId="454FCAFB" w14:textId="77777777" w:rsidTr="00A56843">
        <w:trPr>
          <w:trHeight w:val="320"/>
        </w:trPr>
        <w:tc>
          <w:tcPr>
            <w:tcW w:w="918" w:type="dxa"/>
            <w:vMerge/>
            <w:tcBorders>
              <w:left w:val="nil"/>
              <w:right w:val="nil"/>
            </w:tcBorders>
          </w:tcPr>
          <w:p w14:paraId="2AB06F65"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DAE4EC8" w14:textId="728149E3"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3311275F" w14:textId="64FC8984" w:rsidR="00A56843" w:rsidRDefault="00A56843" w:rsidP="00A5684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342043C0" w14:textId="30812305"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-49.338</w:t>
            </w:r>
          </w:p>
        </w:tc>
        <w:tc>
          <w:tcPr>
            <w:tcW w:w="972" w:type="dxa"/>
            <w:vMerge w:val="restart"/>
            <w:tcBorders>
              <w:top w:val="single" w:sz="4" w:space="0" w:color="auto"/>
              <w:left w:val="nil"/>
              <w:right w:val="nil"/>
            </w:tcBorders>
            <w:noWrap/>
            <w:vAlign w:val="center"/>
          </w:tcPr>
          <w:p w14:paraId="54D3E73A" w14:textId="7352BC39" w:rsidR="00A56843" w:rsidRPr="00A56843" w:rsidRDefault="00A56843" w:rsidP="00A56843">
            <w:pPr>
              <w:spacing w:after="0" w:line="240" w:lineRule="auto"/>
              <w:jc w:val="right"/>
              <w:rPr>
                <w:b/>
                <w:bCs/>
                <w:color w:val="000000"/>
                <w:sz w:val="20"/>
                <w:szCs w:val="20"/>
              </w:rPr>
            </w:pPr>
            <w:r w:rsidRPr="00A56843">
              <w:rPr>
                <w:b/>
                <w:bCs/>
                <w:color w:val="000000"/>
                <w:sz w:val="20"/>
                <w:szCs w:val="20"/>
              </w:rPr>
              <w:t>4.918</w:t>
            </w:r>
          </w:p>
        </w:tc>
        <w:tc>
          <w:tcPr>
            <w:tcW w:w="939" w:type="dxa"/>
            <w:vMerge w:val="restart"/>
            <w:tcBorders>
              <w:top w:val="single" w:sz="4" w:space="0" w:color="auto"/>
              <w:left w:val="nil"/>
              <w:right w:val="nil"/>
            </w:tcBorders>
            <w:noWrap/>
            <w:vAlign w:val="center"/>
          </w:tcPr>
          <w:p w14:paraId="605A8B0A" w14:textId="480BBC3C" w:rsidR="00A56843" w:rsidRPr="00A56843" w:rsidRDefault="00A56843" w:rsidP="00A56843">
            <w:pPr>
              <w:spacing w:after="0" w:line="240" w:lineRule="auto"/>
              <w:jc w:val="right"/>
              <w:rPr>
                <w:b/>
                <w:bCs/>
                <w:color w:val="000000"/>
                <w:sz w:val="20"/>
                <w:szCs w:val="20"/>
              </w:rPr>
            </w:pPr>
            <w:r w:rsidRPr="00A56843">
              <w:rPr>
                <w:b/>
                <w:bCs/>
                <w:color w:val="000000"/>
                <w:sz w:val="20"/>
                <w:szCs w:val="20"/>
              </w:rPr>
              <w:t>&lt;0.001</w:t>
            </w:r>
          </w:p>
        </w:tc>
        <w:tc>
          <w:tcPr>
            <w:tcW w:w="1767" w:type="dxa"/>
            <w:tcBorders>
              <w:top w:val="single" w:sz="4" w:space="0" w:color="auto"/>
              <w:left w:val="nil"/>
              <w:bottom w:val="nil"/>
              <w:right w:val="nil"/>
            </w:tcBorders>
            <w:noWrap/>
            <w:vAlign w:val="center"/>
          </w:tcPr>
          <w:p w14:paraId="0C94D8DA" w14:textId="0C6207C1"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[-58.355, -38.430]</w:t>
            </w:r>
          </w:p>
        </w:tc>
      </w:tr>
      <w:tr w:rsidR="00A56843" w:rsidRPr="00452304" w14:paraId="7F91DE22" w14:textId="77777777" w:rsidTr="00A56843">
        <w:trPr>
          <w:trHeight w:val="320"/>
        </w:trPr>
        <w:tc>
          <w:tcPr>
            <w:tcW w:w="918" w:type="dxa"/>
            <w:vMerge/>
            <w:tcBorders>
              <w:left w:val="nil"/>
              <w:right w:val="nil"/>
            </w:tcBorders>
          </w:tcPr>
          <w:p w14:paraId="212AEA55"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66C8EFB"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DB5ED55" w14:textId="47347720" w:rsidR="00A56843" w:rsidRDefault="00A56843" w:rsidP="00A5684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175E878F" w14:textId="65294351"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-29.813</w:t>
            </w:r>
          </w:p>
        </w:tc>
        <w:tc>
          <w:tcPr>
            <w:tcW w:w="972" w:type="dxa"/>
            <w:vMerge/>
            <w:tcBorders>
              <w:left w:val="nil"/>
              <w:bottom w:val="single" w:sz="4" w:space="0" w:color="auto"/>
              <w:right w:val="nil"/>
            </w:tcBorders>
            <w:noWrap/>
            <w:vAlign w:val="center"/>
          </w:tcPr>
          <w:p w14:paraId="20833CD6" w14:textId="760A3749" w:rsidR="00A56843" w:rsidRPr="00A56843" w:rsidRDefault="00A56843" w:rsidP="00A56843">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65C1A6F2" w14:textId="46D22BA5" w:rsidR="00A56843" w:rsidRPr="00A56843" w:rsidRDefault="00A56843" w:rsidP="00A56843">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512E7D83" w14:textId="2E263F95"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[-39.890, -18.045]</w:t>
            </w:r>
          </w:p>
        </w:tc>
      </w:tr>
      <w:tr w:rsidR="00A56843" w:rsidRPr="00452304" w14:paraId="7F4AD695" w14:textId="77777777" w:rsidTr="00A56843">
        <w:trPr>
          <w:trHeight w:val="320"/>
        </w:trPr>
        <w:tc>
          <w:tcPr>
            <w:tcW w:w="918" w:type="dxa"/>
            <w:vMerge/>
            <w:tcBorders>
              <w:left w:val="nil"/>
              <w:right w:val="nil"/>
            </w:tcBorders>
          </w:tcPr>
          <w:p w14:paraId="1A03AC80"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9FD5E6E" w14:textId="42CAEF3A"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281C50B8" w14:textId="7E484D6C" w:rsidR="00A56843" w:rsidRDefault="00A56843" w:rsidP="00A5684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61516381" w14:textId="3816C781"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-31.340</w:t>
            </w:r>
          </w:p>
        </w:tc>
        <w:tc>
          <w:tcPr>
            <w:tcW w:w="972" w:type="dxa"/>
            <w:vMerge w:val="restart"/>
            <w:tcBorders>
              <w:top w:val="single" w:sz="4" w:space="0" w:color="auto"/>
              <w:left w:val="nil"/>
              <w:right w:val="nil"/>
            </w:tcBorders>
            <w:noWrap/>
            <w:vAlign w:val="center"/>
          </w:tcPr>
          <w:p w14:paraId="0A6342B4" w14:textId="648057DB" w:rsidR="00A56843" w:rsidRPr="00A56843" w:rsidRDefault="00A56843" w:rsidP="00A56843">
            <w:pPr>
              <w:spacing w:after="0" w:line="240" w:lineRule="auto"/>
              <w:jc w:val="right"/>
              <w:rPr>
                <w:b/>
                <w:bCs/>
                <w:color w:val="000000"/>
                <w:sz w:val="20"/>
                <w:szCs w:val="20"/>
              </w:rPr>
            </w:pPr>
            <w:r w:rsidRPr="00A56843">
              <w:rPr>
                <w:b/>
                <w:bCs/>
                <w:color w:val="000000"/>
                <w:sz w:val="20"/>
                <w:szCs w:val="20"/>
              </w:rPr>
              <w:t>2.851</w:t>
            </w:r>
          </w:p>
        </w:tc>
        <w:tc>
          <w:tcPr>
            <w:tcW w:w="939" w:type="dxa"/>
            <w:vMerge w:val="restart"/>
            <w:tcBorders>
              <w:top w:val="single" w:sz="4" w:space="0" w:color="auto"/>
              <w:left w:val="nil"/>
              <w:right w:val="nil"/>
            </w:tcBorders>
            <w:noWrap/>
            <w:vAlign w:val="center"/>
          </w:tcPr>
          <w:p w14:paraId="1D02AA04" w14:textId="2AB752C3" w:rsidR="00A56843" w:rsidRPr="00A56843" w:rsidRDefault="00A56843" w:rsidP="00A56843">
            <w:pPr>
              <w:spacing w:after="0" w:line="240" w:lineRule="auto"/>
              <w:jc w:val="right"/>
              <w:rPr>
                <w:b/>
                <w:bCs/>
                <w:color w:val="000000"/>
                <w:sz w:val="20"/>
                <w:szCs w:val="20"/>
              </w:rPr>
            </w:pPr>
            <w:r w:rsidRPr="00A56843">
              <w:rPr>
                <w:b/>
                <w:bCs/>
                <w:color w:val="000000"/>
                <w:sz w:val="20"/>
                <w:szCs w:val="20"/>
              </w:rPr>
              <w:t>0.004</w:t>
            </w:r>
          </w:p>
        </w:tc>
        <w:tc>
          <w:tcPr>
            <w:tcW w:w="1767" w:type="dxa"/>
            <w:tcBorders>
              <w:top w:val="single" w:sz="4" w:space="0" w:color="auto"/>
              <w:left w:val="nil"/>
              <w:bottom w:val="nil"/>
              <w:right w:val="nil"/>
            </w:tcBorders>
            <w:noWrap/>
            <w:vAlign w:val="center"/>
          </w:tcPr>
          <w:p w14:paraId="0A411EE4" w14:textId="483A544D"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[-41.257, -19.748]</w:t>
            </w:r>
          </w:p>
        </w:tc>
      </w:tr>
      <w:tr w:rsidR="00A56843" w:rsidRPr="00452304" w14:paraId="62E4E9B0" w14:textId="77777777" w:rsidTr="00A56843">
        <w:trPr>
          <w:trHeight w:val="320"/>
        </w:trPr>
        <w:tc>
          <w:tcPr>
            <w:tcW w:w="918" w:type="dxa"/>
            <w:vMerge/>
            <w:tcBorders>
              <w:left w:val="nil"/>
              <w:bottom w:val="single" w:sz="4" w:space="0" w:color="auto"/>
              <w:right w:val="nil"/>
            </w:tcBorders>
          </w:tcPr>
          <w:p w14:paraId="75903391"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8173225"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CEB81A4" w14:textId="36CF21C5" w:rsidR="00A56843" w:rsidRDefault="00A56843" w:rsidP="00A5684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21D9665E" w14:textId="0C33483F"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-18.454</w:t>
            </w:r>
          </w:p>
        </w:tc>
        <w:tc>
          <w:tcPr>
            <w:tcW w:w="972" w:type="dxa"/>
            <w:vMerge/>
            <w:tcBorders>
              <w:left w:val="nil"/>
              <w:bottom w:val="single" w:sz="4" w:space="0" w:color="auto"/>
              <w:right w:val="nil"/>
            </w:tcBorders>
            <w:noWrap/>
            <w:vAlign w:val="center"/>
          </w:tcPr>
          <w:p w14:paraId="2C38EC4E" w14:textId="00F7EECC" w:rsidR="00A56843" w:rsidRPr="00A56843" w:rsidRDefault="00A56843" w:rsidP="00A56843">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1ECE431B" w14:textId="4290C494" w:rsidR="00A56843" w:rsidRPr="00A56843" w:rsidRDefault="00A56843" w:rsidP="00A56843">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69F12352" w14:textId="00C0DEC0"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[-27.312, -8.515]</w:t>
            </w:r>
          </w:p>
        </w:tc>
      </w:tr>
    </w:tbl>
    <w:p w14:paraId="6F5343C4" w14:textId="5D6D7DB7" w:rsidR="00EA2123" w:rsidRDefault="009E5FB6" w:rsidP="00EA2123">
      <w:pPr>
        <w:rPr>
          <w:iCs/>
        </w:rPr>
      </w:pPr>
      <w:r>
        <w:rPr>
          <w:vertAlign w:val="superscript"/>
        </w:rPr>
        <w:lastRenderedPageBreak/>
        <w:t>*</w:t>
      </w:r>
      <w:r>
        <w:t xml:space="preserve">Significant effects noted in bold font. </w:t>
      </w:r>
      <w:r w:rsidR="001A23CA">
        <w:t xml:space="preserve">Model coefficients and 95% confidence interval ranges have been transformed to percent change to mimic figures. </w:t>
      </w:r>
      <w:r>
        <w:t xml:space="preserve">Key: </w:t>
      </w:r>
      <w:r>
        <w:rPr>
          <w:i/>
          <w:iCs/>
        </w:rPr>
        <w:t>M</w:t>
      </w:r>
      <w:r>
        <w:rPr>
          <w:iCs/>
          <w:vertAlign w:val="subscript"/>
        </w:rPr>
        <w:t>area</w:t>
      </w:r>
      <w:r>
        <w:rPr>
          <w:iCs/>
        </w:rPr>
        <w:t>=leaf biomass per unit leaf area (g m</w:t>
      </w:r>
      <w:r>
        <w:rPr>
          <w:iCs/>
          <w:vertAlign w:val="superscript"/>
        </w:rPr>
        <w:t>-2</w:t>
      </w:r>
      <w:r>
        <w:rPr>
          <w:iCs/>
        </w:rPr>
        <w:t xml:space="preserve">); </w:t>
      </w:r>
      <w:proofErr w:type="spellStart"/>
      <w:r>
        <w:rPr>
          <w:i/>
        </w:rPr>
        <w:t>N</w:t>
      </w:r>
      <w:r>
        <w:rPr>
          <w:iCs/>
          <w:vertAlign w:val="subscript"/>
        </w:rPr>
        <w:t>mass</w:t>
      </w:r>
      <w:proofErr w:type="spellEnd"/>
      <w:r>
        <w:t>=leaf nitrogen content per unit leaf biomass (</w:t>
      </w:r>
      <w:proofErr w:type="spellStart"/>
      <w:r>
        <w:t>gN</w:t>
      </w:r>
      <w:proofErr w:type="spellEnd"/>
      <w:r>
        <w:t xml:space="preserve"> g</w:t>
      </w:r>
      <w:r>
        <w:rPr>
          <w:vertAlign w:val="superscript"/>
        </w:rPr>
        <w:t>-1</w:t>
      </w:r>
      <w:r>
        <w:t xml:space="preserve">); </w:t>
      </w:r>
      <w:r>
        <w:rPr>
          <w:i/>
          <w:iCs/>
        </w:rPr>
        <w:t>N</w:t>
      </w:r>
      <w:r>
        <w:rPr>
          <w:vertAlign w:val="subscript"/>
        </w:rPr>
        <w:t>area</w:t>
      </w:r>
      <w:r>
        <w:t>=leaf nitrogen content per unit leaf area (</w:t>
      </w:r>
      <w:proofErr w:type="spellStart"/>
      <w:r>
        <w:t>gN</w:t>
      </w:r>
      <w:proofErr w:type="spellEnd"/>
      <w:r>
        <w:t xml:space="preserve"> m</w:t>
      </w:r>
      <w:r>
        <w:rPr>
          <w:vertAlign w:val="superscript"/>
        </w:rPr>
        <w:t>-2</w:t>
      </w:r>
      <w:r>
        <w:t xml:space="preserve">); </w:t>
      </w:r>
      <w:proofErr w:type="spellStart"/>
      <w:r>
        <w:rPr>
          <w:i/>
          <w:iCs/>
        </w:rPr>
        <w:t>P</w:t>
      </w:r>
      <w:r>
        <w:rPr>
          <w:vertAlign w:val="subscript"/>
        </w:rPr>
        <w:t>mass</w:t>
      </w:r>
      <w:proofErr w:type="spellEnd"/>
      <w:r>
        <w:t>=leaf phosphorus content per unit leaf biomass (</w:t>
      </w:r>
      <w:proofErr w:type="spellStart"/>
      <w:r>
        <w:t>gP</w:t>
      </w:r>
      <w:proofErr w:type="spellEnd"/>
      <w:r>
        <w:t xml:space="preserve"> g</w:t>
      </w:r>
      <w:r>
        <w:rPr>
          <w:vertAlign w:val="superscript"/>
        </w:rPr>
        <w:t>-1</w:t>
      </w:r>
      <w:r>
        <w:t xml:space="preserve">); </w:t>
      </w:r>
      <w:proofErr w:type="spellStart"/>
      <w:r>
        <w:rPr>
          <w:i/>
          <w:iCs/>
        </w:rPr>
        <w:t>P</w:t>
      </w:r>
      <w:r>
        <w:rPr>
          <w:vertAlign w:val="subscript"/>
        </w:rPr>
        <w:t>area</w:t>
      </w:r>
      <w:proofErr w:type="spellEnd"/>
      <w:r>
        <w:t>=leaf phosphorus content per unit leaf area (</w:t>
      </w:r>
      <w:proofErr w:type="spellStart"/>
      <w:r>
        <w:t>gP</w:t>
      </w:r>
      <w:proofErr w:type="spellEnd"/>
      <w:r>
        <w:t xml:space="preserve"> m</w:t>
      </w:r>
      <w:r>
        <w:rPr>
          <w:vertAlign w:val="superscript"/>
        </w:rPr>
        <w:t>-2</w:t>
      </w:r>
      <w:r>
        <w:t>)</w:t>
      </w:r>
    </w:p>
    <w:p w14:paraId="685BB6B4" w14:textId="77777777" w:rsidR="00EA2123" w:rsidRDefault="00EA2123" w:rsidP="00EA2123">
      <w:pPr>
        <w:rPr>
          <w:iCs/>
        </w:rPr>
      </w:pPr>
      <w:r>
        <w:rPr>
          <w:iCs/>
        </w:rPr>
        <w:br w:type="page"/>
      </w:r>
    </w:p>
    <w:p w14:paraId="2C22E427" w14:textId="728D9275" w:rsidR="00D52EF1" w:rsidRDefault="00D52EF1" w:rsidP="00D52EF1">
      <w:pPr>
        <w:rPr>
          <w:iCs/>
        </w:rPr>
      </w:pPr>
      <w:r>
        <w:rPr>
          <w:b/>
          <w:bCs/>
          <w:iCs/>
        </w:rPr>
        <w:lastRenderedPageBreak/>
        <w:t>Table S10</w:t>
      </w:r>
      <w:r>
        <w:rPr>
          <w:iCs/>
        </w:rPr>
        <w:t xml:space="preserve"> Photosynthetic pathway moderator effects on leaf nutrient responses to nutrient addition</w:t>
      </w:r>
    </w:p>
    <w:tbl>
      <w:tblPr>
        <w:tblW w:w="8010" w:type="dxa"/>
        <w:tblLook w:val="04A0" w:firstRow="1" w:lastRow="0" w:firstColumn="1" w:lastColumn="0" w:noHBand="0" w:noVBand="1"/>
      </w:tblPr>
      <w:tblGrid>
        <w:gridCol w:w="1094"/>
        <w:gridCol w:w="1178"/>
        <w:gridCol w:w="1227"/>
        <w:gridCol w:w="833"/>
        <w:gridCol w:w="972"/>
        <w:gridCol w:w="939"/>
        <w:gridCol w:w="1767"/>
      </w:tblGrid>
      <w:tr w:rsidR="00D52EF1" w:rsidRPr="00452304" w14:paraId="21EF9FC6" w14:textId="77777777" w:rsidTr="00B72AF6">
        <w:trPr>
          <w:trHeight w:val="320"/>
        </w:trPr>
        <w:tc>
          <w:tcPr>
            <w:tcW w:w="1094" w:type="dxa"/>
            <w:tcBorders>
              <w:top w:val="single" w:sz="4" w:space="0" w:color="auto"/>
              <w:left w:val="nil"/>
              <w:bottom w:val="single" w:sz="4" w:space="0" w:color="auto"/>
              <w:right w:val="nil"/>
            </w:tcBorders>
            <w:vAlign w:val="center"/>
          </w:tcPr>
          <w:p w14:paraId="5197899A" w14:textId="77777777" w:rsidR="00D52EF1" w:rsidRPr="008825E3" w:rsidRDefault="00D52EF1" w:rsidP="006127B4">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3D86C631" w14:textId="77777777" w:rsidR="00D52EF1" w:rsidRPr="00452304" w:rsidRDefault="00D52EF1" w:rsidP="006127B4">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766E1931" w14:textId="77777777" w:rsidR="00D52EF1" w:rsidRPr="00452304" w:rsidRDefault="00D52EF1" w:rsidP="006127B4">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833" w:type="dxa"/>
            <w:tcBorders>
              <w:top w:val="single" w:sz="4" w:space="0" w:color="auto"/>
              <w:left w:val="nil"/>
              <w:bottom w:val="single" w:sz="4" w:space="0" w:color="auto"/>
              <w:right w:val="nil"/>
            </w:tcBorders>
            <w:noWrap/>
            <w:vAlign w:val="center"/>
            <w:hideMark/>
          </w:tcPr>
          <w:p w14:paraId="78C9735E" w14:textId="77777777" w:rsidR="00D52EF1" w:rsidRPr="00452304" w:rsidRDefault="00D52EF1" w:rsidP="006127B4">
            <w:pPr>
              <w:spacing w:after="0" w:line="240" w:lineRule="auto"/>
              <w:rPr>
                <w:b/>
                <w:bCs/>
                <w:sz w:val="20"/>
                <w:szCs w:val="20"/>
              </w:rPr>
            </w:pPr>
            <w:r w:rsidRPr="008825E3">
              <w:rPr>
                <w:b/>
                <w:bCs/>
                <w:sz w:val="20"/>
                <w:szCs w:val="20"/>
              </w:rPr>
              <w:t>Coef</w:t>
            </w:r>
            <w:r>
              <w:rPr>
                <w:b/>
                <w:bCs/>
                <w:sz w:val="20"/>
                <w:szCs w:val="20"/>
              </w:rPr>
              <w:t>.</w:t>
            </w:r>
          </w:p>
        </w:tc>
        <w:tc>
          <w:tcPr>
            <w:tcW w:w="972" w:type="dxa"/>
            <w:tcBorders>
              <w:top w:val="single" w:sz="4" w:space="0" w:color="auto"/>
              <w:left w:val="nil"/>
              <w:bottom w:val="single" w:sz="4" w:space="0" w:color="auto"/>
              <w:right w:val="nil"/>
            </w:tcBorders>
            <w:noWrap/>
            <w:vAlign w:val="center"/>
            <w:hideMark/>
          </w:tcPr>
          <w:p w14:paraId="635BE60A" w14:textId="77777777" w:rsidR="00D52EF1" w:rsidRPr="00452304" w:rsidRDefault="00D52EF1" w:rsidP="006127B4">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57950870" w14:textId="77777777" w:rsidR="00D52EF1" w:rsidRPr="00452304" w:rsidRDefault="00D52EF1" w:rsidP="006127B4">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767" w:type="dxa"/>
            <w:tcBorders>
              <w:top w:val="single" w:sz="4" w:space="0" w:color="auto"/>
              <w:left w:val="nil"/>
              <w:bottom w:val="single" w:sz="4" w:space="0" w:color="auto"/>
              <w:right w:val="nil"/>
            </w:tcBorders>
            <w:noWrap/>
            <w:vAlign w:val="center"/>
            <w:hideMark/>
          </w:tcPr>
          <w:p w14:paraId="0B71A5BB" w14:textId="77777777" w:rsidR="00D52EF1" w:rsidRPr="00452304" w:rsidRDefault="00D52EF1" w:rsidP="006127B4">
            <w:pPr>
              <w:spacing w:after="0" w:line="240" w:lineRule="auto"/>
              <w:rPr>
                <w:b/>
                <w:bCs/>
                <w:sz w:val="20"/>
                <w:szCs w:val="20"/>
              </w:rPr>
            </w:pPr>
            <w:r w:rsidRPr="008825E3">
              <w:rPr>
                <w:b/>
                <w:bCs/>
                <w:sz w:val="20"/>
                <w:szCs w:val="20"/>
              </w:rPr>
              <w:t>95% CI</w:t>
            </w:r>
          </w:p>
        </w:tc>
      </w:tr>
      <w:tr w:rsidR="00B72AF6" w:rsidRPr="00452304" w14:paraId="6C489FFE" w14:textId="77777777" w:rsidTr="00374137">
        <w:trPr>
          <w:trHeight w:val="320"/>
        </w:trPr>
        <w:tc>
          <w:tcPr>
            <w:tcW w:w="1094" w:type="dxa"/>
            <w:vMerge w:val="restart"/>
            <w:tcBorders>
              <w:top w:val="single" w:sz="4" w:space="0" w:color="auto"/>
              <w:left w:val="nil"/>
              <w:right w:val="nil"/>
            </w:tcBorders>
            <w:vAlign w:val="center"/>
          </w:tcPr>
          <w:p w14:paraId="00D1222F" w14:textId="77777777" w:rsidR="00B72AF6" w:rsidRPr="008A48CF" w:rsidRDefault="00B72AF6" w:rsidP="00B72AF6">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M</w:t>
            </w:r>
            <w:r>
              <w:rPr>
                <w:rFonts w:eastAsia="Times New Roman"/>
                <w:color w:val="000000"/>
                <w:kern w:val="0"/>
                <w:sz w:val="20"/>
                <w:szCs w:val="20"/>
                <w:vertAlign w:val="subscript"/>
                <w14:ligatures w14:val="none"/>
              </w:rPr>
              <w:t>area</w:t>
            </w:r>
          </w:p>
        </w:tc>
        <w:tc>
          <w:tcPr>
            <w:tcW w:w="1178" w:type="dxa"/>
            <w:vMerge w:val="restart"/>
            <w:tcBorders>
              <w:top w:val="single" w:sz="4" w:space="0" w:color="auto"/>
              <w:left w:val="nil"/>
              <w:right w:val="nil"/>
            </w:tcBorders>
            <w:noWrap/>
            <w:vAlign w:val="center"/>
            <w:hideMark/>
          </w:tcPr>
          <w:p w14:paraId="721921D7" w14:textId="77777777" w:rsidR="00B72AF6" w:rsidRPr="00452304" w:rsidRDefault="00B72AF6" w:rsidP="00B72AF6">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49341ADC" w14:textId="77777777" w:rsidR="00B72AF6" w:rsidRPr="00452304" w:rsidRDefault="00B72AF6" w:rsidP="00B72AF6">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6EF7428F" w14:textId="4E46BB3E" w:rsidR="00B72AF6" w:rsidRPr="00A13DC2" w:rsidRDefault="00B72AF6" w:rsidP="00374137">
            <w:pPr>
              <w:spacing w:after="0" w:line="240" w:lineRule="auto"/>
              <w:jc w:val="right"/>
              <w:rPr>
                <w:rFonts w:eastAsia="Times New Roman"/>
                <w:b/>
                <w:bCs/>
                <w:color w:val="000000"/>
                <w:kern w:val="0"/>
                <w:sz w:val="20"/>
                <w:szCs w:val="20"/>
                <w:highlight w:val="yellow"/>
                <w14:ligatures w14:val="none"/>
              </w:rPr>
            </w:pPr>
            <w:r w:rsidRPr="00A13DC2">
              <w:rPr>
                <w:b/>
                <w:bCs/>
                <w:color w:val="000000"/>
                <w:sz w:val="20"/>
                <w:szCs w:val="20"/>
              </w:rPr>
              <w:t>-0.896</w:t>
            </w:r>
          </w:p>
        </w:tc>
        <w:tc>
          <w:tcPr>
            <w:tcW w:w="972" w:type="dxa"/>
            <w:vMerge w:val="restart"/>
            <w:tcBorders>
              <w:top w:val="single" w:sz="4" w:space="0" w:color="auto"/>
              <w:left w:val="nil"/>
              <w:right w:val="nil"/>
            </w:tcBorders>
            <w:noWrap/>
            <w:vAlign w:val="center"/>
          </w:tcPr>
          <w:p w14:paraId="1EC16395" w14:textId="77777777" w:rsidR="00B72AF6" w:rsidRPr="00A13DC2" w:rsidRDefault="00B72AF6" w:rsidP="00374137">
            <w:pPr>
              <w:spacing w:after="0" w:line="240" w:lineRule="auto"/>
              <w:jc w:val="right"/>
              <w:rPr>
                <w:rFonts w:eastAsia="Times New Roman"/>
                <w:b/>
                <w:bCs/>
                <w:color w:val="000000"/>
                <w:kern w:val="0"/>
                <w:sz w:val="20"/>
                <w:szCs w:val="20"/>
                <w14:ligatures w14:val="none"/>
              </w:rPr>
            </w:pPr>
            <w:r w:rsidRPr="00A13DC2">
              <w:rPr>
                <w:b/>
                <w:bCs/>
                <w:color w:val="000000"/>
                <w:sz w:val="20"/>
                <w:szCs w:val="20"/>
              </w:rPr>
              <w:t>-3.662</w:t>
            </w:r>
          </w:p>
        </w:tc>
        <w:tc>
          <w:tcPr>
            <w:tcW w:w="939" w:type="dxa"/>
            <w:vMerge w:val="restart"/>
            <w:tcBorders>
              <w:top w:val="single" w:sz="4" w:space="0" w:color="auto"/>
              <w:left w:val="nil"/>
              <w:right w:val="nil"/>
            </w:tcBorders>
            <w:noWrap/>
            <w:vAlign w:val="center"/>
          </w:tcPr>
          <w:p w14:paraId="7C1619BA" w14:textId="77777777" w:rsidR="00B72AF6" w:rsidRPr="00A13DC2" w:rsidRDefault="00B72AF6" w:rsidP="00374137">
            <w:pPr>
              <w:spacing w:after="0" w:line="240" w:lineRule="auto"/>
              <w:jc w:val="right"/>
              <w:rPr>
                <w:rFonts w:eastAsia="Times New Roman"/>
                <w:b/>
                <w:bCs/>
                <w:color w:val="000000"/>
                <w:kern w:val="0"/>
                <w:sz w:val="20"/>
                <w:szCs w:val="20"/>
                <w14:ligatures w14:val="none"/>
              </w:rPr>
            </w:pPr>
            <w:r w:rsidRPr="00A13DC2">
              <w:rPr>
                <w:b/>
                <w:bCs/>
                <w:color w:val="000000"/>
                <w:sz w:val="20"/>
                <w:szCs w:val="20"/>
              </w:rPr>
              <w:t>&lt;0.001</w:t>
            </w:r>
          </w:p>
        </w:tc>
        <w:tc>
          <w:tcPr>
            <w:tcW w:w="1767" w:type="dxa"/>
            <w:tcBorders>
              <w:top w:val="single" w:sz="4" w:space="0" w:color="auto"/>
              <w:left w:val="nil"/>
              <w:bottom w:val="nil"/>
              <w:right w:val="nil"/>
            </w:tcBorders>
            <w:noWrap/>
            <w:vAlign w:val="center"/>
          </w:tcPr>
          <w:p w14:paraId="76E5E329" w14:textId="75054076" w:rsidR="00B72AF6" w:rsidRPr="00A13DC2" w:rsidRDefault="00B72AF6" w:rsidP="00374137">
            <w:pPr>
              <w:spacing w:after="0" w:line="240" w:lineRule="auto"/>
              <w:jc w:val="right"/>
              <w:rPr>
                <w:rFonts w:eastAsia="Times New Roman"/>
                <w:b/>
                <w:bCs/>
                <w:color w:val="000000"/>
                <w:kern w:val="0"/>
                <w:sz w:val="20"/>
                <w:szCs w:val="20"/>
                <w:highlight w:val="yellow"/>
                <w14:ligatures w14:val="none"/>
              </w:rPr>
            </w:pPr>
            <w:r w:rsidRPr="00A13DC2">
              <w:rPr>
                <w:b/>
                <w:bCs/>
                <w:color w:val="000000"/>
                <w:sz w:val="20"/>
                <w:szCs w:val="20"/>
              </w:rPr>
              <w:t>[-4.209, 2.532]</w:t>
            </w:r>
          </w:p>
        </w:tc>
      </w:tr>
      <w:tr w:rsidR="00B72AF6" w:rsidRPr="00452304" w14:paraId="501E22B6" w14:textId="77777777" w:rsidTr="00374137">
        <w:trPr>
          <w:trHeight w:val="320"/>
        </w:trPr>
        <w:tc>
          <w:tcPr>
            <w:tcW w:w="1094" w:type="dxa"/>
            <w:vMerge/>
            <w:tcBorders>
              <w:left w:val="nil"/>
              <w:right w:val="nil"/>
            </w:tcBorders>
          </w:tcPr>
          <w:p w14:paraId="392EB61B"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500CF3C3"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1BF06465" w14:textId="77777777" w:rsidR="00B72AF6" w:rsidRPr="00452304" w:rsidRDefault="00B72AF6" w:rsidP="00B72AF6">
            <w:pPr>
              <w:spacing w:after="0" w:line="240" w:lineRule="auto"/>
              <w:rPr>
                <w:rFonts w:eastAsia="Times New Roman"/>
                <w:i/>
                <w:iCs/>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70484763" w14:textId="6E7A43EE" w:rsidR="00B72AF6" w:rsidRPr="00A13DC2" w:rsidRDefault="00B72AF6" w:rsidP="00374137">
            <w:pPr>
              <w:spacing w:after="0" w:line="240" w:lineRule="auto"/>
              <w:jc w:val="right"/>
              <w:rPr>
                <w:rFonts w:eastAsia="Times New Roman"/>
                <w:b/>
                <w:bCs/>
                <w:color w:val="000000"/>
                <w:kern w:val="0"/>
                <w:sz w:val="20"/>
                <w:szCs w:val="20"/>
                <w:highlight w:val="yellow"/>
                <w14:ligatures w14:val="none"/>
              </w:rPr>
            </w:pPr>
            <w:r w:rsidRPr="00A13DC2">
              <w:rPr>
                <w:b/>
                <w:bCs/>
                <w:color w:val="000000"/>
                <w:sz w:val="20"/>
                <w:szCs w:val="20"/>
              </w:rPr>
              <w:t>-11.839</w:t>
            </w:r>
          </w:p>
        </w:tc>
        <w:tc>
          <w:tcPr>
            <w:tcW w:w="972" w:type="dxa"/>
            <w:vMerge/>
            <w:tcBorders>
              <w:left w:val="nil"/>
              <w:bottom w:val="single" w:sz="4" w:space="0" w:color="auto"/>
              <w:right w:val="nil"/>
            </w:tcBorders>
            <w:noWrap/>
            <w:vAlign w:val="center"/>
          </w:tcPr>
          <w:p w14:paraId="1FE792DC" w14:textId="77777777" w:rsidR="00B72AF6" w:rsidRPr="00A13DC2" w:rsidRDefault="00B72AF6" w:rsidP="00374137">
            <w:pPr>
              <w:spacing w:after="0" w:line="240" w:lineRule="auto"/>
              <w:jc w:val="right"/>
              <w:rPr>
                <w:rFonts w:eastAsia="Times New Roman"/>
                <w:b/>
                <w:bCs/>
                <w:color w:val="000000"/>
                <w:kern w:val="0"/>
                <w:sz w:val="20"/>
                <w:szCs w:val="20"/>
                <w14:ligatures w14:val="none"/>
              </w:rPr>
            </w:pPr>
          </w:p>
        </w:tc>
        <w:tc>
          <w:tcPr>
            <w:tcW w:w="939" w:type="dxa"/>
            <w:vMerge/>
            <w:tcBorders>
              <w:left w:val="nil"/>
              <w:bottom w:val="single" w:sz="4" w:space="0" w:color="auto"/>
              <w:right w:val="nil"/>
            </w:tcBorders>
            <w:noWrap/>
            <w:vAlign w:val="center"/>
          </w:tcPr>
          <w:p w14:paraId="11F9B8FF" w14:textId="77777777" w:rsidR="00B72AF6" w:rsidRPr="00A13DC2" w:rsidRDefault="00B72AF6" w:rsidP="00374137">
            <w:pPr>
              <w:spacing w:after="0" w:line="240" w:lineRule="auto"/>
              <w:jc w:val="right"/>
              <w:rPr>
                <w:rFonts w:eastAsia="Times New Roman"/>
                <w:b/>
                <w:bCs/>
                <w:color w:val="000000"/>
                <w:kern w:val="0"/>
                <w:sz w:val="20"/>
                <w:szCs w:val="20"/>
                <w14:ligatures w14:val="none"/>
              </w:rPr>
            </w:pPr>
          </w:p>
        </w:tc>
        <w:tc>
          <w:tcPr>
            <w:tcW w:w="1767" w:type="dxa"/>
            <w:tcBorders>
              <w:top w:val="nil"/>
              <w:left w:val="nil"/>
              <w:bottom w:val="single" w:sz="4" w:space="0" w:color="auto"/>
              <w:right w:val="nil"/>
            </w:tcBorders>
            <w:noWrap/>
            <w:vAlign w:val="center"/>
          </w:tcPr>
          <w:p w14:paraId="343AD585" w14:textId="0568CD76" w:rsidR="00B72AF6" w:rsidRPr="00A13DC2" w:rsidRDefault="00B72AF6" w:rsidP="00374137">
            <w:pPr>
              <w:spacing w:after="0" w:line="240" w:lineRule="auto"/>
              <w:jc w:val="right"/>
              <w:rPr>
                <w:rFonts w:eastAsia="Times New Roman"/>
                <w:b/>
                <w:bCs/>
                <w:color w:val="000000"/>
                <w:kern w:val="0"/>
                <w:sz w:val="20"/>
                <w:szCs w:val="20"/>
                <w:highlight w:val="yellow"/>
                <w14:ligatures w14:val="none"/>
              </w:rPr>
            </w:pPr>
            <w:r w:rsidRPr="00A13DC2">
              <w:rPr>
                <w:b/>
                <w:bCs/>
                <w:color w:val="000000"/>
                <w:sz w:val="20"/>
                <w:szCs w:val="20"/>
              </w:rPr>
              <w:t>[-16.723, -6.667]</w:t>
            </w:r>
          </w:p>
        </w:tc>
      </w:tr>
      <w:tr w:rsidR="00B72AF6" w:rsidRPr="00452304" w14:paraId="3B7213D7" w14:textId="77777777" w:rsidTr="00374137">
        <w:trPr>
          <w:trHeight w:val="320"/>
        </w:trPr>
        <w:tc>
          <w:tcPr>
            <w:tcW w:w="1094" w:type="dxa"/>
            <w:vMerge/>
            <w:tcBorders>
              <w:left w:val="nil"/>
              <w:right w:val="nil"/>
            </w:tcBorders>
          </w:tcPr>
          <w:p w14:paraId="2F268054"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7315D2AE" w14:textId="77777777"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274057F2" w14:textId="77777777" w:rsidR="00B72AF6" w:rsidRDefault="00B72AF6" w:rsidP="00B72AF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6A7AA69E" w14:textId="2F163B84"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-2.274</w:t>
            </w:r>
          </w:p>
        </w:tc>
        <w:tc>
          <w:tcPr>
            <w:tcW w:w="972" w:type="dxa"/>
            <w:vMerge w:val="restart"/>
            <w:tcBorders>
              <w:top w:val="single" w:sz="4" w:space="0" w:color="auto"/>
              <w:left w:val="nil"/>
              <w:right w:val="nil"/>
            </w:tcBorders>
            <w:noWrap/>
            <w:vAlign w:val="center"/>
          </w:tcPr>
          <w:p w14:paraId="7E56F514" w14:textId="77777777" w:rsidR="00B72AF6" w:rsidRPr="00B72AF6" w:rsidRDefault="00B72AF6" w:rsidP="00374137">
            <w:pPr>
              <w:spacing w:after="0" w:line="240" w:lineRule="auto"/>
              <w:jc w:val="right"/>
              <w:rPr>
                <w:color w:val="000000"/>
                <w:sz w:val="20"/>
                <w:szCs w:val="20"/>
              </w:rPr>
            </w:pPr>
            <w:r w:rsidRPr="00B72AF6">
              <w:rPr>
                <w:color w:val="000000"/>
                <w:sz w:val="20"/>
                <w:szCs w:val="20"/>
              </w:rPr>
              <w:t>1.628</w:t>
            </w:r>
          </w:p>
        </w:tc>
        <w:tc>
          <w:tcPr>
            <w:tcW w:w="939" w:type="dxa"/>
            <w:vMerge w:val="restart"/>
            <w:tcBorders>
              <w:top w:val="single" w:sz="4" w:space="0" w:color="auto"/>
              <w:left w:val="nil"/>
              <w:right w:val="nil"/>
            </w:tcBorders>
            <w:noWrap/>
            <w:vAlign w:val="center"/>
          </w:tcPr>
          <w:p w14:paraId="6904FFDE" w14:textId="77777777" w:rsidR="00B72AF6" w:rsidRPr="00B72AF6" w:rsidRDefault="00B72AF6" w:rsidP="00374137">
            <w:pPr>
              <w:spacing w:after="0" w:line="240" w:lineRule="auto"/>
              <w:jc w:val="right"/>
              <w:rPr>
                <w:color w:val="000000"/>
                <w:sz w:val="20"/>
                <w:szCs w:val="20"/>
              </w:rPr>
            </w:pPr>
            <w:r w:rsidRPr="00B72AF6">
              <w:rPr>
                <w:color w:val="000000"/>
                <w:sz w:val="20"/>
                <w:szCs w:val="20"/>
              </w:rPr>
              <w:t>0.104</w:t>
            </w:r>
          </w:p>
        </w:tc>
        <w:tc>
          <w:tcPr>
            <w:tcW w:w="1767" w:type="dxa"/>
            <w:tcBorders>
              <w:top w:val="single" w:sz="4" w:space="0" w:color="auto"/>
              <w:left w:val="nil"/>
              <w:bottom w:val="nil"/>
              <w:right w:val="nil"/>
            </w:tcBorders>
            <w:noWrap/>
            <w:vAlign w:val="center"/>
          </w:tcPr>
          <w:p w14:paraId="7FD8CE5F" w14:textId="095A3042"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[-5.351, 1.005]</w:t>
            </w:r>
          </w:p>
        </w:tc>
      </w:tr>
      <w:tr w:rsidR="00B72AF6" w:rsidRPr="00452304" w14:paraId="28A3688F" w14:textId="77777777" w:rsidTr="00374137">
        <w:trPr>
          <w:trHeight w:val="320"/>
        </w:trPr>
        <w:tc>
          <w:tcPr>
            <w:tcW w:w="1094" w:type="dxa"/>
            <w:vMerge/>
            <w:tcBorders>
              <w:left w:val="nil"/>
              <w:right w:val="nil"/>
            </w:tcBorders>
          </w:tcPr>
          <w:p w14:paraId="226FE637"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9DF8DEB"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0544437" w14:textId="77777777" w:rsidR="00B72AF6" w:rsidRDefault="00B72AF6" w:rsidP="00B72AF6">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4BC9D5A2" w14:textId="319953D4"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1.918</w:t>
            </w:r>
          </w:p>
        </w:tc>
        <w:tc>
          <w:tcPr>
            <w:tcW w:w="972" w:type="dxa"/>
            <w:vMerge/>
            <w:tcBorders>
              <w:left w:val="nil"/>
              <w:bottom w:val="single" w:sz="4" w:space="0" w:color="auto"/>
              <w:right w:val="nil"/>
            </w:tcBorders>
            <w:noWrap/>
            <w:vAlign w:val="center"/>
          </w:tcPr>
          <w:p w14:paraId="19159806" w14:textId="77777777" w:rsidR="00B72AF6" w:rsidRPr="00B72AF6" w:rsidRDefault="00B72AF6" w:rsidP="00374137">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6C75CE6E" w14:textId="77777777" w:rsidR="00B72AF6" w:rsidRPr="00B72AF6" w:rsidRDefault="00B72AF6" w:rsidP="00374137">
            <w:pPr>
              <w:spacing w:after="0" w:line="240" w:lineRule="auto"/>
              <w:jc w:val="right"/>
              <w:rPr>
                <w:color w:val="000000"/>
                <w:sz w:val="20"/>
                <w:szCs w:val="20"/>
              </w:rPr>
            </w:pPr>
          </w:p>
        </w:tc>
        <w:tc>
          <w:tcPr>
            <w:tcW w:w="1767" w:type="dxa"/>
            <w:tcBorders>
              <w:top w:val="nil"/>
              <w:left w:val="nil"/>
              <w:bottom w:val="single" w:sz="4" w:space="0" w:color="auto"/>
              <w:right w:val="nil"/>
            </w:tcBorders>
            <w:noWrap/>
            <w:vAlign w:val="center"/>
          </w:tcPr>
          <w:p w14:paraId="7E7D5143" w14:textId="081134EE"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[-3.052, 7.144]</w:t>
            </w:r>
          </w:p>
        </w:tc>
      </w:tr>
      <w:tr w:rsidR="00B72AF6" w:rsidRPr="00452304" w14:paraId="10856047" w14:textId="77777777" w:rsidTr="00374137">
        <w:trPr>
          <w:trHeight w:val="320"/>
        </w:trPr>
        <w:tc>
          <w:tcPr>
            <w:tcW w:w="1094" w:type="dxa"/>
            <w:vMerge/>
            <w:tcBorders>
              <w:left w:val="nil"/>
              <w:right w:val="nil"/>
            </w:tcBorders>
          </w:tcPr>
          <w:p w14:paraId="1FEEFB1C"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E242DC0" w14:textId="77777777"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3CFBEAA7" w14:textId="77777777" w:rsidR="00B72AF6" w:rsidRDefault="00B72AF6" w:rsidP="00B72AF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2765E295" w14:textId="29E23259"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-1.882</w:t>
            </w:r>
          </w:p>
        </w:tc>
        <w:tc>
          <w:tcPr>
            <w:tcW w:w="972" w:type="dxa"/>
            <w:vMerge w:val="restart"/>
            <w:tcBorders>
              <w:top w:val="single" w:sz="4" w:space="0" w:color="auto"/>
              <w:left w:val="nil"/>
              <w:right w:val="nil"/>
            </w:tcBorders>
            <w:noWrap/>
            <w:vAlign w:val="center"/>
          </w:tcPr>
          <w:p w14:paraId="0AB246C6" w14:textId="77777777" w:rsidR="00B72AF6" w:rsidRPr="00A13DC2" w:rsidRDefault="00B72AF6" w:rsidP="00374137">
            <w:pPr>
              <w:spacing w:after="0" w:line="240" w:lineRule="auto"/>
              <w:jc w:val="right"/>
              <w:rPr>
                <w:b/>
                <w:bCs/>
                <w:color w:val="000000"/>
                <w:sz w:val="20"/>
                <w:szCs w:val="20"/>
              </w:rPr>
            </w:pPr>
            <w:r w:rsidRPr="00A13DC2">
              <w:rPr>
                <w:b/>
                <w:bCs/>
                <w:color w:val="000000"/>
                <w:sz w:val="20"/>
                <w:szCs w:val="20"/>
              </w:rPr>
              <w:t>-4.699</w:t>
            </w:r>
          </w:p>
        </w:tc>
        <w:tc>
          <w:tcPr>
            <w:tcW w:w="939" w:type="dxa"/>
            <w:vMerge w:val="restart"/>
            <w:tcBorders>
              <w:top w:val="single" w:sz="4" w:space="0" w:color="auto"/>
              <w:left w:val="nil"/>
              <w:right w:val="nil"/>
            </w:tcBorders>
            <w:noWrap/>
            <w:vAlign w:val="center"/>
          </w:tcPr>
          <w:p w14:paraId="7451C8D5" w14:textId="77777777" w:rsidR="00B72AF6" w:rsidRPr="00A13DC2" w:rsidRDefault="00B72AF6" w:rsidP="00374137">
            <w:pPr>
              <w:spacing w:after="0" w:line="240" w:lineRule="auto"/>
              <w:jc w:val="right"/>
              <w:rPr>
                <w:b/>
                <w:bCs/>
                <w:color w:val="000000"/>
                <w:sz w:val="20"/>
                <w:szCs w:val="20"/>
              </w:rPr>
            </w:pPr>
            <w:r w:rsidRPr="00A13DC2">
              <w:rPr>
                <w:b/>
                <w:bCs/>
                <w:color w:val="000000"/>
                <w:sz w:val="20"/>
                <w:szCs w:val="20"/>
              </w:rPr>
              <w:t>&lt;0.001</w:t>
            </w:r>
          </w:p>
        </w:tc>
        <w:tc>
          <w:tcPr>
            <w:tcW w:w="1767" w:type="dxa"/>
            <w:tcBorders>
              <w:top w:val="single" w:sz="4" w:space="0" w:color="auto"/>
              <w:left w:val="nil"/>
              <w:bottom w:val="nil"/>
              <w:right w:val="nil"/>
            </w:tcBorders>
            <w:noWrap/>
            <w:vAlign w:val="center"/>
          </w:tcPr>
          <w:p w14:paraId="00928859" w14:textId="00846E32"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[-5.918, 2.224]</w:t>
            </w:r>
          </w:p>
        </w:tc>
      </w:tr>
      <w:tr w:rsidR="00B72AF6" w:rsidRPr="00452304" w14:paraId="382F4C14" w14:textId="77777777" w:rsidTr="00374137">
        <w:trPr>
          <w:trHeight w:val="320"/>
        </w:trPr>
        <w:tc>
          <w:tcPr>
            <w:tcW w:w="1094" w:type="dxa"/>
            <w:vMerge/>
            <w:tcBorders>
              <w:left w:val="nil"/>
              <w:bottom w:val="single" w:sz="4" w:space="0" w:color="auto"/>
              <w:right w:val="nil"/>
            </w:tcBorders>
          </w:tcPr>
          <w:p w14:paraId="67CB4222"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BB4FC7C"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9471961" w14:textId="77777777" w:rsidR="00B72AF6" w:rsidRDefault="00B72AF6" w:rsidP="00B72AF6">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67A59380" w14:textId="0445F22A"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-15.802</w:t>
            </w:r>
          </w:p>
        </w:tc>
        <w:tc>
          <w:tcPr>
            <w:tcW w:w="972" w:type="dxa"/>
            <w:vMerge/>
            <w:tcBorders>
              <w:left w:val="nil"/>
              <w:bottom w:val="single" w:sz="4" w:space="0" w:color="auto"/>
              <w:right w:val="nil"/>
            </w:tcBorders>
            <w:noWrap/>
            <w:vAlign w:val="center"/>
          </w:tcPr>
          <w:p w14:paraId="5618799A" w14:textId="77777777" w:rsidR="00B72AF6" w:rsidRPr="00A13DC2" w:rsidRDefault="00B72AF6" w:rsidP="00374137">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03FDFC90" w14:textId="77777777" w:rsidR="00B72AF6" w:rsidRPr="00A13DC2" w:rsidRDefault="00B72AF6" w:rsidP="00374137">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41CEDE34" w14:textId="31D75A65"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[-21.101, -10.058]</w:t>
            </w:r>
          </w:p>
        </w:tc>
      </w:tr>
      <w:tr w:rsidR="00B72AF6" w:rsidRPr="00452304" w14:paraId="04AE0499" w14:textId="77777777" w:rsidTr="00374137">
        <w:trPr>
          <w:trHeight w:val="320"/>
        </w:trPr>
        <w:tc>
          <w:tcPr>
            <w:tcW w:w="1094" w:type="dxa"/>
            <w:vMerge w:val="restart"/>
            <w:tcBorders>
              <w:top w:val="single" w:sz="4" w:space="0" w:color="auto"/>
              <w:left w:val="nil"/>
              <w:right w:val="nil"/>
            </w:tcBorders>
            <w:vAlign w:val="center"/>
          </w:tcPr>
          <w:p w14:paraId="09867748" w14:textId="77777777" w:rsidR="00B72AF6" w:rsidRPr="008A48CF" w:rsidRDefault="00B72AF6" w:rsidP="00B72AF6">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N</w:t>
            </w:r>
            <w:r>
              <w:rPr>
                <w:rFonts w:eastAsia="Times New Roman"/>
                <w:color w:val="000000"/>
                <w:kern w:val="0"/>
                <w:sz w:val="20"/>
                <w:szCs w:val="20"/>
                <w:vertAlign w:val="subscript"/>
                <w14:ligatures w14:val="none"/>
              </w:rPr>
              <w:t>mass</w:t>
            </w:r>
            <w:proofErr w:type="spellEnd"/>
          </w:p>
        </w:tc>
        <w:tc>
          <w:tcPr>
            <w:tcW w:w="1178" w:type="dxa"/>
            <w:vMerge w:val="restart"/>
            <w:tcBorders>
              <w:top w:val="single" w:sz="4" w:space="0" w:color="auto"/>
              <w:left w:val="nil"/>
              <w:right w:val="nil"/>
            </w:tcBorders>
            <w:noWrap/>
            <w:vAlign w:val="center"/>
          </w:tcPr>
          <w:p w14:paraId="069ABABC" w14:textId="77777777"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78FA6CE6" w14:textId="77777777" w:rsidR="00B72AF6" w:rsidRDefault="00B72AF6" w:rsidP="00B72AF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3A30B302" w14:textId="4D80DB2D"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12.524</w:t>
            </w:r>
          </w:p>
        </w:tc>
        <w:tc>
          <w:tcPr>
            <w:tcW w:w="972" w:type="dxa"/>
            <w:vMerge w:val="restart"/>
            <w:tcBorders>
              <w:top w:val="single" w:sz="4" w:space="0" w:color="auto"/>
              <w:left w:val="nil"/>
              <w:right w:val="nil"/>
            </w:tcBorders>
            <w:noWrap/>
            <w:vAlign w:val="center"/>
          </w:tcPr>
          <w:p w14:paraId="79502C83" w14:textId="77777777" w:rsidR="00B72AF6" w:rsidRPr="00A13DC2" w:rsidRDefault="00B72AF6" w:rsidP="00374137">
            <w:pPr>
              <w:spacing w:after="0" w:line="240" w:lineRule="auto"/>
              <w:jc w:val="right"/>
              <w:rPr>
                <w:b/>
                <w:bCs/>
                <w:color w:val="000000"/>
                <w:sz w:val="20"/>
                <w:szCs w:val="20"/>
              </w:rPr>
            </w:pPr>
            <w:r w:rsidRPr="00A13DC2">
              <w:rPr>
                <w:b/>
                <w:bCs/>
                <w:color w:val="000000"/>
                <w:sz w:val="20"/>
                <w:szCs w:val="20"/>
              </w:rPr>
              <w:t>2.643</w:t>
            </w:r>
          </w:p>
        </w:tc>
        <w:tc>
          <w:tcPr>
            <w:tcW w:w="939" w:type="dxa"/>
            <w:vMerge w:val="restart"/>
            <w:tcBorders>
              <w:top w:val="single" w:sz="4" w:space="0" w:color="auto"/>
              <w:left w:val="nil"/>
              <w:right w:val="nil"/>
            </w:tcBorders>
            <w:noWrap/>
            <w:vAlign w:val="center"/>
          </w:tcPr>
          <w:p w14:paraId="13C8A729" w14:textId="77777777" w:rsidR="00B72AF6" w:rsidRPr="00A13DC2" w:rsidRDefault="00B72AF6" w:rsidP="00374137">
            <w:pPr>
              <w:spacing w:after="0" w:line="240" w:lineRule="auto"/>
              <w:jc w:val="right"/>
              <w:rPr>
                <w:b/>
                <w:bCs/>
                <w:color w:val="000000"/>
                <w:sz w:val="20"/>
                <w:szCs w:val="20"/>
              </w:rPr>
            </w:pPr>
            <w:r w:rsidRPr="00A13DC2">
              <w:rPr>
                <w:b/>
                <w:bCs/>
                <w:color w:val="000000"/>
                <w:sz w:val="20"/>
                <w:szCs w:val="20"/>
              </w:rPr>
              <w:t>0.008</w:t>
            </w:r>
          </w:p>
        </w:tc>
        <w:tc>
          <w:tcPr>
            <w:tcW w:w="1767" w:type="dxa"/>
            <w:tcBorders>
              <w:top w:val="single" w:sz="4" w:space="0" w:color="auto"/>
              <w:left w:val="nil"/>
              <w:bottom w:val="nil"/>
              <w:right w:val="nil"/>
            </w:tcBorders>
            <w:noWrap/>
            <w:vAlign w:val="center"/>
          </w:tcPr>
          <w:p w14:paraId="13C19641" w14:textId="61FEE048"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[7.358, 18.057]</w:t>
            </w:r>
          </w:p>
        </w:tc>
      </w:tr>
      <w:tr w:rsidR="00B72AF6" w:rsidRPr="00452304" w14:paraId="479773B4" w14:textId="77777777" w:rsidTr="00374137">
        <w:trPr>
          <w:trHeight w:val="320"/>
        </w:trPr>
        <w:tc>
          <w:tcPr>
            <w:tcW w:w="1094" w:type="dxa"/>
            <w:vMerge/>
            <w:tcBorders>
              <w:left w:val="nil"/>
              <w:right w:val="nil"/>
            </w:tcBorders>
          </w:tcPr>
          <w:p w14:paraId="22F311EA"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202F78D"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6DFC93F" w14:textId="77777777" w:rsidR="00B72AF6" w:rsidRDefault="00B72AF6" w:rsidP="00B72AF6">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72383460" w14:textId="3E184605"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27.507</w:t>
            </w:r>
          </w:p>
        </w:tc>
        <w:tc>
          <w:tcPr>
            <w:tcW w:w="972" w:type="dxa"/>
            <w:vMerge/>
            <w:tcBorders>
              <w:left w:val="nil"/>
              <w:bottom w:val="single" w:sz="4" w:space="0" w:color="auto"/>
              <w:right w:val="nil"/>
            </w:tcBorders>
            <w:noWrap/>
            <w:vAlign w:val="center"/>
          </w:tcPr>
          <w:p w14:paraId="713E3372" w14:textId="77777777" w:rsidR="00B72AF6" w:rsidRPr="00A13DC2" w:rsidRDefault="00B72AF6" w:rsidP="00374137">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7A487DE4" w14:textId="77777777" w:rsidR="00B72AF6" w:rsidRPr="00A13DC2" w:rsidRDefault="00B72AF6" w:rsidP="00374137">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4A12A02B" w14:textId="3567320C"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[16.532, 39.654]</w:t>
            </w:r>
          </w:p>
        </w:tc>
      </w:tr>
      <w:tr w:rsidR="00B72AF6" w:rsidRPr="00452304" w14:paraId="54E48757" w14:textId="77777777" w:rsidTr="00374137">
        <w:trPr>
          <w:trHeight w:val="320"/>
        </w:trPr>
        <w:tc>
          <w:tcPr>
            <w:tcW w:w="1094" w:type="dxa"/>
            <w:vMerge/>
            <w:tcBorders>
              <w:left w:val="nil"/>
              <w:right w:val="nil"/>
            </w:tcBorders>
          </w:tcPr>
          <w:p w14:paraId="183E9151"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3598A7F" w14:textId="77777777"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0D22FB36" w14:textId="77777777" w:rsidR="00B72AF6" w:rsidRDefault="00B72AF6" w:rsidP="00B72AF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120C0EA0" w14:textId="15DEB12B" w:rsidR="00B72AF6" w:rsidRPr="00B72AF6" w:rsidRDefault="00B72AF6" w:rsidP="00374137">
            <w:pPr>
              <w:spacing w:after="0" w:line="240" w:lineRule="auto"/>
              <w:jc w:val="right"/>
              <w:rPr>
                <w:i/>
                <w:iCs/>
                <w:color w:val="000000"/>
                <w:sz w:val="20"/>
                <w:szCs w:val="20"/>
                <w:highlight w:val="yellow"/>
              </w:rPr>
            </w:pPr>
            <w:r w:rsidRPr="00B72AF6">
              <w:rPr>
                <w:i/>
                <w:iCs/>
                <w:color w:val="000000"/>
                <w:sz w:val="20"/>
                <w:szCs w:val="20"/>
              </w:rPr>
              <w:t>0.000</w:t>
            </w:r>
          </w:p>
        </w:tc>
        <w:tc>
          <w:tcPr>
            <w:tcW w:w="972" w:type="dxa"/>
            <w:vMerge w:val="restart"/>
            <w:tcBorders>
              <w:top w:val="single" w:sz="4" w:space="0" w:color="auto"/>
              <w:left w:val="nil"/>
              <w:right w:val="nil"/>
            </w:tcBorders>
            <w:noWrap/>
            <w:vAlign w:val="center"/>
          </w:tcPr>
          <w:p w14:paraId="7399D8F4" w14:textId="77777777" w:rsidR="00B72AF6" w:rsidRPr="00B72AF6" w:rsidRDefault="00B72AF6" w:rsidP="00374137">
            <w:pPr>
              <w:spacing w:after="0" w:line="240" w:lineRule="auto"/>
              <w:jc w:val="right"/>
              <w:rPr>
                <w:i/>
                <w:iCs/>
                <w:color w:val="000000"/>
                <w:sz w:val="20"/>
                <w:szCs w:val="20"/>
              </w:rPr>
            </w:pPr>
            <w:r w:rsidRPr="00B72AF6">
              <w:rPr>
                <w:i/>
                <w:iCs/>
                <w:color w:val="000000"/>
                <w:sz w:val="20"/>
                <w:szCs w:val="20"/>
              </w:rPr>
              <w:t>1.645</w:t>
            </w:r>
          </w:p>
        </w:tc>
        <w:tc>
          <w:tcPr>
            <w:tcW w:w="939" w:type="dxa"/>
            <w:vMerge w:val="restart"/>
            <w:tcBorders>
              <w:top w:val="single" w:sz="4" w:space="0" w:color="auto"/>
              <w:left w:val="nil"/>
              <w:right w:val="nil"/>
            </w:tcBorders>
            <w:noWrap/>
            <w:vAlign w:val="center"/>
          </w:tcPr>
          <w:p w14:paraId="7024F7C2" w14:textId="77777777" w:rsidR="00B72AF6" w:rsidRPr="00B72AF6" w:rsidRDefault="00B72AF6" w:rsidP="00374137">
            <w:pPr>
              <w:spacing w:after="0" w:line="240" w:lineRule="auto"/>
              <w:jc w:val="right"/>
              <w:rPr>
                <w:i/>
                <w:iCs/>
                <w:color w:val="000000"/>
                <w:sz w:val="20"/>
                <w:szCs w:val="20"/>
              </w:rPr>
            </w:pPr>
            <w:r w:rsidRPr="00B72AF6">
              <w:rPr>
                <w:i/>
                <w:iCs/>
                <w:color w:val="000000"/>
                <w:sz w:val="20"/>
                <w:szCs w:val="20"/>
              </w:rPr>
              <w:t>0.100</w:t>
            </w:r>
          </w:p>
        </w:tc>
        <w:tc>
          <w:tcPr>
            <w:tcW w:w="1767" w:type="dxa"/>
            <w:tcBorders>
              <w:top w:val="single" w:sz="4" w:space="0" w:color="auto"/>
              <w:left w:val="nil"/>
              <w:bottom w:val="nil"/>
              <w:right w:val="nil"/>
            </w:tcBorders>
            <w:noWrap/>
            <w:vAlign w:val="center"/>
          </w:tcPr>
          <w:p w14:paraId="5541B5B3" w14:textId="047A2E8E" w:rsidR="00B72AF6" w:rsidRPr="00B72AF6" w:rsidRDefault="00B72AF6" w:rsidP="00374137">
            <w:pPr>
              <w:spacing w:after="0" w:line="240" w:lineRule="auto"/>
              <w:jc w:val="right"/>
              <w:rPr>
                <w:i/>
                <w:iCs/>
                <w:color w:val="000000"/>
                <w:sz w:val="20"/>
                <w:szCs w:val="20"/>
                <w:highlight w:val="yellow"/>
              </w:rPr>
            </w:pPr>
            <w:r w:rsidRPr="00B72AF6">
              <w:rPr>
                <w:i/>
                <w:iCs/>
                <w:color w:val="000000"/>
                <w:sz w:val="20"/>
                <w:szCs w:val="20"/>
              </w:rPr>
              <w:t>[-2.371, 2.429]</w:t>
            </w:r>
          </w:p>
        </w:tc>
      </w:tr>
      <w:tr w:rsidR="00B72AF6" w:rsidRPr="00452304" w14:paraId="7DF6604D" w14:textId="77777777" w:rsidTr="00374137">
        <w:trPr>
          <w:trHeight w:val="320"/>
        </w:trPr>
        <w:tc>
          <w:tcPr>
            <w:tcW w:w="1094" w:type="dxa"/>
            <w:vMerge/>
            <w:tcBorders>
              <w:left w:val="nil"/>
              <w:right w:val="nil"/>
            </w:tcBorders>
          </w:tcPr>
          <w:p w14:paraId="5E290359"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6725901"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BCD55E0" w14:textId="77777777" w:rsidR="00B72AF6" w:rsidRDefault="00B72AF6" w:rsidP="00B72AF6">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1F645C67" w14:textId="293D8171" w:rsidR="00B72AF6" w:rsidRPr="00B72AF6" w:rsidRDefault="00B72AF6" w:rsidP="00374137">
            <w:pPr>
              <w:spacing w:after="0" w:line="240" w:lineRule="auto"/>
              <w:jc w:val="right"/>
              <w:rPr>
                <w:i/>
                <w:iCs/>
                <w:color w:val="000000"/>
                <w:sz w:val="20"/>
                <w:szCs w:val="20"/>
                <w:highlight w:val="yellow"/>
              </w:rPr>
            </w:pPr>
            <w:r w:rsidRPr="00B72AF6">
              <w:rPr>
                <w:i/>
                <w:iCs/>
                <w:color w:val="000000"/>
                <w:sz w:val="20"/>
                <w:szCs w:val="20"/>
              </w:rPr>
              <w:t>5.548</w:t>
            </w:r>
          </w:p>
        </w:tc>
        <w:tc>
          <w:tcPr>
            <w:tcW w:w="972" w:type="dxa"/>
            <w:vMerge/>
            <w:tcBorders>
              <w:left w:val="nil"/>
              <w:bottom w:val="single" w:sz="4" w:space="0" w:color="auto"/>
              <w:right w:val="nil"/>
            </w:tcBorders>
            <w:noWrap/>
            <w:vAlign w:val="center"/>
          </w:tcPr>
          <w:p w14:paraId="68398FB7" w14:textId="77777777" w:rsidR="00B72AF6" w:rsidRPr="00B72AF6" w:rsidRDefault="00B72AF6" w:rsidP="00374137">
            <w:pPr>
              <w:spacing w:after="0" w:line="240" w:lineRule="auto"/>
              <w:jc w:val="right"/>
              <w:rPr>
                <w:i/>
                <w:iCs/>
                <w:color w:val="000000"/>
                <w:sz w:val="20"/>
                <w:szCs w:val="20"/>
              </w:rPr>
            </w:pPr>
          </w:p>
        </w:tc>
        <w:tc>
          <w:tcPr>
            <w:tcW w:w="939" w:type="dxa"/>
            <w:vMerge/>
            <w:tcBorders>
              <w:left w:val="nil"/>
              <w:bottom w:val="single" w:sz="4" w:space="0" w:color="auto"/>
              <w:right w:val="nil"/>
            </w:tcBorders>
            <w:noWrap/>
            <w:vAlign w:val="center"/>
          </w:tcPr>
          <w:p w14:paraId="034B5772" w14:textId="77777777" w:rsidR="00B72AF6" w:rsidRPr="00B72AF6" w:rsidRDefault="00B72AF6" w:rsidP="00374137">
            <w:pPr>
              <w:spacing w:after="0" w:line="240" w:lineRule="auto"/>
              <w:jc w:val="right"/>
              <w:rPr>
                <w:i/>
                <w:iCs/>
                <w:color w:val="000000"/>
                <w:sz w:val="20"/>
                <w:szCs w:val="20"/>
              </w:rPr>
            </w:pPr>
          </w:p>
        </w:tc>
        <w:tc>
          <w:tcPr>
            <w:tcW w:w="1767" w:type="dxa"/>
            <w:tcBorders>
              <w:top w:val="nil"/>
              <w:left w:val="nil"/>
              <w:bottom w:val="single" w:sz="4" w:space="0" w:color="auto"/>
              <w:right w:val="nil"/>
            </w:tcBorders>
            <w:noWrap/>
            <w:vAlign w:val="center"/>
          </w:tcPr>
          <w:p w14:paraId="7C665C78" w14:textId="08B36556" w:rsidR="00B72AF6" w:rsidRPr="00B72AF6" w:rsidRDefault="00B72AF6" w:rsidP="00374137">
            <w:pPr>
              <w:spacing w:after="0" w:line="240" w:lineRule="auto"/>
              <w:jc w:val="right"/>
              <w:rPr>
                <w:i/>
                <w:iCs/>
                <w:color w:val="000000"/>
                <w:sz w:val="20"/>
                <w:szCs w:val="20"/>
                <w:highlight w:val="yellow"/>
              </w:rPr>
            </w:pPr>
            <w:r w:rsidRPr="00B72AF6">
              <w:rPr>
                <w:i/>
                <w:iCs/>
                <w:color w:val="000000"/>
                <w:sz w:val="20"/>
                <w:szCs w:val="20"/>
              </w:rPr>
              <w:t>[-0.797, 12.187]</w:t>
            </w:r>
          </w:p>
        </w:tc>
      </w:tr>
      <w:tr w:rsidR="00B72AF6" w:rsidRPr="00452304" w14:paraId="1A7FCA78" w14:textId="77777777" w:rsidTr="00374137">
        <w:trPr>
          <w:trHeight w:val="320"/>
        </w:trPr>
        <w:tc>
          <w:tcPr>
            <w:tcW w:w="1094" w:type="dxa"/>
            <w:vMerge/>
            <w:tcBorders>
              <w:left w:val="nil"/>
              <w:right w:val="nil"/>
            </w:tcBorders>
          </w:tcPr>
          <w:p w14:paraId="6FD972B7"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412C35B" w14:textId="77777777"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5EDD2AAF" w14:textId="77777777" w:rsidR="00B72AF6" w:rsidRDefault="00B72AF6" w:rsidP="00B72AF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65BB775B" w14:textId="654F9A81"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11.405</w:t>
            </w:r>
          </w:p>
        </w:tc>
        <w:tc>
          <w:tcPr>
            <w:tcW w:w="972" w:type="dxa"/>
            <w:vMerge w:val="restart"/>
            <w:tcBorders>
              <w:top w:val="single" w:sz="4" w:space="0" w:color="auto"/>
              <w:left w:val="nil"/>
              <w:right w:val="nil"/>
            </w:tcBorders>
            <w:noWrap/>
            <w:vAlign w:val="center"/>
          </w:tcPr>
          <w:p w14:paraId="63DEBA98" w14:textId="77777777" w:rsidR="00B72AF6" w:rsidRPr="00A13DC2" w:rsidRDefault="00B72AF6" w:rsidP="00374137">
            <w:pPr>
              <w:spacing w:after="0" w:line="240" w:lineRule="auto"/>
              <w:jc w:val="right"/>
              <w:rPr>
                <w:b/>
                <w:bCs/>
                <w:color w:val="000000"/>
                <w:sz w:val="20"/>
                <w:szCs w:val="20"/>
              </w:rPr>
            </w:pPr>
            <w:r w:rsidRPr="00A13DC2">
              <w:rPr>
                <w:b/>
                <w:bCs/>
                <w:color w:val="000000"/>
                <w:sz w:val="20"/>
                <w:szCs w:val="20"/>
              </w:rPr>
              <w:t>3.123</w:t>
            </w:r>
          </w:p>
        </w:tc>
        <w:tc>
          <w:tcPr>
            <w:tcW w:w="939" w:type="dxa"/>
            <w:vMerge w:val="restart"/>
            <w:tcBorders>
              <w:top w:val="single" w:sz="4" w:space="0" w:color="auto"/>
              <w:left w:val="nil"/>
              <w:right w:val="nil"/>
            </w:tcBorders>
            <w:noWrap/>
            <w:vAlign w:val="center"/>
          </w:tcPr>
          <w:p w14:paraId="72A93F91" w14:textId="77777777" w:rsidR="00B72AF6" w:rsidRPr="00A13DC2" w:rsidRDefault="00B72AF6" w:rsidP="00374137">
            <w:pPr>
              <w:spacing w:after="0" w:line="240" w:lineRule="auto"/>
              <w:jc w:val="right"/>
              <w:rPr>
                <w:b/>
                <w:bCs/>
                <w:color w:val="000000"/>
                <w:sz w:val="20"/>
                <w:szCs w:val="20"/>
              </w:rPr>
            </w:pPr>
            <w:r w:rsidRPr="00A13DC2">
              <w:rPr>
                <w:b/>
                <w:bCs/>
                <w:color w:val="000000"/>
                <w:sz w:val="20"/>
                <w:szCs w:val="20"/>
              </w:rPr>
              <w:t>0.002</w:t>
            </w:r>
          </w:p>
        </w:tc>
        <w:tc>
          <w:tcPr>
            <w:tcW w:w="1767" w:type="dxa"/>
            <w:tcBorders>
              <w:top w:val="single" w:sz="4" w:space="0" w:color="auto"/>
              <w:left w:val="nil"/>
              <w:bottom w:val="nil"/>
              <w:right w:val="nil"/>
            </w:tcBorders>
            <w:noWrap/>
            <w:vAlign w:val="center"/>
          </w:tcPr>
          <w:p w14:paraId="61F8A286" w14:textId="0D984A5B"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[6.078, 17.000]</w:t>
            </w:r>
          </w:p>
        </w:tc>
      </w:tr>
      <w:tr w:rsidR="00B72AF6" w:rsidRPr="00452304" w14:paraId="34446ED0" w14:textId="77777777" w:rsidTr="00374137">
        <w:trPr>
          <w:trHeight w:val="320"/>
        </w:trPr>
        <w:tc>
          <w:tcPr>
            <w:tcW w:w="1094" w:type="dxa"/>
            <w:vMerge/>
            <w:tcBorders>
              <w:left w:val="nil"/>
              <w:bottom w:val="single" w:sz="4" w:space="0" w:color="auto"/>
              <w:right w:val="nil"/>
            </w:tcBorders>
          </w:tcPr>
          <w:p w14:paraId="338724A0"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294EF74"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6B33379" w14:textId="77777777" w:rsidR="00B72AF6" w:rsidRDefault="00B72AF6" w:rsidP="00B72AF6">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23CA65E0" w14:textId="7500927D"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28.018</w:t>
            </w:r>
          </w:p>
        </w:tc>
        <w:tc>
          <w:tcPr>
            <w:tcW w:w="972" w:type="dxa"/>
            <w:vMerge/>
            <w:tcBorders>
              <w:left w:val="nil"/>
              <w:bottom w:val="single" w:sz="4" w:space="0" w:color="auto"/>
              <w:right w:val="nil"/>
            </w:tcBorders>
            <w:noWrap/>
            <w:vAlign w:val="center"/>
          </w:tcPr>
          <w:p w14:paraId="26B30FB4" w14:textId="77777777" w:rsidR="00B72AF6" w:rsidRPr="00A13DC2" w:rsidRDefault="00B72AF6" w:rsidP="00374137">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3E6E3140" w14:textId="77777777" w:rsidR="00B72AF6" w:rsidRPr="00A13DC2" w:rsidRDefault="00B72AF6" w:rsidP="00374137">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24643B52" w14:textId="6AE93E94"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[17.234, 39.794]</w:t>
            </w:r>
          </w:p>
        </w:tc>
      </w:tr>
      <w:tr w:rsidR="00B72AF6" w:rsidRPr="00452304" w14:paraId="2469A030" w14:textId="77777777" w:rsidTr="00374137">
        <w:trPr>
          <w:trHeight w:val="320"/>
        </w:trPr>
        <w:tc>
          <w:tcPr>
            <w:tcW w:w="1094" w:type="dxa"/>
            <w:vMerge w:val="restart"/>
            <w:tcBorders>
              <w:top w:val="single" w:sz="4" w:space="0" w:color="auto"/>
              <w:left w:val="nil"/>
              <w:right w:val="nil"/>
            </w:tcBorders>
            <w:vAlign w:val="center"/>
          </w:tcPr>
          <w:p w14:paraId="405BF9FA" w14:textId="77777777" w:rsidR="00B72AF6" w:rsidRPr="008A48CF" w:rsidRDefault="00B72AF6" w:rsidP="00B72AF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color w:val="000000"/>
                <w:kern w:val="0"/>
                <w:sz w:val="20"/>
                <w:szCs w:val="20"/>
                <w:vertAlign w:val="subscript"/>
                <w14:ligatures w14:val="none"/>
              </w:rPr>
              <w:t>area</w:t>
            </w:r>
          </w:p>
        </w:tc>
        <w:tc>
          <w:tcPr>
            <w:tcW w:w="1178" w:type="dxa"/>
            <w:vMerge w:val="restart"/>
            <w:tcBorders>
              <w:top w:val="single" w:sz="4" w:space="0" w:color="auto"/>
              <w:left w:val="nil"/>
              <w:right w:val="nil"/>
            </w:tcBorders>
            <w:noWrap/>
            <w:vAlign w:val="center"/>
          </w:tcPr>
          <w:p w14:paraId="2391D28D" w14:textId="77777777"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2C471FD3" w14:textId="77777777" w:rsidR="00B72AF6" w:rsidRPr="008B7FCB" w:rsidRDefault="00B72AF6" w:rsidP="00B72AF6">
            <w:pPr>
              <w:spacing w:after="0" w:line="240" w:lineRule="auto"/>
              <w:rPr>
                <w:rFonts w:eastAsia="Times New Roman"/>
                <w:color w:val="000000"/>
                <w:kern w:val="0"/>
                <w:sz w:val="20"/>
                <w:szCs w:val="20"/>
                <w14:ligatures w14:val="none"/>
              </w:rPr>
            </w:pPr>
            <w:r w:rsidRPr="008B7FCB">
              <w:rPr>
                <w:rFonts w:eastAsia="Times New Roman"/>
                <w:i/>
                <w:iCs/>
                <w:color w:val="000000"/>
                <w:kern w:val="0"/>
                <w:sz w:val="20"/>
                <w:szCs w:val="20"/>
                <w14:ligatures w14:val="none"/>
              </w:rPr>
              <w:t>C</w:t>
            </w:r>
            <w:r w:rsidRPr="008B7FCB">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3F9CA8C2" w14:textId="603D05B7"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15.835</w:t>
            </w:r>
          </w:p>
        </w:tc>
        <w:tc>
          <w:tcPr>
            <w:tcW w:w="972" w:type="dxa"/>
            <w:vMerge w:val="restart"/>
            <w:tcBorders>
              <w:top w:val="single" w:sz="4" w:space="0" w:color="auto"/>
              <w:left w:val="nil"/>
              <w:right w:val="nil"/>
            </w:tcBorders>
            <w:noWrap/>
            <w:vAlign w:val="center"/>
          </w:tcPr>
          <w:p w14:paraId="780302C6" w14:textId="40B474FC" w:rsidR="00B72AF6" w:rsidRPr="00A13DC2" w:rsidRDefault="00B72AF6" w:rsidP="00374137">
            <w:pPr>
              <w:spacing w:after="0" w:line="240" w:lineRule="auto"/>
              <w:jc w:val="right"/>
              <w:rPr>
                <w:b/>
                <w:bCs/>
                <w:color w:val="000000"/>
                <w:sz w:val="20"/>
                <w:szCs w:val="20"/>
              </w:rPr>
            </w:pPr>
            <w:r w:rsidRPr="00A13DC2">
              <w:rPr>
                <w:b/>
                <w:bCs/>
                <w:color w:val="000000"/>
                <w:sz w:val="20"/>
                <w:szCs w:val="20"/>
              </w:rPr>
              <w:t>-2.084</w:t>
            </w:r>
          </w:p>
        </w:tc>
        <w:tc>
          <w:tcPr>
            <w:tcW w:w="939" w:type="dxa"/>
            <w:vMerge w:val="restart"/>
            <w:tcBorders>
              <w:top w:val="single" w:sz="4" w:space="0" w:color="auto"/>
              <w:left w:val="nil"/>
              <w:right w:val="nil"/>
            </w:tcBorders>
            <w:noWrap/>
            <w:vAlign w:val="center"/>
          </w:tcPr>
          <w:p w14:paraId="268E6024" w14:textId="4E49EEEC" w:rsidR="00B72AF6" w:rsidRPr="00A13DC2" w:rsidRDefault="00B72AF6" w:rsidP="00374137">
            <w:pPr>
              <w:spacing w:after="0" w:line="240" w:lineRule="auto"/>
              <w:jc w:val="right"/>
              <w:rPr>
                <w:b/>
                <w:bCs/>
                <w:color w:val="000000"/>
                <w:sz w:val="20"/>
                <w:szCs w:val="20"/>
              </w:rPr>
            </w:pPr>
            <w:r w:rsidRPr="00A13DC2">
              <w:rPr>
                <w:b/>
                <w:bCs/>
                <w:color w:val="000000"/>
                <w:sz w:val="20"/>
                <w:szCs w:val="20"/>
              </w:rPr>
              <w:t>0.037</w:t>
            </w:r>
          </w:p>
        </w:tc>
        <w:tc>
          <w:tcPr>
            <w:tcW w:w="1767" w:type="dxa"/>
            <w:tcBorders>
              <w:top w:val="single" w:sz="4" w:space="0" w:color="auto"/>
              <w:left w:val="nil"/>
              <w:bottom w:val="nil"/>
              <w:right w:val="nil"/>
            </w:tcBorders>
            <w:noWrap/>
            <w:vAlign w:val="center"/>
          </w:tcPr>
          <w:p w14:paraId="3F0B0272" w14:textId="67AE6E8F"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[6.609, 25.860]</w:t>
            </w:r>
          </w:p>
        </w:tc>
      </w:tr>
      <w:tr w:rsidR="00B72AF6" w:rsidRPr="00452304" w14:paraId="20DFCE0E" w14:textId="77777777" w:rsidTr="00374137">
        <w:trPr>
          <w:trHeight w:val="320"/>
        </w:trPr>
        <w:tc>
          <w:tcPr>
            <w:tcW w:w="1094" w:type="dxa"/>
            <w:vMerge/>
            <w:tcBorders>
              <w:left w:val="nil"/>
              <w:right w:val="nil"/>
            </w:tcBorders>
          </w:tcPr>
          <w:p w14:paraId="033323F0"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BF66123"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5F96957" w14:textId="77777777" w:rsidR="00B72AF6" w:rsidRPr="008B7FCB" w:rsidRDefault="00B72AF6" w:rsidP="00B72AF6">
            <w:pPr>
              <w:spacing w:after="0" w:line="240" w:lineRule="auto"/>
              <w:rPr>
                <w:rFonts w:eastAsia="Times New Roman"/>
                <w:color w:val="000000"/>
                <w:kern w:val="0"/>
                <w:sz w:val="20"/>
                <w:szCs w:val="20"/>
                <w14:ligatures w14:val="none"/>
              </w:rPr>
            </w:pPr>
            <w:r w:rsidRPr="008B7FCB">
              <w:rPr>
                <w:rFonts w:eastAsia="Times New Roman"/>
                <w:i/>
                <w:iCs/>
                <w:color w:val="000000"/>
                <w:kern w:val="0"/>
                <w:sz w:val="20"/>
                <w:szCs w:val="20"/>
                <w14:ligatures w14:val="none"/>
              </w:rPr>
              <w:t>C</w:t>
            </w:r>
            <w:r w:rsidRPr="008B7FCB">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1C4AEF1F" w14:textId="4CDD7DC2"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5.971</w:t>
            </w:r>
          </w:p>
        </w:tc>
        <w:tc>
          <w:tcPr>
            <w:tcW w:w="972" w:type="dxa"/>
            <w:vMerge/>
            <w:tcBorders>
              <w:left w:val="nil"/>
              <w:bottom w:val="single" w:sz="4" w:space="0" w:color="auto"/>
              <w:right w:val="nil"/>
            </w:tcBorders>
            <w:noWrap/>
            <w:vAlign w:val="center"/>
          </w:tcPr>
          <w:p w14:paraId="01C43ACD" w14:textId="77777777" w:rsidR="00B72AF6" w:rsidRPr="00A13DC2" w:rsidRDefault="00B72AF6" w:rsidP="00374137">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60108956" w14:textId="77777777" w:rsidR="00B72AF6" w:rsidRPr="00A13DC2" w:rsidRDefault="00B72AF6" w:rsidP="00374137">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7571914B" w14:textId="2A3C55A5"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[-4.400, 17.468]</w:t>
            </w:r>
          </w:p>
        </w:tc>
      </w:tr>
      <w:tr w:rsidR="00B72AF6" w:rsidRPr="00452304" w14:paraId="6621095F" w14:textId="77777777" w:rsidTr="00374137">
        <w:trPr>
          <w:trHeight w:val="320"/>
        </w:trPr>
        <w:tc>
          <w:tcPr>
            <w:tcW w:w="1094" w:type="dxa"/>
            <w:vMerge/>
            <w:tcBorders>
              <w:left w:val="nil"/>
              <w:right w:val="nil"/>
            </w:tcBorders>
          </w:tcPr>
          <w:p w14:paraId="44F0A077"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E48C39B" w14:textId="77777777"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2884EB00" w14:textId="77777777" w:rsidR="00B72AF6" w:rsidRDefault="00B72AF6" w:rsidP="00B72AF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0E3822BD" w14:textId="574096EE"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2.942</w:t>
            </w:r>
          </w:p>
        </w:tc>
        <w:tc>
          <w:tcPr>
            <w:tcW w:w="972" w:type="dxa"/>
            <w:vMerge w:val="restart"/>
            <w:tcBorders>
              <w:top w:val="single" w:sz="4" w:space="0" w:color="auto"/>
              <w:left w:val="nil"/>
              <w:right w:val="nil"/>
            </w:tcBorders>
            <w:noWrap/>
            <w:vAlign w:val="center"/>
          </w:tcPr>
          <w:p w14:paraId="1A9967EE" w14:textId="66F8015E" w:rsidR="00B72AF6" w:rsidRPr="00B72AF6" w:rsidRDefault="00B72AF6" w:rsidP="00374137">
            <w:pPr>
              <w:spacing w:after="0" w:line="240" w:lineRule="auto"/>
              <w:jc w:val="right"/>
              <w:rPr>
                <w:color w:val="000000"/>
                <w:sz w:val="20"/>
                <w:szCs w:val="20"/>
              </w:rPr>
            </w:pPr>
            <w:r w:rsidRPr="00B72AF6">
              <w:rPr>
                <w:color w:val="000000"/>
                <w:sz w:val="20"/>
                <w:szCs w:val="20"/>
              </w:rPr>
              <w:t>0.119</w:t>
            </w:r>
          </w:p>
        </w:tc>
        <w:tc>
          <w:tcPr>
            <w:tcW w:w="939" w:type="dxa"/>
            <w:vMerge w:val="restart"/>
            <w:tcBorders>
              <w:top w:val="single" w:sz="4" w:space="0" w:color="auto"/>
              <w:left w:val="nil"/>
              <w:right w:val="nil"/>
            </w:tcBorders>
            <w:noWrap/>
            <w:vAlign w:val="center"/>
          </w:tcPr>
          <w:p w14:paraId="0A34E2F1" w14:textId="253028F8" w:rsidR="00B72AF6" w:rsidRPr="00B72AF6" w:rsidRDefault="00B72AF6" w:rsidP="00374137">
            <w:pPr>
              <w:spacing w:after="0" w:line="240" w:lineRule="auto"/>
              <w:jc w:val="right"/>
              <w:rPr>
                <w:color w:val="000000"/>
                <w:sz w:val="20"/>
                <w:szCs w:val="20"/>
              </w:rPr>
            </w:pPr>
            <w:r w:rsidRPr="00B72AF6">
              <w:rPr>
                <w:color w:val="000000"/>
                <w:sz w:val="20"/>
                <w:szCs w:val="20"/>
              </w:rPr>
              <w:t>0.905</w:t>
            </w:r>
          </w:p>
        </w:tc>
        <w:tc>
          <w:tcPr>
            <w:tcW w:w="1767" w:type="dxa"/>
            <w:tcBorders>
              <w:top w:val="single" w:sz="4" w:space="0" w:color="auto"/>
              <w:left w:val="nil"/>
              <w:bottom w:val="nil"/>
              <w:right w:val="nil"/>
            </w:tcBorders>
            <w:noWrap/>
            <w:vAlign w:val="center"/>
          </w:tcPr>
          <w:p w14:paraId="29F2E3FC" w14:textId="0C4D2352"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[-4.972, 11.516]</w:t>
            </w:r>
          </w:p>
        </w:tc>
      </w:tr>
      <w:tr w:rsidR="00B72AF6" w:rsidRPr="00452304" w14:paraId="281F2A68" w14:textId="77777777" w:rsidTr="00374137">
        <w:trPr>
          <w:trHeight w:val="320"/>
        </w:trPr>
        <w:tc>
          <w:tcPr>
            <w:tcW w:w="1094" w:type="dxa"/>
            <w:vMerge/>
            <w:tcBorders>
              <w:left w:val="nil"/>
              <w:right w:val="nil"/>
            </w:tcBorders>
          </w:tcPr>
          <w:p w14:paraId="1C715EA6"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448D7AD"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986EBBA" w14:textId="77777777" w:rsidR="00B72AF6" w:rsidRDefault="00B72AF6" w:rsidP="00B72AF6">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080E1D49" w14:textId="4A56AF0C"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3.458</w:t>
            </w:r>
          </w:p>
        </w:tc>
        <w:tc>
          <w:tcPr>
            <w:tcW w:w="972" w:type="dxa"/>
            <w:vMerge/>
            <w:tcBorders>
              <w:left w:val="nil"/>
              <w:bottom w:val="single" w:sz="4" w:space="0" w:color="auto"/>
              <w:right w:val="nil"/>
            </w:tcBorders>
            <w:noWrap/>
            <w:vAlign w:val="center"/>
          </w:tcPr>
          <w:p w14:paraId="20861D6A" w14:textId="77777777" w:rsidR="00B72AF6" w:rsidRPr="00B72AF6" w:rsidRDefault="00B72AF6" w:rsidP="00374137">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54231F35" w14:textId="77777777" w:rsidR="00B72AF6" w:rsidRPr="00B72AF6" w:rsidRDefault="00B72AF6" w:rsidP="00374137">
            <w:pPr>
              <w:spacing w:after="0" w:line="240" w:lineRule="auto"/>
              <w:jc w:val="right"/>
              <w:rPr>
                <w:color w:val="000000"/>
                <w:sz w:val="20"/>
                <w:szCs w:val="20"/>
              </w:rPr>
            </w:pPr>
          </w:p>
        </w:tc>
        <w:tc>
          <w:tcPr>
            <w:tcW w:w="1767" w:type="dxa"/>
            <w:tcBorders>
              <w:top w:val="nil"/>
              <w:left w:val="nil"/>
              <w:bottom w:val="single" w:sz="4" w:space="0" w:color="auto"/>
              <w:right w:val="nil"/>
            </w:tcBorders>
            <w:noWrap/>
            <w:vAlign w:val="center"/>
          </w:tcPr>
          <w:p w14:paraId="62711AD4" w14:textId="6187E1B8"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[-6.293, 14.339]</w:t>
            </w:r>
          </w:p>
        </w:tc>
      </w:tr>
      <w:tr w:rsidR="00B72AF6" w:rsidRPr="00452304" w14:paraId="34AE3F37" w14:textId="77777777" w:rsidTr="00374137">
        <w:trPr>
          <w:trHeight w:val="320"/>
        </w:trPr>
        <w:tc>
          <w:tcPr>
            <w:tcW w:w="1094" w:type="dxa"/>
            <w:vMerge/>
            <w:tcBorders>
              <w:left w:val="nil"/>
              <w:right w:val="nil"/>
            </w:tcBorders>
          </w:tcPr>
          <w:p w14:paraId="4EAAA721"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3DA848B" w14:textId="77777777"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711B7D05" w14:textId="77777777" w:rsidR="00B72AF6" w:rsidRDefault="00B72AF6" w:rsidP="00B72AF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46980F51" w14:textId="0D3B6973" w:rsidR="00B72AF6" w:rsidRPr="00B72AF6" w:rsidRDefault="00B72AF6" w:rsidP="00374137">
            <w:pPr>
              <w:spacing w:after="0" w:line="240" w:lineRule="auto"/>
              <w:jc w:val="right"/>
              <w:rPr>
                <w:b/>
                <w:bCs/>
                <w:color w:val="000000"/>
                <w:sz w:val="20"/>
                <w:szCs w:val="20"/>
                <w:highlight w:val="yellow"/>
              </w:rPr>
            </w:pPr>
            <w:r w:rsidRPr="00B72AF6">
              <w:rPr>
                <w:b/>
                <w:bCs/>
                <w:color w:val="000000"/>
                <w:sz w:val="20"/>
                <w:szCs w:val="20"/>
              </w:rPr>
              <w:t>21.774</w:t>
            </w:r>
          </w:p>
        </w:tc>
        <w:tc>
          <w:tcPr>
            <w:tcW w:w="972" w:type="dxa"/>
            <w:vMerge w:val="restart"/>
            <w:tcBorders>
              <w:top w:val="single" w:sz="4" w:space="0" w:color="auto"/>
              <w:left w:val="nil"/>
              <w:right w:val="nil"/>
            </w:tcBorders>
            <w:noWrap/>
            <w:vAlign w:val="center"/>
          </w:tcPr>
          <w:p w14:paraId="529082D9" w14:textId="59C6D01B" w:rsidR="00B72AF6" w:rsidRPr="00B72AF6" w:rsidRDefault="00B72AF6" w:rsidP="00374137">
            <w:pPr>
              <w:spacing w:after="0" w:line="240" w:lineRule="auto"/>
              <w:jc w:val="right"/>
              <w:rPr>
                <w:b/>
                <w:bCs/>
                <w:color w:val="000000"/>
                <w:sz w:val="20"/>
                <w:szCs w:val="20"/>
              </w:rPr>
            </w:pPr>
            <w:r w:rsidRPr="00B72AF6">
              <w:rPr>
                <w:b/>
                <w:bCs/>
                <w:color w:val="000000"/>
                <w:sz w:val="20"/>
                <w:szCs w:val="20"/>
              </w:rPr>
              <w:t>-6.916</w:t>
            </w:r>
          </w:p>
        </w:tc>
        <w:tc>
          <w:tcPr>
            <w:tcW w:w="939" w:type="dxa"/>
            <w:vMerge w:val="restart"/>
            <w:tcBorders>
              <w:top w:val="single" w:sz="4" w:space="0" w:color="auto"/>
              <w:left w:val="nil"/>
              <w:right w:val="nil"/>
            </w:tcBorders>
            <w:noWrap/>
            <w:vAlign w:val="center"/>
          </w:tcPr>
          <w:p w14:paraId="0CF8924E" w14:textId="694BD7D1" w:rsidR="00B72AF6" w:rsidRPr="00B72AF6" w:rsidRDefault="00B72AF6" w:rsidP="00374137">
            <w:pPr>
              <w:spacing w:after="0" w:line="240" w:lineRule="auto"/>
              <w:jc w:val="right"/>
              <w:rPr>
                <w:b/>
                <w:bCs/>
                <w:color w:val="000000"/>
                <w:sz w:val="20"/>
                <w:szCs w:val="20"/>
              </w:rPr>
            </w:pPr>
            <w:r w:rsidRPr="00B72AF6">
              <w:rPr>
                <w:b/>
                <w:bCs/>
                <w:color w:val="000000"/>
                <w:sz w:val="20"/>
                <w:szCs w:val="20"/>
              </w:rPr>
              <w:t>&lt;0.001</w:t>
            </w:r>
          </w:p>
        </w:tc>
        <w:tc>
          <w:tcPr>
            <w:tcW w:w="1767" w:type="dxa"/>
            <w:tcBorders>
              <w:top w:val="single" w:sz="4" w:space="0" w:color="auto"/>
              <w:left w:val="nil"/>
              <w:bottom w:val="nil"/>
              <w:right w:val="nil"/>
            </w:tcBorders>
            <w:noWrap/>
            <w:vAlign w:val="center"/>
          </w:tcPr>
          <w:p w14:paraId="37117B26" w14:textId="3D5D283A" w:rsidR="00B72AF6" w:rsidRPr="00B72AF6" w:rsidRDefault="00B72AF6" w:rsidP="00374137">
            <w:pPr>
              <w:spacing w:after="0" w:line="240" w:lineRule="auto"/>
              <w:jc w:val="right"/>
              <w:rPr>
                <w:b/>
                <w:bCs/>
                <w:color w:val="000000"/>
                <w:sz w:val="20"/>
                <w:szCs w:val="20"/>
                <w:highlight w:val="yellow"/>
              </w:rPr>
            </w:pPr>
            <w:r w:rsidRPr="00B72AF6">
              <w:rPr>
                <w:b/>
                <w:bCs/>
                <w:color w:val="000000"/>
                <w:sz w:val="20"/>
                <w:szCs w:val="20"/>
              </w:rPr>
              <w:t>[11.628, 32.843]</w:t>
            </w:r>
          </w:p>
        </w:tc>
      </w:tr>
      <w:tr w:rsidR="00B72AF6" w:rsidRPr="00452304" w14:paraId="2BDF09C1" w14:textId="77777777" w:rsidTr="00374137">
        <w:trPr>
          <w:trHeight w:val="320"/>
        </w:trPr>
        <w:tc>
          <w:tcPr>
            <w:tcW w:w="1094" w:type="dxa"/>
            <w:vMerge/>
            <w:tcBorders>
              <w:left w:val="nil"/>
              <w:bottom w:val="single" w:sz="4" w:space="0" w:color="auto"/>
              <w:right w:val="nil"/>
            </w:tcBorders>
          </w:tcPr>
          <w:p w14:paraId="1BBBF5BA"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4CEA4C2"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6936531" w14:textId="77777777" w:rsidR="00B72AF6" w:rsidRDefault="00B72AF6" w:rsidP="00B72AF6">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6F9DE3E9" w14:textId="7D55D663" w:rsidR="00B72AF6" w:rsidRPr="00B72AF6" w:rsidRDefault="00B72AF6" w:rsidP="00374137">
            <w:pPr>
              <w:spacing w:after="0" w:line="240" w:lineRule="auto"/>
              <w:jc w:val="right"/>
              <w:rPr>
                <w:b/>
                <w:bCs/>
                <w:color w:val="000000"/>
                <w:sz w:val="20"/>
                <w:szCs w:val="20"/>
                <w:highlight w:val="yellow"/>
              </w:rPr>
            </w:pPr>
            <w:r w:rsidRPr="00B72AF6">
              <w:rPr>
                <w:b/>
                <w:bCs/>
                <w:color w:val="000000"/>
                <w:sz w:val="20"/>
                <w:szCs w:val="20"/>
              </w:rPr>
              <w:t>-5.162</w:t>
            </w:r>
          </w:p>
        </w:tc>
        <w:tc>
          <w:tcPr>
            <w:tcW w:w="972" w:type="dxa"/>
            <w:vMerge/>
            <w:tcBorders>
              <w:left w:val="nil"/>
              <w:bottom w:val="single" w:sz="4" w:space="0" w:color="auto"/>
              <w:right w:val="nil"/>
            </w:tcBorders>
            <w:noWrap/>
            <w:vAlign w:val="center"/>
          </w:tcPr>
          <w:p w14:paraId="173D5D0E" w14:textId="77777777" w:rsidR="00B72AF6" w:rsidRPr="00B72AF6" w:rsidRDefault="00B72AF6" w:rsidP="00374137">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28279BDC" w14:textId="77777777" w:rsidR="00B72AF6" w:rsidRPr="00B72AF6" w:rsidRDefault="00B72AF6" w:rsidP="00374137">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1292FC20" w14:textId="730E3096" w:rsidR="00B72AF6" w:rsidRPr="00B72AF6" w:rsidRDefault="00B72AF6" w:rsidP="00374137">
            <w:pPr>
              <w:spacing w:after="0" w:line="240" w:lineRule="auto"/>
              <w:jc w:val="right"/>
              <w:rPr>
                <w:b/>
                <w:bCs/>
                <w:color w:val="000000"/>
                <w:sz w:val="20"/>
                <w:szCs w:val="20"/>
                <w:highlight w:val="yellow"/>
              </w:rPr>
            </w:pPr>
            <w:r w:rsidRPr="00B72AF6">
              <w:rPr>
                <w:b/>
                <w:bCs/>
                <w:color w:val="000000"/>
                <w:sz w:val="20"/>
                <w:szCs w:val="20"/>
              </w:rPr>
              <w:t>[-14.444, 5.127]</w:t>
            </w:r>
          </w:p>
        </w:tc>
      </w:tr>
      <w:tr w:rsidR="00B72AF6" w:rsidRPr="00452304" w14:paraId="0230876C" w14:textId="77777777" w:rsidTr="00374137">
        <w:trPr>
          <w:trHeight w:val="320"/>
        </w:trPr>
        <w:tc>
          <w:tcPr>
            <w:tcW w:w="1094" w:type="dxa"/>
            <w:vMerge w:val="restart"/>
            <w:tcBorders>
              <w:top w:val="single" w:sz="4" w:space="0" w:color="auto"/>
              <w:left w:val="nil"/>
              <w:right w:val="nil"/>
            </w:tcBorders>
            <w:vAlign w:val="center"/>
          </w:tcPr>
          <w:p w14:paraId="2685F872" w14:textId="77777777" w:rsidR="00B72AF6" w:rsidRPr="009D19EF" w:rsidRDefault="00B72AF6" w:rsidP="00B72AF6">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mass</w:t>
            </w:r>
            <w:proofErr w:type="spellEnd"/>
          </w:p>
        </w:tc>
        <w:tc>
          <w:tcPr>
            <w:tcW w:w="1178" w:type="dxa"/>
            <w:vMerge w:val="restart"/>
            <w:tcBorders>
              <w:top w:val="single" w:sz="4" w:space="0" w:color="auto"/>
              <w:left w:val="nil"/>
              <w:right w:val="nil"/>
            </w:tcBorders>
            <w:noWrap/>
            <w:vAlign w:val="center"/>
          </w:tcPr>
          <w:p w14:paraId="7C990441" w14:textId="77777777"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15451F76" w14:textId="77777777" w:rsidR="00B72AF6" w:rsidRDefault="00B72AF6" w:rsidP="00B72AF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17D4B049" w14:textId="04D8E415"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-9.063</w:t>
            </w:r>
          </w:p>
        </w:tc>
        <w:tc>
          <w:tcPr>
            <w:tcW w:w="972" w:type="dxa"/>
            <w:vMerge w:val="restart"/>
            <w:tcBorders>
              <w:top w:val="single" w:sz="4" w:space="0" w:color="auto"/>
              <w:left w:val="nil"/>
              <w:right w:val="nil"/>
            </w:tcBorders>
            <w:noWrap/>
            <w:vAlign w:val="center"/>
          </w:tcPr>
          <w:p w14:paraId="557B9FC2" w14:textId="77777777" w:rsidR="00B72AF6" w:rsidRPr="00B72AF6" w:rsidRDefault="00B72AF6" w:rsidP="00374137">
            <w:pPr>
              <w:spacing w:after="0" w:line="240" w:lineRule="auto"/>
              <w:jc w:val="right"/>
              <w:rPr>
                <w:color w:val="000000"/>
                <w:sz w:val="20"/>
                <w:szCs w:val="20"/>
              </w:rPr>
            </w:pPr>
            <w:r w:rsidRPr="00B72AF6">
              <w:rPr>
                <w:color w:val="000000"/>
                <w:sz w:val="20"/>
                <w:szCs w:val="20"/>
              </w:rPr>
              <w:t>1.260</w:t>
            </w:r>
          </w:p>
        </w:tc>
        <w:tc>
          <w:tcPr>
            <w:tcW w:w="939" w:type="dxa"/>
            <w:vMerge w:val="restart"/>
            <w:tcBorders>
              <w:top w:val="single" w:sz="4" w:space="0" w:color="auto"/>
              <w:left w:val="nil"/>
              <w:right w:val="nil"/>
            </w:tcBorders>
            <w:noWrap/>
            <w:vAlign w:val="center"/>
          </w:tcPr>
          <w:p w14:paraId="02ACBB02" w14:textId="77777777" w:rsidR="00B72AF6" w:rsidRPr="00B72AF6" w:rsidRDefault="00B72AF6" w:rsidP="00374137">
            <w:pPr>
              <w:spacing w:after="0" w:line="240" w:lineRule="auto"/>
              <w:jc w:val="right"/>
              <w:rPr>
                <w:color w:val="000000"/>
                <w:sz w:val="20"/>
                <w:szCs w:val="20"/>
              </w:rPr>
            </w:pPr>
            <w:r w:rsidRPr="00B72AF6">
              <w:rPr>
                <w:color w:val="000000"/>
                <w:sz w:val="20"/>
                <w:szCs w:val="20"/>
              </w:rPr>
              <w:t>0.208</w:t>
            </w:r>
          </w:p>
        </w:tc>
        <w:tc>
          <w:tcPr>
            <w:tcW w:w="1767" w:type="dxa"/>
            <w:tcBorders>
              <w:top w:val="single" w:sz="4" w:space="0" w:color="auto"/>
              <w:left w:val="nil"/>
              <w:bottom w:val="nil"/>
              <w:right w:val="nil"/>
            </w:tcBorders>
            <w:noWrap/>
            <w:vAlign w:val="center"/>
          </w:tcPr>
          <w:p w14:paraId="378EF3EC" w14:textId="5A64444A"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[-15.634, -2.078]</w:t>
            </w:r>
          </w:p>
        </w:tc>
      </w:tr>
      <w:tr w:rsidR="00B72AF6" w:rsidRPr="00452304" w14:paraId="0D361CF1" w14:textId="77777777" w:rsidTr="00374137">
        <w:trPr>
          <w:trHeight w:val="320"/>
        </w:trPr>
        <w:tc>
          <w:tcPr>
            <w:tcW w:w="1094" w:type="dxa"/>
            <w:vMerge/>
            <w:tcBorders>
              <w:left w:val="nil"/>
              <w:right w:val="nil"/>
            </w:tcBorders>
            <w:vAlign w:val="center"/>
          </w:tcPr>
          <w:p w14:paraId="1AC7E6D2"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1EEBCB2"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EC997D6" w14:textId="77777777" w:rsidR="00B72AF6" w:rsidRDefault="00B72AF6" w:rsidP="00B72AF6">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56D2B5CC" w14:textId="54C19551"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1.613</w:t>
            </w:r>
          </w:p>
        </w:tc>
        <w:tc>
          <w:tcPr>
            <w:tcW w:w="972" w:type="dxa"/>
            <w:vMerge/>
            <w:tcBorders>
              <w:left w:val="nil"/>
              <w:bottom w:val="single" w:sz="4" w:space="0" w:color="auto"/>
              <w:right w:val="nil"/>
            </w:tcBorders>
            <w:noWrap/>
            <w:vAlign w:val="center"/>
          </w:tcPr>
          <w:p w14:paraId="6C9547C5" w14:textId="77777777" w:rsidR="00B72AF6" w:rsidRPr="00B72AF6" w:rsidRDefault="00B72AF6" w:rsidP="00374137">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35EF49A7" w14:textId="77777777" w:rsidR="00B72AF6" w:rsidRPr="00B72AF6" w:rsidRDefault="00B72AF6" w:rsidP="00374137">
            <w:pPr>
              <w:spacing w:after="0" w:line="240" w:lineRule="auto"/>
              <w:jc w:val="right"/>
              <w:rPr>
                <w:color w:val="000000"/>
                <w:sz w:val="20"/>
                <w:szCs w:val="20"/>
              </w:rPr>
            </w:pPr>
          </w:p>
        </w:tc>
        <w:tc>
          <w:tcPr>
            <w:tcW w:w="1767" w:type="dxa"/>
            <w:tcBorders>
              <w:top w:val="nil"/>
              <w:left w:val="nil"/>
              <w:bottom w:val="single" w:sz="4" w:space="0" w:color="auto"/>
              <w:right w:val="nil"/>
            </w:tcBorders>
            <w:noWrap/>
            <w:vAlign w:val="center"/>
          </w:tcPr>
          <w:p w14:paraId="37E95386" w14:textId="3DA9FBE3"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[-14.358, 20.563]</w:t>
            </w:r>
          </w:p>
        </w:tc>
      </w:tr>
      <w:tr w:rsidR="00B72AF6" w:rsidRPr="00452304" w14:paraId="68013A6C" w14:textId="77777777" w:rsidTr="00374137">
        <w:trPr>
          <w:trHeight w:val="320"/>
        </w:trPr>
        <w:tc>
          <w:tcPr>
            <w:tcW w:w="1094" w:type="dxa"/>
            <w:vMerge/>
            <w:tcBorders>
              <w:left w:val="nil"/>
              <w:right w:val="nil"/>
            </w:tcBorders>
            <w:vAlign w:val="center"/>
          </w:tcPr>
          <w:p w14:paraId="7000F42F"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FA49679" w14:textId="77777777"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82D9346" w14:textId="77777777" w:rsidR="00B72AF6" w:rsidRDefault="00B72AF6" w:rsidP="00B72AF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2777ACE3" w14:textId="4AD786F4"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66.696</w:t>
            </w:r>
          </w:p>
        </w:tc>
        <w:tc>
          <w:tcPr>
            <w:tcW w:w="972" w:type="dxa"/>
            <w:vMerge w:val="restart"/>
            <w:tcBorders>
              <w:top w:val="single" w:sz="4" w:space="0" w:color="auto"/>
              <w:left w:val="nil"/>
              <w:right w:val="nil"/>
            </w:tcBorders>
            <w:noWrap/>
            <w:vAlign w:val="center"/>
          </w:tcPr>
          <w:p w14:paraId="35304CBE" w14:textId="77777777" w:rsidR="00B72AF6" w:rsidRPr="00A13DC2" w:rsidRDefault="00B72AF6" w:rsidP="00374137">
            <w:pPr>
              <w:spacing w:after="0" w:line="240" w:lineRule="auto"/>
              <w:jc w:val="right"/>
              <w:rPr>
                <w:b/>
                <w:bCs/>
                <w:color w:val="000000"/>
                <w:sz w:val="20"/>
                <w:szCs w:val="20"/>
              </w:rPr>
            </w:pPr>
            <w:r w:rsidRPr="00A13DC2">
              <w:rPr>
                <w:b/>
                <w:bCs/>
                <w:color w:val="000000"/>
                <w:sz w:val="20"/>
                <w:szCs w:val="20"/>
              </w:rPr>
              <w:t>-2.884</w:t>
            </w:r>
          </w:p>
        </w:tc>
        <w:tc>
          <w:tcPr>
            <w:tcW w:w="939" w:type="dxa"/>
            <w:vMerge w:val="restart"/>
            <w:tcBorders>
              <w:top w:val="single" w:sz="4" w:space="0" w:color="auto"/>
              <w:left w:val="nil"/>
              <w:right w:val="nil"/>
            </w:tcBorders>
            <w:noWrap/>
            <w:vAlign w:val="center"/>
          </w:tcPr>
          <w:p w14:paraId="18FCEB6B" w14:textId="77777777" w:rsidR="00B72AF6" w:rsidRPr="00A13DC2" w:rsidRDefault="00B72AF6" w:rsidP="00374137">
            <w:pPr>
              <w:spacing w:after="0" w:line="240" w:lineRule="auto"/>
              <w:jc w:val="right"/>
              <w:rPr>
                <w:b/>
                <w:bCs/>
                <w:color w:val="000000"/>
                <w:sz w:val="20"/>
                <w:szCs w:val="20"/>
              </w:rPr>
            </w:pPr>
            <w:r w:rsidRPr="00A13DC2">
              <w:rPr>
                <w:b/>
                <w:bCs/>
                <w:color w:val="000000"/>
                <w:sz w:val="20"/>
                <w:szCs w:val="20"/>
              </w:rPr>
              <w:t>0.004</w:t>
            </w:r>
          </w:p>
        </w:tc>
        <w:tc>
          <w:tcPr>
            <w:tcW w:w="1767" w:type="dxa"/>
            <w:tcBorders>
              <w:top w:val="single" w:sz="4" w:space="0" w:color="auto"/>
              <w:left w:val="nil"/>
              <w:bottom w:val="nil"/>
              <w:right w:val="nil"/>
            </w:tcBorders>
            <w:noWrap/>
            <w:vAlign w:val="center"/>
          </w:tcPr>
          <w:p w14:paraId="39E02BE8" w14:textId="1EC3F068"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[42.618, 94.838]</w:t>
            </w:r>
          </w:p>
        </w:tc>
      </w:tr>
      <w:tr w:rsidR="00B72AF6" w:rsidRPr="00452304" w14:paraId="761B0C32" w14:textId="77777777" w:rsidTr="00374137">
        <w:trPr>
          <w:trHeight w:val="320"/>
        </w:trPr>
        <w:tc>
          <w:tcPr>
            <w:tcW w:w="1094" w:type="dxa"/>
            <w:vMerge/>
            <w:tcBorders>
              <w:left w:val="nil"/>
              <w:right w:val="nil"/>
            </w:tcBorders>
            <w:vAlign w:val="center"/>
          </w:tcPr>
          <w:p w14:paraId="122B2498"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C278927"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3C55DE8" w14:textId="77777777" w:rsidR="00B72AF6" w:rsidRDefault="00B72AF6" w:rsidP="00B72AF6">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35B064B9" w14:textId="2BD86529"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19.483</w:t>
            </w:r>
          </w:p>
        </w:tc>
        <w:tc>
          <w:tcPr>
            <w:tcW w:w="972" w:type="dxa"/>
            <w:vMerge/>
            <w:tcBorders>
              <w:left w:val="nil"/>
              <w:bottom w:val="single" w:sz="4" w:space="0" w:color="auto"/>
              <w:right w:val="nil"/>
            </w:tcBorders>
            <w:noWrap/>
            <w:vAlign w:val="center"/>
          </w:tcPr>
          <w:p w14:paraId="4B14E612" w14:textId="77777777" w:rsidR="00B72AF6" w:rsidRPr="00A13DC2" w:rsidRDefault="00B72AF6" w:rsidP="00374137">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7BCB2AB6" w14:textId="77777777" w:rsidR="00B72AF6" w:rsidRPr="00A13DC2" w:rsidRDefault="00B72AF6" w:rsidP="00374137">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3C3270B8" w14:textId="08431EC1"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[-7.226, 53.726]</w:t>
            </w:r>
          </w:p>
        </w:tc>
      </w:tr>
      <w:tr w:rsidR="00B72AF6" w:rsidRPr="00452304" w14:paraId="4F4CFAF6" w14:textId="77777777" w:rsidTr="00374137">
        <w:trPr>
          <w:trHeight w:val="320"/>
        </w:trPr>
        <w:tc>
          <w:tcPr>
            <w:tcW w:w="1094" w:type="dxa"/>
            <w:vMerge/>
            <w:tcBorders>
              <w:left w:val="nil"/>
              <w:right w:val="nil"/>
            </w:tcBorders>
            <w:vAlign w:val="center"/>
          </w:tcPr>
          <w:p w14:paraId="06AFD3B4"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2594555" w14:textId="77777777"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55C59669" w14:textId="77777777" w:rsidR="00B72AF6" w:rsidRDefault="00B72AF6" w:rsidP="00B72AF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18280D65" w14:textId="1B3F826F"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44.34</w:t>
            </w:r>
            <w:r>
              <w:rPr>
                <w:color w:val="000000"/>
                <w:sz w:val="20"/>
                <w:szCs w:val="20"/>
              </w:rPr>
              <w:t>0</w:t>
            </w:r>
          </w:p>
        </w:tc>
        <w:tc>
          <w:tcPr>
            <w:tcW w:w="972" w:type="dxa"/>
            <w:vMerge w:val="restart"/>
            <w:tcBorders>
              <w:top w:val="single" w:sz="4" w:space="0" w:color="auto"/>
              <w:left w:val="nil"/>
              <w:right w:val="nil"/>
            </w:tcBorders>
            <w:noWrap/>
            <w:vAlign w:val="center"/>
          </w:tcPr>
          <w:p w14:paraId="53968799" w14:textId="77777777" w:rsidR="00B72AF6" w:rsidRPr="00B72AF6" w:rsidRDefault="00B72AF6" w:rsidP="00374137">
            <w:pPr>
              <w:spacing w:after="0" w:line="240" w:lineRule="auto"/>
              <w:jc w:val="right"/>
              <w:rPr>
                <w:color w:val="000000"/>
                <w:sz w:val="20"/>
                <w:szCs w:val="20"/>
              </w:rPr>
            </w:pPr>
            <w:r w:rsidRPr="00B72AF6">
              <w:rPr>
                <w:color w:val="000000"/>
                <w:sz w:val="20"/>
                <w:szCs w:val="20"/>
              </w:rPr>
              <w:t>0.124</w:t>
            </w:r>
          </w:p>
        </w:tc>
        <w:tc>
          <w:tcPr>
            <w:tcW w:w="939" w:type="dxa"/>
            <w:vMerge w:val="restart"/>
            <w:tcBorders>
              <w:top w:val="single" w:sz="4" w:space="0" w:color="auto"/>
              <w:left w:val="nil"/>
              <w:right w:val="nil"/>
            </w:tcBorders>
            <w:noWrap/>
            <w:vAlign w:val="center"/>
          </w:tcPr>
          <w:p w14:paraId="50DCE35B" w14:textId="77777777" w:rsidR="00B72AF6" w:rsidRPr="00B72AF6" w:rsidRDefault="00B72AF6" w:rsidP="00374137">
            <w:pPr>
              <w:spacing w:after="0" w:line="240" w:lineRule="auto"/>
              <w:jc w:val="right"/>
              <w:rPr>
                <w:color w:val="000000"/>
                <w:sz w:val="20"/>
                <w:szCs w:val="20"/>
              </w:rPr>
            </w:pPr>
            <w:r w:rsidRPr="00B72AF6">
              <w:rPr>
                <w:color w:val="000000"/>
                <w:sz w:val="20"/>
                <w:szCs w:val="20"/>
              </w:rPr>
              <w:t>0.901</w:t>
            </w:r>
          </w:p>
        </w:tc>
        <w:tc>
          <w:tcPr>
            <w:tcW w:w="1767" w:type="dxa"/>
            <w:tcBorders>
              <w:top w:val="single" w:sz="4" w:space="0" w:color="auto"/>
              <w:left w:val="nil"/>
              <w:bottom w:val="nil"/>
              <w:right w:val="nil"/>
            </w:tcBorders>
            <w:noWrap/>
            <w:vAlign w:val="center"/>
          </w:tcPr>
          <w:p w14:paraId="450AEDAE" w14:textId="75254A5D"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[26.998, 64.05</w:t>
            </w:r>
            <w:r>
              <w:rPr>
                <w:color w:val="000000"/>
                <w:sz w:val="20"/>
                <w:szCs w:val="20"/>
              </w:rPr>
              <w:t>0</w:t>
            </w:r>
            <w:r w:rsidRPr="00B72AF6">
              <w:rPr>
                <w:color w:val="000000"/>
                <w:sz w:val="20"/>
                <w:szCs w:val="20"/>
              </w:rPr>
              <w:t>]</w:t>
            </w:r>
          </w:p>
        </w:tc>
      </w:tr>
      <w:tr w:rsidR="00B72AF6" w:rsidRPr="00452304" w14:paraId="6266B085" w14:textId="77777777" w:rsidTr="00374137">
        <w:trPr>
          <w:trHeight w:val="320"/>
        </w:trPr>
        <w:tc>
          <w:tcPr>
            <w:tcW w:w="1094" w:type="dxa"/>
            <w:vMerge/>
            <w:tcBorders>
              <w:left w:val="nil"/>
              <w:bottom w:val="single" w:sz="4" w:space="0" w:color="auto"/>
              <w:right w:val="nil"/>
            </w:tcBorders>
            <w:vAlign w:val="center"/>
          </w:tcPr>
          <w:p w14:paraId="57448589"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AC3AE42"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00123D8" w14:textId="77777777" w:rsidR="00B72AF6" w:rsidRDefault="00B72AF6" w:rsidP="00B72AF6">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06C8F7B4" w14:textId="79481323"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46.375</w:t>
            </w:r>
          </w:p>
        </w:tc>
        <w:tc>
          <w:tcPr>
            <w:tcW w:w="972" w:type="dxa"/>
            <w:vMerge/>
            <w:tcBorders>
              <w:left w:val="nil"/>
              <w:bottom w:val="single" w:sz="4" w:space="0" w:color="auto"/>
              <w:right w:val="nil"/>
            </w:tcBorders>
            <w:noWrap/>
            <w:vAlign w:val="center"/>
          </w:tcPr>
          <w:p w14:paraId="66D36CE2" w14:textId="77777777" w:rsidR="00B72AF6" w:rsidRPr="008D7F03" w:rsidRDefault="00B72AF6" w:rsidP="00374137">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580518A8" w14:textId="77777777" w:rsidR="00B72AF6" w:rsidRPr="008D7F03" w:rsidRDefault="00B72AF6" w:rsidP="00374137">
            <w:pPr>
              <w:spacing w:after="0" w:line="240" w:lineRule="auto"/>
              <w:jc w:val="right"/>
              <w:rPr>
                <w:color w:val="000000"/>
                <w:sz w:val="20"/>
                <w:szCs w:val="20"/>
                <w:highlight w:val="yellow"/>
              </w:rPr>
            </w:pPr>
          </w:p>
        </w:tc>
        <w:tc>
          <w:tcPr>
            <w:tcW w:w="1767" w:type="dxa"/>
            <w:tcBorders>
              <w:top w:val="nil"/>
              <w:left w:val="nil"/>
              <w:bottom w:val="single" w:sz="4" w:space="0" w:color="auto"/>
              <w:right w:val="nil"/>
            </w:tcBorders>
            <w:noWrap/>
            <w:vAlign w:val="center"/>
          </w:tcPr>
          <w:p w14:paraId="568FB6DA" w14:textId="3216BA80"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[15.835, 84.966]</w:t>
            </w:r>
          </w:p>
        </w:tc>
      </w:tr>
      <w:tr w:rsidR="00B72AF6" w:rsidRPr="00452304" w14:paraId="509978B1" w14:textId="77777777" w:rsidTr="00374137">
        <w:trPr>
          <w:trHeight w:val="320"/>
        </w:trPr>
        <w:tc>
          <w:tcPr>
            <w:tcW w:w="1094" w:type="dxa"/>
            <w:vMerge w:val="restart"/>
            <w:tcBorders>
              <w:top w:val="single" w:sz="4" w:space="0" w:color="auto"/>
              <w:left w:val="nil"/>
              <w:right w:val="nil"/>
            </w:tcBorders>
            <w:vAlign w:val="center"/>
          </w:tcPr>
          <w:p w14:paraId="188ECAAA" w14:textId="77777777" w:rsidR="00B72AF6" w:rsidRPr="009D19EF" w:rsidRDefault="00B72AF6" w:rsidP="00B72AF6">
            <w:pPr>
              <w:spacing w:after="0" w:line="240" w:lineRule="auto"/>
              <w:rPr>
                <w:rFonts w:eastAsia="Times New Roman"/>
                <w:color w:val="000000"/>
                <w:kern w:val="0"/>
                <w:sz w:val="20"/>
                <w:szCs w:val="20"/>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area</w:t>
            </w:r>
            <w:proofErr w:type="spellEnd"/>
          </w:p>
        </w:tc>
        <w:tc>
          <w:tcPr>
            <w:tcW w:w="1178" w:type="dxa"/>
            <w:vMerge w:val="restart"/>
            <w:tcBorders>
              <w:top w:val="single" w:sz="4" w:space="0" w:color="auto"/>
              <w:left w:val="nil"/>
              <w:right w:val="nil"/>
            </w:tcBorders>
            <w:noWrap/>
            <w:vAlign w:val="center"/>
          </w:tcPr>
          <w:p w14:paraId="3901A843" w14:textId="77777777"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0FA0D747" w14:textId="77777777" w:rsidR="00B72AF6" w:rsidRDefault="00B72AF6" w:rsidP="00B72AF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286F7677" w14:textId="3EE5451C"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-5.918</w:t>
            </w:r>
          </w:p>
        </w:tc>
        <w:tc>
          <w:tcPr>
            <w:tcW w:w="972" w:type="dxa"/>
            <w:vMerge w:val="restart"/>
            <w:tcBorders>
              <w:top w:val="single" w:sz="4" w:space="0" w:color="auto"/>
              <w:left w:val="nil"/>
              <w:right w:val="nil"/>
            </w:tcBorders>
            <w:noWrap/>
            <w:vAlign w:val="center"/>
          </w:tcPr>
          <w:p w14:paraId="57208B7F" w14:textId="319C8B7F"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0.435</w:t>
            </w:r>
          </w:p>
        </w:tc>
        <w:tc>
          <w:tcPr>
            <w:tcW w:w="939" w:type="dxa"/>
            <w:vMerge w:val="restart"/>
            <w:tcBorders>
              <w:top w:val="single" w:sz="4" w:space="0" w:color="auto"/>
              <w:left w:val="nil"/>
              <w:right w:val="nil"/>
            </w:tcBorders>
            <w:noWrap/>
            <w:vAlign w:val="center"/>
          </w:tcPr>
          <w:p w14:paraId="16945FEE" w14:textId="6998EC50"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0.664</w:t>
            </w:r>
          </w:p>
        </w:tc>
        <w:tc>
          <w:tcPr>
            <w:tcW w:w="1767" w:type="dxa"/>
            <w:tcBorders>
              <w:top w:val="single" w:sz="4" w:space="0" w:color="auto"/>
              <w:left w:val="nil"/>
              <w:bottom w:val="nil"/>
              <w:right w:val="nil"/>
            </w:tcBorders>
            <w:noWrap/>
            <w:vAlign w:val="center"/>
          </w:tcPr>
          <w:p w14:paraId="5530EA4D" w14:textId="1639A2C0"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[-18.372, 8.437]</w:t>
            </w:r>
          </w:p>
        </w:tc>
      </w:tr>
      <w:tr w:rsidR="00B72AF6" w:rsidRPr="00452304" w14:paraId="1D2D814B" w14:textId="77777777" w:rsidTr="00374137">
        <w:trPr>
          <w:trHeight w:val="320"/>
        </w:trPr>
        <w:tc>
          <w:tcPr>
            <w:tcW w:w="1094" w:type="dxa"/>
            <w:vMerge/>
            <w:tcBorders>
              <w:left w:val="nil"/>
              <w:right w:val="nil"/>
            </w:tcBorders>
          </w:tcPr>
          <w:p w14:paraId="2AB80DA5"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1F049A1"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A45ABC3" w14:textId="77777777" w:rsidR="00B72AF6" w:rsidRDefault="00B72AF6" w:rsidP="00B72AF6">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4DDB1E7F" w14:textId="17993DAC"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-2.274</w:t>
            </w:r>
          </w:p>
        </w:tc>
        <w:tc>
          <w:tcPr>
            <w:tcW w:w="972" w:type="dxa"/>
            <w:vMerge/>
            <w:tcBorders>
              <w:left w:val="nil"/>
              <w:bottom w:val="single" w:sz="4" w:space="0" w:color="auto"/>
              <w:right w:val="nil"/>
            </w:tcBorders>
            <w:noWrap/>
            <w:vAlign w:val="center"/>
          </w:tcPr>
          <w:p w14:paraId="6A2DD2FD" w14:textId="77777777" w:rsidR="00B72AF6" w:rsidRPr="00B72AF6" w:rsidRDefault="00B72AF6" w:rsidP="00374137">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7B04207A" w14:textId="77777777" w:rsidR="00B72AF6" w:rsidRPr="00B72AF6" w:rsidRDefault="00B72AF6" w:rsidP="00374137">
            <w:pPr>
              <w:spacing w:after="0" w:line="240" w:lineRule="auto"/>
              <w:jc w:val="right"/>
              <w:rPr>
                <w:color w:val="000000"/>
                <w:sz w:val="20"/>
                <w:szCs w:val="20"/>
                <w:highlight w:val="yellow"/>
              </w:rPr>
            </w:pPr>
          </w:p>
        </w:tc>
        <w:tc>
          <w:tcPr>
            <w:tcW w:w="1767" w:type="dxa"/>
            <w:tcBorders>
              <w:top w:val="nil"/>
              <w:left w:val="nil"/>
              <w:bottom w:val="single" w:sz="4" w:space="0" w:color="auto"/>
              <w:right w:val="nil"/>
            </w:tcBorders>
            <w:noWrap/>
            <w:vAlign w:val="center"/>
          </w:tcPr>
          <w:p w14:paraId="685EF017" w14:textId="7DEE35A3"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[-20.228, 19.722]</w:t>
            </w:r>
          </w:p>
        </w:tc>
      </w:tr>
      <w:tr w:rsidR="00B72AF6" w:rsidRPr="00452304" w14:paraId="24E55D08" w14:textId="77777777" w:rsidTr="00374137">
        <w:trPr>
          <w:trHeight w:val="320"/>
        </w:trPr>
        <w:tc>
          <w:tcPr>
            <w:tcW w:w="1094" w:type="dxa"/>
            <w:vMerge/>
            <w:tcBorders>
              <w:left w:val="nil"/>
              <w:right w:val="nil"/>
            </w:tcBorders>
          </w:tcPr>
          <w:p w14:paraId="75C5D30A"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13E1AB2" w14:textId="77777777"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06930672" w14:textId="77777777" w:rsidR="00B72AF6" w:rsidRDefault="00B72AF6" w:rsidP="00B72AF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516AE67B" w14:textId="5BA67B96"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72.979</w:t>
            </w:r>
          </w:p>
        </w:tc>
        <w:tc>
          <w:tcPr>
            <w:tcW w:w="972" w:type="dxa"/>
            <w:vMerge w:val="restart"/>
            <w:tcBorders>
              <w:top w:val="single" w:sz="4" w:space="0" w:color="auto"/>
              <w:left w:val="nil"/>
              <w:right w:val="nil"/>
            </w:tcBorders>
            <w:noWrap/>
            <w:vAlign w:val="center"/>
          </w:tcPr>
          <w:p w14:paraId="0D18D6D3" w14:textId="00A41A0D"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-0.683</w:t>
            </w:r>
          </w:p>
        </w:tc>
        <w:tc>
          <w:tcPr>
            <w:tcW w:w="939" w:type="dxa"/>
            <w:vMerge w:val="restart"/>
            <w:tcBorders>
              <w:top w:val="single" w:sz="4" w:space="0" w:color="auto"/>
              <w:left w:val="nil"/>
              <w:right w:val="nil"/>
            </w:tcBorders>
            <w:noWrap/>
            <w:vAlign w:val="center"/>
          </w:tcPr>
          <w:p w14:paraId="0CF623D6" w14:textId="26FBD1E5"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0.494</w:t>
            </w:r>
          </w:p>
        </w:tc>
        <w:tc>
          <w:tcPr>
            <w:tcW w:w="1767" w:type="dxa"/>
            <w:tcBorders>
              <w:top w:val="single" w:sz="4" w:space="0" w:color="auto"/>
              <w:left w:val="nil"/>
              <w:bottom w:val="nil"/>
              <w:right w:val="nil"/>
            </w:tcBorders>
            <w:noWrap/>
            <w:vAlign w:val="center"/>
          </w:tcPr>
          <w:p w14:paraId="59C991A5" w14:textId="177EC3AC"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[39.515, 114.47</w:t>
            </w:r>
            <w:r>
              <w:rPr>
                <w:color w:val="000000"/>
                <w:sz w:val="20"/>
                <w:szCs w:val="20"/>
              </w:rPr>
              <w:t>0</w:t>
            </w:r>
            <w:r w:rsidRPr="00B72AF6">
              <w:rPr>
                <w:color w:val="000000"/>
                <w:sz w:val="20"/>
                <w:szCs w:val="20"/>
              </w:rPr>
              <w:t>]</w:t>
            </w:r>
          </w:p>
        </w:tc>
      </w:tr>
      <w:tr w:rsidR="00B72AF6" w:rsidRPr="00452304" w14:paraId="1D7E15E1" w14:textId="77777777" w:rsidTr="00374137">
        <w:trPr>
          <w:trHeight w:val="320"/>
        </w:trPr>
        <w:tc>
          <w:tcPr>
            <w:tcW w:w="1094" w:type="dxa"/>
            <w:vMerge/>
            <w:tcBorders>
              <w:left w:val="nil"/>
              <w:right w:val="nil"/>
            </w:tcBorders>
          </w:tcPr>
          <w:p w14:paraId="0E2EB993"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19202B0"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97DDBF3" w14:textId="77777777" w:rsidR="00B72AF6" w:rsidRDefault="00B72AF6" w:rsidP="00B72AF6">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7C6BD416" w14:textId="5D9E2F7E"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61.931</w:t>
            </w:r>
          </w:p>
        </w:tc>
        <w:tc>
          <w:tcPr>
            <w:tcW w:w="972" w:type="dxa"/>
            <w:vMerge/>
            <w:tcBorders>
              <w:left w:val="nil"/>
              <w:bottom w:val="single" w:sz="4" w:space="0" w:color="auto"/>
              <w:right w:val="nil"/>
            </w:tcBorders>
            <w:noWrap/>
            <w:vAlign w:val="center"/>
          </w:tcPr>
          <w:p w14:paraId="4FB455E3" w14:textId="77777777" w:rsidR="00B72AF6" w:rsidRPr="00B72AF6" w:rsidRDefault="00B72AF6" w:rsidP="00374137">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544FD615" w14:textId="77777777" w:rsidR="00B72AF6" w:rsidRPr="00B72AF6" w:rsidRDefault="00B72AF6" w:rsidP="00374137">
            <w:pPr>
              <w:spacing w:after="0" w:line="240" w:lineRule="auto"/>
              <w:jc w:val="right"/>
              <w:rPr>
                <w:color w:val="000000"/>
                <w:sz w:val="20"/>
                <w:szCs w:val="20"/>
                <w:highlight w:val="yellow"/>
              </w:rPr>
            </w:pPr>
          </w:p>
        </w:tc>
        <w:tc>
          <w:tcPr>
            <w:tcW w:w="1767" w:type="dxa"/>
            <w:tcBorders>
              <w:top w:val="nil"/>
              <w:left w:val="nil"/>
              <w:bottom w:val="single" w:sz="4" w:space="0" w:color="auto"/>
              <w:right w:val="nil"/>
            </w:tcBorders>
            <w:noWrap/>
            <w:vAlign w:val="center"/>
          </w:tcPr>
          <w:p w14:paraId="15D4BDB2" w14:textId="29FAF833"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[23.986, 111.488]</w:t>
            </w:r>
          </w:p>
        </w:tc>
      </w:tr>
      <w:tr w:rsidR="00B72AF6" w:rsidRPr="00452304" w14:paraId="09397DB3" w14:textId="77777777" w:rsidTr="00374137">
        <w:trPr>
          <w:trHeight w:val="320"/>
        </w:trPr>
        <w:tc>
          <w:tcPr>
            <w:tcW w:w="1094" w:type="dxa"/>
            <w:vMerge/>
            <w:tcBorders>
              <w:left w:val="nil"/>
              <w:right w:val="nil"/>
            </w:tcBorders>
          </w:tcPr>
          <w:p w14:paraId="091A25C5"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B279F8D" w14:textId="77777777"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4A20CBC6" w14:textId="77777777" w:rsidR="00B72AF6" w:rsidRDefault="00B72AF6" w:rsidP="00B72AF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673645D1" w14:textId="06D1A905" w:rsidR="00B72AF6" w:rsidRPr="00B72AF6" w:rsidRDefault="00B72AF6" w:rsidP="00374137">
            <w:pPr>
              <w:spacing w:after="0" w:line="240" w:lineRule="auto"/>
              <w:jc w:val="right"/>
              <w:rPr>
                <w:b/>
                <w:bCs/>
                <w:color w:val="000000"/>
                <w:sz w:val="20"/>
                <w:szCs w:val="20"/>
                <w:highlight w:val="yellow"/>
              </w:rPr>
            </w:pPr>
            <w:r w:rsidRPr="00B72AF6">
              <w:rPr>
                <w:b/>
                <w:bCs/>
                <w:color w:val="000000"/>
                <w:sz w:val="20"/>
                <w:szCs w:val="20"/>
              </w:rPr>
              <w:t>52.653</w:t>
            </w:r>
          </w:p>
        </w:tc>
        <w:tc>
          <w:tcPr>
            <w:tcW w:w="972" w:type="dxa"/>
            <w:vMerge w:val="restart"/>
            <w:tcBorders>
              <w:top w:val="single" w:sz="4" w:space="0" w:color="auto"/>
              <w:left w:val="nil"/>
              <w:right w:val="nil"/>
            </w:tcBorders>
            <w:noWrap/>
            <w:vAlign w:val="center"/>
          </w:tcPr>
          <w:p w14:paraId="2821496E" w14:textId="769946FF" w:rsidR="00B72AF6" w:rsidRPr="00B72AF6" w:rsidRDefault="00B72AF6" w:rsidP="00374137">
            <w:pPr>
              <w:spacing w:after="0" w:line="240" w:lineRule="auto"/>
              <w:jc w:val="right"/>
              <w:rPr>
                <w:b/>
                <w:bCs/>
                <w:color w:val="000000"/>
                <w:sz w:val="20"/>
                <w:szCs w:val="20"/>
                <w:highlight w:val="yellow"/>
              </w:rPr>
            </w:pPr>
            <w:r w:rsidRPr="00B72AF6">
              <w:rPr>
                <w:b/>
                <w:bCs/>
                <w:color w:val="000000"/>
                <w:sz w:val="20"/>
                <w:szCs w:val="20"/>
              </w:rPr>
              <w:t>-2.518</w:t>
            </w:r>
          </w:p>
        </w:tc>
        <w:tc>
          <w:tcPr>
            <w:tcW w:w="939" w:type="dxa"/>
            <w:vMerge w:val="restart"/>
            <w:tcBorders>
              <w:top w:val="single" w:sz="4" w:space="0" w:color="auto"/>
              <w:left w:val="nil"/>
              <w:right w:val="nil"/>
            </w:tcBorders>
            <w:noWrap/>
            <w:vAlign w:val="center"/>
          </w:tcPr>
          <w:p w14:paraId="200AC705" w14:textId="15C95530" w:rsidR="00B72AF6" w:rsidRPr="00B72AF6" w:rsidRDefault="00B72AF6" w:rsidP="00374137">
            <w:pPr>
              <w:spacing w:after="0" w:line="240" w:lineRule="auto"/>
              <w:jc w:val="right"/>
              <w:rPr>
                <w:b/>
                <w:bCs/>
                <w:color w:val="000000"/>
                <w:sz w:val="20"/>
                <w:szCs w:val="20"/>
                <w:highlight w:val="yellow"/>
              </w:rPr>
            </w:pPr>
            <w:r w:rsidRPr="00B72AF6">
              <w:rPr>
                <w:b/>
                <w:bCs/>
                <w:color w:val="000000"/>
                <w:sz w:val="20"/>
                <w:szCs w:val="20"/>
              </w:rPr>
              <w:t>0.012</w:t>
            </w:r>
          </w:p>
        </w:tc>
        <w:tc>
          <w:tcPr>
            <w:tcW w:w="1767" w:type="dxa"/>
            <w:tcBorders>
              <w:top w:val="single" w:sz="4" w:space="0" w:color="auto"/>
              <w:left w:val="nil"/>
              <w:bottom w:val="nil"/>
              <w:right w:val="nil"/>
            </w:tcBorders>
            <w:noWrap/>
            <w:vAlign w:val="center"/>
          </w:tcPr>
          <w:p w14:paraId="5881DE49" w14:textId="41AD999B" w:rsidR="00B72AF6" w:rsidRPr="00B72AF6" w:rsidRDefault="00B72AF6" w:rsidP="00374137">
            <w:pPr>
              <w:spacing w:after="0" w:line="240" w:lineRule="auto"/>
              <w:jc w:val="right"/>
              <w:rPr>
                <w:b/>
                <w:bCs/>
                <w:color w:val="000000"/>
                <w:sz w:val="20"/>
                <w:szCs w:val="20"/>
                <w:highlight w:val="yellow"/>
              </w:rPr>
            </w:pPr>
            <w:r w:rsidRPr="00B72AF6">
              <w:rPr>
                <w:b/>
                <w:bCs/>
                <w:color w:val="000000"/>
                <w:sz w:val="20"/>
                <w:szCs w:val="20"/>
              </w:rPr>
              <w:t>[22.507, 90.218]</w:t>
            </w:r>
          </w:p>
        </w:tc>
      </w:tr>
      <w:tr w:rsidR="00B72AF6" w:rsidRPr="00452304" w14:paraId="1EF21935" w14:textId="77777777" w:rsidTr="00374137">
        <w:trPr>
          <w:trHeight w:val="320"/>
        </w:trPr>
        <w:tc>
          <w:tcPr>
            <w:tcW w:w="1094" w:type="dxa"/>
            <w:vMerge/>
            <w:tcBorders>
              <w:left w:val="nil"/>
              <w:bottom w:val="single" w:sz="4" w:space="0" w:color="auto"/>
              <w:right w:val="nil"/>
            </w:tcBorders>
          </w:tcPr>
          <w:p w14:paraId="7D97F412"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97B51A5"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AF81191" w14:textId="77777777" w:rsidR="00B72AF6" w:rsidRDefault="00B72AF6" w:rsidP="00B72AF6">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39C6AD5C" w14:textId="2AF0B597" w:rsidR="00B72AF6" w:rsidRPr="00B72AF6" w:rsidRDefault="00B72AF6" w:rsidP="00374137">
            <w:pPr>
              <w:spacing w:after="0" w:line="240" w:lineRule="auto"/>
              <w:jc w:val="right"/>
              <w:rPr>
                <w:b/>
                <w:bCs/>
                <w:color w:val="000000"/>
                <w:sz w:val="20"/>
                <w:szCs w:val="20"/>
                <w:highlight w:val="yellow"/>
              </w:rPr>
            </w:pPr>
            <w:r w:rsidRPr="00B72AF6">
              <w:rPr>
                <w:b/>
                <w:bCs/>
                <w:color w:val="000000"/>
                <w:sz w:val="20"/>
                <w:szCs w:val="20"/>
              </w:rPr>
              <w:t>22.262</w:t>
            </w:r>
          </w:p>
        </w:tc>
        <w:tc>
          <w:tcPr>
            <w:tcW w:w="972" w:type="dxa"/>
            <w:vMerge/>
            <w:tcBorders>
              <w:left w:val="nil"/>
              <w:bottom w:val="single" w:sz="4" w:space="0" w:color="auto"/>
              <w:right w:val="nil"/>
            </w:tcBorders>
            <w:noWrap/>
            <w:vAlign w:val="center"/>
          </w:tcPr>
          <w:p w14:paraId="15F5796B" w14:textId="77777777" w:rsidR="00B72AF6" w:rsidRPr="00B72AF6" w:rsidRDefault="00B72AF6" w:rsidP="00374137">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053FACEE" w14:textId="77777777" w:rsidR="00B72AF6" w:rsidRPr="00B72AF6" w:rsidRDefault="00B72AF6" w:rsidP="00374137">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76D9DCA2" w14:textId="36D7AC6A" w:rsidR="00B72AF6" w:rsidRPr="00B72AF6" w:rsidRDefault="00B72AF6" w:rsidP="00374137">
            <w:pPr>
              <w:spacing w:after="0" w:line="240" w:lineRule="auto"/>
              <w:jc w:val="right"/>
              <w:rPr>
                <w:b/>
                <w:bCs/>
                <w:color w:val="000000"/>
                <w:sz w:val="20"/>
                <w:szCs w:val="20"/>
                <w:highlight w:val="yellow"/>
              </w:rPr>
            </w:pPr>
            <w:r w:rsidRPr="00B72AF6">
              <w:rPr>
                <w:b/>
                <w:bCs/>
                <w:color w:val="000000"/>
                <w:sz w:val="20"/>
                <w:szCs w:val="20"/>
              </w:rPr>
              <w:t>[-5.918, 59.042]</w:t>
            </w:r>
          </w:p>
        </w:tc>
      </w:tr>
      <w:tr w:rsidR="00B72AF6" w:rsidRPr="00452304" w14:paraId="10703A74" w14:textId="77777777" w:rsidTr="00374137">
        <w:trPr>
          <w:trHeight w:val="320"/>
        </w:trPr>
        <w:tc>
          <w:tcPr>
            <w:tcW w:w="1094" w:type="dxa"/>
            <w:vMerge w:val="restart"/>
            <w:tcBorders>
              <w:top w:val="single" w:sz="4" w:space="0" w:color="auto"/>
              <w:left w:val="nil"/>
              <w:right w:val="nil"/>
            </w:tcBorders>
            <w:vAlign w:val="center"/>
          </w:tcPr>
          <w:p w14:paraId="4BFBE486" w14:textId="11E566DB" w:rsidR="00B72AF6" w:rsidRPr="00620CAA" w:rsidRDefault="00B72AF6" w:rsidP="00B72AF6">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Leaf N:P</w:t>
            </w:r>
          </w:p>
        </w:tc>
        <w:tc>
          <w:tcPr>
            <w:tcW w:w="1178" w:type="dxa"/>
            <w:vMerge w:val="restart"/>
            <w:tcBorders>
              <w:top w:val="single" w:sz="4" w:space="0" w:color="auto"/>
              <w:left w:val="nil"/>
              <w:right w:val="nil"/>
            </w:tcBorders>
            <w:noWrap/>
            <w:vAlign w:val="center"/>
          </w:tcPr>
          <w:p w14:paraId="197AD39B" w14:textId="7AFE30E5"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18149C81" w14:textId="04A6C080" w:rsidR="00B72AF6" w:rsidRPr="008A48CF" w:rsidRDefault="00B72AF6" w:rsidP="00B72AF6">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69C4C75E" w14:textId="6F732C1B"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17.468</w:t>
            </w:r>
          </w:p>
        </w:tc>
        <w:tc>
          <w:tcPr>
            <w:tcW w:w="972" w:type="dxa"/>
            <w:vMerge w:val="restart"/>
            <w:tcBorders>
              <w:top w:val="single" w:sz="4" w:space="0" w:color="auto"/>
              <w:left w:val="nil"/>
              <w:right w:val="nil"/>
            </w:tcBorders>
            <w:noWrap/>
            <w:vAlign w:val="center"/>
          </w:tcPr>
          <w:p w14:paraId="3D215E6E" w14:textId="3EE13D8A"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0.152</w:t>
            </w:r>
          </w:p>
        </w:tc>
        <w:tc>
          <w:tcPr>
            <w:tcW w:w="939" w:type="dxa"/>
            <w:vMerge w:val="restart"/>
            <w:tcBorders>
              <w:top w:val="single" w:sz="4" w:space="0" w:color="auto"/>
              <w:left w:val="nil"/>
              <w:right w:val="nil"/>
            </w:tcBorders>
            <w:noWrap/>
            <w:vAlign w:val="center"/>
          </w:tcPr>
          <w:p w14:paraId="44307069" w14:textId="57FDB58B"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0.879</w:t>
            </w:r>
          </w:p>
        </w:tc>
        <w:tc>
          <w:tcPr>
            <w:tcW w:w="1767" w:type="dxa"/>
            <w:tcBorders>
              <w:top w:val="single" w:sz="4" w:space="0" w:color="auto"/>
              <w:left w:val="nil"/>
              <w:bottom w:val="nil"/>
              <w:right w:val="nil"/>
            </w:tcBorders>
            <w:noWrap/>
            <w:vAlign w:val="center"/>
          </w:tcPr>
          <w:p w14:paraId="11554CCE" w14:textId="0AFE2BFD"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[6.078, 29.953]</w:t>
            </w:r>
          </w:p>
        </w:tc>
      </w:tr>
      <w:tr w:rsidR="00B72AF6" w:rsidRPr="00452304" w14:paraId="2044CFFD" w14:textId="77777777" w:rsidTr="00374137">
        <w:trPr>
          <w:trHeight w:val="320"/>
        </w:trPr>
        <w:tc>
          <w:tcPr>
            <w:tcW w:w="1094" w:type="dxa"/>
            <w:vMerge/>
            <w:tcBorders>
              <w:left w:val="nil"/>
              <w:right w:val="nil"/>
            </w:tcBorders>
          </w:tcPr>
          <w:p w14:paraId="3C7F2FC9"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658FBF9"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EC76403" w14:textId="0C3392FE" w:rsidR="00B72AF6" w:rsidRPr="008A48CF" w:rsidRDefault="00B72AF6" w:rsidP="00B72AF6">
            <w:pPr>
              <w:spacing w:after="0" w:line="240" w:lineRule="auto"/>
              <w:rPr>
                <w:rFonts w:eastAsia="Times New Roman"/>
                <w:i/>
                <w:iCs/>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525497C9" w14:textId="3070083D"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18.649</w:t>
            </w:r>
          </w:p>
        </w:tc>
        <w:tc>
          <w:tcPr>
            <w:tcW w:w="972" w:type="dxa"/>
            <w:vMerge/>
            <w:tcBorders>
              <w:left w:val="nil"/>
              <w:bottom w:val="single" w:sz="4" w:space="0" w:color="auto"/>
              <w:right w:val="nil"/>
            </w:tcBorders>
            <w:noWrap/>
            <w:vAlign w:val="center"/>
          </w:tcPr>
          <w:p w14:paraId="124FEBEA" w14:textId="1F74CFCD" w:rsidR="00B72AF6" w:rsidRPr="00B72AF6" w:rsidRDefault="00B72AF6" w:rsidP="00374137">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1F1A2715" w14:textId="5B50112A" w:rsidR="00B72AF6" w:rsidRPr="00B72AF6" w:rsidRDefault="00B72AF6" w:rsidP="00374137">
            <w:pPr>
              <w:spacing w:after="0" w:line="240" w:lineRule="auto"/>
              <w:jc w:val="right"/>
              <w:rPr>
                <w:color w:val="000000"/>
                <w:sz w:val="20"/>
                <w:szCs w:val="20"/>
                <w:highlight w:val="yellow"/>
              </w:rPr>
            </w:pPr>
          </w:p>
        </w:tc>
        <w:tc>
          <w:tcPr>
            <w:tcW w:w="1767" w:type="dxa"/>
            <w:tcBorders>
              <w:top w:val="nil"/>
              <w:left w:val="nil"/>
              <w:bottom w:val="single" w:sz="4" w:space="0" w:color="auto"/>
              <w:right w:val="nil"/>
            </w:tcBorders>
            <w:noWrap/>
            <w:vAlign w:val="center"/>
          </w:tcPr>
          <w:p w14:paraId="495A1783" w14:textId="53EA3557"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[1.005, 39.515]</w:t>
            </w:r>
          </w:p>
        </w:tc>
      </w:tr>
      <w:tr w:rsidR="00B72AF6" w:rsidRPr="00452304" w14:paraId="7D4B3CFD" w14:textId="77777777" w:rsidTr="00374137">
        <w:trPr>
          <w:trHeight w:val="320"/>
        </w:trPr>
        <w:tc>
          <w:tcPr>
            <w:tcW w:w="1094" w:type="dxa"/>
            <w:vMerge/>
            <w:tcBorders>
              <w:left w:val="nil"/>
              <w:right w:val="nil"/>
            </w:tcBorders>
          </w:tcPr>
          <w:p w14:paraId="0AEBD6C2"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49A8CA6" w14:textId="319ADF5C"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08126A50" w14:textId="1D779208" w:rsidR="00B72AF6" w:rsidRPr="008A48CF" w:rsidRDefault="00B72AF6" w:rsidP="00B72AF6">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458546C5" w14:textId="54F8CC5F"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-31.202</w:t>
            </w:r>
          </w:p>
        </w:tc>
        <w:tc>
          <w:tcPr>
            <w:tcW w:w="972" w:type="dxa"/>
            <w:vMerge w:val="restart"/>
            <w:tcBorders>
              <w:top w:val="single" w:sz="4" w:space="0" w:color="auto"/>
              <w:left w:val="nil"/>
              <w:right w:val="nil"/>
            </w:tcBorders>
            <w:noWrap/>
            <w:vAlign w:val="center"/>
          </w:tcPr>
          <w:p w14:paraId="24F8C6E3" w14:textId="4D526C08"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-0.417</w:t>
            </w:r>
          </w:p>
        </w:tc>
        <w:tc>
          <w:tcPr>
            <w:tcW w:w="939" w:type="dxa"/>
            <w:vMerge w:val="restart"/>
            <w:tcBorders>
              <w:top w:val="single" w:sz="4" w:space="0" w:color="auto"/>
              <w:left w:val="nil"/>
              <w:right w:val="nil"/>
            </w:tcBorders>
            <w:noWrap/>
            <w:vAlign w:val="center"/>
          </w:tcPr>
          <w:p w14:paraId="76F2CBB4" w14:textId="6E074752"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0.676</w:t>
            </w:r>
          </w:p>
        </w:tc>
        <w:tc>
          <w:tcPr>
            <w:tcW w:w="1767" w:type="dxa"/>
            <w:tcBorders>
              <w:top w:val="single" w:sz="4" w:space="0" w:color="auto"/>
              <w:left w:val="nil"/>
              <w:bottom w:val="nil"/>
              <w:right w:val="nil"/>
            </w:tcBorders>
            <w:noWrap/>
            <w:vAlign w:val="center"/>
          </w:tcPr>
          <w:p w14:paraId="5B7D9F0B" w14:textId="6E7B9E8F"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[-40.31</w:t>
            </w:r>
            <w:r>
              <w:rPr>
                <w:color w:val="000000"/>
                <w:sz w:val="20"/>
                <w:szCs w:val="20"/>
              </w:rPr>
              <w:t>0</w:t>
            </w:r>
            <w:r w:rsidRPr="00B72AF6">
              <w:rPr>
                <w:color w:val="000000"/>
                <w:sz w:val="20"/>
                <w:szCs w:val="20"/>
              </w:rPr>
              <w:t>, -20.705]</w:t>
            </w:r>
          </w:p>
        </w:tc>
      </w:tr>
      <w:tr w:rsidR="00B72AF6" w:rsidRPr="00452304" w14:paraId="74DC58C7" w14:textId="77777777" w:rsidTr="00374137">
        <w:trPr>
          <w:trHeight w:val="320"/>
        </w:trPr>
        <w:tc>
          <w:tcPr>
            <w:tcW w:w="1094" w:type="dxa"/>
            <w:vMerge/>
            <w:tcBorders>
              <w:left w:val="nil"/>
              <w:right w:val="nil"/>
            </w:tcBorders>
          </w:tcPr>
          <w:p w14:paraId="4A6FA780"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879C16D"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1FE49F7" w14:textId="0F2A0CEF" w:rsidR="00B72AF6" w:rsidRPr="008A48CF" w:rsidRDefault="00B72AF6" w:rsidP="00B72AF6">
            <w:pPr>
              <w:spacing w:after="0" w:line="240" w:lineRule="auto"/>
              <w:rPr>
                <w:rFonts w:eastAsia="Times New Roman"/>
                <w:i/>
                <w:iCs/>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03685AA2" w14:textId="67C54BE6"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-33.369</w:t>
            </w:r>
          </w:p>
        </w:tc>
        <w:tc>
          <w:tcPr>
            <w:tcW w:w="972" w:type="dxa"/>
            <w:vMerge/>
            <w:tcBorders>
              <w:left w:val="nil"/>
              <w:bottom w:val="single" w:sz="4" w:space="0" w:color="auto"/>
              <w:right w:val="nil"/>
            </w:tcBorders>
            <w:noWrap/>
            <w:vAlign w:val="center"/>
          </w:tcPr>
          <w:p w14:paraId="55699A6B" w14:textId="6202AD26" w:rsidR="00B72AF6" w:rsidRPr="00B72AF6" w:rsidRDefault="00B72AF6" w:rsidP="00374137">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4F55E319" w14:textId="3B843E1F" w:rsidR="00B72AF6" w:rsidRPr="00B72AF6" w:rsidRDefault="00B72AF6" w:rsidP="00374137">
            <w:pPr>
              <w:spacing w:after="0" w:line="240" w:lineRule="auto"/>
              <w:jc w:val="right"/>
              <w:rPr>
                <w:color w:val="000000"/>
                <w:sz w:val="20"/>
                <w:szCs w:val="20"/>
                <w:highlight w:val="yellow"/>
              </w:rPr>
            </w:pPr>
          </w:p>
        </w:tc>
        <w:tc>
          <w:tcPr>
            <w:tcW w:w="1767" w:type="dxa"/>
            <w:tcBorders>
              <w:top w:val="nil"/>
              <w:left w:val="nil"/>
              <w:bottom w:val="single" w:sz="4" w:space="0" w:color="auto"/>
              <w:right w:val="nil"/>
            </w:tcBorders>
            <w:noWrap/>
            <w:vAlign w:val="center"/>
          </w:tcPr>
          <w:p w14:paraId="2CF602F6" w14:textId="26552BE2"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[-45.228, -18.942]</w:t>
            </w:r>
          </w:p>
        </w:tc>
      </w:tr>
      <w:tr w:rsidR="00B72AF6" w:rsidRPr="00452304" w14:paraId="3311D52B" w14:textId="77777777" w:rsidTr="00374137">
        <w:trPr>
          <w:trHeight w:val="320"/>
        </w:trPr>
        <w:tc>
          <w:tcPr>
            <w:tcW w:w="1094" w:type="dxa"/>
            <w:vMerge/>
            <w:tcBorders>
              <w:left w:val="nil"/>
              <w:right w:val="nil"/>
            </w:tcBorders>
          </w:tcPr>
          <w:p w14:paraId="4446BA16"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85DB821" w14:textId="5B3EE000"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6E6DB788" w14:textId="16243C2A" w:rsidR="00B72AF6" w:rsidRPr="008A48CF" w:rsidRDefault="00B72AF6" w:rsidP="00B72AF6">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0226CBAE" w14:textId="16FDAC45"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-20.626</w:t>
            </w:r>
          </w:p>
        </w:tc>
        <w:tc>
          <w:tcPr>
            <w:tcW w:w="972" w:type="dxa"/>
            <w:vMerge w:val="restart"/>
            <w:tcBorders>
              <w:top w:val="single" w:sz="4" w:space="0" w:color="auto"/>
              <w:left w:val="nil"/>
              <w:right w:val="nil"/>
            </w:tcBorders>
            <w:noWrap/>
            <w:vAlign w:val="center"/>
          </w:tcPr>
          <w:p w14:paraId="25607BA6" w14:textId="57ECCB59"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1.132</w:t>
            </w:r>
          </w:p>
        </w:tc>
        <w:tc>
          <w:tcPr>
            <w:tcW w:w="939" w:type="dxa"/>
            <w:vMerge w:val="restart"/>
            <w:tcBorders>
              <w:top w:val="single" w:sz="4" w:space="0" w:color="auto"/>
              <w:left w:val="nil"/>
              <w:right w:val="nil"/>
            </w:tcBorders>
            <w:noWrap/>
            <w:vAlign w:val="center"/>
          </w:tcPr>
          <w:p w14:paraId="017453F2" w14:textId="3241F983"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0.258</w:t>
            </w:r>
          </w:p>
        </w:tc>
        <w:tc>
          <w:tcPr>
            <w:tcW w:w="1767" w:type="dxa"/>
            <w:tcBorders>
              <w:top w:val="single" w:sz="4" w:space="0" w:color="auto"/>
              <w:left w:val="nil"/>
              <w:bottom w:val="nil"/>
              <w:right w:val="nil"/>
            </w:tcBorders>
            <w:noWrap/>
            <w:vAlign w:val="center"/>
          </w:tcPr>
          <w:p w14:paraId="66C51DB7" w14:textId="2C814E7A"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[-29.461, -10.774]</w:t>
            </w:r>
          </w:p>
        </w:tc>
      </w:tr>
      <w:tr w:rsidR="00B72AF6" w:rsidRPr="00452304" w14:paraId="78D98623" w14:textId="77777777" w:rsidTr="00374137">
        <w:trPr>
          <w:trHeight w:val="320"/>
        </w:trPr>
        <w:tc>
          <w:tcPr>
            <w:tcW w:w="1094" w:type="dxa"/>
            <w:vMerge/>
            <w:tcBorders>
              <w:left w:val="nil"/>
              <w:bottom w:val="single" w:sz="4" w:space="0" w:color="auto"/>
              <w:right w:val="nil"/>
            </w:tcBorders>
          </w:tcPr>
          <w:p w14:paraId="032DEE9B"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4276835"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6D58010" w14:textId="0724DAC6" w:rsidR="00B72AF6" w:rsidRPr="008A48CF" w:rsidRDefault="00B72AF6" w:rsidP="00B72AF6">
            <w:pPr>
              <w:spacing w:after="0" w:line="240" w:lineRule="auto"/>
              <w:rPr>
                <w:rFonts w:eastAsia="Times New Roman"/>
                <w:i/>
                <w:iCs/>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079EC93F" w14:textId="1CC69442"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-12.716</w:t>
            </w:r>
          </w:p>
        </w:tc>
        <w:tc>
          <w:tcPr>
            <w:tcW w:w="972" w:type="dxa"/>
            <w:vMerge/>
            <w:tcBorders>
              <w:left w:val="nil"/>
              <w:bottom w:val="single" w:sz="4" w:space="0" w:color="auto"/>
              <w:right w:val="nil"/>
            </w:tcBorders>
            <w:noWrap/>
            <w:vAlign w:val="center"/>
          </w:tcPr>
          <w:p w14:paraId="719B2AC9" w14:textId="1BB978BA" w:rsidR="00B72AF6" w:rsidRPr="00B72AF6" w:rsidRDefault="00B72AF6" w:rsidP="00374137">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68C543FF" w14:textId="35593CF4" w:rsidR="00B72AF6" w:rsidRPr="00B72AF6" w:rsidRDefault="00B72AF6" w:rsidP="00374137">
            <w:pPr>
              <w:spacing w:after="0" w:line="240" w:lineRule="auto"/>
              <w:jc w:val="right"/>
              <w:rPr>
                <w:color w:val="000000"/>
                <w:sz w:val="20"/>
                <w:szCs w:val="20"/>
                <w:highlight w:val="yellow"/>
              </w:rPr>
            </w:pPr>
          </w:p>
        </w:tc>
        <w:tc>
          <w:tcPr>
            <w:tcW w:w="1767" w:type="dxa"/>
            <w:tcBorders>
              <w:top w:val="nil"/>
              <w:left w:val="nil"/>
              <w:bottom w:val="single" w:sz="4" w:space="0" w:color="auto"/>
              <w:right w:val="nil"/>
            </w:tcBorders>
            <w:noWrap/>
            <w:vAlign w:val="center"/>
          </w:tcPr>
          <w:p w14:paraId="72CE8BE3" w14:textId="77AC5BD5"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[-27.819, 5.548]</w:t>
            </w:r>
          </w:p>
        </w:tc>
      </w:tr>
    </w:tbl>
    <w:p w14:paraId="48BDBE60" w14:textId="27BA89D8" w:rsidR="00D52EF1" w:rsidRDefault="00D52EF1" w:rsidP="00D52EF1">
      <w:pPr>
        <w:rPr>
          <w:iCs/>
        </w:rPr>
      </w:pPr>
      <w:r>
        <w:rPr>
          <w:vertAlign w:val="superscript"/>
        </w:rPr>
        <w:lastRenderedPageBreak/>
        <w:t>*</w:t>
      </w:r>
      <w:r>
        <w:t>Significant effects noted in bold font.</w:t>
      </w:r>
      <w:r w:rsidR="001A23CA" w:rsidRPr="001A23CA">
        <w:t xml:space="preserve"> </w:t>
      </w:r>
      <w:r w:rsidR="001A23CA">
        <w:t>Model coefficients and 95% confidence interval ranges have been transformed to percent change to mimic figures.</w:t>
      </w:r>
      <w:r>
        <w:t xml:space="preserve"> Key: </w:t>
      </w:r>
      <w:r>
        <w:rPr>
          <w:i/>
          <w:iCs/>
        </w:rPr>
        <w:t>M</w:t>
      </w:r>
      <w:r>
        <w:rPr>
          <w:iCs/>
          <w:vertAlign w:val="subscript"/>
        </w:rPr>
        <w:t>area</w:t>
      </w:r>
      <w:r>
        <w:rPr>
          <w:iCs/>
        </w:rPr>
        <w:t>=leaf biomass per unit leaf area (g m</w:t>
      </w:r>
      <w:r>
        <w:rPr>
          <w:iCs/>
          <w:vertAlign w:val="superscript"/>
        </w:rPr>
        <w:t>-2</w:t>
      </w:r>
      <w:r>
        <w:rPr>
          <w:iCs/>
        </w:rPr>
        <w:t xml:space="preserve">); </w:t>
      </w:r>
      <w:proofErr w:type="spellStart"/>
      <w:r>
        <w:rPr>
          <w:i/>
        </w:rPr>
        <w:t>N</w:t>
      </w:r>
      <w:r>
        <w:rPr>
          <w:iCs/>
          <w:vertAlign w:val="subscript"/>
        </w:rPr>
        <w:t>mass</w:t>
      </w:r>
      <w:proofErr w:type="spellEnd"/>
      <w:r>
        <w:t>=leaf nitrogen content per unit leaf biomass (</w:t>
      </w:r>
      <w:proofErr w:type="spellStart"/>
      <w:r>
        <w:t>gN</w:t>
      </w:r>
      <w:proofErr w:type="spellEnd"/>
      <w:r>
        <w:t xml:space="preserve"> g</w:t>
      </w:r>
      <w:r>
        <w:rPr>
          <w:vertAlign w:val="superscript"/>
        </w:rPr>
        <w:t>-1</w:t>
      </w:r>
      <w:r>
        <w:t xml:space="preserve">); </w:t>
      </w:r>
      <w:r>
        <w:rPr>
          <w:i/>
          <w:iCs/>
        </w:rPr>
        <w:t>N</w:t>
      </w:r>
      <w:r>
        <w:rPr>
          <w:vertAlign w:val="subscript"/>
        </w:rPr>
        <w:t>area</w:t>
      </w:r>
      <w:r>
        <w:t>=leaf nitrogen content per unit leaf area (</w:t>
      </w:r>
      <w:proofErr w:type="spellStart"/>
      <w:r>
        <w:t>gN</w:t>
      </w:r>
      <w:proofErr w:type="spellEnd"/>
      <w:r>
        <w:t xml:space="preserve"> m</w:t>
      </w:r>
      <w:r>
        <w:rPr>
          <w:vertAlign w:val="superscript"/>
        </w:rPr>
        <w:t>-2</w:t>
      </w:r>
      <w:r>
        <w:t xml:space="preserve">); </w:t>
      </w:r>
      <w:proofErr w:type="spellStart"/>
      <w:r>
        <w:rPr>
          <w:i/>
          <w:iCs/>
        </w:rPr>
        <w:t>P</w:t>
      </w:r>
      <w:r>
        <w:rPr>
          <w:vertAlign w:val="subscript"/>
        </w:rPr>
        <w:t>mass</w:t>
      </w:r>
      <w:proofErr w:type="spellEnd"/>
      <w:r>
        <w:t>=leaf phosphorus content per unit leaf biomass (</w:t>
      </w:r>
      <w:proofErr w:type="spellStart"/>
      <w:r>
        <w:t>gP</w:t>
      </w:r>
      <w:proofErr w:type="spellEnd"/>
      <w:r>
        <w:t xml:space="preserve"> g</w:t>
      </w:r>
      <w:r>
        <w:rPr>
          <w:vertAlign w:val="superscript"/>
        </w:rPr>
        <w:t>-1</w:t>
      </w:r>
      <w:r>
        <w:t xml:space="preserve">); </w:t>
      </w:r>
      <w:proofErr w:type="spellStart"/>
      <w:r>
        <w:rPr>
          <w:i/>
          <w:iCs/>
        </w:rPr>
        <w:t>P</w:t>
      </w:r>
      <w:r>
        <w:rPr>
          <w:vertAlign w:val="subscript"/>
        </w:rPr>
        <w:t>area</w:t>
      </w:r>
      <w:proofErr w:type="spellEnd"/>
      <w:r>
        <w:t>=leaf phosphorus content per unit leaf area (</w:t>
      </w:r>
      <w:proofErr w:type="spellStart"/>
      <w:r>
        <w:t>gP</w:t>
      </w:r>
      <w:proofErr w:type="spellEnd"/>
      <w:r>
        <w:t xml:space="preserve"> m</w:t>
      </w:r>
      <w:r>
        <w:rPr>
          <w:vertAlign w:val="superscript"/>
        </w:rPr>
        <w:t>-2</w:t>
      </w:r>
      <w:r>
        <w:t>)</w:t>
      </w:r>
    </w:p>
    <w:p w14:paraId="323D4497" w14:textId="77777777" w:rsidR="00D52EF1" w:rsidRDefault="00D52EF1" w:rsidP="00D52EF1">
      <w:pPr>
        <w:rPr>
          <w:iCs/>
        </w:rPr>
      </w:pPr>
      <w:r>
        <w:rPr>
          <w:iCs/>
        </w:rPr>
        <w:br w:type="page"/>
      </w:r>
    </w:p>
    <w:p w14:paraId="2E8E2E18" w14:textId="5FC30E1F" w:rsidR="00EA2123" w:rsidRDefault="00EA2123" w:rsidP="00EA2123">
      <w:pPr>
        <w:rPr>
          <w:iCs/>
        </w:rPr>
      </w:pPr>
      <w:r>
        <w:rPr>
          <w:b/>
          <w:bCs/>
          <w:iCs/>
        </w:rPr>
        <w:lastRenderedPageBreak/>
        <w:t>Table S1</w:t>
      </w:r>
      <w:r w:rsidR="00D52EF1">
        <w:rPr>
          <w:b/>
          <w:bCs/>
          <w:iCs/>
        </w:rPr>
        <w:t>1</w:t>
      </w:r>
      <w:r>
        <w:rPr>
          <w:iCs/>
        </w:rPr>
        <w:t xml:space="preserve"> N</w:t>
      </w:r>
      <w:r>
        <w:rPr>
          <w:iCs/>
          <w:vertAlign w:val="subscript"/>
        </w:rPr>
        <w:t>2</w:t>
      </w:r>
      <w:r>
        <w:rPr>
          <w:iCs/>
        </w:rPr>
        <w:t>-fixer moderator effects on leaf photosynthetic responses to nutrient addition</w:t>
      </w:r>
    </w:p>
    <w:tbl>
      <w:tblPr>
        <w:tblW w:w="8010" w:type="dxa"/>
        <w:tblLook w:val="04A0" w:firstRow="1" w:lastRow="0" w:firstColumn="1" w:lastColumn="0" w:noHBand="0" w:noVBand="1"/>
      </w:tblPr>
      <w:tblGrid>
        <w:gridCol w:w="1094"/>
        <w:gridCol w:w="1178"/>
        <w:gridCol w:w="1227"/>
        <w:gridCol w:w="833"/>
        <w:gridCol w:w="972"/>
        <w:gridCol w:w="939"/>
        <w:gridCol w:w="1767"/>
      </w:tblGrid>
      <w:tr w:rsidR="00EA2123" w:rsidRPr="00452304" w14:paraId="470547AB" w14:textId="77777777" w:rsidTr="00A56843">
        <w:trPr>
          <w:trHeight w:val="320"/>
        </w:trPr>
        <w:tc>
          <w:tcPr>
            <w:tcW w:w="1094" w:type="dxa"/>
            <w:tcBorders>
              <w:top w:val="single" w:sz="4" w:space="0" w:color="auto"/>
              <w:left w:val="nil"/>
              <w:bottom w:val="single" w:sz="4" w:space="0" w:color="auto"/>
              <w:right w:val="nil"/>
            </w:tcBorders>
            <w:vAlign w:val="center"/>
          </w:tcPr>
          <w:p w14:paraId="1F8B148E" w14:textId="77777777" w:rsidR="00EA2123" w:rsidRPr="008825E3" w:rsidRDefault="00EA2123" w:rsidP="006127B4">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35A04A27" w14:textId="77777777" w:rsidR="00EA2123" w:rsidRPr="00452304" w:rsidRDefault="00EA2123" w:rsidP="006127B4">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61498758" w14:textId="77777777" w:rsidR="00EA2123" w:rsidRPr="00452304" w:rsidRDefault="00EA2123" w:rsidP="006127B4">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833" w:type="dxa"/>
            <w:tcBorders>
              <w:top w:val="single" w:sz="4" w:space="0" w:color="auto"/>
              <w:left w:val="nil"/>
              <w:bottom w:val="single" w:sz="4" w:space="0" w:color="auto"/>
              <w:right w:val="nil"/>
            </w:tcBorders>
            <w:noWrap/>
            <w:vAlign w:val="center"/>
            <w:hideMark/>
          </w:tcPr>
          <w:p w14:paraId="5CDA1841" w14:textId="77777777" w:rsidR="00EA2123" w:rsidRPr="00452304" w:rsidRDefault="00EA2123" w:rsidP="006127B4">
            <w:pPr>
              <w:spacing w:after="0" w:line="240" w:lineRule="auto"/>
              <w:rPr>
                <w:b/>
                <w:bCs/>
                <w:sz w:val="20"/>
                <w:szCs w:val="20"/>
              </w:rPr>
            </w:pPr>
            <w:r w:rsidRPr="008825E3">
              <w:rPr>
                <w:b/>
                <w:bCs/>
                <w:sz w:val="20"/>
                <w:szCs w:val="20"/>
              </w:rPr>
              <w:t>Coef</w:t>
            </w:r>
            <w:r>
              <w:rPr>
                <w:b/>
                <w:bCs/>
                <w:sz w:val="20"/>
                <w:szCs w:val="20"/>
              </w:rPr>
              <w:t>.</w:t>
            </w:r>
          </w:p>
        </w:tc>
        <w:tc>
          <w:tcPr>
            <w:tcW w:w="972" w:type="dxa"/>
            <w:tcBorders>
              <w:top w:val="single" w:sz="4" w:space="0" w:color="auto"/>
              <w:left w:val="nil"/>
              <w:bottom w:val="single" w:sz="4" w:space="0" w:color="auto"/>
              <w:right w:val="nil"/>
            </w:tcBorders>
            <w:noWrap/>
            <w:vAlign w:val="center"/>
            <w:hideMark/>
          </w:tcPr>
          <w:p w14:paraId="35E154EC" w14:textId="77777777" w:rsidR="00EA2123" w:rsidRPr="00452304" w:rsidRDefault="00EA2123" w:rsidP="006127B4">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2083BD60" w14:textId="77777777" w:rsidR="00EA2123" w:rsidRPr="00452304" w:rsidRDefault="00EA2123" w:rsidP="006127B4">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767" w:type="dxa"/>
            <w:tcBorders>
              <w:top w:val="single" w:sz="4" w:space="0" w:color="auto"/>
              <w:left w:val="nil"/>
              <w:bottom w:val="single" w:sz="4" w:space="0" w:color="auto"/>
              <w:right w:val="nil"/>
            </w:tcBorders>
            <w:noWrap/>
            <w:vAlign w:val="center"/>
            <w:hideMark/>
          </w:tcPr>
          <w:p w14:paraId="7904C4F8" w14:textId="77777777" w:rsidR="00EA2123" w:rsidRPr="00452304" w:rsidRDefault="00EA2123" w:rsidP="006127B4">
            <w:pPr>
              <w:spacing w:after="0" w:line="240" w:lineRule="auto"/>
              <w:rPr>
                <w:b/>
                <w:bCs/>
                <w:sz w:val="20"/>
                <w:szCs w:val="20"/>
              </w:rPr>
            </w:pPr>
            <w:r w:rsidRPr="008825E3">
              <w:rPr>
                <w:b/>
                <w:bCs/>
                <w:sz w:val="20"/>
                <w:szCs w:val="20"/>
              </w:rPr>
              <w:t>95% CI</w:t>
            </w:r>
          </w:p>
        </w:tc>
      </w:tr>
      <w:tr w:rsidR="00D9593D" w:rsidRPr="00452304" w14:paraId="29DFC834" w14:textId="77777777" w:rsidTr="00D9593D">
        <w:trPr>
          <w:trHeight w:val="320"/>
        </w:trPr>
        <w:tc>
          <w:tcPr>
            <w:tcW w:w="1094" w:type="dxa"/>
            <w:vMerge w:val="restart"/>
            <w:tcBorders>
              <w:top w:val="single" w:sz="4" w:space="0" w:color="auto"/>
              <w:left w:val="nil"/>
              <w:right w:val="nil"/>
            </w:tcBorders>
            <w:vAlign w:val="center"/>
          </w:tcPr>
          <w:p w14:paraId="309B426A" w14:textId="77777777" w:rsidR="00D9593D" w:rsidRPr="008A48CF" w:rsidRDefault="00D9593D" w:rsidP="00D9593D">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A</w:t>
            </w:r>
            <w:r>
              <w:rPr>
                <w:rFonts w:eastAsia="Times New Roman"/>
                <w:color w:val="000000"/>
                <w:kern w:val="0"/>
                <w:sz w:val="20"/>
                <w:szCs w:val="20"/>
                <w:vertAlign w:val="subscript"/>
                <w14:ligatures w14:val="none"/>
              </w:rPr>
              <w:t>sat</w:t>
            </w:r>
          </w:p>
        </w:tc>
        <w:tc>
          <w:tcPr>
            <w:tcW w:w="1178" w:type="dxa"/>
            <w:vMerge w:val="restart"/>
            <w:tcBorders>
              <w:top w:val="single" w:sz="4" w:space="0" w:color="auto"/>
              <w:left w:val="nil"/>
              <w:right w:val="nil"/>
            </w:tcBorders>
            <w:noWrap/>
            <w:vAlign w:val="center"/>
            <w:hideMark/>
          </w:tcPr>
          <w:p w14:paraId="4F4FA76F" w14:textId="77777777" w:rsidR="00D9593D" w:rsidRPr="00452304" w:rsidRDefault="00D9593D" w:rsidP="00D9593D">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3DD73FBD" w14:textId="77777777" w:rsidR="00D9593D" w:rsidRPr="00452304" w:rsidRDefault="00D9593D" w:rsidP="00D9593D">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05B51D84" w14:textId="5C1F4BAF" w:rsidR="00D9593D" w:rsidRPr="00D9593D" w:rsidRDefault="00D9593D" w:rsidP="00D9593D">
            <w:pPr>
              <w:spacing w:after="0" w:line="240" w:lineRule="auto"/>
              <w:jc w:val="right"/>
              <w:rPr>
                <w:rFonts w:eastAsia="Times New Roman"/>
                <w:b/>
                <w:bCs/>
                <w:color w:val="000000"/>
                <w:kern w:val="0"/>
                <w:sz w:val="20"/>
                <w:szCs w:val="20"/>
                <w:highlight w:val="yellow"/>
                <w14:ligatures w14:val="none"/>
              </w:rPr>
            </w:pPr>
            <w:r w:rsidRPr="00D9593D">
              <w:rPr>
                <w:b/>
                <w:bCs/>
                <w:color w:val="000000"/>
                <w:sz w:val="20"/>
                <w:szCs w:val="20"/>
              </w:rPr>
              <w:t>8.329</w:t>
            </w:r>
          </w:p>
        </w:tc>
        <w:tc>
          <w:tcPr>
            <w:tcW w:w="972" w:type="dxa"/>
            <w:vMerge w:val="restart"/>
            <w:tcBorders>
              <w:top w:val="single" w:sz="4" w:space="0" w:color="auto"/>
              <w:left w:val="nil"/>
              <w:right w:val="nil"/>
            </w:tcBorders>
            <w:noWrap/>
            <w:vAlign w:val="center"/>
          </w:tcPr>
          <w:p w14:paraId="1039FAFE" w14:textId="774EE9B4" w:rsidR="00D9593D" w:rsidRPr="00D9593D" w:rsidRDefault="00D9593D" w:rsidP="00D9593D">
            <w:pPr>
              <w:spacing w:after="0" w:line="240" w:lineRule="auto"/>
              <w:jc w:val="right"/>
              <w:rPr>
                <w:rFonts w:eastAsia="Times New Roman"/>
                <w:b/>
                <w:bCs/>
                <w:color w:val="000000"/>
                <w:kern w:val="0"/>
                <w:sz w:val="20"/>
                <w:szCs w:val="20"/>
                <w:highlight w:val="yellow"/>
                <w14:ligatures w14:val="none"/>
              </w:rPr>
            </w:pPr>
            <w:r w:rsidRPr="00D9593D">
              <w:rPr>
                <w:b/>
                <w:bCs/>
                <w:color w:val="000000"/>
                <w:sz w:val="20"/>
                <w:szCs w:val="20"/>
              </w:rPr>
              <w:t>2.441</w:t>
            </w:r>
          </w:p>
        </w:tc>
        <w:tc>
          <w:tcPr>
            <w:tcW w:w="939" w:type="dxa"/>
            <w:vMerge w:val="restart"/>
            <w:tcBorders>
              <w:top w:val="single" w:sz="4" w:space="0" w:color="auto"/>
              <w:left w:val="nil"/>
              <w:right w:val="nil"/>
            </w:tcBorders>
            <w:noWrap/>
            <w:vAlign w:val="center"/>
          </w:tcPr>
          <w:p w14:paraId="1B5E91EE" w14:textId="2B8816C3" w:rsidR="00D9593D" w:rsidRPr="00D9593D" w:rsidRDefault="00D9593D" w:rsidP="00D9593D">
            <w:pPr>
              <w:spacing w:after="0" w:line="240" w:lineRule="auto"/>
              <w:jc w:val="right"/>
              <w:rPr>
                <w:rFonts w:eastAsia="Times New Roman"/>
                <w:b/>
                <w:bCs/>
                <w:color w:val="000000"/>
                <w:kern w:val="0"/>
                <w:sz w:val="20"/>
                <w:szCs w:val="20"/>
                <w:highlight w:val="yellow"/>
                <w14:ligatures w14:val="none"/>
              </w:rPr>
            </w:pPr>
            <w:r w:rsidRPr="00D9593D">
              <w:rPr>
                <w:b/>
                <w:bCs/>
                <w:color w:val="000000"/>
                <w:sz w:val="20"/>
                <w:szCs w:val="20"/>
              </w:rPr>
              <w:t>0.015</w:t>
            </w:r>
          </w:p>
        </w:tc>
        <w:tc>
          <w:tcPr>
            <w:tcW w:w="1767" w:type="dxa"/>
            <w:tcBorders>
              <w:top w:val="single" w:sz="4" w:space="0" w:color="auto"/>
              <w:left w:val="nil"/>
              <w:bottom w:val="nil"/>
              <w:right w:val="nil"/>
            </w:tcBorders>
            <w:noWrap/>
            <w:vAlign w:val="center"/>
          </w:tcPr>
          <w:p w14:paraId="16111F05" w14:textId="42E5E3D5" w:rsidR="00D9593D" w:rsidRPr="00D9593D" w:rsidRDefault="00D9593D" w:rsidP="00D9593D">
            <w:pPr>
              <w:spacing w:after="0" w:line="240" w:lineRule="auto"/>
              <w:jc w:val="right"/>
              <w:rPr>
                <w:rFonts w:eastAsia="Times New Roman"/>
                <w:b/>
                <w:bCs/>
                <w:color w:val="000000"/>
                <w:kern w:val="0"/>
                <w:sz w:val="20"/>
                <w:szCs w:val="20"/>
                <w:highlight w:val="yellow"/>
                <w14:ligatures w14:val="none"/>
              </w:rPr>
            </w:pPr>
            <w:r w:rsidRPr="00D9593D">
              <w:rPr>
                <w:b/>
                <w:bCs/>
                <w:color w:val="000000"/>
                <w:sz w:val="20"/>
                <w:szCs w:val="20"/>
              </w:rPr>
              <w:t>[-4.877, 23.368]</w:t>
            </w:r>
          </w:p>
        </w:tc>
      </w:tr>
      <w:tr w:rsidR="00A56843" w:rsidRPr="00452304" w14:paraId="27A28509" w14:textId="77777777" w:rsidTr="00D9593D">
        <w:trPr>
          <w:trHeight w:val="320"/>
        </w:trPr>
        <w:tc>
          <w:tcPr>
            <w:tcW w:w="1094" w:type="dxa"/>
            <w:vMerge/>
            <w:tcBorders>
              <w:left w:val="nil"/>
              <w:right w:val="nil"/>
            </w:tcBorders>
          </w:tcPr>
          <w:p w14:paraId="09102E03"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4CC1E8A1"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46064387" w14:textId="77777777" w:rsidR="00A56843" w:rsidRPr="00452304" w:rsidRDefault="00A56843" w:rsidP="00A5684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7959601D" w14:textId="2C9535B4" w:rsidR="00A56843" w:rsidRPr="00D9593D" w:rsidRDefault="00A56843" w:rsidP="00D9593D">
            <w:pPr>
              <w:spacing w:after="0" w:line="240" w:lineRule="auto"/>
              <w:jc w:val="right"/>
              <w:rPr>
                <w:rFonts w:eastAsia="Times New Roman"/>
                <w:b/>
                <w:bCs/>
                <w:color w:val="000000"/>
                <w:kern w:val="0"/>
                <w:sz w:val="20"/>
                <w:szCs w:val="20"/>
                <w:highlight w:val="yellow"/>
                <w14:ligatures w14:val="none"/>
              </w:rPr>
            </w:pPr>
            <w:r w:rsidRPr="00D9593D">
              <w:rPr>
                <w:b/>
                <w:bCs/>
                <w:color w:val="000000"/>
                <w:sz w:val="20"/>
                <w:szCs w:val="20"/>
              </w:rPr>
              <w:t>19.602</w:t>
            </w:r>
          </w:p>
        </w:tc>
        <w:tc>
          <w:tcPr>
            <w:tcW w:w="972" w:type="dxa"/>
            <w:vMerge/>
            <w:tcBorders>
              <w:left w:val="nil"/>
              <w:bottom w:val="single" w:sz="4" w:space="0" w:color="auto"/>
              <w:right w:val="nil"/>
            </w:tcBorders>
            <w:noWrap/>
            <w:vAlign w:val="center"/>
          </w:tcPr>
          <w:p w14:paraId="74C94313" w14:textId="77777777" w:rsidR="00A56843" w:rsidRPr="00D9593D" w:rsidRDefault="00A56843" w:rsidP="00D9593D">
            <w:pPr>
              <w:spacing w:after="0" w:line="240" w:lineRule="auto"/>
              <w:jc w:val="right"/>
              <w:rPr>
                <w:rFonts w:eastAsia="Times New Roman"/>
                <w:b/>
                <w:bCs/>
                <w:color w:val="000000"/>
                <w:kern w:val="0"/>
                <w:sz w:val="20"/>
                <w:szCs w:val="20"/>
                <w:highlight w:val="yellow"/>
                <w14:ligatures w14:val="none"/>
              </w:rPr>
            </w:pPr>
          </w:p>
        </w:tc>
        <w:tc>
          <w:tcPr>
            <w:tcW w:w="939" w:type="dxa"/>
            <w:vMerge/>
            <w:tcBorders>
              <w:left w:val="nil"/>
              <w:bottom w:val="single" w:sz="4" w:space="0" w:color="auto"/>
              <w:right w:val="nil"/>
            </w:tcBorders>
            <w:noWrap/>
            <w:vAlign w:val="center"/>
          </w:tcPr>
          <w:p w14:paraId="681F2A8F" w14:textId="77777777" w:rsidR="00A56843" w:rsidRPr="00D9593D" w:rsidRDefault="00A56843" w:rsidP="00D9593D">
            <w:pPr>
              <w:spacing w:after="0" w:line="240" w:lineRule="auto"/>
              <w:jc w:val="right"/>
              <w:rPr>
                <w:rFonts w:eastAsia="Times New Roman"/>
                <w:b/>
                <w:bCs/>
                <w:color w:val="000000"/>
                <w:kern w:val="0"/>
                <w:sz w:val="20"/>
                <w:szCs w:val="20"/>
                <w:highlight w:val="yellow"/>
                <w14:ligatures w14:val="none"/>
              </w:rPr>
            </w:pPr>
          </w:p>
        </w:tc>
        <w:tc>
          <w:tcPr>
            <w:tcW w:w="1767" w:type="dxa"/>
            <w:tcBorders>
              <w:top w:val="nil"/>
              <w:left w:val="nil"/>
              <w:bottom w:val="single" w:sz="4" w:space="0" w:color="auto"/>
              <w:right w:val="nil"/>
            </w:tcBorders>
            <w:noWrap/>
            <w:vAlign w:val="center"/>
          </w:tcPr>
          <w:p w14:paraId="0EB09721" w14:textId="3DDAA8ED" w:rsidR="00A56843" w:rsidRPr="00D9593D" w:rsidRDefault="00A56843" w:rsidP="00D9593D">
            <w:pPr>
              <w:spacing w:after="0" w:line="240" w:lineRule="auto"/>
              <w:jc w:val="right"/>
              <w:rPr>
                <w:rFonts w:eastAsia="Times New Roman"/>
                <w:b/>
                <w:bCs/>
                <w:color w:val="000000"/>
                <w:kern w:val="0"/>
                <w:sz w:val="20"/>
                <w:szCs w:val="20"/>
                <w:highlight w:val="yellow"/>
                <w14:ligatures w14:val="none"/>
              </w:rPr>
            </w:pPr>
            <w:r w:rsidRPr="00D9593D">
              <w:rPr>
                <w:b/>
                <w:bCs/>
                <w:color w:val="000000"/>
                <w:sz w:val="20"/>
                <w:szCs w:val="20"/>
              </w:rPr>
              <w:t>[3.252, 38.542]</w:t>
            </w:r>
          </w:p>
        </w:tc>
      </w:tr>
      <w:tr w:rsidR="00D9593D" w:rsidRPr="00452304" w14:paraId="5823B901" w14:textId="77777777" w:rsidTr="00D9593D">
        <w:trPr>
          <w:trHeight w:val="320"/>
        </w:trPr>
        <w:tc>
          <w:tcPr>
            <w:tcW w:w="1094" w:type="dxa"/>
            <w:vMerge/>
            <w:tcBorders>
              <w:left w:val="nil"/>
              <w:right w:val="nil"/>
            </w:tcBorders>
          </w:tcPr>
          <w:p w14:paraId="20D67F04"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FD380A3"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4FFAD24B"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6462625B" w14:textId="1280B724"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4.603</w:t>
            </w:r>
          </w:p>
        </w:tc>
        <w:tc>
          <w:tcPr>
            <w:tcW w:w="972" w:type="dxa"/>
            <w:vMerge w:val="restart"/>
            <w:tcBorders>
              <w:top w:val="single" w:sz="4" w:space="0" w:color="auto"/>
              <w:left w:val="nil"/>
              <w:right w:val="nil"/>
            </w:tcBorders>
            <w:noWrap/>
            <w:vAlign w:val="center"/>
          </w:tcPr>
          <w:p w14:paraId="2D643878" w14:textId="1D89BB62"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8.152</w:t>
            </w:r>
          </w:p>
        </w:tc>
        <w:tc>
          <w:tcPr>
            <w:tcW w:w="939" w:type="dxa"/>
            <w:vMerge w:val="restart"/>
            <w:tcBorders>
              <w:top w:val="single" w:sz="4" w:space="0" w:color="auto"/>
              <w:left w:val="nil"/>
              <w:right w:val="nil"/>
            </w:tcBorders>
            <w:noWrap/>
            <w:vAlign w:val="center"/>
          </w:tcPr>
          <w:p w14:paraId="78D70D49" w14:textId="6DCFEDEE"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&lt;0.001</w:t>
            </w:r>
          </w:p>
        </w:tc>
        <w:tc>
          <w:tcPr>
            <w:tcW w:w="1767" w:type="dxa"/>
            <w:tcBorders>
              <w:top w:val="single" w:sz="4" w:space="0" w:color="auto"/>
              <w:left w:val="nil"/>
              <w:bottom w:val="nil"/>
              <w:right w:val="nil"/>
            </w:tcBorders>
            <w:noWrap/>
            <w:vAlign w:val="center"/>
          </w:tcPr>
          <w:p w14:paraId="6D25A479" w14:textId="0120F009"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[-10.952, 22.875]</w:t>
            </w:r>
          </w:p>
        </w:tc>
      </w:tr>
      <w:tr w:rsidR="00A56843" w:rsidRPr="00452304" w14:paraId="3C3ADD06" w14:textId="77777777" w:rsidTr="00D9593D">
        <w:trPr>
          <w:trHeight w:val="320"/>
        </w:trPr>
        <w:tc>
          <w:tcPr>
            <w:tcW w:w="1094" w:type="dxa"/>
            <w:vMerge/>
            <w:tcBorders>
              <w:left w:val="nil"/>
              <w:right w:val="nil"/>
            </w:tcBorders>
          </w:tcPr>
          <w:p w14:paraId="6D7D4FB9"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B686FC7"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09523FE"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2492CD79" w14:textId="36DFC6BA"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51.589</w:t>
            </w:r>
          </w:p>
        </w:tc>
        <w:tc>
          <w:tcPr>
            <w:tcW w:w="972" w:type="dxa"/>
            <w:vMerge/>
            <w:tcBorders>
              <w:left w:val="nil"/>
              <w:bottom w:val="single" w:sz="4" w:space="0" w:color="auto"/>
              <w:right w:val="nil"/>
            </w:tcBorders>
            <w:noWrap/>
            <w:vAlign w:val="center"/>
          </w:tcPr>
          <w:p w14:paraId="2EE15AB9" w14:textId="77777777" w:rsidR="00A56843" w:rsidRPr="00D9593D" w:rsidRDefault="00A56843" w:rsidP="00D9593D">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166234CA" w14:textId="77777777" w:rsidR="00A56843" w:rsidRPr="00D9593D" w:rsidRDefault="00A56843" w:rsidP="00D9593D">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508FEB18" w14:textId="481588B3"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[26.617, 81.303]</w:t>
            </w:r>
          </w:p>
        </w:tc>
      </w:tr>
      <w:tr w:rsidR="00D9593D" w:rsidRPr="00452304" w14:paraId="2B158E6D" w14:textId="77777777" w:rsidTr="00D9593D">
        <w:trPr>
          <w:trHeight w:val="320"/>
        </w:trPr>
        <w:tc>
          <w:tcPr>
            <w:tcW w:w="1094" w:type="dxa"/>
            <w:vMerge/>
            <w:tcBorders>
              <w:left w:val="nil"/>
              <w:right w:val="nil"/>
            </w:tcBorders>
          </w:tcPr>
          <w:p w14:paraId="393DF8D6"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97FF26D"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5C83FA6A"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4E2AA4E6" w14:textId="058F633D"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30.474</w:t>
            </w:r>
          </w:p>
        </w:tc>
        <w:tc>
          <w:tcPr>
            <w:tcW w:w="972" w:type="dxa"/>
            <w:vMerge w:val="restart"/>
            <w:tcBorders>
              <w:top w:val="single" w:sz="4" w:space="0" w:color="auto"/>
              <w:left w:val="nil"/>
              <w:right w:val="nil"/>
            </w:tcBorders>
            <w:noWrap/>
            <w:vAlign w:val="center"/>
          </w:tcPr>
          <w:p w14:paraId="5504F713" w14:textId="0A9D9F9B"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-3.930</w:t>
            </w:r>
          </w:p>
        </w:tc>
        <w:tc>
          <w:tcPr>
            <w:tcW w:w="939" w:type="dxa"/>
            <w:vMerge w:val="restart"/>
            <w:tcBorders>
              <w:top w:val="single" w:sz="4" w:space="0" w:color="auto"/>
              <w:left w:val="nil"/>
              <w:right w:val="nil"/>
            </w:tcBorders>
            <w:noWrap/>
            <w:vAlign w:val="center"/>
          </w:tcPr>
          <w:p w14:paraId="3A8786D8" w14:textId="505FBF90"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&lt;0.001</w:t>
            </w:r>
          </w:p>
        </w:tc>
        <w:tc>
          <w:tcPr>
            <w:tcW w:w="1767" w:type="dxa"/>
            <w:tcBorders>
              <w:top w:val="single" w:sz="4" w:space="0" w:color="auto"/>
              <w:left w:val="nil"/>
              <w:bottom w:val="nil"/>
              <w:right w:val="nil"/>
            </w:tcBorders>
            <w:noWrap/>
            <w:vAlign w:val="center"/>
          </w:tcPr>
          <w:p w14:paraId="7C4CD85E" w14:textId="522D3D4B"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[7.788, 57.775]</w:t>
            </w:r>
          </w:p>
        </w:tc>
      </w:tr>
      <w:tr w:rsidR="00A56843" w:rsidRPr="00452304" w14:paraId="38FFD824" w14:textId="77777777" w:rsidTr="00D9593D">
        <w:trPr>
          <w:trHeight w:val="320"/>
        </w:trPr>
        <w:tc>
          <w:tcPr>
            <w:tcW w:w="1094" w:type="dxa"/>
            <w:vMerge/>
            <w:tcBorders>
              <w:left w:val="nil"/>
              <w:bottom w:val="single" w:sz="4" w:space="0" w:color="auto"/>
              <w:right w:val="nil"/>
            </w:tcBorders>
          </w:tcPr>
          <w:p w14:paraId="7505C43C"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9462D6D"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449A390"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6814939E" w14:textId="47F1C625"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11.405</w:t>
            </w:r>
          </w:p>
        </w:tc>
        <w:tc>
          <w:tcPr>
            <w:tcW w:w="972" w:type="dxa"/>
            <w:vMerge/>
            <w:tcBorders>
              <w:left w:val="nil"/>
              <w:bottom w:val="single" w:sz="4" w:space="0" w:color="auto"/>
              <w:right w:val="nil"/>
            </w:tcBorders>
            <w:noWrap/>
            <w:vAlign w:val="center"/>
          </w:tcPr>
          <w:p w14:paraId="786FF919" w14:textId="77777777" w:rsidR="00A56843" w:rsidRPr="00D9593D" w:rsidRDefault="00A56843" w:rsidP="00D9593D">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7AB43914" w14:textId="77777777" w:rsidR="00A56843" w:rsidRPr="00D9593D" w:rsidRDefault="00A56843" w:rsidP="00D9593D">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6EFE9DFD" w14:textId="776EBF24"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[-8.972, 36.479]</w:t>
            </w:r>
          </w:p>
        </w:tc>
      </w:tr>
      <w:tr w:rsidR="00A56843" w:rsidRPr="00452304" w14:paraId="44D838D4" w14:textId="77777777" w:rsidTr="00D9593D">
        <w:trPr>
          <w:trHeight w:val="320"/>
        </w:trPr>
        <w:tc>
          <w:tcPr>
            <w:tcW w:w="1094" w:type="dxa"/>
            <w:vMerge w:val="restart"/>
            <w:tcBorders>
              <w:top w:val="single" w:sz="4" w:space="0" w:color="auto"/>
              <w:left w:val="nil"/>
              <w:right w:val="nil"/>
            </w:tcBorders>
            <w:vAlign w:val="center"/>
          </w:tcPr>
          <w:p w14:paraId="4A139FD7" w14:textId="77777777" w:rsidR="00A56843" w:rsidRPr="009D19EF" w:rsidRDefault="00A56843" w:rsidP="00A56843">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V</w:t>
            </w:r>
            <w:r>
              <w:rPr>
                <w:rFonts w:eastAsia="Times New Roman"/>
                <w:color w:val="000000"/>
                <w:kern w:val="0"/>
                <w:sz w:val="20"/>
                <w:szCs w:val="20"/>
                <w:vertAlign w:val="subscript"/>
                <w14:ligatures w14:val="none"/>
              </w:rPr>
              <w:t>cmax</w:t>
            </w:r>
            <w:proofErr w:type="spellEnd"/>
          </w:p>
        </w:tc>
        <w:tc>
          <w:tcPr>
            <w:tcW w:w="1178" w:type="dxa"/>
            <w:vMerge w:val="restart"/>
            <w:tcBorders>
              <w:top w:val="single" w:sz="4" w:space="0" w:color="auto"/>
              <w:left w:val="nil"/>
              <w:right w:val="nil"/>
            </w:tcBorders>
            <w:noWrap/>
            <w:vAlign w:val="center"/>
          </w:tcPr>
          <w:p w14:paraId="6DE7CEDF"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70F8440F"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7F57E7CF" w14:textId="604B53E6"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7.144</w:t>
            </w:r>
          </w:p>
        </w:tc>
        <w:tc>
          <w:tcPr>
            <w:tcW w:w="972" w:type="dxa"/>
            <w:vMerge w:val="restart"/>
            <w:tcBorders>
              <w:top w:val="single" w:sz="4" w:space="0" w:color="auto"/>
              <w:left w:val="nil"/>
              <w:right w:val="nil"/>
            </w:tcBorders>
            <w:noWrap/>
            <w:vAlign w:val="center"/>
          </w:tcPr>
          <w:p w14:paraId="6A64F3D9" w14:textId="77777777" w:rsidR="00A56843" w:rsidRPr="00D9593D" w:rsidRDefault="00A56843" w:rsidP="00D9593D">
            <w:pPr>
              <w:spacing w:after="0" w:line="240" w:lineRule="auto"/>
              <w:jc w:val="right"/>
              <w:rPr>
                <w:b/>
                <w:bCs/>
                <w:color w:val="000000"/>
                <w:sz w:val="20"/>
                <w:szCs w:val="20"/>
              </w:rPr>
            </w:pPr>
            <w:r w:rsidRPr="00D9593D">
              <w:rPr>
                <w:b/>
                <w:bCs/>
                <w:color w:val="000000"/>
                <w:sz w:val="20"/>
                <w:szCs w:val="20"/>
              </w:rPr>
              <w:t>-3.879</w:t>
            </w:r>
          </w:p>
        </w:tc>
        <w:tc>
          <w:tcPr>
            <w:tcW w:w="939" w:type="dxa"/>
            <w:vMerge w:val="restart"/>
            <w:tcBorders>
              <w:top w:val="single" w:sz="4" w:space="0" w:color="auto"/>
              <w:left w:val="nil"/>
              <w:right w:val="nil"/>
            </w:tcBorders>
            <w:noWrap/>
            <w:vAlign w:val="center"/>
          </w:tcPr>
          <w:p w14:paraId="3DEBAB37" w14:textId="77777777" w:rsidR="00A56843" w:rsidRPr="00D9593D" w:rsidRDefault="00A56843" w:rsidP="00D9593D">
            <w:pPr>
              <w:spacing w:after="0" w:line="240" w:lineRule="auto"/>
              <w:jc w:val="right"/>
              <w:rPr>
                <w:b/>
                <w:bCs/>
                <w:color w:val="000000"/>
                <w:sz w:val="20"/>
                <w:szCs w:val="20"/>
              </w:rPr>
            </w:pPr>
            <w:r w:rsidRPr="00D9593D">
              <w:rPr>
                <w:b/>
                <w:bCs/>
                <w:color w:val="000000"/>
                <w:sz w:val="20"/>
                <w:szCs w:val="20"/>
              </w:rPr>
              <w:t>&lt;0.001</w:t>
            </w:r>
          </w:p>
        </w:tc>
        <w:tc>
          <w:tcPr>
            <w:tcW w:w="1767" w:type="dxa"/>
            <w:tcBorders>
              <w:top w:val="single" w:sz="4" w:space="0" w:color="auto"/>
              <w:left w:val="nil"/>
              <w:bottom w:val="nil"/>
              <w:right w:val="nil"/>
            </w:tcBorders>
            <w:noWrap/>
            <w:vAlign w:val="center"/>
          </w:tcPr>
          <w:p w14:paraId="15143F97" w14:textId="33A49BF5"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[-4.591, 20.202]</w:t>
            </w:r>
          </w:p>
        </w:tc>
      </w:tr>
      <w:tr w:rsidR="00A56843" w:rsidRPr="00452304" w14:paraId="1AD08D0B" w14:textId="77777777" w:rsidTr="00D9593D">
        <w:trPr>
          <w:trHeight w:val="320"/>
        </w:trPr>
        <w:tc>
          <w:tcPr>
            <w:tcW w:w="1094" w:type="dxa"/>
            <w:vMerge/>
            <w:tcBorders>
              <w:left w:val="nil"/>
              <w:right w:val="nil"/>
            </w:tcBorders>
          </w:tcPr>
          <w:p w14:paraId="360906F7"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35D056E"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2A5FC50"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64CD8178" w14:textId="26B4C13E"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-25.248</w:t>
            </w:r>
          </w:p>
        </w:tc>
        <w:tc>
          <w:tcPr>
            <w:tcW w:w="972" w:type="dxa"/>
            <w:vMerge/>
            <w:tcBorders>
              <w:left w:val="nil"/>
              <w:bottom w:val="single" w:sz="4" w:space="0" w:color="auto"/>
              <w:right w:val="nil"/>
            </w:tcBorders>
            <w:noWrap/>
            <w:vAlign w:val="center"/>
          </w:tcPr>
          <w:p w14:paraId="3AECD4E7" w14:textId="77777777" w:rsidR="00A56843" w:rsidRPr="00D9593D" w:rsidRDefault="00A56843" w:rsidP="00D9593D">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2AB06282" w14:textId="77777777" w:rsidR="00A56843" w:rsidRPr="00D9593D" w:rsidRDefault="00A56843" w:rsidP="00D9593D">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4BBFDEBB" w14:textId="101B690E"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[-37.998, -9.968]</w:t>
            </w:r>
          </w:p>
        </w:tc>
      </w:tr>
      <w:tr w:rsidR="00A56843" w:rsidRPr="00452304" w14:paraId="73170856" w14:textId="77777777" w:rsidTr="00D9593D">
        <w:trPr>
          <w:trHeight w:val="320"/>
        </w:trPr>
        <w:tc>
          <w:tcPr>
            <w:tcW w:w="1094" w:type="dxa"/>
            <w:vMerge/>
            <w:tcBorders>
              <w:left w:val="nil"/>
              <w:right w:val="nil"/>
            </w:tcBorders>
          </w:tcPr>
          <w:p w14:paraId="4DBFA20E"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BB8E2BB"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0EDEEC24"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1915CA24" w14:textId="0F766F04"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15.373</w:t>
            </w:r>
          </w:p>
        </w:tc>
        <w:tc>
          <w:tcPr>
            <w:tcW w:w="972" w:type="dxa"/>
            <w:vMerge w:val="restart"/>
            <w:tcBorders>
              <w:top w:val="single" w:sz="4" w:space="0" w:color="auto"/>
              <w:left w:val="nil"/>
              <w:right w:val="nil"/>
            </w:tcBorders>
            <w:noWrap/>
            <w:vAlign w:val="center"/>
          </w:tcPr>
          <w:p w14:paraId="73F88F3B" w14:textId="77777777" w:rsidR="00A56843" w:rsidRPr="00D9593D" w:rsidRDefault="00A56843" w:rsidP="00D9593D">
            <w:pPr>
              <w:spacing w:after="0" w:line="240" w:lineRule="auto"/>
              <w:jc w:val="right"/>
              <w:rPr>
                <w:b/>
                <w:bCs/>
                <w:color w:val="000000"/>
                <w:sz w:val="20"/>
                <w:szCs w:val="20"/>
              </w:rPr>
            </w:pPr>
            <w:r w:rsidRPr="00D9593D">
              <w:rPr>
                <w:b/>
                <w:bCs/>
                <w:color w:val="000000"/>
                <w:sz w:val="20"/>
                <w:szCs w:val="20"/>
              </w:rPr>
              <w:t>-2.309</w:t>
            </w:r>
          </w:p>
        </w:tc>
        <w:tc>
          <w:tcPr>
            <w:tcW w:w="939" w:type="dxa"/>
            <w:vMerge w:val="restart"/>
            <w:tcBorders>
              <w:top w:val="single" w:sz="4" w:space="0" w:color="auto"/>
              <w:left w:val="nil"/>
              <w:right w:val="nil"/>
            </w:tcBorders>
            <w:noWrap/>
            <w:vAlign w:val="center"/>
          </w:tcPr>
          <w:p w14:paraId="219BC791" w14:textId="77777777" w:rsidR="00A56843" w:rsidRPr="00D9593D" w:rsidRDefault="00A56843" w:rsidP="00D9593D">
            <w:pPr>
              <w:spacing w:after="0" w:line="240" w:lineRule="auto"/>
              <w:jc w:val="right"/>
              <w:rPr>
                <w:b/>
                <w:bCs/>
                <w:color w:val="000000"/>
                <w:sz w:val="20"/>
                <w:szCs w:val="20"/>
              </w:rPr>
            </w:pPr>
            <w:r w:rsidRPr="00D9593D">
              <w:rPr>
                <w:b/>
                <w:bCs/>
                <w:color w:val="000000"/>
                <w:sz w:val="20"/>
                <w:szCs w:val="20"/>
              </w:rPr>
              <w:t>0.021</w:t>
            </w:r>
          </w:p>
        </w:tc>
        <w:tc>
          <w:tcPr>
            <w:tcW w:w="1767" w:type="dxa"/>
            <w:tcBorders>
              <w:top w:val="single" w:sz="4" w:space="0" w:color="auto"/>
              <w:left w:val="nil"/>
              <w:bottom w:val="nil"/>
              <w:right w:val="nil"/>
            </w:tcBorders>
            <w:noWrap/>
            <w:vAlign w:val="center"/>
          </w:tcPr>
          <w:p w14:paraId="7043C630" w14:textId="5E55CAA2"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[1.308, 31.521]</w:t>
            </w:r>
          </w:p>
        </w:tc>
      </w:tr>
      <w:tr w:rsidR="00A56843" w:rsidRPr="00452304" w14:paraId="10859F99" w14:textId="77777777" w:rsidTr="00D9593D">
        <w:trPr>
          <w:trHeight w:val="320"/>
        </w:trPr>
        <w:tc>
          <w:tcPr>
            <w:tcW w:w="1094" w:type="dxa"/>
            <w:vMerge/>
            <w:tcBorders>
              <w:left w:val="nil"/>
              <w:right w:val="nil"/>
            </w:tcBorders>
          </w:tcPr>
          <w:p w14:paraId="55A7B078"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D29D4B8"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8D26A9D"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6B50E5B8" w14:textId="4BBC1076"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-5.541</w:t>
            </w:r>
          </w:p>
        </w:tc>
        <w:tc>
          <w:tcPr>
            <w:tcW w:w="972" w:type="dxa"/>
            <w:vMerge/>
            <w:tcBorders>
              <w:left w:val="nil"/>
              <w:bottom w:val="single" w:sz="4" w:space="0" w:color="auto"/>
              <w:right w:val="nil"/>
            </w:tcBorders>
            <w:noWrap/>
            <w:vAlign w:val="center"/>
          </w:tcPr>
          <w:p w14:paraId="1989B823" w14:textId="77777777" w:rsidR="00A56843" w:rsidRPr="00D9593D" w:rsidRDefault="00A56843" w:rsidP="00D9593D">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5369C698" w14:textId="77777777" w:rsidR="00A56843" w:rsidRPr="00D9593D" w:rsidRDefault="00A56843" w:rsidP="00D9593D">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1BF491AF" w14:textId="3F231FAF"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[-22.120, 14.454]</w:t>
            </w:r>
          </w:p>
        </w:tc>
      </w:tr>
      <w:tr w:rsidR="00A56843" w:rsidRPr="00452304" w14:paraId="75557CCB" w14:textId="77777777" w:rsidTr="00D9593D">
        <w:trPr>
          <w:trHeight w:val="320"/>
        </w:trPr>
        <w:tc>
          <w:tcPr>
            <w:tcW w:w="1094" w:type="dxa"/>
            <w:vMerge/>
            <w:tcBorders>
              <w:left w:val="nil"/>
              <w:right w:val="nil"/>
            </w:tcBorders>
          </w:tcPr>
          <w:p w14:paraId="71486CD2"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283B5FE"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11E994F0"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49036F7D" w14:textId="3E1B5014"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28.531</w:t>
            </w:r>
          </w:p>
        </w:tc>
        <w:tc>
          <w:tcPr>
            <w:tcW w:w="972" w:type="dxa"/>
            <w:vMerge w:val="restart"/>
            <w:tcBorders>
              <w:top w:val="single" w:sz="4" w:space="0" w:color="auto"/>
              <w:left w:val="nil"/>
              <w:right w:val="nil"/>
            </w:tcBorders>
            <w:noWrap/>
            <w:vAlign w:val="center"/>
          </w:tcPr>
          <w:p w14:paraId="23D8F703" w14:textId="77777777" w:rsidR="00A56843" w:rsidRPr="00D9593D" w:rsidRDefault="00A56843" w:rsidP="00D9593D">
            <w:pPr>
              <w:spacing w:after="0" w:line="240" w:lineRule="auto"/>
              <w:jc w:val="right"/>
              <w:rPr>
                <w:b/>
                <w:bCs/>
                <w:color w:val="000000"/>
                <w:sz w:val="20"/>
                <w:szCs w:val="20"/>
              </w:rPr>
            </w:pPr>
            <w:r w:rsidRPr="00D9593D">
              <w:rPr>
                <w:b/>
                <w:bCs/>
                <w:color w:val="000000"/>
                <w:sz w:val="20"/>
                <w:szCs w:val="20"/>
              </w:rPr>
              <w:t>-4.918</w:t>
            </w:r>
          </w:p>
        </w:tc>
        <w:tc>
          <w:tcPr>
            <w:tcW w:w="939" w:type="dxa"/>
            <w:vMerge w:val="restart"/>
            <w:tcBorders>
              <w:top w:val="single" w:sz="4" w:space="0" w:color="auto"/>
              <w:left w:val="nil"/>
              <w:right w:val="nil"/>
            </w:tcBorders>
            <w:noWrap/>
            <w:vAlign w:val="center"/>
          </w:tcPr>
          <w:p w14:paraId="5588F772" w14:textId="77777777" w:rsidR="00A56843" w:rsidRPr="00D9593D" w:rsidRDefault="00A56843" w:rsidP="00D9593D">
            <w:pPr>
              <w:spacing w:after="0" w:line="240" w:lineRule="auto"/>
              <w:jc w:val="right"/>
              <w:rPr>
                <w:b/>
                <w:bCs/>
                <w:color w:val="000000"/>
                <w:sz w:val="20"/>
                <w:szCs w:val="20"/>
              </w:rPr>
            </w:pPr>
            <w:r w:rsidRPr="00D9593D">
              <w:rPr>
                <w:b/>
                <w:bCs/>
                <w:color w:val="000000"/>
                <w:sz w:val="20"/>
                <w:szCs w:val="20"/>
              </w:rPr>
              <w:t>&lt;0.001</w:t>
            </w:r>
          </w:p>
        </w:tc>
        <w:tc>
          <w:tcPr>
            <w:tcW w:w="1767" w:type="dxa"/>
            <w:tcBorders>
              <w:top w:val="single" w:sz="4" w:space="0" w:color="auto"/>
              <w:left w:val="nil"/>
              <w:bottom w:val="nil"/>
              <w:right w:val="nil"/>
            </w:tcBorders>
            <w:noWrap/>
            <w:vAlign w:val="center"/>
          </w:tcPr>
          <w:p w14:paraId="0289A397" w14:textId="03C7E221"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[14.683, 44.196]</w:t>
            </w:r>
          </w:p>
        </w:tc>
      </w:tr>
      <w:tr w:rsidR="00A56843" w:rsidRPr="00452304" w14:paraId="12C1EA5A" w14:textId="77777777" w:rsidTr="00D9593D">
        <w:trPr>
          <w:trHeight w:val="320"/>
        </w:trPr>
        <w:tc>
          <w:tcPr>
            <w:tcW w:w="1094" w:type="dxa"/>
            <w:vMerge/>
            <w:tcBorders>
              <w:left w:val="nil"/>
              <w:bottom w:val="single" w:sz="4" w:space="0" w:color="auto"/>
              <w:right w:val="nil"/>
            </w:tcBorders>
          </w:tcPr>
          <w:p w14:paraId="6BA166A4"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9EB8BC1"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C5D2D6D"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2DA47EEC" w14:textId="6728C6E0"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-17.634</w:t>
            </w:r>
          </w:p>
        </w:tc>
        <w:tc>
          <w:tcPr>
            <w:tcW w:w="972" w:type="dxa"/>
            <w:vMerge/>
            <w:tcBorders>
              <w:left w:val="nil"/>
              <w:bottom w:val="single" w:sz="4" w:space="0" w:color="auto"/>
              <w:right w:val="nil"/>
            </w:tcBorders>
            <w:noWrap/>
            <w:vAlign w:val="center"/>
          </w:tcPr>
          <w:p w14:paraId="1AA5F2C9" w14:textId="77777777" w:rsidR="00A56843" w:rsidRPr="00D9593D" w:rsidRDefault="00A56843" w:rsidP="00D9593D">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6B5FD4B2" w14:textId="77777777" w:rsidR="00A56843" w:rsidRPr="00D9593D" w:rsidRDefault="00A56843" w:rsidP="00D9593D">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566F9C09" w14:textId="3937453A"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[-31.477, -0.995]</w:t>
            </w:r>
          </w:p>
        </w:tc>
      </w:tr>
      <w:tr w:rsidR="00A56843" w:rsidRPr="00452304" w14:paraId="09625AB6" w14:textId="77777777" w:rsidTr="00D9593D">
        <w:trPr>
          <w:trHeight w:val="320"/>
        </w:trPr>
        <w:tc>
          <w:tcPr>
            <w:tcW w:w="1094" w:type="dxa"/>
            <w:vMerge w:val="restart"/>
            <w:tcBorders>
              <w:top w:val="single" w:sz="4" w:space="0" w:color="auto"/>
              <w:left w:val="nil"/>
              <w:right w:val="nil"/>
            </w:tcBorders>
            <w:vAlign w:val="center"/>
          </w:tcPr>
          <w:p w14:paraId="34483372" w14:textId="77777777" w:rsidR="00A56843" w:rsidRPr="009D19EF" w:rsidRDefault="00A56843" w:rsidP="00A56843">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J</w:t>
            </w:r>
            <w:r>
              <w:rPr>
                <w:rFonts w:eastAsia="Times New Roman"/>
                <w:color w:val="000000"/>
                <w:kern w:val="0"/>
                <w:sz w:val="20"/>
                <w:szCs w:val="20"/>
                <w:vertAlign w:val="subscript"/>
                <w14:ligatures w14:val="none"/>
              </w:rPr>
              <w:t>max</w:t>
            </w:r>
            <w:proofErr w:type="spellEnd"/>
          </w:p>
        </w:tc>
        <w:tc>
          <w:tcPr>
            <w:tcW w:w="1178" w:type="dxa"/>
            <w:vMerge w:val="restart"/>
            <w:tcBorders>
              <w:top w:val="single" w:sz="4" w:space="0" w:color="auto"/>
              <w:left w:val="nil"/>
              <w:right w:val="nil"/>
            </w:tcBorders>
            <w:noWrap/>
            <w:vAlign w:val="center"/>
          </w:tcPr>
          <w:p w14:paraId="50EA7175"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4D0F7590"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651DE9E8" w14:textId="35B43A3C"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13.088</w:t>
            </w:r>
          </w:p>
        </w:tc>
        <w:tc>
          <w:tcPr>
            <w:tcW w:w="972" w:type="dxa"/>
            <w:vMerge w:val="restart"/>
            <w:tcBorders>
              <w:top w:val="single" w:sz="4" w:space="0" w:color="auto"/>
              <w:left w:val="nil"/>
              <w:right w:val="nil"/>
            </w:tcBorders>
            <w:noWrap/>
            <w:vAlign w:val="center"/>
          </w:tcPr>
          <w:p w14:paraId="47A345E4" w14:textId="77777777" w:rsidR="00A56843" w:rsidRPr="00D9593D" w:rsidRDefault="00A56843" w:rsidP="00D9593D">
            <w:pPr>
              <w:spacing w:after="0" w:line="240" w:lineRule="auto"/>
              <w:jc w:val="right"/>
              <w:rPr>
                <w:b/>
                <w:bCs/>
                <w:color w:val="000000"/>
                <w:sz w:val="20"/>
                <w:szCs w:val="20"/>
              </w:rPr>
            </w:pPr>
            <w:r w:rsidRPr="00D9593D">
              <w:rPr>
                <w:b/>
                <w:bCs/>
                <w:color w:val="000000"/>
                <w:sz w:val="20"/>
                <w:szCs w:val="20"/>
              </w:rPr>
              <w:t>-2.001</w:t>
            </w:r>
          </w:p>
        </w:tc>
        <w:tc>
          <w:tcPr>
            <w:tcW w:w="939" w:type="dxa"/>
            <w:vMerge w:val="restart"/>
            <w:tcBorders>
              <w:top w:val="single" w:sz="4" w:space="0" w:color="auto"/>
              <w:left w:val="nil"/>
              <w:right w:val="nil"/>
            </w:tcBorders>
            <w:noWrap/>
            <w:vAlign w:val="center"/>
          </w:tcPr>
          <w:p w14:paraId="5DBD2926" w14:textId="77777777" w:rsidR="00A56843" w:rsidRPr="00D9593D" w:rsidRDefault="00A56843" w:rsidP="00D9593D">
            <w:pPr>
              <w:spacing w:after="0" w:line="240" w:lineRule="auto"/>
              <w:jc w:val="right"/>
              <w:rPr>
                <w:b/>
                <w:bCs/>
                <w:color w:val="000000"/>
                <w:sz w:val="20"/>
                <w:szCs w:val="20"/>
              </w:rPr>
            </w:pPr>
            <w:r w:rsidRPr="00D9593D">
              <w:rPr>
                <w:b/>
                <w:bCs/>
                <w:color w:val="000000"/>
                <w:sz w:val="20"/>
                <w:szCs w:val="20"/>
              </w:rPr>
              <w:t>0.045</w:t>
            </w:r>
          </w:p>
        </w:tc>
        <w:tc>
          <w:tcPr>
            <w:tcW w:w="1767" w:type="dxa"/>
            <w:tcBorders>
              <w:top w:val="single" w:sz="4" w:space="0" w:color="auto"/>
              <w:left w:val="nil"/>
              <w:bottom w:val="nil"/>
              <w:right w:val="nil"/>
            </w:tcBorders>
            <w:noWrap/>
            <w:vAlign w:val="center"/>
          </w:tcPr>
          <w:p w14:paraId="3CE0712B" w14:textId="21E3E70A"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[2.840, 24.483]</w:t>
            </w:r>
          </w:p>
        </w:tc>
      </w:tr>
      <w:tr w:rsidR="00A56843" w:rsidRPr="00452304" w14:paraId="3570E492" w14:textId="77777777" w:rsidTr="00D9593D">
        <w:trPr>
          <w:trHeight w:val="320"/>
        </w:trPr>
        <w:tc>
          <w:tcPr>
            <w:tcW w:w="1094" w:type="dxa"/>
            <w:vMerge/>
            <w:tcBorders>
              <w:left w:val="nil"/>
              <w:right w:val="nil"/>
            </w:tcBorders>
          </w:tcPr>
          <w:p w14:paraId="1D3EB4A9"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9A5883F"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E688BFD"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7BCF3E1A" w14:textId="2DE7B42F"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-3.825</w:t>
            </w:r>
          </w:p>
        </w:tc>
        <w:tc>
          <w:tcPr>
            <w:tcW w:w="972" w:type="dxa"/>
            <w:vMerge/>
            <w:tcBorders>
              <w:left w:val="nil"/>
              <w:bottom w:val="single" w:sz="4" w:space="0" w:color="auto"/>
              <w:right w:val="nil"/>
            </w:tcBorders>
            <w:noWrap/>
            <w:vAlign w:val="center"/>
          </w:tcPr>
          <w:p w14:paraId="588E5970" w14:textId="77777777" w:rsidR="00A56843" w:rsidRPr="00D9593D" w:rsidRDefault="00A56843" w:rsidP="00D9593D">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680A1067" w14:textId="77777777" w:rsidR="00A56843" w:rsidRPr="00D9593D" w:rsidRDefault="00A56843" w:rsidP="00D9593D">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65241CC7" w14:textId="4F9271EF"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[-17.387, 12.075]</w:t>
            </w:r>
          </w:p>
        </w:tc>
      </w:tr>
      <w:tr w:rsidR="00A56843" w:rsidRPr="00452304" w14:paraId="4E6E643F" w14:textId="77777777" w:rsidTr="00D9593D">
        <w:trPr>
          <w:trHeight w:val="320"/>
        </w:trPr>
        <w:tc>
          <w:tcPr>
            <w:tcW w:w="1094" w:type="dxa"/>
            <w:vMerge/>
            <w:tcBorders>
              <w:left w:val="nil"/>
              <w:right w:val="nil"/>
            </w:tcBorders>
          </w:tcPr>
          <w:p w14:paraId="46FD8C8E"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806036C"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69BE05EC"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39F617B6" w14:textId="4954AA3C" w:rsidR="00A56843" w:rsidRPr="00D9593D" w:rsidRDefault="00A56843" w:rsidP="00D9593D">
            <w:pPr>
              <w:spacing w:after="0" w:line="240" w:lineRule="auto"/>
              <w:jc w:val="right"/>
              <w:rPr>
                <w:color w:val="000000"/>
                <w:sz w:val="20"/>
                <w:szCs w:val="20"/>
                <w:highlight w:val="yellow"/>
              </w:rPr>
            </w:pPr>
            <w:r w:rsidRPr="00D9593D">
              <w:rPr>
                <w:color w:val="000000"/>
                <w:sz w:val="20"/>
                <w:szCs w:val="20"/>
              </w:rPr>
              <w:t>19.125</w:t>
            </w:r>
          </w:p>
        </w:tc>
        <w:tc>
          <w:tcPr>
            <w:tcW w:w="972" w:type="dxa"/>
            <w:vMerge w:val="restart"/>
            <w:tcBorders>
              <w:top w:val="single" w:sz="4" w:space="0" w:color="auto"/>
              <w:left w:val="nil"/>
              <w:right w:val="nil"/>
            </w:tcBorders>
            <w:noWrap/>
            <w:vAlign w:val="center"/>
          </w:tcPr>
          <w:p w14:paraId="30F866F4" w14:textId="77777777" w:rsidR="00A56843" w:rsidRPr="00D9593D" w:rsidRDefault="00A56843" w:rsidP="00D9593D">
            <w:pPr>
              <w:spacing w:after="0" w:line="240" w:lineRule="auto"/>
              <w:jc w:val="right"/>
              <w:rPr>
                <w:color w:val="000000"/>
                <w:sz w:val="20"/>
                <w:szCs w:val="20"/>
              </w:rPr>
            </w:pPr>
            <w:r w:rsidRPr="00D9593D">
              <w:rPr>
                <w:color w:val="000000"/>
                <w:sz w:val="20"/>
                <w:szCs w:val="20"/>
              </w:rPr>
              <w:t>0.218</w:t>
            </w:r>
          </w:p>
        </w:tc>
        <w:tc>
          <w:tcPr>
            <w:tcW w:w="939" w:type="dxa"/>
            <w:vMerge w:val="restart"/>
            <w:tcBorders>
              <w:top w:val="single" w:sz="4" w:space="0" w:color="auto"/>
              <w:left w:val="nil"/>
              <w:right w:val="nil"/>
            </w:tcBorders>
            <w:noWrap/>
            <w:vAlign w:val="center"/>
          </w:tcPr>
          <w:p w14:paraId="44925D35" w14:textId="77777777" w:rsidR="00A56843" w:rsidRPr="00D9593D" w:rsidRDefault="00A56843" w:rsidP="00D9593D">
            <w:pPr>
              <w:spacing w:after="0" w:line="240" w:lineRule="auto"/>
              <w:jc w:val="right"/>
              <w:rPr>
                <w:color w:val="000000"/>
                <w:sz w:val="20"/>
                <w:szCs w:val="20"/>
              </w:rPr>
            </w:pPr>
            <w:r w:rsidRPr="00D9593D">
              <w:rPr>
                <w:color w:val="000000"/>
                <w:sz w:val="20"/>
                <w:szCs w:val="20"/>
              </w:rPr>
              <w:t>0.828</w:t>
            </w:r>
          </w:p>
        </w:tc>
        <w:tc>
          <w:tcPr>
            <w:tcW w:w="1767" w:type="dxa"/>
            <w:tcBorders>
              <w:top w:val="single" w:sz="4" w:space="0" w:color="auto"/>
              <w:left w:val="nil"/>
              <w:bottom w:val="nil"/>
              <w:right w:val="nil"/>
            </w:tcBorders>
            <w:noWrap/>
            <w:vAlign w:val="center"/>
          </w:tcPr>
          <w:p w14:paraId="3E0E876E" w14:textId="1C101F94" w:rsidR="00A56843" w:rsidRPr="00D9593D" w:rsidRDefault="00A56843" w:rsidP="00D9593D">
            <w:pPr>
              <w:spacing w:after="0" w:line="240" w:lineRule="auto"/>
              <w:jc w:val="right"/>
              <w:rPr>
                <w:color w:val="000000"/>
                <w:sz w:val="20"/>
                <w:szCs w:val="20"/>
                <w:highlight w:val="yellow"/>
              </w:rPr>
            </w:pPr>
            <w:r w:rsidRPr="00D9593D">
              <w:rPr>
                <w:color w:val="000000"/>
                <w:sz w:val="20"/>
                <w:szCs w:val="20"/>
              </w:rPr>
              <w:t>[1.715, 39.515]</w:t>
            </w:r>
          </w:p>
        </w:tc>
      </w:tr>
      <w:tr w:rsidR="00A56843" w:rsidRPr="00452304" w14:paraId="0D200254" w14:textId="77777777" w:rsidTr="00D9593D">
        <w:trPr>
          <w:trHeight w:val="320"/>
        </w:trPr>
        <w:tc>
          <w:tcPr>
            <w:tcW w:w="1094" w:type="dxa"/>
            <w:vMerge/>
            <w:tcBorders>
              <w:left w:val="nil"/>
              <w:right w:val="nil"/>
            </w:tcBorders>
          </w:tcPr>
          <w:p w14:paraId="7C08A431"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28FEDCC"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6A2B102"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7A6D63FA" w14:textId="1C1F06B3" w:rsidR="00A56843" w:rsidRPr="00D9593D" w:rsidRDefault="00A56843" w:rsidP="00D9593D">
            <w:pPr>
              <w:spacing w:after="0" w:line="240" w:lineRule="auto"/>
              <w:jc w:val="right"/>
              <w:rPr>
                <w:color w:val="000000"/>
                <w:sz w:val="20"/>
                <w:szCs w:val="20"/>
                <w:highlight w:val="yellow"/>
              </w:rPr>
            </w:pPr>
            <w:r w:rsidRPr="00D9593D">
              <w:rPr>
                <w:color w:val="000000"/>
                <w:sz w:val="20"/>
                <w:szCs w:val="20"/>
              </w:rPr>
              <w:t>21.531</w:t>
            </w:r>
          </w:p>
        </w:tc>
        <w:tc>
          <w:tcPr>
            <w:tcW w:w="972" w:type="dxa"/>
            <w:vMerge/>
            <w:tcBorders>
              <w:left w:val="nil"/>
              <w:bottom w:val="single" w:sz="4" w:space="0" w:color="auto"/>
              <w:right w:val="nil"/>
            </w:tcBorders>
            <w:noWrap/>
            <w:vAlign w:val="center"/>
          </w:tcPr>
          <w:p w14:paraId="51A16E3F" w14:textId="77777777" w:rsidR="00A56843" w:rsidRPr="00D9593D" w:rsidRDefault="00A56843" w:rsidP="00D9593D">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390F4D77" w14:textId="77777777" w:rsidR="00A56843" w:rsidRPr="00D9593D" w:rsidRDefault="00A56843" w:rsidP="00D9593D">
            <w:pPr>
              <w:spacing w:after="0" w:line="240" w:lineRule="auto"/>
              <w:jc w:val="right"/>
              <w:rPr>
                <w:color w:val="000000"/>
                <w:sz w:val="20"/>
                <w:szCs w:val="20"/>
              </w:rPr>
            </w:pPr>
          </w:p>
        </w:tc>
        <w:tc>
          <w:tcPr>
            <w:tcW w:w="1767" w:type="dxa"/>
            <w:tcBorders>
              <w:top w:val="nil"/>
              <w:left w:val="nil"/>
              <w:bottom w:val="single" w:sz="4" w:space="0" w:color="auto"/>
              <w:right w:val="nil"/>
            </w:tcBorders>
            <w:noWrap/>
            <w:vAlign w:val="center"/>
          </w:tcPr>
          <w:p w14:paraId="1B1B9B42" w14:textId="5C722435" w:rsidR="00A56843" w:rsidRPr="00D9593D" w:rsidRDefault="00A56843" w:rsidP="00D9593D">
            <w:pPr>
              <w:spacing w:after="0" w:line="240" w:lineRule="auto"/>
              <w:jc w:val="right"/>
              <w:rPr>
                <w:color w:val="000000"/>
                <w:sz w:val="20"/>
                <w:szCs w:val="20"/>
                <w:highlight w:val="yellow"/>
              </w:rPr>
            </w:pPr>
            <w:r w:rsidRPr="00D9593D">
              <w:rPr>
                <w:color w:val="000000"/>
                <w:sz w:val="20"/>
                <w:szCs w:val="20"/>
              </w:rPr>
              <w:t>[-2.664, 51.740]</w:t>
            </w:r>
          </w:p>
        </w:tc>
      </w:tr>
      <w:tr w:rsidR="00A56843" w:rsidRPr="00452304" w14:paraId="2ADE802C" w14:textId="77777777" w:rsidTr="00D9593D">
        <w:trPr>
          <w:trHeight w:val="320"/>
        </w:trPr>
        <w:tc>
          <w:tcPr>
            <w:tcW w:w="1094" w:type="dxa"/>
            <w:vMerge/>
            <w:tcBorders>
              <w:left w:val="nil"/>
              <w:right w:val="nil"/>
            </w:tcBorders>
          </w:tcPr>
          <w:p w14:paraId="200611B5"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3E20148"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3057E74C"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375114AB" w14:textId="4C578877"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34.178</w:t>
            </w:r>
          </w:p>
        </w:tc>
        <w:tc>
          <w:tcPr>
            <w:tcW w:w="972" w:type="dxa"/>
            <w:vMerge w:val="restart"/>
            <w:tcBorders>
              <w:top w:val="single" w:sz="4" w:space="0" w:color="auto"/>
              <w:left w:val="nil"/>
              <w:right w:val="nil"/>
            </w:tcBorders>
            <w:noWrap/>
            <w:vAlign w:val="center"/>
          </w:tcPr>
          <w:p w14:paraId="3C92B797" w14:textId="77777777" w:rsidR="00A56843" w:rsidRPr="00D9593D" w:rsidRDefault="00A56843" w:rsidP="00D9593D">
            <w:pPr>
              <w:spacing w:after="0" w:line="240" w:lineRule="auto"/>
              <w:jc w:val="right"/>
              <w:rPr>
                <w:b/>
                <w:bCs/>
                <w:color w:val="000000"/>
                <w:sz w:val="20"/>
                <w:szCs w:val="20"/>
              </w:rPr>
            </w:pPr>
            <w:r w:rsidRPr="00D9593D">
              <w:rPr>
                <w:b/>
                <w:bCs/>
                <w:color w:val="000000"/>
                <w:sz w:val="20"/>
                <w:szCs w:val="20"/>
              </w:rPr>
              <w:t>-4.209</w:t>
            </w:r>
          </w:p>
        </w:tc>
        <w:tc>
          <w:tcPr>
            <w:tcW w:w="939" w:type="dxa"/>
            <w:vMerge w:val="restart"/>
            <w:tcBorders>
              <w:top w:val="single" w:sz="4" w:space="0" w:color="auto"/>
              <w:left w:val="nil"/>
              <w:right w:val="nil"/>
            </w:tcBorders>
            <w:noWrap/>
            <w:vAlign w:val="center"/>
          </w:tcPr>
          <w:p w14:paraId="639A0308" w14:textId="77777777" w:rsidR="00A56843" w:rsidRPr="00D9593D" w:rsidRDefault="00A56843" w:rsidP="00D9593D">
            <w:pPr>
              <w:spacing w:after="0" w:line="240" w:lineRule="auto"/>
              <w:jc w:val="right"/>
              <w:rPr>
                <w:b/>
                <w:bCs/>
                <w:color w:val="000000"/>
                <w:sz w:val="20"/>
                <w:szCs w:val="20"/>
              </w:rPr>
            </w:pPr>
            <w:r w:rsidRPr="00D9593D">
              <w:rPr>
                <w:b/>
                <w:bCs/>
                <w:color w:val="000000"/>
                <w:sz w:val="20"/>
                <w:szCs w:val="20"/>
              </w:rPr>
              <w:t>&lt;0.001</w:t>
            </w:r>
          </w:p>
        </w:tc>
        <w:tc>
          <w:tcPr>
            <w:tcW w:w="1767" w:type="dxa"/>
            <w:tcBorders>
              <w:top w:val="single" w:sz="4" w:space="0" w:color="auto"/>
              <w:left w:val="nil"/>
              <w:bottom w:val="nil"/>
              <w:right w:val="nil"/>
            </w:tcBorders>
            <w:noWrap/>
            <w:vAlign w:val="center"/>
          </w:tcPr>
          <w:p w14:paraId="26732851" w14:textId="6393AF6D"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[27.634, 41.058]</w:t>
            </w:r>
          </w:p>
        </w:tc>
      </w:tr>
      <w:tr w:rsidR="00A56843" w:rsidRPr="00452304" w14:paraId="3C64E9F0" w14:textId="77777777" w:rsidTr="00D9593D">
        <w:trPr>
          <w:trHeight w:val="320"/>
        </w:trPr>
        <w:tc>
          <w:tcPr>
            <w:tcW w:w="1094" w:type="dxa"/>
            <w:vMerge/>
            <w:tcBorders>
              <w:left w:val="nil"/>
              <w:bottom w:val="single" w:sz="4" w:space="0" w:color="auto"/>
              <w:right w:val="nil"/>
            </w:tcBorders>
          </w:tcPr>
          <w:p w14:paraId="34E7DC2C"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DF642B3"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B69A824"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0F644220" w14:textId="0CDD8D5E"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-9.063</w:t>
            </w:r>
          </w:p>
        </w:tc>
        <w:tc>
          <w:tcPr>
            <w:tcW w:w="972" w:type="dxa"/>
            <w:vMerge/>
            <w:tcBorders>
              <w:left w:val="nil"/>
              <w:bottom w:val="single" w:sz="4" w:space="0" w:color="auto"/>
              <w:right w:val="nil"/>
            </w:tcBorders>
            <w:noWrap/>
            <w:vAlign w:val="center"/>
          </w:tcPr>
          <w:p w14:paraId="14497F53" w14:textId="77777777" w:rsidR="00A56843" w:rsidRPr="00D9593D" w:rsidRDefault="00A56843" w:rsidP="00D9593D">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62A64162" w14:textId="77777777" w:rsidR="00A56843" w:rsidRPr="00D9593D" w:rsidRDefault="00A56843" w:rsidP="00D9593D">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1F272937" w14:textId="65FAAAAA"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[-23.662, 8.220]</w:t>
            </w:r>
          </w:p>
        </w:tc>
      </w:tr>
      <w:tr w:rsidR="00D9593D" w:rsidRPr="00452304" w14:paraId="766EBF70" w14:textId="77777777" w:rsidTr="00D9593D">
        <w:trPr>
          <w:trHeight w:val="320"/>
        </w:trPr>
        <w:tc>
          <w:tcPr>
            <w:tcW w:w="1094" w:type="dxa"/>
            <w:vMerge w:val="restart"/>
            <w:tcBorders>
              <w:top w:val="single" w:sz="4" w:space="0" w:color="auto"/>
              <w:left w:val="nil"/>
              <w:right w:val="nil"/>
            </w:tcBorders>
            <w:vAlign w:val="center"/>
          </w:tcPr>
          <w:p w14:paraId="066F768E" w14:textId="77777777" w:rsidR="00D9593D" w:rsidRPr="009D19EF" w:rsidRDefault="00D9593D" w:rsidP="00D9593D">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PNUE</w:t>
            </w:r>
          </w:p>
        </w:tc>
        <w:tc>
          <w:tcPr>
            <w:tcW w:w="1178" w:type="dxa"/>
            <w:vMerge w:val="restart"/>
            <w:tcBorders>
              <w:top w:val="single" w:sz="4" w:space="0" w:color="auto"/>
              <w:left w:val="nil"/>
              <w:right w:val="nil"/>
            </w:tcBorders>
            <w:noWrap/>
            <w:vAlign w:val="center"/>
          </w:tcPr>
          <w:p w14:paraId="7D23DB4E"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63A1489A"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3D6B3328" w14:textId="4CB3FAEF" w:rsidR="00D9593D" w:rsidRPr="00A56843" w:rsidRDefault="00D9593D" w:rsidP="00D9593D">
            <w:pPr>
              <w:spacing w:after="0" w:line="240" w:lineRule="auto"/>
              <w:jc w:val="right"/>
              <w:rPr>
                <w:color w:val="000000"/>
                <w:sz w:val="20"/>
                <w:szCs w:val="20"/>
                <w:highlight w:val="yellow"/>
              </w:rPr>
            </w:pPr>
            <w:r w:rsidRPr="00A56843">
              <w:rPr>
                <w:color w:val="000000"/>
                <w:sz w:val="20"/>
                <w:szCs w:val="20"/>
              </w:rPr>
              <w:t>7.466</w:t>
            </w:r>
          </w:p>
        </w:tc>
        <w:tc>
          <w:tcPr>
            <w:tcW w:w="972" w:type="dxa"/>
            <w:vMerge w:val="restart"/>
            <w:tcBorders>
              <w:top w:val="single" w:sz="4" w:space="0" w:color="auto"/>
              <w:left w:val="nil"/>
              <w:right w:val="nil"/>
            </w:tcBorders>
            <w:noWrap/>
            <w:vAlign w:val="center"/>
          </w:tcPr>
          <w:p w14:paraId="54965EFF" w14:textId="41FAAF94"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-0.209</w:t>
            </w:r>
          </w:p>
        </w:tc>
        <w:tc>
          <w:tcPr>
            <w:tcW w:w="939" w:type="dxa"/>
            <w:vMerge w:val="restart"/>
            <w:tcBorders>
              <w:top w:val="single" w:sz="4" w:space="0" w:color="auto"/>
              <w:left w:val="nil"/>
              <w:right w:val="nil"/>
            </w:tcBorders>
            <w:noWrap/>
            <w:vAlign w:val="center"/>
          </w:tcPr>
          <w:p w14:paraId="27C731D5" w14:textId="199818E2"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0.834</w:t>
            </w:r>
          </w:p>
        </w:tc>
        <w:tc>
          <w:tcPr>
            <w:tcW w:w="1767" w:type="dxa"/>
            <w:tcBorders>
              <w:top w:val="single" w:sz="4" w:space="0" w:color="auto"/>
              <w:left w:val="nil"/>
              <w:bottom w:val="nil"/>
              <w:right w:val="nil"/>
            </w:tcBorders>
            <w:noWrap/>
            <w:vAlign w:val="center"/>
          </w:tcPr>
          <w:p w14:paraId="1FCF8003" w14:textId="31D947E2" w:rsidR="00D9593D" w:rsidRPr="00A56843" w:rsidRDefault="00D9593D" w:rsidP="00D9593D">
            <w:pPr>
              <w:spacing w:after="0" w:line="240" w:lineRule="auto"/>
              <w:jc w:val="right"/>
              <w:rPr>
                <w:color w:val="000000"/>
                <w:sz w:val="20"/>
                <w:szCs w:val="20"/>
                <w:highlight w:val="yellow"/>
              </w:rPr>
            </w:pPr>
            <w:r w:rsidRPr="00A56843">
              <w:rPr>
                <w:color w:val="000000"/>
                <w:sz w:val="20"/>
                <w:szCs w:val="20"/>
              </w:rPr>
              <w:t>[-12.015, 31.128]</w:t>
            </w:r>
          </w:p>
        </w:tc>
      </w:tr>
      <w:tr w:rsidR="00A56843" w:rsidRPr="00452304" w14:paraId="595B32B2" w14:textId="77777777" w:rsidTr="00D9593D">
        <w:trPr>
          <w:trHeight w:val="320"/>
        </w:trPr>
        <w:tc>
          <w:tcPr>
            <w:tcW w:w="1094" w:type="dxa"/>
            <w:vMerge/>
            <w:tcBorders>
              <w:left w:val="nil"/>
              <w:right w:val="nil"/>
            </w:tcBorders>
            <w:vAlign w:val="center"/>
          </w:tcPr>
          <w:p w14:paraId="11B32F6A"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22EB56C"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4F2C7BF"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20E5F096" w14:textId="53BD99C2" w:rsidR="00A56843" w:rsidRPr="00A56843" w:rsidRDefault="00A56843" w:rsidP="00D9593D">
            <w:pPr>
              <w:spacing w:after="0" w:line="240" w:lineRule="auto"/>
              <w:jc w:val="right"/>
              <w:rPr>
                <w:color w:val="000000"/>
                <w:sz w:val="20"/>
                <w:szCs w:val="20"/>
                <w:highlight w:val="yellow"/>
              </w:rPr>
            </w:pPr>
            <w:r w:rsidRPr="00A56843">
              <w:rPr>
                <w:color w:val="000000"/>
                <w:sz w:val="20"/>
                <w:szCs w:val="20"/>
              </w:rPr>
              <w:t>6.609</w:t>
            </w:r>
          </w:p>
        </w:tc>
        <w:tc>
          <w:tcPr>
            <w:tcW w:w="972" w:type="dxa"/>
            <w:vMerge/>
            <w:tcBorders>
              <w:left w:val="nil"/>
              <w:bottom w:val="single" w:sz="4" w:space="0" w:color="auto"/>
              <w:right w:val="nil"/>
            </w:tcBorders>
            <w:noWrap/>
            <w:vAlign w:val="center"/>
          </w:tcPr>
          <w:p w14:paraId="304B6A42" w14:textId="77777777" w:rsidR="00A56843" w:rsidRPr="00D9593D" w:rsidRDefault="00A56843" w:rsidP="00D9593D">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58382F8E" w14:textId="77777777" w:rsidR="00A56843" w:rsidRPr="00D9593D" w:rsidRDefault="00A56843" w:rsidP="00D9593D">
            <w:pPr>
              <w:spacing w:after="0" w:line="240" w:lineRule="auto"/>
              <w:jc w:val="right"/>
              <w:rPr>
                <w:color w:val="000000"/>
                <w:sz w:val="20"/>
                <w:szCs w:val="20"/>
                <w:highlight w:val="yellow"/>
              </w:rPr>
            </w:pPr>
          </w:p>
        </w:tc>
        <w:tc>
          <w:tcPr>
            <w:tcW w:w="1767" w:type="dxa"/>
            <w:tcBorders>
              <w:top w:val="nil"/>
              <w:left w:val="nil"/>
              <w:bottom w:val="single" w:sz="4" w:space="0" w:color="auto"/>
              <w:right w:val="nil"/>
            </w:tcBorders>
            <w:noWrap/>
            <w:vAlign w:val="center"/>
          </w:tcPr>
          <w:p w14:paraId="7E8542A8" w14:textId="37201CB9" w:rsidR="00A56843" w:rsidRPr="00A56843" w:rsidRDefault="00A56843" w:rsidP="00D9593D">
            <w:pPr>
              <w:spacing w:after="0" w:line="240" w:lineRule="auto"/>
              <w:jc w:val="right"/>
              <w:rPr>
                <w:color w:val="000000"/>
                <w:sz w:val="20"/>
                <w:szCs w:val="20"/>
                <w:highlight w:val="yellow"/>
              </w:rPr>
            </w:pPr>
            <w:r w:rsidRPr="00A56843">
              <w:rPr>
                <w:color w:val="000000"/>
                <w:sz w:val="20"/>
                <w:szCs w:val="20"/>
              </w:rPr>
              <w:t>[-13.411, 31.39</w:t>
            </w:r>
            <w:r>
              <w:rPr>
                <w:color w:val="000000"/>
                <w:sz w:val="20"/>
                <w:szCs w:val="20"/>
              </w:rPr>
              <w:t>0</w:t>
            </w:r>
            <w:r w:rsidRPr="00A56843">
              <w:rPr>
                <w:color w:val="000000"/>
                <w:sz w:val="20"/>
                <w:szCs w:val="20"/>
              </w:rPr>
              <w:t>]</w:t>
            </w:r>
          </w:p>
        </w:tc>
      </w:tr>
      <w:tr w:rsidR="00D9593D" w:rsidRPr="00452304" w14:paraId="00DA683B" w14:textId="77777777" w:rsidTr="00D9593D">
        <w:trPr>
          <w:trHeight w:val="320"/>
        </w:trPr>
        <w:tc>
          <w:tcPr>
            <w:tcW w:w="1094" w:type="dxa"/>
            <w:vMerge/>
            <w:tcBorders>
              <w:left w:val="nil"/>
              <w:right w:val="nil"/>
            </w:tcBorders>
            <w:vAlign w:val="center"/>
          </w:tcPr>
          <w:p w14:paraId="1AB4C6AF"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436F042"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6AABCECB"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5C293223" w14:textId="12BAD746"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11.963</w:t>
            </w:r>
          </w:p>
        </w:tc>
        <w:tc>
          <w:tcPr>
            <w:tcW w:w="972" w:type="dxa"/>
            <w:vMerge w:val="restart"/>
            <w:tcBorders>
              <w:top w:val="single" w:sz="4" w:space="0" w:color="auto"/>
              <w:left w:val="nil"/>
              <w:right w:val="nil"/>
            </w:tcBorders>
            <w:noWrap/>
            <w:vAlign w:val="center"/>
          </w:tcPr>
          <w:p w14:paraId="3375543D" w14:textId="1BA917E5"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8.293</w:t>
            </w:r>
          </w:p>
        </w:tc>
        <w:tc>
          <w:tcPr>
            <w:tcW w:w="939" w:type="dxa"/>
            <w:vMerge w:val="restart"/>
            <w:tcBorders>
              <w:top w:val="single" w:sz="4" w:space="0" w:color="auto"/>
              <w:left w:val="nil"/>
              <w:right w:val="nil"/>
            </w:tcBorders>
            <w:noWrap/>
            <w:vAlign w:val="center"/>
          </w:tcPr>
          <w:p w14:paraId="372D74BD" w14:textId="2C51B7A4"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&lt;0.001</w:t>
            </w:r>
          </w:p>
        </w:tc>
        <w:tc>
          <w:tcPr>
            <w:tcW w:w="1767" w:type="dxa"/>
            <w:tcBorders>
              <w:top w:val="single" w:sz="4" w:space="0" w:color="auto"/>
              <w:left w:val="nil"/>
              <w:bottom w:val="nil"/>
              <w:right w:val="nil"/>
            </w:tcBorders>
            <w:noWrap/>
            <w:vAlign w:val="center"/>
          </w:tcPr>
          <w:p w14:paraId="65E4428F" w14:textId="23FDD180"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[-11.041, 40.917]</w:t>
            </w:r>
          </w:p>
        </w:tc>
      </w:tr>
      <w:tr w:rsidR="00A56843" w:rsidRPr="00452304" w14:paraId="0B53EF4F" w14:textId="77777777" w:rsidTr="00D9593D">
        <w:trPr>
          <w:trHeight w:val="320"/>
        </w:trPr>
        <w:tc>
          <w:tcPr>
            <w:tcW w:w="1094" w:type="dxa"/>
            <w:vMerge/>
            <w:tcBorders>
              <w:left w:val="nil"/>
              <w:right w:val="nil"/>
            </w:tcBorders>
            <w:vAlign w:val="center"/>
          </w:tcPr>
          <w:p w14:paraId="55DD51B6"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6948863"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B411808"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7B43AB1E" w14:textId="73CD8212"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66.363</w:t>
            </w:r>
          </w:p>
        </w:tc>
        <w:tc>
          <w:tcPr>
            <w:tcW w:w="972" w:type="dxa"/>
            <w:vMerge/>
            <w:tcBorders>
              <w:left w:val="nil"/>
              <w:bottom w:val="single" w:sz="4" w:space="0" w:color="auto"/>
              <w:right w:val="nil"/>
            </w:tcBorders>
            <w:noWrap/>
            <w:vAlign w:val="center"/>
          </w:tcPr>
          <w:p w14:paraId="6E089149" w14:textId="77777777" w:rsidR="00A56843" w:rsidRPr="00D9593D" w:rsidRDefault="00A56843" w:rsidP="00D9593D">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59BA933B" w14:textId="77777777" w:rsidR="00A56843" w:rsidRPr="00D9593D" w:rsidRDefault="00A56843" w:rsidP="00D9593D">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65AF260F" w14:textId="46DA08F3"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[30.474, 112.336]</w:t>
            </w:r>
          </w:p>
        </w:tc>
      </w:tr>
      <w:tr w:rsidR="00D9593D" w:rsidRPr="00452304" w14:paraId="6683B654" w14:textId="77777777" w:rsidTr="00D9593D">
        <w:trPr>
          <w:trHeight w:val="320"/>
        </w:trPr>
        <w:tc>
          <w:tcPr>
            <w:tcW w:w="1094" w:type="dxa"/>
            <w:vMerge/>
            <w:tcBorders>
              <w:left w:val="nil"/>
              <w:right w:val="nil"/>
            </w:tcBorders>
            <w:vAlign w:val="center"/>
          </w:tcPr>
          <w:p w14:paraId="2E1065B8"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61B0A47"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166615BF"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655CEC98" w14:textId="639EB4CF"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22.753</w:t>
            </w:r>
          </w:p>
        </w:tc>
        <w:tc>
          <w:tcPr>
            <w:tcW w:w="972" w:type="dxa"/>
            <w:vMerge w:val="restart"/>
            <w:tcBorders>
              <w:top w:val="single" w:sz="4" w:space="0" w:color="auto"/>
              <w:left w:val="nil"/>
              <w:right w:val="nil"/>
            </w:tcBorders>
            <w:noWrap/>
            <w:vAlign w:val="center"/>
          </w:tcPr>
          <w:p w14:paraId="38ED6381" w14:textId="73A57EC6"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-5.056</w:t>
            </w:r>
          </w:p>
        </w:tc>
        <w:tc>
          <w:tcPr>
            <w:tcW w:w="939" w:type="dxa"/>
            <w:vMerge w:val="restart"/>
            <w:tcBorders>
              <w:top w:val="single" w:sz="4" w:space="0" w:color="auto"/>
              <w:left w:val="nil"/>
              <w:right w:val="nil"/>
            </w:tcBorders>
            <w:noWrap/>
            <w:vAlign w:val="center"/>
          </w:tcPr>
          <w:p w14:paraId="060F0F01" w14:textId="4BF67530"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&lt;0.001</w:t>
            </w:r>
          </w:p>
        </w:tc>
        <w:tc>
          <w:tcPr>
            <w:tcW w:w="1767" w:type="dxa"/>
            <w:tcBorders>
              <w:top w:val="single" w:sz="4" w:space="0" w:color="auto"/>
              <w:left w:val="nil"/>
              <w:bottom w:val="nil"/>
              <w:right w:val="nil"/>
            </w:tcBorders>
            <w:noWrap/>
            <w:vAlign w:val="center"/>
          </w:tcPr>
          <w:p w14:paraId="0ABF4340" w14:textId="5F0FF695"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[-13.498, 74.368]</w:t>
            </w:r>
          </w:p>
        </w:tc>
      </w:tr>
      <w:tr w:rsidR="00A56843" w:rsidRPr="00452304" w14:paraId="5103AEB2" w14:textId="77777777" w:rsidTr="00D9593D">
        <w:trPr>
          <w:trHeight w:val="320"/>
        </w:trPr>
        <w:tc>
          <w:tcPr>
            <w:tcW w:w="1094" w:type="dxa"/>
            <w:vMerge/>
            <w:tcBorders>
              <w:left w:val="nil"/>
              <w:bottom w:val="single" w:sz="4" w:space="0" w:color="auto"/>
              <w:right w:val="nil"/>
            </w:tcBorders>
            <w:vAlign w:val="center"/>
          </w:tcPr>
          <w:p w14:paraId="65F6AAAD"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2FE99D8"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C60DBFF"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6AE48805" w14:textId="5F96E2C9"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-6.200</w:t>
            </w:r>
          </w:p>
        </w:tc>
        <w:tc>
          <w:tcPr>
            <w:tcW w:w="972" w:type="dxa"/>
            <w:vMerge/>
            <w:tcBorders>
              <w:left w:val="nil"/>
              <w:bottom w:val="single" w:sz="4" w:space="0" w:color="auto"/>
              <w:right w:val="nil"/>
            </w:tcBorders>
            <w:noWrap/>
            <w:vAlign w:val="center"/>
          </w:tcPr>
          <w:p w14:paraId="5C432578" w14:textId="77777777" w:rsidR="00A56843" w:rsidRPr="00D9593D" w:rsidRDefault="00A56843" w:rsidP="00D9593D">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17015DF7" w14:textId="77777777" w:rsidR="00A56843" w:rsidRPr="00D9593D" w:rsidRDefault="00A56843" w:rsidP="00D9593D">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2A7E7964" w14:textId="29FACAA8"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[-34.754, 34.851]</w:t>
            </w:r>
          </w:p>
        </w:tc>
      </w:tr>
      <w:tr w:rsidR="00D9593D" w:rsidRPr="00452304" w14:paraId="337A7163" w14:textId="77777777" w:rsidTr="00D9593D">
        <w:trPr>
          <w:trHeight w:val="320"/>
        </w:trPr>
        <w:tc>
          <w:tcPr>
            <w:tcW w:w="1094" w:type="dxa"/>
            <w:vMerge w:val="restart"/>
            <w:tcBorders>
              <w:top w:val="single" w:sz="4" w:space="0" w:color="auto"/>
              <w:left w:val="nil"/>
              <w:right w:val="nil"/>
            </w:tcBorders>
            <w:vAlign w:val="center"/>
          </w:tcPr>
          <w:p w14:paraId="1551B371" w14:textId="77777777" w:rsidR="00D9593D" w:rsidRPr="009D19EF"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PPUE</w:t>
            </w:r>
          </w:p>
        </w:tc>
        <w:tc>
          <w:tcPr>
            <w:tcW w:w="1178" w:type="dxa"/>
            <w:vMerge w:val="restart"/>
            <w:tcBorders>
              <w:top w:val="single" w:sz="4" w:space="0" w:color="auto"/>
              <w:left w:val="nil"/>
              <w:right w:val="nil"/>
            </w:tcBorders>
            <w:noWrap/>
            <w:vAlign w:val="center"/>
          </w:tcPr>
          <w:p w14:paraId="7A5DA22E"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7523BE63"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774BC995" w14:textId="58697594"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33.643</w:t>
            </w:r>
          </w:p>
        </w:tc>
        <w:tc>
          <w:tcPr>
            <w:tcW w:w="972" w:type="dxa"/>
            <w:vMerge w:val="restart"/>
            <w:tcBorders>
              <w:top w:val="single" w:sz="4" w:space="0" w:color="auto"/>
              <w:left w:val="nil"/>
              <w:right w:val="nil"/>
            </w:tcBorders>
            <w:noWrap/>
            <w:vAlign w:val="center"/>
          </w:tcPr>
          <w:p w14:paraId="31814F71" w14:textId="7FB2BA75"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-7.223</w:t>
            </w:r>
          </w:p>
        </w:tc>
        <w:tc>
          <w:tcPr>
            <w:tcW w:w="939" w:type="dxa"/>
            <w:vMerge w:val="restart"/>
            <w:tcBorders>
              <w:top w:val="single" w:sz="4" w:space="0" w:color="auto"/>
              <w:left w:val="nil"/>
              <w:right w:val="nil"/>
            </w:tcBorders>
            <w:noWrap/>
            <w:vAlign w:val="center"/>
          </w:tcPr>
          <w:p w14:paraId="48D174B2" w14:textId="77DF1CE6"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&lt;0.001</w:t>
            </w:r>
          </w:p>
        </w:tc>
        <w:tc>
          <w:tcPr>
            <w:tcW w:w="1767" w:type="dxa"/>
            <w:tcBorders>
              <w:top w:val="single" w:sz="4" w:space="0" w:color="auto"/>
              <w:left w:val="nil"/>
              <w:bottom w:val="nil"/>
              <w:right w:val="nil"/>
            </w:tcBorders>
            <w:noWrap/>
            <w:vAlign w:val="center"/>
          </w:tcPr>
          <w:p w14:paraId="2676B7EB" w14:textId="4AA500E5"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[0.300, 78.069]</w:t>
            </w:r>
          </w:p>
        </w:tc>
      </w:tr>
      <w:tr w:rsidR="00A56843" w:rsidRPr="00452304" w14:paraId="33AD69AC" w14:textId="77777777" w:rsidTr="00D9593D">
        <w:trPr>
          <w:trHeight w:val="320"/>
        </w:trPr>
        <w:tc>
          <w:tcPr>
            <w:tcW w:w="1094" w:type="dxa"/>
            <w:vMerge/>
            <w:tcBorders>
              <w:left w:val="nil"/>
              <w:right w:val="nil"/>
            </w:tcBorders>
          </w:tcPr>
          <w:p w14:paraId="7B5CB396"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E626C6B"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0E60024"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62A0328D" w14:textId="3C998286"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-24.346</w:t>
            </w:r>
          </w:p>
        </w:tc>
        <w:tc>
          <w:tcPr>
            <w:tcW w:w="972" w:type="dxa"/>
            <w:vMerge/>
            <w:tcBorders>
              <w:left w:val="nil"/>
              <w:bottom w:val="single" w:sz="4" w:space="0" w:color="auto"/>
              <w:right w:val="nil"/>
            </w:tcBorders>
            <w:noWrap/>
            <w:vAlign w:val="center"/>
          </w:tcPr>
          <w:p w14:paraId="36C04462" w14:textId="77777777" w:rsidR="00A56843" w:rsidRPr="00D9593D" w:rsidRDefault="00A56843" w:rsidP="00D9593D">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090C326E" w14:textId="77777777" w:rsidR="00A56843" w:rsidRPr="00D9593D" w:rsidRDefault="00A56843" w:rsidP="00D9593D">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33F75CBC" w14:textId="0AB8DF3B"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[-44.899, 3.873]</w:t>
            </w:r>
          </w:p>
        </w:tc>
      </w:tr>
      <w:tr w:rsidR="00D9593D" w:rsidRPr="00452304" w14:paraId="7096A548" w14:textId="77777777" w:rsidTr="00D9593D">
        <w:trPr>
          <w:trHeight w:val="320"/>
        </w:trPr>
        <w:tc>
          <w:tcPr>
            <w:tcW w:w="1094" w:type="dxa"/>
            <w:vMerge/>
            <w:tcBorders>
              <w:left w:val="nil"/>
              <w:right w:val="nil"/>
            </w:tcBorders>
          </w:tcPr>
          <w:p w14:paraId="1EBBA901"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04F43B6"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BE56760"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4ABB8193" w14:textId="3DF84A00" w:rsidR="00D9593D" w:rsidRPr="00D9593D" w:rsidRDefault="00D9593D" w:rsidP="00D9593D">
            <w:pPr>
              <w:spacing w:after="0" w:line="240" w:lineRule="auto"/>
              <w:jc w:val="right"/>
              <w:rPr>
                <w:i/>
                <w:iCs/>
                <w:color w:val="000000"/>
                <w:sz w:val="20"/>
                <w:szCs w:val="20"/>
                <w:highlight w:val="yellow"/>
              </w:rPr>
            </w:pPr>
            <w:r w:rsidRPr="00D9593D">
              <w:rPr>
                <w:i/>
                <w:iCs/>
                <w:color w:val="000000"/>
                <w:sz w:val="20"/>
                <w:szCs w:val="20"/>
              </w:rPr>
              <w:t>-19.587</w:t>
            </w:r>
          </w:p>
        </w:tc>
        <w:tc>
          <w:tcPr>
            <w:tcW w:w="972" w:type="dxa"/>
            <w:vMerge w:val="restart"/>
            <w:tcBorders>
              <w:top w:val="single" w:sz="4" w:space="0" w:color="auto"/>
              <w:left w:val="nil"/>
              <w:right w:val="nil"/>
            </w:tcBorders>
            <w:noWrap/>
            <w:vAlign w:val="center"/>
          </w:tcPr>
          <w:p w14:paraId="1666CAFB" w14:textId="74E1D08F" w:rsidR="00D9593D" w:rsidRPr="00D9593D" w:rsidRDefault="00D9593D" w:rsidP="00D9593D">
            <w:pPr>
              <w:spacing w:after="0" w:line="240" w:lineRule="auto"/>
              <w:jc w:val="right"/>
              <w:rPr>
                <w:i/>
                <w:iCs/>
                <w:color w:val="000000"/>
                <w:sz w:val="20"/>
                <w:szCs w:val="20"/>
                <w:highlight w:val="yellow"/>
              </w:rPr>
            </w:pPr>
            <w:r w:rsidRPr="00D9593D">
              <w:rPr>
                <w:i/>
                <w:iCs/>
                <w:color w:val="000000"/>
                <w:sz w:val="20"/>
                <w:szCs w:val="20"/>
              </w:rPr>
              <w:t>1.825</w:t>
            </w:r>
          </w:p>
        </w:tc>
        <w:tc>
          <w:tcPr>
            <w:tcW w:w="939" w:type="dxa"/>
            <w:vMerge w:val="restart"/>
            <w:tcBorders>
              <w:top w:val="single" w:sz="4" w:space="0" w:color="auto"/>
              <w:left w:val="nil"/>
              <w:right w:val="nil"/>
            </w:tcBorders>
            <w:noWrap/>
            <w:vAlign w:val="center"/>
          </w:tcPr>
          <w:p w14:paraId="0085CC37" w14:textId="3A8C208B" w:rsidR="00D9593D" w:rsidRPr="00D9593D" w:rsidRDefault="00D9593D" w:rsidP="00D9593D">
            <w:pPr>
              <w:spacing w:after="0" w:line="240" w:lineRule="auto"/>
              <w:jc w:val="right"/>
              <w:rPr>
                <w:i/>
                <w:iCs/>
                <w:color w:val="000000"/>
                <w:sz w:val="20"/>
                <w:szCs w:val="20"/>
                <w:highlight w:val="yellow"/>
              </w:rPr>
            </w:pPr>
            <w:r w:rsidRPr="00D9593D">
              <w:rPr>
                <w:i/>
                <w:iCs/>
                <w:color w:val="000000"/>
                <w:sz w:val="20"/>
                <w:szCs w:val="20"/>
              </w:rPr>
              <w:t>0.068</w:t>
            </w:r>
          </w:p>
        </w:tc>
        <w:tc>
          <w:tcPr>
            <w:tcW w:w="1767" w:type="dxa"/>
            <w:tcBorders>
              <w:top w:val="single" w:sz="4" w:space="0" w:color="auto"/>
              <w:left w:val="nil"/>
              <w:bottom w:val="nil"/>
              <w:right w:val="nil"/>
            </w:tcBorders>
            <w:noWrap/>
            <w:vAlign w:val="center"/>
          </w:tcPr>
          <w:p w14:paraId="27F802F8" w14:textId="6F489E4B" w:rsidR="00D9593D" w:rsidRPr="00D9593D" w:rsidRDefault="00D9593D" w:rsidP="00D9593D">
            <w:pPr>
              <w:spacing w:after="0" w:line="240" w:lineRule="auto"/>
              <w:jc w:val="right"/>
              <w:rPr>
                <w:i/>
                <w:iCs/>
                <w:color w:val="000000"/>
                <w:sz w:val="20"/>
                <w:szCs w:val="20"/>
                <w:highlight w:val="yellow"/>
              </w:rPr>
            </w:pPr>
            <w:r w:rsidRPr="00D9593D">
              <w:rPr>
                <w:i/>
                <w:iCs/>
                <w:color w:val="000000"/>
                <w:sz w:val="20"/>
                <w:szCs w:val="20"/>
              </w:rPr>
              <w:t>[-41.667, 10.738]</w:t>
            </w:r>
          </w:p>
        </w:tc>
      </w:tr>
      <w:tr w:rsidR="00A56843" w:rsidRPr="00452304" w14:paraId="1E75AC25" w14:textId="77777777" w:rsidTr="00D9593D">
        <w:trPr>
          <w:trHeight w:val="320"/>
        </w:trPr>
        <w:tc>
          <w:tcPr>
            <w:tcW w:w="1094" w:type="dxa"/>
            <w:vMerge/>
            <w:tcBorders>
              <w:left w:val="nil"/>
              <w:right w:val="nil"/>
            </w:tcBorders>
          </w:tcPr>
          <w:p w14:paraId="5E4FA18B"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FF5469C"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FA2A4D6"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4D9AA199" w14:textId="050388E0" w:rsidR="00A56843" w:rsidRPr="00D9593D" w:rsidRDefault="00A56843" w:rsidP="00D9593D">
            <w:pPr>
              <w:spacing w:after="0" w:line="240" w:lineRule="auto"/>
              <w:jc w:val="right"/>
              <w:rPr>
                <w:i/>
                <w:iCs/>
                <w:color w:val="000000"/>
                <w:sz w:val="20"/>
                <w:szCs w:val="20"/>
                <w:highlight w:val="yellow"/>
              </w:rPr>
            </w:pPr>
            <w:r w:rsidRPr="00D9593D">
              <w:rPr>
                <w:i/>
                <w:iCs/>
                <w:color w:val="000000"/>
                <w:sz w:val="20"/>
                <w:szCs w:val="20"/>
              </w:rPr>
              <w:t>-3.052</w:t>
            </w:r>
          </w:p>
        </w:tc>
        <w:tc>
          <w:tcPr>
            <w:tcW w:w="972" w:type="dxa"/>
            <w:vMerge/>
            <w:tcBorders>
              <w:left w:val="nil"/>
              <w:bottom w:val="single" w:sz="4" w:space="0" w:color="auto"/>
              <w:right w:val="nil"/>
            </w:tcBorders>
            <w:noWrap/>
            <w:vAlign w:val="center"/>
          </w:tcPr>
          <w:p w14:paraId="40364E29" w14:textId="77777777" w:rsidR="00A56843" w:rsidRPr="00D9593D" w:rsidRDefault="00A56843" w:rsidP="00D9593D">
            <w:pPr>
              <w:spacing w:after="0" w:line="240" w:lineRule="auto"/>
              <w:jc w:val="right"/>
              <w:rPr>
                <w:i/>
                <w:iCs/>
                <w:color w:val="000000"/>
                <w:sz w:val="20"/>
                <w:szCs w:val="20"/>
                <w:highlight w:val="yellow"/>
              </w:rPr>
            </w:pPr>
          </w:p>
        </w:tc>
        <w:tc>
          <w:tcPr>
            <w:tcW w:w="939" w:type="dxa"/>
            <w:vMerge/>
            <w:tcBorders>
              <w:left w:val="nil"/>
              <w:bottom w:val="single" w:sz="4" w:space="0" w:color="auto"/>
              <w:right w:val="nil"/>
            </w:tcBorders>
            <w:noWrap/>
            <w:vAlign w:val="center"/>
          </w:tcPr>
          <w:p w14:paraId="7E616417" w14:textId="77777777" w:rsidR="00A56843" w:rsidRPr="00D9593D" w:rsidRDefault="00A56843" w:rsidP="00D9593D">
            <w:pPr>
              <w:spacing w:after="0" w:line="240" w:lineRule="auto"/>
              <w:jc w:val="right"/>
              <w:rPr>
                <w:i/>
                <w:iCs/>
                <w:color w:val="000000"/>
                <w:sz w:val="20"/>
                <w:szCs w:val="20"/>
                <w:highlight w:val="yellow"/>
              </w:rPr>
            </w:pPr>
          </w:p>
        </w:tc>
        <w:tc>
          <w:tcPr>
            <w:tcW w:w="1767" w:type="dxa"/>
            <w:tcBorders>
              <w:top w:val="nil"/>
              <w:left w:val="nil"/>
              <w:bottom w:val="single" w:sz="4" w:space="0" w:color="auto"/>
              <w:right w:val="nil"/>
            </w:tcBorders>
            <w:noWrap/>
            <w:vAlign w:val="center"/>
          </w:tcPr>
          <w:p w14:paraId="7949C774" w14:textId="69E0CD51" w:rsidR="00A56843" w:rsidRPr="00D9593D" w:rsidRDefault="00A56843" w:rsidP="00D9593D">
            <w:pPr>
              <w:spacing w:after="0" w:line="240" w:lineRule="auto"/>
              <w:jc w:val="right"/>
              <w:rPr>
                <w:i/>
                <w:iCs/>
                <w:color w:val="000000"/>
                <w:sz w:val="20"/>
                <w:szCs w:val="20"/>
                <w:highlight w:val="yellow"/>
              </w:rPr>
            </w:pPr>
            <w:r w:rsidRPr="00D9593D">
              <w:rPr>
                <w:i/>
                <w:iCs/>
                <w:color w:val="000000"/>
                <w:sz w:val="20"/>
                <w:szCs w:val="20"/>
              </w:rPr>
              <w:t>[-32.699, 39.794]</w:t>
            </w:r>
          </w:p>
        </w:tc>
      </w:tr>
      <w:tr w:rsidR="00D9593D" w:rsidRPr="00452304" w14:paraId="112858EE" w14:textId="77777777" w:rsidTr="00D9593D">
        <w:trPr>
          <w:trHeight w:val="320"/>
        </w:trPr>
        <w:tc>
          <w:tcPr>
            <w:tcW w:w="1094" w:type="dxa"/>
            <w:vMerge/>
            <w:tcBorders>
              <w:left w:val="nil"/>
              <w:right w:val="nil"/>
            </w:tcBorders>
          </w:tcPr>
          <w:p w14:paraId="2359DCC9"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977E096"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16EFC4F8"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076415D8" w14:textId="5AFA479C"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4.498</w:t>
            </w:r>
          </w:p>
        </w:tc>
        <w:tc>
          <w:tcPr>
            <w:tcW w:w="972" w:type="dxa"/>
            <w:vMerge w:val="restart"/>
            <w:tcBorders>
              <w:top w:val="single" w:sz="4" w:space="0" w:color="auto"/>
              <w:left w:val="nil"/>
              <w:right w:val="nil"/>
            </w:tcBorders>
            <w:noWrap/>
            <w:vAlign w:val="center"/>
          </w:tcPr>
          <w:p w14:paraId="25A6B857" w14:textId="0DDEE8C5"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-6.616</w:t>
            </w:r>
          </w:p>
        </w:tc>
        <w:tc>
          <w:tcPr>
            <w:tcW w:w="939" w:type="dxa"/>
            <w:vMerge w:val="restart"/>
            <w:tcBorders>
              <w:top w:val="single" w:sz="4" w:space="0" w:color="auto"/>
              <w:left w:val="nil"/>
              <w:right w:val="nil"/>
            </w:tcBorders>
            <w:noWrap/>
            <w:vAlign w:val="center"/>
          </w:tcPr>
          <w:p w14:paraId="07FAB647" w14:textId="4997C6A5"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&lt;0.001</w:t>
            </w:r>
          </w:p>
        </w:tc>
        <w:tc>
          <w:tcPr>
            <w:tcW w:w="1767" w:type="dxa"/>
            <w:tcBorders>
              <w:top w:val="single" w:sz="4" w:space="0" w:color="auto"/>
              <w:left w:val="nil"/>
              <w:bottom w:val="nil"/>
              <w:right w:val="nil"/>
            </w:tcBorders>
            <w:noWrap/>
            <w:vAlign w:val="center"/>
          </w:tcPr>
          <w:p w14:paraId="382F7F03" w14:textId="1EFD8DBD"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[-26.288, 48.290]</w:t>
            </w:r>
          </w:p>
        </w:tc>
      </w:tr>
      <w:tr w:rsidR="00A56843" w:rsidRPr="00452304" w14:paraId="5B40652B" w14:textId="77777777" w:rsidTr="00D9593D">
        <w:trPr>
          <w:trHeight w:val="320"/>
        </w:trPr>
        <w:tc>
          <w:tcPr>
            <w:tcW w:w="1094" w:type="dxa"/>
            <w:vMerge/>
            <w:tcBorders>
              <w:left w:val="nil"/>
              <w:bottom w:val="single" w:sz="4" w:space="0" w:color="auto"/>
              <w:right w:val="nil"/>
            </w:tcBorders>
          </w:tcPr>
          <w:p w14:paraId="53E856D6"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358284F"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80F2D00"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393E2BB9" w14:textId="763F3DC6"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-39.770</w:t>
            </w:r>
          </w:p>
        </w:tc>
        <w:tc>
          <w:tcPr>
            <w:tcW w:w="972" w:type="dxa"/>
            <w:vMerge/>
            <w:tcBorders>
              <w:left w:val="nil"/>
              <w:bottom w:val="single" w:sz="4" w:space="0" w:color="auto"/>
              <w:right w:val="nil"/>
            </w:tcBorders>
            <w:noWrap/>
            <w:vAlign w:val="center"/>
          </w:tcPr>
          <w:p w14:paraId="21202011" w14:textId="77777777" w:rsidR="00A56843" w:rsidRPr="00D9593D" w:rsidRDefault="00A56843" w:rsidP="00D9593D">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687AE711" w14:textId="77777777" w:rsidR="00A56843" w:rsidRPr="00D9593D" w:rsidRDefault="00A56843" w:rsidP="00D9593D">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4DFF6E89" w14:textId="09370669" w:rsidR="00A56843" w:rsidRPr="00D9593D" w:rsidRDefault="00A56843" w:rsidP="00D9593D">
            <w:pPr>
              <w:spacing w:after="0" w:line="240" w:lineRule="auto"/>
              <w:jc w:val="right"/>
              <w:rPr>
                <w:b/>
                <w:bCs/>
                <w:color w:val="000000"/>
                <w:sz w:val="20"/>
                <w:szCs w:val="20"/>
                <w:highlight w:val="yellow"/>
              </w:rPr>
            </w:pPr>
            <w:r w:rsidRPr="00D9593D">
              <w:rPr>
                <w:b/>
                <w:bCs/>
                <w:color w:val="000000"/>
                <w:sz w:val="20"/>
                <w:szCs w:val="20"/>
              </w:rPr>
              <w:t>[-58.687, -12.190]</w:t>
            </w:r>
          </w:p>
        </w:tc>
      </w:tr>
    </w:tbl>
    <w:p w14:paraId="507615EF" w14:textId="332A0FBD" w:rsidR="00EA2123" w:rsidRDefault="001A23CA" w:rsidP="00EA2123">
      <w:pPr>
        <w:rPr>
          <w:iCs/>
        </w:rPr>
      </w:pPr>
      <w:r>
        <w:rPr>
          <w:vertAlign w:val="superscript"/>
        </w:rPr>
        <w:t>*</w:t>
      </w:r>
      <w:r>
        <w:t>Significant effects noted in bold font.</w:t>
      </w:r>
      <w:r w:rsidRPr="001A23CA">
        <w:t xml:space="preserve"> </w:t>
      </w:r>
      <w:r>
        <w:t>Model coefficients and 95% confidence interval ranges have been transformed to percent change to mimic figures. Key:</w:t>
      </w:r>
    </w:p>
    <w:p w14:paraId="5D346091" w14:textId="77777777" w:rsidR="00EA2123" w:rsidRDefault="00EA2123" w:rsidP="00EA2123">
      <w:pPr>
        <w:rPr>
          <w:iCs/>
        </w:rPr>
      </w:pPr>
      <w:r>
        <w:rPr>
          <w:iCs/>
        </w:rPr>
        <w:br w:type="page"/>
      </w:r>
    </w:p>
    <w:p w14:paraId="78E0BAA1" w14:textId="306DCDD4" w:rsidR="00EA2123" w:rsidRDefault="00EA2123" w:rsidP="00EA2123">
      <w:pPr>
        <w:rPr>
          <w:iCs/>
        </w:rPr>
      </w:pPr>
      <w:r>
        <w:rPr>
          <w:b/>
          <w:bCs/>
          <w:iCs/>
        </w:rPr>
        <w:lastRenderedPageBreak/>
        <w:t>Table S1</w:t>
      </w:r>
      <w:r w:rsidR="00D52EF1">
        <w:rPr>
          <w:b/>
          <w:bCs/>
          <w:iCs/>
        </w:rPr>
        <w:t>2</w:t>
      </w:r>
      <w:r>
        <w:rPr>
          <w:iCs/>
        </w:rPr>
        <w:t xml:space="preserve"> Mycorrhizal acquisition strategy moderator effects on leaf nutrient responses to nutrient addition</w:t>
      </w:r>
    </w:p>
    <w:tbl>
      <w:tblPr>
        <w:tblW w:w="8100" w:type="dxa"/>
        <w:tblLook w:val="04A0" w:firstRow="1" w:lastRow="0" w:firstColumn="1" w:lastColumn="0" w:noHBand="0" w:noVBand="1"/>
      </w:tblPr>
      <w:tblGrid>
        <w:gridCol w:w="1094"/>
        <w:gridCol w:w="1178"/>
        <w:gridCol w:w="1227"/>
        <w:gridCol w:w="833"/>
        <w:gridCol w:w="972"/>
        <w:gridCol w:w="939"/>
        <w:gridCol w:w="1857"/>
      </w:tblGrid>
      <w:tr w:rsidR="00EA2123" w:rsidRPr="00452304" w14:paraId="6EA63FDC" w14:textId="77777777" w:rsidTr="00D9593D">
        <w:trPr>
          <w:trHeight w:val="320"/>
        </w:trPr>
        <w:tc>
          <w:tcPr>
            <w:tcW w:w="1094" w:type="dxa"/>
            <w:tcBorders>
              <w:top w:val="single" w:sz="4" w:space="0" w:color="auto"/>
              <w:left w:val="nil"/>
              <w:bottom w:val="single" w:sz="4" w:space="0" w:color="auto"/>
              <w:right w:val="nil"/>
            </w:tcBorders>
            <w:vAlign w:val="center"/>
          </w:tcPr>
          <w:p w14:paraId="6064AF5B" w14:textId="77777777" w:rsidR="00EA2123" w:rsidRPr="008825E3" w:rsidRDefault="00EA2123" w:rsidP="006127B4">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11A817B1" w14:textId="77777777" w:rsidR="00EA2123" w:rsidRPr="00452304" w:rsidRDefault="00EA2123" w:rsidP="006127B4">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78A1AEC6" w14:textId="77777777" w:rsidR="00EA2123" w:rsidRPr="00452304" w:rsidRDefault="00EA2123" w:rsidP="006127B4">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833" w:type="dxa"/>
            <w:tcBorders>
              <w:top w:val="single" w:sz="4" w:space="0" w:color="auto"/>
              <w:left w:val="nil"/>
              <w:bottom w:val="single" w:sz="4" w:space="0" w:color="auto"/>
              <w:right w:val="nil"/>
            </w:tcBorders>
            <w:noWrap/>
            <w:vAlign w:val="center"/>
            <w:hideMark/>
          </w:tcPr>
          <w:p w14:paraId="6DBADB16" w14:textId="77777777" w:rsidR="00EA2123" w:rsidRPr="00452304" w:rsidRDefault="00EA2123" w:rsidP="006127B4">
            <w:pPr>
              <w:spacing w:after="0" w:line="240" w:lineRule="auto"/>
              <w:rPr>
                <w:b/>
                <w:bCs/>
                <w:sz w:val="20"/>
                <w:szCs w:val="20"/>
              </w:rPr>
            </w:pPr>
            <w:r w:rsidRPr="008825E3">
              <w:rPr>
                <w:b/>
                <w:bCs/>
                <w:sz w:val="20"/>
                <w:szCs w:val="20"/>
              </w:rPr>
              <w:t>Coef</w:t>
            </w:r>
            <w:r>
              <w:rPr>
                <w:b/>
                <w:bCs/>
                <w:sz w:val="20"/>
                <w:szCs w:val="20"/>
              </w:rPr>
              <w:t>.</w:t>
            </w:r>
          </w:p>
        </w:tc>
        <w:tc>
          <w:tcPr>
            <w:tcW w:w="972" w:type="dxa"/>
            <w:tcBorders>
              <w:top w:val="single" w:sz="4" w:space="0" w:color="auto"/>
              <w:left w:val="nil"/>
              <w:bottom w:val="single" w:sz="4" w:space="0" w:color="auto"/>
              <w:right w:val="nil"/>
            </w:tcBorders>
            <w:noWrap/>
            <w:vAlign w:val="center"/>
            <w:hideMark/>
          </w:tcPr>
          <w:p w14:paraId="3473D042" w14:textId="77777777" w:rsidR="00EA2123" w:rsidRPr="00452304" w:rsidRDefault="00EA2123" w:rsidP="006127B4">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5A0931CB" w14:textId="77777777" w:rsidR="00EA2123" w:rsidRPr="00452304" w:rsidRDefault="00EA2123" w:rsidP="006127B4">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857" w:type="dxa"/>
            <w:tcBorders>
              <w:top w:val="single" w:sz="4" w:space="0" w:color="auto"/>
              <w:left w:val="nil"/>
              <w:bottom w:val="single" w:sz="4" w:space="0" w:color="auto"/>
              <w:right w:val="nil"/>
            </w:tcBorders>
            <w:noWrap/>
            <w:vAlign w:val="center"/>
            <w:hideMark/>
          </w:tcPr>
          <w:p w14:paraId="2DC80CF8" w14:textId="77777777" w:rsidR="00EA2123" w:rsidRPr="00452304" w:rsidRDefault="00EA2123" w:rsidP="006127B4">
            <w:pPr>
              <w:spacing w:after="0" w:line="240" w:lineRule="auto"/>
              <w:rPr>
                <w:b/>
                <w:bCs/>
                <w:sz w:val="20"/>
                <w:szCs w:val="20"/>
              </w:rPr>
            </w:pPr>
            <w:r w:rsidRPr="008825E3">
              <w:rPr>
                <w:b/>
                <w:bCs/>
                <w:sz w:val="20"/>
                <w:szCs w:val="20"/>
              </w:rPr>
              <w:t>95% CI</w:t>
            </w:r>
          </w:p>
        </w:tc>
      </w:tr>
      <w:tr w:rsidR="00D9593D" w:rsidRPr="00452304" w14:paraId="446CAA8A" w14:textId="77777777" w:rsidTr="00D9593D">
        <w:trPr>
          <w:trHeight w:val="320"/>
        </w:trPr>
        <w:tc>
          <w:tcPr>
            <w:tcW w:w="1094" w:type="dxa"/>
            <w:vMerge w:val="restart"/>
            <w:tcBorders>
              <w:top w:val="single" w:sz="4" w:space="0" w:color="auto"/>
              <w:left w:val="nil"/>
              <w:right w:val="nil"/>
            </w:tcBorders>
            <w:vAlign w:val="center"/>
          </w:tcPr>
          <w:p w14:paraId="7AECDCD8" w14:textId="77777777" w:rsidR="00D9593D" w:rsidRPr="008A48CF" w:rsidRDefault="00D9593D" w:rsidP="00D9593D">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A</w:t>
            </w:r>
            <w:r>
              <w:rPr>
                <w:rFonts w:eastAsia="Times New Roman"/>
                <w:color w:val="000000"/>
                <w:kern w:val="0"/>
                <w:sz w:val="20"/>
                <w:szCs w:val="20"/>
                <w:vertAlign w:val="subscript"/>
                <w14:ligatures w14:val="none"/>
              </w:rPr>
              <w:t>sat</w:t>
            </w:r>
          </w:p>
        </w:tc>
        <w:tc>
          <w:tcPr>
            <w:tcW w:w="1178" w:type="dxa"/>
            <w:vMerge w:val="restart"/>
            <w:tcBorders>
              <w:top w:val="single" w:sz="4" w:space="0" w:color="auto"/>
              <w:left w:val="nil"/>
              <w:right w:val="nil"/>
            </w:tcBorders>
            <w:noWrap/>
            <w:vAlign w:val="center"/>
            <w:hideMark/>
          </w:tcPr>
          <w:p w14:paraId="6BE14952" w14:textId="77777777" w:rsidR="00D9593D" w:rsidRPr="00452304" w:rsidRDefault="00D9593D" w:rsidP="00D9593D">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3CC6BC8F" w14:textId="77777777" w:rsidR="00D9593D" w:rsidRPr="00452304" w:rsidRDefault="00D9593D" w:rsidP="00D9593D">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2F3C97D6" w14:textId="430EEF83" w:rsidR="00D9593D" w:rsidRPr="00D9593D" w:rsidRDefault="00D9593D" w:rsidP="00D9593D">
            <w:pPr>
              <w:spacing w:after="0" w:line="240" w:lineRule="auto"/>
              <w:jc w:val="right"/>
              <w:rPr>
                <w:rFonts w:eastAsia="Times New Roman"/>
                <w:b/>
                <w:bCs/>
                <w:color w:val="000000"/>
                <w:kern w:val="0"/>
                <w:sz w:val="20"/>
                <w:szCs w:val="20"/>
                <w:highlight w:val="yellow"/>
                <w14:ligatures w14:val="none"/>
              </w:rPr>
            </w:pPr>
            <w:r w:rsidRPr="00D9593D">
              <w:rPr>
                <w:b/>
                <w:bCs/>
                <w:color w:val="000000"/>
                <w:sz w:val="20"/>
                <w:szCs w:val="20"/>
              </w:rPr>
              <w:t>-12.366</w:t>
            </w:r>
          </w:p>
        </w:tc>
        <w:tc>
          <w:tcPr>
            <w:tcW w:w="972" w:type="dxa"/>
            <w:vMerge w:val="restart"/>
            <w:tcBorders>
              <w:top w:val="single" w:sz="4" w:space="0" w:color="auto"/>
              <w:left w:val="nil"/>
              <w:right w:val="nil"/>
            </w:tcBorders>
            <w:noWrap/>
            <w:vAlign w:val="center"/>
          </w:tcPr>
          <w:p w14:paraId="4299B712" w14:textId="7076F068" w:rsidR="00D9593D" w:rsidRPr="00D9593D" w:rsidRDefault="00D9593D" w:rsidP="00D9593D">
            <w:pPr>
              <w:spacing w:after="0" w:line="240" w:lineRule="auto"/>
              <w:jc w:val="right"/>
              <w:rPr>
                <w:rFonts w:eastAsia="Times New Roman"/>
                <w:b/>
                <w:bCs/>
                <w:color w:val="000000"/>
                <w:kern w:val="0"/>
                <w:sz w:val="20"/>
                <w:szCs w:val="20"/>
                <w:highlight w:val="yellow"/>
                <w14:ligatures w14:val="none"/>
              </w:rPr>
            </w:pPr>
            <w:r w:rsidRPr="00D9593D">
              <w:rPr>
                <w:b/>
                <w:bCs/>
                <w:color w:val="000000"/>
                <w:sz w:val="20"/>
                <w:szCs w:val="20"/>
              </w:rPr>
              <w:t>4.872</w:t>
            </w:r>
          </w:p>
        </w:tc>
        <w:tc>
          <w:tcPr>
            <w:tcW w:w="939" w:type="dxa"/>
            <w:vMerge w:val="restart"/>
            <w:tcBorders>
              <w:top w:val="single" w:sz="4" w:space="0" w:color="auto"/>
              <w:left w:val="nil"/>
              <w:right w:val="nil"/>
            </w:tcBorders>
            <w:noWrap/>
            <w:vAlign w:val="center"/>
          </w:tcPr>
          <w:p w14:paraId="1E110E93" w14:textId="5DBE37E1" w:rsidR="00D9593D" w:rsidRPr="00D9593D" w:rsidRDefault="00D9593D" w:rsidP="00D9593D">
            <w:pPr>
              <w:spacing w:after="0" w:line="240" w:lineRule="auto"/>
              <w:jc w:val="right"/>
              <w:rPr>
                <w:rFonts w:eastAsia="Times New Roman"/>
                <w:b/>
                <w:bCs/>
                <w:color w:val="000000"/>
                <w:kern w:val="0"/>
                <w:sz w:val="20"/>
                <w:szCs w:val="20"/>
                <w:highlight w:val="yellow"/>
                <w14:ligatures w14:val="none"/>
              </w:rPr>
            </w:pPr>
            <w:r w:rsidRPr="00D9593D">
              <w:rPr>
                <w:b/>
                <w:bCs/>
                <w:color w:val="000000"/>
                <w:sz w:val="20"/>
                <w:szCs w:val="20"/>
              </w:rPr>
              <w:t>&lt;0.001</w:t>
            </w:r>
          </w:p>
        </w:tc>
        <w:tc>
          <w:tcPr>
            <w:tcW w:w="1857" w:type="dxa"/>
            <w:tcBorders>
              <w:top w:val="single" w:sz="4" w:space="0" w:color="auto"/>
              <w:left w:val="nil"/>
              <w:bottom w:val="nil"/>
              <w:right w:val="nil"/>
            </w:tcBorders>
            <w:noWrap/>
            <w:vAlign w:val="center"/>
          </w:tcPr>
          <w:p w14:paraId="0F68D980" w14:textId="2F0B6F5F" w:rsidR="00D9593D" w:rsidRPr="00D9593D" w:rsidRDefault="00D9593D" w:rsidP="00D9593D">
            <w:pPr>
              <w:spacing w:after="0" w:line="240" w:lineRule="auto"/>
              <w:jc w:val="right"/>
              <w:rPr>
                <w:rFonts w:eastAsia="Times New Roman"/>
                <w:b/>
                <w:bCs/>
                <w:color w:val="000000"/>
                <w:kern w:val="0"/>
                <w:sz w:val="20"/>
                <w:szCs w:val="20"/>
                <w:highlight w:val="yellow"/>
                <w14:ligatures w14:val="none"/>
              </w:rPr>
            </w:pPr>
            <w:r w:rsidRPr="00D9593D">
              <w:rPr>
                <w:b/>
                <w:bCs/>
                <w:color w:val="000000"/>
                <w:sz w:val="20"/>
                <w:szCs w:val="20"/>
              </w:rPr>
              <w:t>[-26.582, 4.603]</w:t>
            </w:r>
          </w:p>
        </w:tc>
      </w:tr>
      <w:tr w:rsidR="00D9593D" w:rsidRPr="00452304" w14:paraId="4AC6156A" w14:textId="77777777" w:rsidTr="00D9593D">
        <w:trPr>
          <w:trHeight w:val="320"/>
        </w:trPr>
        <w:tc>
          <w:tcPr>
            <w:tcW w:w="1094" w:type="dxa"/>
            <w:vMerge/>
            <w:tcBorders>
              <w:left w:val="nil"/>
              <w:right w:val="nil"/>
            </w:tcBorders>
          </w:tcPr>
          <w:p w14:paraId="17D73BF7"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37241F50" w14:textId="77777777" w:rsidR="00D9593D" w:rsidRPr="00452304" w:rsidRDefault="00D9593D" w:rsidP="00D9593D">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7FD21CD2" w14:textId="77777777" w:rsidR="00D9593D" w:rsidRPr="00452304" w:rsidRDefault="00D9593D" w:rsidP="00D9593D">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3AA89F8C" w14:textId="48722B73" w:rsidR="00D9593D" w:rsidRPr="00D9593D" w:rsidRDefault="00D9593D" w:rsidP="00D9593D">
            <w:pPr>
              <w:spacing w:after="0" w:line="240" w:lineRule="auto"/>
              <w:jc w:val="right"/>
              <w:rPr>
                <w:rFonts w:eastAsia="Times New Roman"/>
                <w:b/>
                <w:bCs/>
                <w:color w:val="000000"/>
                <w:kern w:val="0"/>
                <w:sz w:val="20"/>
                <w:szCs w:val="20"/>
                <w:highlight w:val="yellow"/>
                <w14:ligatures w14:val="none"/>
              </w:rPr>
            </w:pPr>
            <w:r w:rsidRPr="00D9593D">
              <w:rPr>
                <w:b/>
                <w:bCs/>
                <w:color w:val="000000"/>
                <w:sz w:val="20"/>
                <w:szCs w:val="20"/>
              </w:rPr>
              <w:t>15.604</w:t>
            </w:r>
          </w:p>
        </w:tc>
        <w:tc>
          <w:tcPr>
            <w:tcW w:w="972" w:type="dxa"/>
            <w:vMerge/>
            <w:tcBorders>
              <w:left w:val="nil"/>
              <w:bottom w:val="single" w:sz="4" w:space="0" w:color="auto"/>
              <w:right w:val="nil"/>
            </w:tcBorders>
            <w:noWrap/>
            <w:vAlign w:val="center"/>
          </w:tcPr>
          <w:p w14:paraId="71FD900E" w14:textId="77777777" w:rsidR="00D9593D" w:rsidRPr="00D9593D" w:rsidRDefault="00D9593D" w:rsidP="00D9593D">
            <w:pPr>
              <w:spacing w:after="0" w:line="240" w:lineRule="auto"/>
              <w:jc w:val="right"/>
              <w:rPr>
                <w:rFonts w:eastAsia="Times New Roman"/>
                <w:b/>
                <w:bCs/>
                <w:color w:val="000000"/>
                <w:kern w:val="0"/>
                <w:sz w:val="20"/>
                <w:szCs w:val="20"/>
                <w:highlight w:val="yellow"/>
                <w14:ligatures w14:val="none"/>
              </w:rPr>
            </w:pPr>
          </w:p>
        </w:tc>
        <w:tc>
          <w:tcPr>
            <w:tcW w:w="939" w:type="dxa"/>
            <w:vMerge/>
            <w:tcBorders>
              <w:left w:val="nil"/>
              <w:bottom w:val="single" w:sz="4" w:space="0" w:color="auto"/>
              <w:right w:val="nil"/>
            </w:tcBorders>
            <w:noWrap/>
            <w:vAlign w:val="center"/>
          </w:tcPr>
          <w:p w14:paraId="278C4CE4" w14:textId="77777777" w:rsidR="00D9593D" w:rsidRPr="00D9593D" w:rsidRDefault="00D9593D" w:rsidP="00D9593D">
            <w:pPr>
              <w:spacing w:after="0" w:line="240" w:lineRule="auto"/>
              <w:jc w:val="right"/>
              <w:rPr>
                <w:rFonts w:eastAsia="Times New Roman"/>
                <w:b/>
                <w:bCs/>
                <w:color w:val="000000"/>
                <w:kern w:val="0"/>
                <w:sz w:val="20"/>
                <w:szCs w:val="20"/>
                <w:highlight w:val="yellow"/>
                <w14:ligatures w14:val="none"/>
              </w:rPr>
            </w:pPr>
          </w:p>
        </w:tc>
        <w:tc>
          <w:tcPr>
            <w:tcW w:w="1857" w:type="dxa"/>
            <w:tcBorders>
              <w:top w:val="nil"/>
              <w:left w:val="nil"/>
              <w:bottom w:val="single" w:sz="4" w:space="0" w:color="auto"/>
              <w:right w:val="nil"/>
            </w:tcBorders>
            <w:noWrap/>
            <w:vAlign w:val="center"/>
          </w:tcPr>
          <w:p w14:paraId="4C6E9E92" w14:textId="294828B5" w:rsidR="00D9593D" w:rsidRPr="00D9593D" w:rsidRDefault="00D9593D" w:rsidP="00D9593D">
            <w:pPr>
              <w:spacing w:after="0" w:line="240" w:lineRule="auto"/>
              <w:jc w:val="right"/>
              <w:rPr>
                <w:rFonts w:eastAsia="Times New Roman"/>
                <w:b/>
                <w:bCs/>
                <w:color w:val="000000"/>
                <w:kern w:val="0"/>
                <w:sz w:val="20"/>
                <w:szCs w:val="20"/>
                <w:highlight w:val="yellow"/>
                <w14:ligatures w14:val="none"/>
              </w:rPr>
            </w:pPr>
            <w:r w:rsidRPr="00D9593D">
              <w:rPr>
                <w:b/>
                <w:bCs/>
                <w:color w:val="000000"/>
                <w:sz w:val="20"/>
                <w:szCs w:val="20"/>
              </w:rPr>
              <w:t>[-0.797, 34.851]</w:t>
            </w:r>
          </w:p>
        </w:tc>
      </w:tr>
      <w:tr w:rsidR="00D9593D" w:rsidRPr="00452304" w14:paraId="3E16F2DC" w14:textId="77777777" w:rsidTr="00D9593D">
        <w:trPr>
          <w:trHeight w:val="320"/>
        </w:trPr>
        <w:tc>
          <w:tcPr>
            <w:tcW w:w="1094" w:type="dxa"/>
            <w:vMerge/>
            <w:tcBorders>
              <w:left w:val="nil"/>
              <w:right w:val="nil"/>
            </w:tcBorders>
          </w:tcPr>
          <w:p w14:paraId="2C305D33"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6743143"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4292B8F9"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11CEF5F0" w14:textId="5AED8F16"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10.96</w:t>
            </w:r>
            <w:r>
              <w:rPr>
                <w:color w:val="000000"/>
                <w:sz w:val="20"/>
                <w:szCs w:val="20"/>
              </w:rPr>
              <w:t>0</w:t>
            </w:r>
          </w:p>
        </w:tc>
        <w:tc>
          <w:tcPr>
            <w:tcW w:w="972" w:type="dxa"/>
            <w:vMerge w:val="restart"/>
            <w:tcBorders>
              <w:top w:val="single" w:sz="4" w:space="0" w:color="auto"/>
              <w:left w:val="nil"/>
              <w:right w:val="nil"/>
            </w:tcBorders>
            <w:noWrap/>
            <w:vAlign w:val="center"/>
          </w:tcPr>
          <w:p w14:paraId="4BBDA49F" w14:textId="3BE2894C"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-0.35</w:t>
            </w:r>
          </w:p>
        </w:tc>
        <w:tc>
          <w:tcPr>
            <w:tcW w:w="939" w:type="dxa"/>
            <w:vMerge w:val="restart"/>
            <w:tcBorders>
              <w:top w:val="single" w:sz="4" w:space="0" w:color="auto"/>
              <w:left w:val="nil"/>
              <w:right w:val="nil"/>
            </w:tcBorders>
            <w:noWrap/>
            <w:vAlign w:val="center"/>
          </w:tcPr>
          <w:p w14:paraId="45613696" w14:textId="041728D2"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0.726</w:t>
            </w:r>
          </w:p>
        </w:tc>
        <w:tc>
          <w:tcPr>
            <w:tcW w:w="1857" w:type="dxa"/>
            <w:tcBorders>
              <w:top w:val="single" w:sz="4" w:space="0" w:color="auto"/>
              <w:left w:val="nil"/>
              <w:bottom w:val="nil"/>
              <w:right w:val="nil"/>
            </w:tcBorders>
            <w:noWrap/>
            <w:vAlign w:val="center"/>
          </w:tcPr>
          <w:p w14:paraId="3D77F5A1" w14:textId="6301E651"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[-6.293, 31.39</w:t>
            </w:r>
            <w:r>
              <w:rPr>
                <w:color w:val="000000"/>
                <w:sz w:val="20"/>
                <w:szCs w:val="20"/>
              </w:rPr>
              <w:t>0</w:t>
            </w:r>
            <w:r w:rsidRPr="00D9593D">
              <w:rPr>
                <w:color w:val="000000"/>
                <w:sz w:val="20"/>
                <w:szCs w:val="20"/>
              </w:rPr>
              <w:t>]</w:t>
            </w:r>
          </w:p>
        </w:tc>
      </w:tr>
      <w:tr w:rsidR="00D9593D" w:rsidRPr="00452304" w14:paraId="29C04519" w14:textId="77777777" w:rsidTr="00D9593D">
        <w:trPr>
          <w:trHeight w:val="320"/>
        </w:trPr>
        <w:tc>
          <w:tcPr>
            <w:tcW w:w="1094" w:type="dxa"/>
            <w:vMerge/>
            <w:tcBorders>
              <w:left w:val="nil"/>
              <w:right w:val="nil"/>
            </w:tcBorders>
          </w:tcPr>
          <w:p w14:paraId="116FC5CE"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8042830" w14:textId="77777777" w:rsidR="00D9593D" w:rsidRPr="00452304" w:rsidRDefault="00D9593D" w:rsidP="00D9593D">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2865D55"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17B73995" w14:textId="642F3858"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8.763</w:t>
            </w:r>
          </w:p>
        </w:tc>
        <w:tc>
          <w:tcPr>
            <w:tcW w:w="972" w:type="dxa"/>
            <w:vMerge/>
            <w:tcBorders>
              <w:left w:val="nil"/>
              <w:bottom w:val="single" w:sz="4" w:space="0" w:color="auto"/>
              <w:right w:val="nil"/>
            </w:tcBorders>
            <w:noWrap/>
            <w:vAlign w:val="center"/>
          </w:tcPr>
          <w:p w14:paraId="6B28C957" w14:textId="77777777" w:rsidR="00D9593D" w:rsidRPr="00D9593D" w:rsidRDefault="00D9593D" w:rsidP="00D9593D">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16C101FF" w14:textId="77777777" w:rsidR="00D9593D" w:rsidRPr="00D9593D" w:rsidRDefault="00D9593D" w:rsidP="00D9593D">
            <w:pPr>
              <w:spacing w:after="0" w:line="240" w:lineRule="auto"/>
              <w:jc w:val="right"/>
              <w:rPr>
                <w:color w:val="000000"/>
                <w:sz w:val="20"/>
                <w:szCs w:val="20"/>
                <w:highlight w:val="yellow"/>
              </w:rPr>
            </w:pPr>
          </w:p>
        </w:tc>
        <w:tc>
          <w:tcPr>
            <w:tcW w:w="1857" w:type="dxa"/>
            <w:tcBorders>
              <w:top w:val="nil"/>
              <w:left w:val="nil"/>
              <w:bottom w:val="single" w:sz="4" w:space="0" w:color="auto"/>
              <w:right w:val="nil"/>
            </w:tcBorders>
            <w:noWrap/>
            <w:vAlign w:val="center"/>
          </w:tcPr>
          <w:p w14:paraId="057662FD" w14:textId="486A75C3"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[-6.012, 25.986]</w:t>
            </w:r>
          </w:p>
        </w:tc>
      </w:tr>
      <w:tr w:rsidR="00D9593D" w:rsidRPr="00452304" w14:paraId="077C66B1" w14:textId="77777777" w:rsidTr="00D9593D">
        <w:trPr>
          <w:trHeight w:val="320"/>
        </w:trPr>
        <w:tc>
          <w:tcPr>
            <w:tcW w:w="1094" w:type="dxa"/>
            <w:vMerge/>
            <w:tcBorders>
              <w:left w:val="nil"/>
              <w:right w:val="nil"/>
            </w:tcBorders>
          </w:tcPr>
          <w:p w14:paraId="5027AAF8"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CD6D299"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7859FDA3"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2F64500D" w14:textId="2030DF0D"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8.654</w:t>
            </w:r>
          </w:p>
        </w:tc>
        <w:tc>
          <w:tcPr>
            <w:tcW w:w="972" w:type="dxa"/>
            <w:vMerge w:val="restart"/>
            <w:tcBorders>
              <w:top w:val="single" w:sz="4" w:space="0" w:color="auto"/>
              <w:left w:val="nil"/>
              <w:right w:val="nil"/>
            </w:tcBorders>
            <w:noWrap/>
            <w:vAlign w:val="center"/>
          </w:tcPr>
          <w:p w14:paraId="365FC389" w14:textId="3DBCA954"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3.613</w:t>
            </w:r>
          </w:p>
        </w:tc>
        <w:tc>
          <w:tcPr>
            <w:tcW w:w="939" w:type="dxa"/>
            <w:vMerge w:val="restart"/>
            <w:tcBorders>
              <w:top w:val="single" w:sz="4" w:space="0" w:color="auto"/>
              <w:left w:val="nil"/>
              <w:right w:val="nil"/>
            </w:tcBorders>
            <w:noWrap/>
            <w:vAlign w:val="center"/>
          </w:tcPr>
          <w:p w14:paraId="12DD3D2F" w14:textId="0FDE5844"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&lt;0.001</w:t>
            </w:r>
          </w:p>
        </w:tc>
        <w:tc>
          <w:tcPr>
            <w:tcW w:w="1857" w:type="dxa"/>
            <w:tcBorders>
              <w:top w:val="single" w:sz="4" w:space="0" w:color="auto"/>
              <w:left w:val="nil"/>
              <w:bottom w:val="nil"/>
              <w:right w:val="nil"/>
            </w:tcBorders>
            <w:noWrap/>
            <w:vAlign w:val="center"/>
          </w:tcPr>
          <w:p w14:paraId="4C80E274" w14:textId="77CD2379"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[-12.278, 34.582]</w:t>
            </w:r>
          </w:p>
        </w:tc>
      </w:tr>
      <w:tr w:rsidR="00D9593D" w:rsidRPr="00452304" w14:paraId="0DF7CC33" w14:textId="77777777" w:rsidTr="00D9593D">
        <w:trPr>
          <w:trHeight w:val="320"/>
        </w:trPr>
        <w:tc>
          <w:tcPr>
            <w:tcW w:w="1094" w:type="dxa"/>
            <w:vMerge/>
            <w:tcBorders>
              <w:left w:val="nil"/>
              <w:bottom w:val="single" w:sz="4" w:space="0" w:color="auto"/>
              <w:right w:val="nil"/>
            </w:tcBorders>
          </w:tcPr>
          <w:p w14:paraId="4A7C5304"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E899B91" w14:textId="77777777" w:rsidR="00D9593D" w:rsidRPr="00452304" w:rsidRDefault="00D9593D" w:rsidP="00D9593D">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021DEB9"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4E6A18E7" w14:textId="5C09644A"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32.843</w:t>
            </w:r>
          </w:p>
        </w:tc>
        <w:tc>
          <w:tcPr>
            <w:tcW w:w="972" w:type="dxa"/>
            <w:vMerge/>
            <w:tcBorders>
              <w:left w:val="nil"/>
              <w:bottom w:val="single" w:sz="4" w:space="0" w:color="auto"/>
              <w:right w:val="nil"/>
            </w:tcBorders>
            <w:noWrap/>
            <w:vAlign w:val="center"/>
          </w:tcPr>
          <w:p w14:paraId="574A2A83" w14:textId="77777777" w:rsidR="00D9593D" w:rsidRPr="00D9593D" w:rsidRDefault="00D9593D" w:rsidP="00D9593D">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534DC033" w14:textId="77777777" w:rsidR="00D9593D" w:rsidRPr="00D9593D" w:rsidRDefault="00D9593D" w:rsidP="00D9593D">
            <w:pPr>
              <w:spacing w:after="0" w:line="240" w:lineRule="auto"/>
              <w:jc w:val="right"/>
              <w:rPr>
                <w:b/>
                <w:bCs/>
                <w:color w:val="000000"/>
                <w:sz w:val="20"/>
                <w:szCs w:val="20"/>
                <w:highlight w:val="yellow"/>
              </w:rPr>
            </w:pPr>
          </w:p>
        </w:tc>
        <w:tc>
          <w:tcPr>
            <w:tcW w:w="1857" w:type="dxa"/>
            <w:tcBorders>
              <w:top w:val="nil"/>
              <w:left w:val="nil"/>
              <w:bottom w:val="single" w:sz="4" w:space="0" w:color="auto"/>
              <w:right w:val="nil"/>
            </w:tcBorders>
            <w:noWrap/>
            <w:vAlign w:val="center"/>
          </w:tcPr>
          <w:p w14:paraId="68D351D8" w14:textId="345E6B2E"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[9.199, 61.446]</w:t>
            </w:r>
          </w:p>
        </w:tc>
      </w:tr>
      <w:tr w:rsidR="00D9593D" w:rsidRPr="00452304" w14:paraId="1811442F" w14:textId="77777777" w:rsidTr="00D9593D">
        <w:trPr>
          <w:trHeight w:val="320"/>
        </w:trPr>
        <w:tc>
          <w:tcPr>
            <w:tcW w:w="1094" w:type="dxa"/>
            <w:vMerge w:val="restart"/>
            <w:tcBorders>
              <w:top w:val="single" w:sz="4" w:space="0" w:color="auto"/>
              <w:left w:val="nil"/>
              <w:right w:val="nil"/>
            </w:tcBorders>
            <w:vAlign w:val="center"/>
          </w:tcPr>
          <w:p w14:paraId="7661763F" w14:textId="77777777" w:rsidR="00D9593D" w:rsidRPr="009D19EF" w:rsidRDefault="00D9593D" w:rsidP="00D9593D">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V</w:t>
            </w:r>
            <w:r>
              <w:rPr>
                <w:rFonts w:eastAsia="Times New Roman"/>
                <w:color w:val="000000"/>
                <w:kern w:val="0"/>
                <w:sz w:val="20"/>
                <w:szCs w:val="20"/>
                <w:vertAlign w:val="subscript"/>
                <w14:ligatures w14:val="none"/>
              </w:rPr>
              <w:t>cmax</w:t>
            </w:r>
            <w:proofErr w:type="spellEnd"/>
          </w:p>
        </w:tc>
        <w:tc>
          <w:tcPr>
            <w:tcW w:w="1178" w:type="dxa"/>
            <w:vMerge w:val="restart"/>
            <w:tcBorders>
              <w:top w:val="single" w:sz="4" w:space="0" w:color="auto"/>
              <w:left w:val="nil"/>
              <w:right w:val="nil"/>
            </w:tcBorders>
            <w:noWrap/>
            <w:vAlign w:val="center"/>
          </w:tcPr>
          <w:p w14:paraId="14025829"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38FCC761"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5479ADB4" w14:textId="523A9603" w:rsidR="00D9593D" w:rsidRPr="00A13DC2" w:rsidRDefault="00D9593D" w:rsidP="00D9593D">
            <w:pPr>
              <w:spacing w:after="0" w:line="240" w:lineRule="auto"/>
              <w:jc w:val="right"/>
              <w:rPr>
                <w:b/>
                <w:bCs/>
                <w:color w:val="000000"/>
                <w:sz w:val="20"/>
                <w:szCs w:val="20"/>
                <w:highlight w:val="yellow"/>
              </w:rPr>
            </w:pPr>
            <w:r w:rsidRPr="00A13DC2">
              <w:rPr>
                <w:b/>
                <w:bCs/>
                <w:color w:val="000000"/>
                <w:sz w:val="20"/>
                <w:szCs w:val="20"/>
              </w:rPr>
              <w:t>-18.045</w:t>
            </w:r>
          </w:p>
        </w:tc>
        <w:tc>
          <w:tcPr>
            <w:tcW w:w="972" w:type="dxa"/>
            <w:vMerge w:val="restart"/>
            <w:tcBorders>
              <w:top w:val="single" w:sz="4" w:space="0" w:color="auto"/>
              <w:left w:val="nil"/>
              <w:right w:val="nil"/>
            </w:tcBorders>
            <w:noWrap/>
            <w:vAlign w:val="center"/>
          </w:tcPr>
          <w:p w14:paraId="5B09A795" w14:textId="77777777" w:rsidR="00D9593D" w:rsidRPr="00A13DC2" w:rsidRDefault="00D9593D" w:rsidP="00D9593D">
            <w:pPr>
              <w:spacing w:after="0" w:line="240" w:lineRule="auto"/>
              <w:jc w:val="right"/>
              <w:rPr>
                <w:b/>
                <w:bCs/>
                <w:color w:val="000000"/>
                <w:sz w:val="20"/>
                <w:szCs w:val="20"/>
              </w:rPr>
            </w:pPr>
            <w:r w:rsidRPr="00A13DC2">
              <w:rPr>
                <w:b/>
                <w:bCs/>
                <w:color w:val="000000"/>
                <w:sz w:val="20"/>
                <w:szCs w:val="20"/>
              </w:rPr>
              <w:t>5.064</w:t>
            </w:r>
          </w:p>
        </w:tc>
        <w:tc>
          <w:tcPr>
            <w:tcW w:w="939" w:type="dxa"/>
            <w:vMerge w:val="restart"/>
            <w:tcBorders>
              <w:top w:val="single" w:sz="4" w:space="0" w:color="auto"/>
              <w:left w:val="nil"/>
              <w:right w:val="nil"/>
            </w:tcBorders>
            <w:noWrap/>
            <w:vAlign w:val="center"/>
          </w:tcPr>
          <w:p w14:paraId="1C6EED20" w14:textId="77777777" w:rsidR="00D9593D" w:rsidRPr="00A13DC2" w:rsidRDefault="00D9593D" w:rsidP="00D9593D">
            <w:pPr>
              <w:spacing w:after="0" w:line="240" w:lineRule="auto"/>
              <w:jc w:val="right"/>
              <w:rPr>
                <w:b/>
                <w:bCs/>
                <w:color w:val="000000"/>
                <w:sz w:val="20"/>
                <w:szCs w:val="20"/>
              </w:rPr>
            </w:pPr>
            <w:r w:rsidRPr="00A13DC2">
              <w:rPr>
                <w:b/>
                <w:bCs/>
                <w:color w:val="000000"/>
                <w:sz w:val="20"/>
                <w:szCs w:val="20"/>
              </w:rPr>
              <w:t>&lt;0.001</w:t>
            </w:r>
          </w:p>
        </w:tc>
        <w:tc>
          <w:tcPr>
            <w:tcW w:w="1857" w:type="dxa"/>
            <w:tcBorders>
              <w:top w:val="single" w:sz="4" w:space="0" w:color="auto"/>
              <w:left w:val="nil"/>
              <w:bottom w:val="nil"/>
              <w:right w:val="nil"/>
            </w:tcBorders>
            <w:noWrap/>
            <w:vAlign w:val="center"/>
          </w:tcPr>
          <w:p w14:paraId="668BB0FA" w14:textId="05B77203" w:rsidR="00D9593D" w:rsidRPr="00A13DC2" w:rsidRDefault="00D9593D" w:rsidP="00D9593D">
            <w:pPr>
              <w:spacing w:after="0" w:line="240" w:lineRule="auto"/>
              <w:jc w:val="right"/>
              <w:rPr>
                <w:b/>
                <w:bCs/>
                <w:color w:val="000000"/>
                <w:sz w:val="20"/>
                <w:szCs w:val="20"/>
                <w:highlight w:val="yellow"/>
              </w:rPr>
            </w:pPr>
            <w:r w:rsidRPr="00A13DC2">
              <w:rPr>
                <w:b/>
                <w:bCs/>
                <w:color w:val="000000"/>
                <w:sz w:val="20"/>
                <w:szCs w:val="20"/>
              </w:rPr>
              <w:t>[-35.144, 3.666]</w:t>
            </w:r>
          </w:p>
        </w:tc>
      </w:tr>
      <w:tr w:rsidR="00D9593D" w:rsidRPr="00452304" w14:paraId="0A423736" w14:textId="77777777" w:rsidTr="00D9593D">
        <w:trPr>
          <w:trHeight w:val="320"/>
        </w:trPr>
        <w:tc>
          <w:tcPr>
            <w:tcW w:w="1094" w:type="dxa"/>
            <w:vMerge/>
            <w:tcBorders>
              <w:left w:val="nil"/>
              <w:right w:val="nil"/>
            </w:tcBorders>
          </w:tcPr>
          <w:p w14:paraId="69717EFC"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221876D" w14:textId="77777777" w:rsidR="00D9593D" w:rsidRPr="00452304" w:rsidRDefault="00D9593D" w:rsidP="00D9593D">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B55406F"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3095A204" w14:textId="234A1B4A" w:rsidR="00D9593D" w:rsidRPr="00A13DC2" w:rsidRDefault="00D9593D" w:rsidP="00D9593D">
            <w:pPr>
              <w:spacing w:after="0" w:line="240" w:lineRule="auto"/>
              <w:jc w:val="right"/>
              <w:rPr>
                <w:b/>
                <w:bCs/>
                <w:color w:val="000000"/>
                <w:sz w:val="20"/>
                <w:szCs w:val="20"/>
                <w:highlight w:val="yellow"/>
              </w:rPr>
            </w:pPr>
            <w:r w:rsidRPr="00A13DC2">
              <w:rPr>
                <w:b/>
                <w:bCs/>
                <w:color w:val="000000"/>
                <w:sz w:val="20"/>
                <w:szCs w:val="20"/>
              </w:rPr>
              <w:t>9.417</w:t>
            </w:r>
          </w:p>
        </w:tc>
        <w:tc>
          <w:tcPr>
            <w:tcW w:w="972" w:type="dxa"/>
            <w:vMerge/>
            <w:tcBorders>
              <w:left w:val="nil"/>
              <w:bottom w:val="single" w:sz="4" w:space="0" w:color="auto"/>
              <w:right w:val="nil"/>
            </w:tcBorders>
            <w:noWrap/>
            <w:vAlign w:val="center"/>
          </w:tcPr>
          <w:p w14:paraId="77753610" w14:textId="77777777" w:rsidR="00D9593D" w:rsidRPr="00A13DC2" w:rsidRDefault="00D9593D" w:rsidP="00D9593D">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66A7F002" w14:textId="77777777" w:rsidR="00D9593D" w:rsidRPr="00A13DC2" w:rsidRDefault="00D9593D" w:rsidP="00D9593D">
            <w:pPr>
              <w:spacing w:after="0" w:line="240" w:lineRule="auto"/>
              <w:jc w:val="right"/>
              <w:rPr>
                <w:b/>
                <w:bCs/>
                <w:color w:val="000000"/>
                <w:sz w:val="20"/>
                <w:szCs w:val="20"/>
              </w:rPr>
            </w:pPr>
          </w:p>
        </w:tc>
        <w:tc>
          <w:tcPr>
            <w:tcW w:w="1857" w:type="dxa"/>
            <w:tcBorders>
              <w:top w:val="nil"/>
              <w:left w:val="nil"/>
              <w:bottom w:val="single" w:sz="4" w:space="0" w:color="auto"/>
              <w:right w:val="nil"/>
            </w:tcBorders>
            <w:noWrap/>
            <w:vAlign w:val="center"/>
          </w:tcPr>
          <w:p w14:paraId="53AF61A7" w14:textId="5ECDE4AE" w:rsidR="00D9593D" w:rsidRPr="00A13DC2" w:rsidRDefault="00D9593D" w:rsidP="00D9593D">
            <w:pPr>
              <w:spacing w:after="0" w:line="240" w:lineRule="auto"/>
              <w:jc w:val="right"/>
              <w:rPr>
                <w:b/>
                <w:bCs/>
                <w:color w:val="000000"/>
                <w:sz w:val="20"/>
                <w:szCs w:val="20"/>
                <w:highlight w:val="yellow"/>
              </w:rPr>
            </w:pPr>
            <w:r w:rsidRPr="00A13DC2">
              <w:rPr>
                <w:b/>
                <w:bCs/>
                <w:color w:val="000000"/>
                <w:sz w:val="20"/>
                <w:szCs w:val="20"/>
              </w:rPr>
              <w:t>[-12.366, 36.752]</w:t>
            </w:r>
          </w:p>
        </w:tc>
      </w:tr>
      <w:tr w:rsidR="00D9593D" w:rsidRPr="00452304" w14:paraId="46D3FD17" w14:textId="77777777" w:rsidTr="00D9593D">
        <w:trPr>
          <w:trHeight w:val="320"/>
        </w:trPr>
        <w:tc>
          <w:tcPr>
            <w:tcW w:w="1094" w:type="dxa"/>
            <w:vMerge/>
            <w:tcBorders>
              <w:left w:val="nil"/>
              <w:right w:val="nil"/>
            </w:tcBorders>
          </w:tcPr>
          <w:p w14:paraId="294CC98B"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1DC9272"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05EAD4B1"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1CEE4367" w14:textId="66971AC7"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12.75</w:t>
            </w:r>
            <w:r>
              <w:rPr>
                <w:color w:val="000000"/>
                <w:sz w:val="20"/>
                <w:szCs w:val="20"/>
              </w:rPr>
              <w:t>0</w:t>
            </w:r>
          </w:p>
        </w:tc>
        <w:tc>
          <w:tcPr>
            <w:tcW w:w="972" w:type="dxa"/>
            <w:vMerge w:val="restart"/>
            <w:tcBorders>
              <w:top w:val="single" w:sz="4" w:space="0" w:color="auto"/>
              <w:left w:val="nil"/>
              <w:right w:val="nil"/>
            </w:tcBorders>
            <w:noWrap/>
            <w:vAlign w:val="center"/>
          </w:tcPr>
          <w:p w14:paraId="7B9C7A43" w14:textId="77777777" w:rsidR="00D9593D" w:rsidRPr="00D9593D" w:rsidRDefault="00D9593D" w:rsidP="00D9593D">
            <w:pPr>
              <w:spacing w:after="0" w:line="240" w:lineRule="auto"/>
              <w:jc w:val="right"/>
              <w:rPr>
                <w:color w:val="000000"/>
                <w:sz w:val="20"/>
                <w:szCs w:val="20"/>
              </w:rPr>
            </w:pPr>
            <w:r w:rsidRPr="00D9593D">
              <w:rPr>
                <w:color w:val="000000"/>
                <w:sz w:val="20"/>
                <w:szCs w:val="20"/>
              </w:rPr>
              <w:t>-0.108</w:t>
            </w:r>
          </w:p>
        </w:tc>
        <w:tc>
          <w:tcPr>
            <w:tcW w:w="939" w:type="dxa"/>
            <w:vMerge w:val="restart"/>
            <w:tcBorders>
              <w:top w:val="single" w:sz="4" w:space="0" w:color="auto"/>
              <w:left w:val="nil"/>
              <w:right w:val="nil"/>
            </w:tcBorders>
            <w:noWrap/>
            <w:vAlign w:val="center"/>
          </w:tcPr>
          <w:p w14:paraId="3D0B4936" w14:textId="77777777" w:rsidR="00D9593D" w:rsidRPr="00D9593D" w:rsidRDefault="00D9593D" w:rsidP="00D9593D">
            <w:pPr>
              <w:spacing w:after="0" w:line="240" w:lineRule="auto"/>
              <w:jc w:val="right"/>
              <w:rPr>
                <w:color w:val="000000"/>
                <w:sz w:val="20"/>
                <w:szCs w:val="20"/>
              </w:rPr>
            </w:pPr>
            <w:r w:rsidRPr="00D9593D">
              <w:rPr>
                <w:color w:val="000000"/>
                <w:sz w:val="20"/>
                <w:szCs w:val="20"/>
              </w:rPr>
              <w:t>0.914</w:t>
            </w:r>
          </w:p>
        </w:tc>
        <w:tc>
          <w:tcPr>
            <w:tcW w:w="1857" w:type="dxa"/>
            <w:tcBorders>
              <w:top w:val="single" w:sz="4" w:space="0" w:color="auto"/>
              <w:left w:val="nil"/>
              <w:bottom w:val="nil"/>
              <w:right w:val="nil"/>
            </w:tcBorders>
            <w:noWrap/>
            <w:vAlign w:val="center"/>
          </w:tcPr>
          <w:p w14:paraId="7504739B" w14:textId="4E42AB8A"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[-4.209, 32.711]</w:t>
            </w:r>
          </w:p>
        </w:tc>
      </w:tr>
      <w:tr w:rsidR="00D9593D" w:rsidRPr="00452304" w14:paraId="0F0EB3A2" w14:textId="77777777" w:rsidTr="00D9593D">
        <w:trPr>
          <w:trHeight w:val="320"/>
        </w:trPr>
        <w:tc>
          <w:tcPr>
            <w:tcW w:w="1094" w:type="dxa"/>
            <w:vMerge/>
            <w:tcBorders>
              <w:left w:val="nil"/>
              <w:right w:val="nil"/>
            </w:tcBorders>
          </w:tcPr>
          <w:p w14:paraId="4DA137E4"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CEA0C2E" w14:textId="77777777" w:rsidR="00D9593D" w:rsidRPr="00452304" w:rsidRDefault="00D9593D" w:rsidP="00D9593D">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9E21F31"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72D39CE0" w14:textId="2D515B49"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12.075</w:t>
            </w:r>
          </w:p>
        </w:tc>
        <w:tc>
          <w:tcPr>
            <w:tcW w:w="972" w:type="dxa"/>
            <w:vMerge/>
            <w:tcBorders>
              <w:left w:val="nil"/>
              <w:bottom w:val="single" w:sz="4" w:space="0" w:color="auto"/>
              <w:right w:val="nil"/>
            </w:tcBorders>
            <w:noWrap/>
            <w:vAlign w:val="center"/>
          </w:tcPr>
          <w:p w14:paraId="3B3623CD" w14:textId="77777777" w:rsidR="00D9593D" w:rsidRPr="00D9593D" w:rsidRDefault="00D9593D" w:rsidP="00D9593D">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27085501" w14:textId="77777777" w:rsidR="00D9593D" w:rsidRPr="00D9593D" w:rsidRDefault="00D9593D" w:rsidP="00D9593D">
            <w:pPr>
              <w:spacing w:after="0" w:line="240" w:lineRule="auto"/>
              <w:jc w:val="right"/>
              <w:rPr>
                <w:color w:val="000000"/>
                <w:sz w:val="20"/>
                <w:szCs w:val="20"/>
              </w:rPr>
            </w:pPr>
          </w:p>
        </w:tc>
        <w:tc>
          <w:tcPr>
            <w:tcW w:w="1857" w:type="dxa"/>
            <w:tcBorders>
              <w:top w:val="nil"/>
              <w:left w:val="nil"/>
              <w:bottom w:val="single" w:sz="4" w:space="0" w:color="auto"/>
              <w:right w:val="nil"/>
            </w:tcBorders>
            <w:noWrap/>
            <w:vAlign w:val="center"/>
          </w:tcPr>
          <w:p w14:paraId="05B1BF90" w14:textId="2F0D1B1F"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[-3.052, 29.563]</w:t>
            </w:r>
          </w:p>
        </w:tc>
      </w:tr>
      <w:tr w:rsidR="00D9593D" w:rsidRPr="00452304" w14:paraId="576A899B" w14:textId="77777777" w:rsidTr="00D9593D">
        <w:trPr>
          <w:trHeight w:val="320"/>
        </w:trPr>
        <w:tc>
          <w:tcPr>
            <w:tcW w:w="1094" w:type="dxa"/>
            <w:vMerge/>
            <w:tcBorders>
              <w:left w:val="nil"/>
              <w:right w:val="nil"/>
            </w:tcBorders>
          </w:tcPr>
          <w:p w14:paraId="420E09CB"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F9A9693"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588F5979"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0E684928" w14:textId="0086213E" w:rsidR="00D9593D" w:rsidRPr="00A13DC2" w:rsidRDefault="00D9593D" w:rsidP="00D9593D">
            <w:pPr>
              <w:spacing w:after="0" w:line="240" w:lineRule="auto"/>
              <w:jc w:val="right"/>
              <w:rPr>
                <w:b/>
                <w:bCs/>
                <w:color w:val="000000"/>
                <w:sz w:val="20"/>
                <w:szCs w:val="20"/>
                <w:highlight w:val="yellow"/>
              </w:rPr>
            </w:pPr>
            <w:r w:rsidRPr="00A13DC2">
              <w:rPr>
                <w:b/>
                <w:bCs/>
                <w:color w:val="000000"/>
                <w:sz w:val="20"/>
                <w:szCs w:val="20"/>
              </w:rPr>
              <w:t>2.634</w:t>
            </w:r>
          </w:p>
        </w:tc>
        <w:tc>
          <w:tcPr>
            <w:tcW w:w="972" w:type="dxa"/>
            <w:vMerge w:val="restart"/>
            <w:tcBorders>
              <w:top w:val="single" w:sz="4" w:space="0" w:color="auto"/>
              <w:left w:val="nil"/>
              <w:right w:val="nil"/>
            </w:tcBorders>
            <w:noWrap/>
            <w:vAlign w:val="center"/>
          </w:tcPr>
          <w:p w14:paraId="51CB40F9" w14:textId="77777777" w:rsidR="00D9593D" w:rsidRPr="00A13DC2" w:rsidRDefault="00D9593D" w:rsidP="00D9593D">
            <w:pPr>
              <w:spacing w:after="0" w:line="240" w:lineRule="auto"/>
              <w:jc w:val="right"/>
              <w:rPr>
                <w:b/>
                <w:bCs/>
                <w:color w:val="000000"/>
                <w:sz w:val="20"/>
                <w:szCs w:val="20"/>
              </w:rPr>
            </w:pPr>
            <w:r w:rsidRPr="00A13DC2">
              <w:rPr>
                <w:b/>
                <w:bCs/>
                <w:color w:val="000000"/>
                <w:sz w:val="20"/>
                <w:szCs w:val="20"/>
              </w:rPr>
              <w:t>3.199</w:t>
            </w:r>
          </w:p>
        </w:tc>
        <w:tc>
          <w:tcPr>
            <w:tcW w:w="939" w:type="dxa"/>
            <w:vMerge w:val="restart"/>
            <w:tcBorders>
              <w:top w:val="single" w:sz="4" w:space="0" w:color="auto"/>
              <w:left w:val="nil"/>
              <w:right w:val="nil"/>
            </w:tcBorders>
            <w:noWrap/>
            <w:vAlign w:val="center"/>
          </w:tcPr>
          <w:p w14:paraId="7D886832" w14:textId="77777777" w:rsidR="00D9593D" w:rsidRPr="00A13DC2" w:rsidRDefault="00D9593D" w:rsidP="00D9593D">
            <w:pPr>
              <w:spacing w:after="0" w:line="240" w:lineRule="auto"/>
              <w:jc w:val="right"/>
              <w:rPr>
                <w:b/>
                <w:bCs/>
                <w:color w:val="000000"/>
                <w:sz w:val="20"/>
                <w:szCs w:val="20"/>
              </w:rPr>
            </w:pPr>
            <w:r w:rsidRPr="00A13DC2">
              <w:rPr>
                <w:b/>
                <w:bCs/>
                <w:color w:val="000000"/>
                <w:sz w:val="20"/>
                <w:szCs w:val="20"/>
              </w:rPr>
              <w:t>0.001</w:t>
            </w:r>
          </w:p>
        </w:tc>
        <w:tc>
          <w:tcPr>
            <w:tcW w:w="1857" w:type="dxa"/>
            <w:tcBorders>
              <w:top w:val="single" w:sz="4" w:space="0" w:color="auto"/>
              <w:left w:val="nil"/>
              <w:bottom w:val="nil"/>
              <w:right w:val="nil"/>
            </w:tcBorders>
            <w:noWrap/>
            <w:vAlign w:val="center"/>
          </w:tcPr>
          <w:p w14:paraId="75123AE6" w14:textId="4D314519" w:rsidR="00D9593D" w:rsidRPr="00A13DC2" w:rsidRDefault="00D9593D" w:rsidP="00D9593D">
            <w:pPr>
              <w:spacing w:after="0" w:line="240" w:lineRule="auto"/>
              <w:jc w:val="right"/>
              <w:rPr>
                <w:b/>
                <w:bCs/>
                <w:color w:val="000000"/>
                <w:sz w:val="20"/>
                <w:szCs w:val="20"/>
                <w:highlight w:val="yellow"/>
              </w:rPr>
            </w:pPr>
            <w:r w:rsidRPr="00A13DC2">
              <w:rPr>
                <w:b/>
                <w:bCs/>
                <w:color w:val="000000"/>
                <w:sz w:val="20"/>
                <w:szCs w:val="20"/>
              </w:rPr>
              <w:t>[-17.963, 28.531]</w:t>
            </w:r>
          </w:p>
        </w:tc>
      </w:tr>
      <w:tr w:rsidR="00D9593D" w:rsidRPr="00452304" w14:paraId="490EF8C2" w14:textId="77777777" w:rsidTr="00D9593D">
        <w:trPr>
          <w:trHeight w:val="320"/>
        </w:trPr>
        <w:tc>
          <w:tcPr>
            <w:tcW w:w="1094" w:type="dxa"/>
            <w:vMerge/>
            <w:tcBorders>
              <w:left w:val="nil"/>
              <w:bottom w:val="single" w:sz="4" w:space="0" w:color="auto"/>
              <w:right w:val="nil"/>
            </w:tcBorders>
          </w:tcPr>
          <w:p w14:paraId="2D2DE97C"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562FC48" w14:textId="77777777" w:rsidR="00D9593D" w:rsidRPr="00452304" w:rsidRDefault="00D9593D" w:rsidP="00D9593D">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17545E0"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1B06758C" w14:textId="43514D59" w:rsidR="00D9593D" w:rsidRPr="00A13DC2" w:rsidRDefault="00D9593D" w:rsidP="00D9593D">
            <w:pPr>
              <w:spacing w:after="0" w:line="240" w:lineRule="auto"/>
              <w:jc w:val="right"/>
              <w:rPr>
                <w:b/>
                <w:bCs/>
                <w:color w:val="000000"/>
                <w:sz w:val="20"/>
                <w:szCs w:val="20"/>
                <w:highlight w:val="yellow"/>
              </w:rPr>
            </w:pPr>
            <w:r w:rsidRPr="00A13DC2">
              <w:rPr>
                <w:b/>
                <w:bCs/>
                <w:color w:val="000000"/>
                <w:sz w:val="20"/>
                <w:szCs w:val="20"/>
              </w:rPr>
              <w:t>22.998</w:t>
            </w:r>
          </w:p>
        </w:tc>
        <w:tc>
          <w:tcPr>
            <w:tcW w:w="972" w:type="dxa"/>
            <w:vMerge/>
            <w:tcBorders>
              <w:left w:val="nil"/>
              <w:bottom w:val="single" w:sz="4" w:space="0" w:color="auto"/>
              <w:right w:val="nil"/>
            </w:tcBorders>
            <w:noWrap/>
            <w:vAlign w:val="center"/>
          </w:tcPr>
          <w:p w14:paraId="61D84729" w14:textId="77777777" w:rsidR="00D9593D" w:rsidRPr="00A13DC2" w:rsidRDefault="00D9593D" w:rsidP="00D9593D">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412EDECA" w14:textId="77777777" w:rsidR="00D9593D" w:rsidRPr="00A13DC2" w:rsidRDefault="00D9593D" w:rsidP="00D9593D">
            <w:pPr>
              <w:spacing w:after="0" w:line="240" w:lineRule="auto"/>
              <w:jc w:val="right"/>
              <w:rPr>
                <w:b/>
                <w:bCs/>
                <w:color w:val="000000"/>
                <w:sz w:val="20"/>
                <w:szCs w:val="20"/>
              </w:rPr>
            </w:pPr>
          </w:p>
        </w:tc>
        <w:tc>
          <w:tcPr>
            <w:tcW w:w="1857" w:type="dxa"/>
            <w:tcBorders>
              <w:top w:val="nil"/>
              <w:left w:val="nil"/>
              <w:bottom w:val="single" w:sz="4" w:space="0" w:color="auto"/>
              <w:right w:val="nil"/>
            </w:tcBorders>
            <w:noWrap/>
            <w:vAlign w:val="center"/>
          </w:tcPr>
          <w:p w14:paraId="3E25BEA1" w14:textId="68BAD81E" w:rsidR="00D9593D" w:rsidRPr="00A13DC2" w:rsidRDefault="00D9593D" w:rsidP="00D9593D">
            <w:pPr>
              <w:spacing w:after="0" w:line="240" w:lineRule="auto"/>
              <w:jc w:val="right"/>
              <w:rPr>
                <w:b/>
                <w:bCs/>
                <w:color w:val="000000"/>
                <w:sz w:val="20"/>
                <w:szCs w:val="20"/>
                <w:highlight w:val="yellow"/>
              </w:rPr>
            </w:pPr>
            <w:r w:rsidRPr="00A13DC2">
              <w:rPr>
                <w:b/>
                <w:bCs/>
                <w:color w:val="000000"/>
                <w:sz w:val="20"/>
                <w:szCs w:val="20"/>
              </w:rPr>
              <w:t>[-0.300, 51.740]</w:t>
            </w:r>
          </w:p>
        </w:tc>
      </w:tr>
      <w:tr w:rsidR="00D9593D" w:rsidRPr="00452304" w14:paraId="354E3B2D" w14:textId="77777777" w:rsidTr="00D9593D">
        <w:trPr>
          <w:trHeight w:val="320"/>
        </w:trPr>
        <w:tc>
          <w:tcPr>
            <w:tcW w:w="1094" w:type="dxa"/>
            <w:vMerge w:val="restart"/>
            <w:tcBorders>
              <w:top w:val="single" w:sz="4" w:space="0" w:color="auto"/>
              <w:left w:val="nil"/>
              <w:right w:val="nil"/>
            </w:tcBorders>
            <w:vAlign w:val="center"/>
          </w:tcPr>
          <w:p w14:paraId="5E6A153F" w14:textId="77777777" w:rsidR="00D9593D" w:rsidRPr="009D19EF" w:rsidRDefault="00D9593D" w:rsidP="00D9593D">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J</w:t>
            </w:r>
            <w:r>
              <w:rPr>
                <w:rFonts w:eastAsia="Times New Roman"/>
                <w:color w:val="000000"/>
                <w:kern w:val="0"/>
                <w:sz w:val="20"/>
                <w:szCs w:val="20"/>
                <w:vertAlign w:val="subscript"/>
                <w14:ligatures w14:val="none"/>
              </w:rPr>
              <w:t>max</w:t>
            </w:r>
            <w:proofErr w:type="spellEnd"/>
          </w:p>
        </w:tc>
        <w:tc>
          <w:tcPr>
            <w:tcW w:w="1178" w:type="dxa"/>
            <w:vMerge w:val="restart"/>
            <w:tcBorders>
              <w:top w:val="single" w:sz="4" w:space="0" w:color="auto"/>
              <w:left w:val="nil"/>
              <w:right w:val="nil"/>
            </w:tcBorders>
            <w:noWrap/>
            <w:vAlign w:val="center"/>
          </w:tcPr>
          <w:p w14:paraId="26BE0BDF"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63DA38C2"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45C06702" w14:textId="2955AAEB" w:rsidR="00D9593D" w:rsidRPr="00A13DC2" w:rsidRDefault="00D9593D" w:rsidP="00D9593D">
            <w:pPr>
              <w:spacing w:after="0" w:line="240" w:lineRule="auto"/>
              <w:jc w:val="right"/>
              <w:rPr>
                <w:b/>
                <w:bCs/>
                <w:color w:val="000000"/>
                <w:sz w:val="20"/>
                <w:szCs w:val="20"/>
                <w:highlight w:val="yellow"/>
              </w:rPr>
            </w:pPr>
            <w:r w:rsidRPr="00A13DC2">
              <w:rPr>
                <w:b/>
                <w:bCs/>
                <w:color w:val="000000"/>
                <w:sz w:val="20"/>
                <w:szCs w:val="20"/>
              </w:rPr>
              <w:t>-5.446</w:t>
            </w:r>
          </w:p>
        </w:tc>
        <w:tc>
          <w:tcPr>
            <w:tcW w:w="972" w:type="dxa"/>
            <w:vMerge w:val="restart"/>
            <w:tcBorders>
              <w:top w:val="single" w:sz="4" w:space="0" w:color="auto"/>
              <w:left w:val="nil"/>
              <w:right w:val="nil"/>
            </w:tcBorders>
            <w:noWrap/>
            <w:vAlign w:val="center"/>
          </w:tcPr>
          <w:p w14:paraId="013C8D39" w14:textId="77777777" w:rsidR="00D9593D" w:rsidRPr="00A13DC2" w:rsidRDefault="00D9593D" w:rsidP="00D9593D">
            <w:pPr>
              <w:spacing w:after="0" w:line="240" w:lineRule="auto"/>
              <w:jc w:val="right"/>
              <w:rPr>
                <w:b/>
                <w:bCs/>
                <w:color w:val="000000"/>
                <w:sz w:val="20"/>
                <w:szCs w:val="20"/>
              </w:rPr>
            </w:pPr>
            <w:r w:rsidRPr="00A13DC2">
              <w:rPr>
                <w:b/>
                <w:bCs/>
                <w:color w:val="000000"/>
                <w:sz w:val="20"/>
                <w:szCs w:val="20"/>
              </w:rPr>
              <w:t>4.278</w:t>
            </w:r>
          </w:p>
        </w:tc>
        <w:tc>
          <w:tcPr>
            <w:tcW w:w="939" w:type="dxa"/>
            <w:vMerge w:val="restart"/>
            <w:tcBorders>
              <w:top w:val="single" w:sz="4" w:space="0" w:color="auto"/>
              <w:left w:val="nil"/>
              <w:right w:val="nil"/>
            </w:tcBorders>
            <w:noWrap/>
            <w:vAlign w:val="center"/>
          </w:tcPr>
          <w:p w14:paraId="0B0280DA" w14:textId="77777777" w:rsidR="00D9593D" w:rsidRPr="00A13DC2" w:rsidRDefault="00D9593D" w:rsidP="00D9593D">
            <w:pPr>
              <w:spacing w:after="0" w:line="240" w:lineRule="auto"/>
              <w:jc w:val="right"/>
              <w:rPr>
                <w:b/>
                <w:bCs/>
                <w:color w:val="000000"/>
                <w:sz w:val="20"/>
                <w:szCs w:val="20"/>
              </w:rPr>
            </w:pPr>
            <w:r w:rsidRPr="00A13DC2">
              <w:rPr>
                <w:b/>
                <w:bCs/>
                <w:color w:val="000000"/>
                <w:sz w:val="20"/>
                <w:szCs w:val="20"/>
              </w:rPr>
              <w:t>&lt;0.001</w:t>
            </w:r>
          </w:p>
        </w:tc>
        <w:tc>
          <w:tcPr>
            <w:tcW w:w="1857" w:type="dxa"/>
            <w:tcBorders>
              <w:top w:val="single" w:sz="4" w:space="0" w:color="auto"/>
              <w:left w:val="nil"/>
              <w:bottom w:val="nil"/>
              <w:right w:val="nil"/>
            </w:tcBorders>
            <w:noWrap/>
            <w:vAlign w:val="center"/>
          </w:tcPr>
          <w:p w14:paraId="7A15E710" w14:textId="118D8F47" w:rsidR="00D9593D" w:rsidRPr="00A13DC2" w:rsidRDefault="00D9593D" w:rsidP="00D9593D">
            <w:pPr>
              <w:spacing w:after="0" w:line="240" w:lineRule="auto"/>
              <w:jc w:val="right"/>
              <w:rPr>
                <w:b/>
                <w:bCs/>
                <w:color w:val="000000"/>
                <w:sz w:val="20"/>
                <w:szCs w:val="20"/>
                <w:highlight w:val="yellow"/>
              </w:rPr>
            </w:pPr>
            <w:r w:rsidRPr="00A13DC2">
              <w:rPr>
                <w:b/>
                <w:bCs/>
                <w:color w:val="000000"/>
                <w:sz w:val="20"/>
                <w:szCs w:val="20"/>
              </w:rPr>
              <w:t>[-19.908, 11.628]</w:t>
            </w:r>
          </w:p>
        </w:tc>
      </w:tr>
      <w:tr w:rsidR="00D9593D" w:rsidRPr="00452304" w14:paraId="5D6C1BB4" w14:textId="77777777" w:rsidTr="00D9593D">
        <w:trPr>
          <w:trHeight w:val="320"/>
        </w:trPr>
        <w:tc>
          <w:tcPr>
            <w:tcW w:w="1094" w:type="dxa"/>
            <w:vMerge/>
            <w:tcBorders>
              <w:left w:val="nil"/>
              <w:right w:val="nil"/>
            </w:tcBorders>
          </w:tcPr>
          <w:p w14:paraId="1540EDDD"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6F1F9D2" w14:textId="77777777" w:rsidR="00D9593D" w:rsidRPr="00452304" w:rsidRDefault="00D9593D" w:rsidP="00D9593D">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C09D285"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5FDDFB13" w14:textId="2269033F" w:rsidR="00D9593D" w:rsidRPr="00A13DC2" w:rsidRDefault="00D9593D" w:rsidP="00D9593D">
            <w:pPr>
              <w:spacing w:after="0" w:line="240" w:lineRule="auto"/>
              <w:jc w:val="right"/>
              <w:rPr>
                <w:b/>
                <w:bCs/>
                <w:color w:val="000000"/>
                <w:sz w:val="20"/>
                <w:szCs w:val="20"/>
                <w:highlight w:val="yellow"/>
              </w:rPr>
            </w:pPr>
            <w:r w:rsidRPr="00A13DC2">
              <w:rPr>
                <w:b/>
                <w:bCs/>
                <w:color w:val="000000"/>
                <w:sz w:val="20"/>
                <w:szCs w:val="20"/>
              </w:rPr>
              <w:t>19.602</w:t>
            </w:r>
          </w:p>
        </w:tc>
        <w:tc>
          <w:tcPr>
            <w:tcW w:w="972" w:type="dxa"/>
            <w:vMerge/>
            <w:tcBorders>
              <w:left w:val="nil"/>
              <w:bottom w:val="single" w:sz="4" w:space="0" w:color="auto"/>
              <w:right w:val="nil"/>
            </w:tcBorders>
            <w:noWrap/>
            <w:vAlign w:val="center"/>
          </w:tcPr>
          <w:p w14:paraId="61F60209" w14:textId="77777777" w:rsidR="00D9593D" w:rsidRPr="00A13DC2" w:rsidRDefault="00D9593D" w:rsidP="00D9593D">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35B8EFF5" w14:textId="77777777" w:rsidR="00D9593D" w:rsidRPr="00A13DC2" w:rsidRDefault="00D9593D" w:rsidP="00D9593D">
            <w:pPr>
              <w:spacing w:after="0" w:line="240" w:lineRule="auto"/>
              <w:jc w:val="right"/>
              <w:rPr>
                <w:b/>
                <w:bCs/>
                <w:color w:val="000000"/>
                <w:sz w:val="20"/>
                <w:szCs w:val="20"/>
              </w:rPr>
            </w:pPr>
          </w:p>
        </w:tc>
        <w:tc>
          <w:tcPr>
            <w:tcW w:w="1857" w:type="dxa"/>
            <w:tcBorders>
              <w:top w:val="nil"/>
              <w:left w:val="nil"/>
              <w:bottom w:val="single" w:sz="4" w:space="0" w:color="auto"/>
              <w:right w:val="nil"/>
            </w:tcBorders>
            <w:noWrap/>
            <w:vAlign w:val="center"/>
          </w:tcPr>
          <w:p w14:paraId="12DA57EF" w14:textId="666A7CC5" w:rsidR="00D9593D" w:rsidRPr="00A13DC2" w:rsidRDefault="00D9593D" w:rsidP="00D9593D">
            <w:pPr>
              <w:spacing w:after="0" w:line="240" w:lineRule="auto"/>
              <w:jc w:val="right"/>
              <w:rPr>
                <w:b/>
                <w:bCs/>
                <w:color w:val="000000"/>
                <w:sz w:val="20"/>
                <w:szCs w:val="20"/>
                <w:highlight w:val="yellow"/>
              </w:rPr>
            </w:pPr>
            <w:r w:rsidRPr="00A13DC2">
              <w:rPr>
                <w:b/>
                <w:bCs/>
                <w:color w:val="000000"/>
                <w:sz w:val="20"/>
                <w:szCs w:val="20"/>
              </w:rPr>
              <w:t>[2.429, 39.654]</w:t>
            </w:r>
          </w:p>
        </w:tc>
      </w:tr>
      <w:tr w:rsidR="00D9593D" w:rsidRPr="00452304" w14:paraId="7E601B25" w14:textId="77777777" w:rsidTr="00D9593D">
        <w:trPr>
          <w:trHeight w:val="320"/>
        </w:trPr>
        <w:tc>
          <w:tcPr>
            <w:tcW w:w="1094" w:type="dxa"/>
            <w:vMerge/>
            <w:tcBorders>
              <w:left w:val="nil"/>
              <w:right w:val="nil"/>
            </w:tcBorders>
          </w:tcPr>
          <w:p w14:paraId="176FA4DB"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1141E95"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6BE5F65E"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702975D9" w14:textId="05F41BC5"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20.322</w:t>
            </w:r>
          </w:p>
        </w:tc>
        <w:tc>
          <w:tcPr>
            <w:tcW w:w="972" w:type="dxa"/>
            <w:vMerge w:val="restart"/>
            <w:tcBorders>
              <w:top w:val="single" w:sz="4" w:space="0" w:color="auto"/>
              <w:left w:val="nil"/>
              <w:right w:val="nil"/>
            </w:tcBorders>
            <w:noWrap/>
            <w:vAlign w:val="center"/>
          </w:tcPr>
          <w:p w14:paraId="019AEFDC" w14:textId="77777777" w:rsidR="00D9593D" w:rsidRPr="00D9593D" w:rsidRDefault="00D9593D" w:rsidP="00D9593D">
            <w:pPr>
              <w:spacing w:after="0" w:line="240" w:lineRule="auto"/>
              <w:jc w:val="right"/>
              <w:rPr>
                <w:color w:val="000000"/>
                <w:sz w:val="20"/>
                <w:szCs w:val="20"/>
              </w:rPr>
            </w:pPr>
            <w:r w:rsidRPr="00D9593D">
              <w:rPr>
                <w:color w:val="000000"/>
                <w:sz w:val="20"/>
                <w:szCs w:val="20"/>
              </w:rPr>
              <w:t>-0.171</w:t>
            </w:r>
          </w:p>
        </w:tc>
        <w:tc>
          <w:tcPr>
            <w:tcW w:w="939" w:type="dxa"/>
            <w:vMerge w:val="restart"/>
            <w:tcBorders>
              <w:top w:val="single" w:sz="4" w:space="0" w:color="auto"/>
              <w:left w:val="nil"/>
              <w:right w:val="nil"/>
            </w:tcBorders>
            <w:noWrap/>
            <w:vAlign w:val="center"/>
          </w:tcPr>
          <w:p w14:paraId="2FF07F4C" w14:textId="77777777" w:rsidR="00D9593D" w:rsidRPr="00D9593D" w:rsidRDefault="00D9593D" w:rsidP="00D9593D">
            <w:pPr>
              <w:spacing w:after="0" w:line="240" w:lineRule="auto"/>
              <w:jc w:val="right"/>
              <w:rPr>
                <w:color w:val="000000"/>
                <w:sz w:val="20"/>
                <w:szCs w:val="20"/>
              </w:rPr>
            </w:pPr>
            <w:r w:rsidRPr="00D9593D">
              <w:rPr>
                <w:color w:val="000000"/>
                <w:sz w:val="20"/>
                <w:szCs w:val="20"/>
              </w:rPr>
              <w:t>0.864</w:t>
            </w:r>
          </w:p>
        </w:tc>
        <w:tc>
          <w:tcPr>
            <w:tcW w:w="1857" w:type="dxa"/>
            <w:tcBorders>
              <w:top w:val="single" w:sz="4" w:space="0" w:color="auto"/>
              <w:left w:val="nil"/>
              <w:bottom w:val="nil"/>
              <w:right w:val="nil"/>
            </w:tcBorders>
            <w:noWrap/>
            <w:vAlign w:val="center"/>
          </w:tcPr>
          <w:p w14:paraId="38505F2D" w14:textId="50FB6CD9"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[0.803, 43.476]</w:t>
            </w:r>
          </w:p>
        </w:tc>
      </w:tr>
      <w:tr w:rsidR="00D9593D" w:rsidRPr="00452304" w14:paraId="3BACCF75" w14:textId="77777777" w:rsidTr="00D9593D">
        <w:trPr>
          <w:trHeight w:val="320"/>
        </w:trPr>
        <w:tc>
          <w:tcPr>
            <w:tcW w:w="1094" w:type="dxa"/>
            <w:vMerge/>
            <w:tcBorders>
              <w:left w:val="nil"/>
              <w:right w:val="nil"/>
            </w:tcBorders>
          </w:tcPr>
          <w:p w14:paraId="47FE6236"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50A908E" w14:textId="77777777" w:rsidR="00D9593D" w:rsidRPr="00452304" w:rsidRDefault="00D9593D" w:rsidP="00D9593D">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1585063"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34108D4E" w14:textId="464E2CDC"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19.125</w:t>
            </w:r>
          </w:p>
        </w:tc>
        <w:tc>
          <w:tcPr>
            <w:tcW w:w="972" w:type="dxa"/>
            <w:vMerge/>
            <w:tcBorders>
              <w:left w:val="nil"/>
              <w:bottom w:val="single" w:sz="4" w:space="0" w:color="auto"/>
              <w:right w:val="nil"/>
            </w:tcBorders>
            <w:noWrap/>
            <w:vAlign w:val="center"/>
          </w:tcPr>
          <w:p w14:paraId="7A09AAAC" w14:textId="77777777" w:rsidR="00D9593D" w:rsidRPr="00D9593D" w:rsidRDefault="00D9593D" w:rsidP="00D9593D">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5FE57CCF" w14:textId="77777777" w:rsidR="00D9593D" w:rsidRPr="00D9593D" w:rsidRDefault="00D9593D" w:rsidP="00D9593D">
            <w:pPr>
              <w:spacing w:after="0" w:line="240" w:lineRule="auto"/>
              <w:jc w:val="right"/>
              <w:rPr>
                <w:color w:val="000000"/>
                <w:sz w:val="20"/>
                <w:szCs w:val="20"/>
              </w:rPr>
            </w:pPr>
          </w:p>
        </w:tc>
        <w:tc>
          <w:tcPr>
            <w:tcW w:w="1857" w:type="dxa"/>
            <w:tcBorders>
              <w:top w:val="nil"/>
              <w:left w:val="nil"/>
              <w:bottom w:val="single" w:sz="4" w:space="0" w:color="auto"/>
              <w:right w:val="nil"/>
            </w:tcBorders>
            <w:noWrap/>
            <w:vAlign w:val="center"/>
          </w:tcPr>
          <w:p w14:paraId="01F1FE13" w14:textId="7D1B9CC7"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[1.511, 39.934]</w:t>
            </w:r>
          </w:p>
        </w:tc>
      </w:tr>
      <w:tr w:rsidR="00D9593D" w:rsidRPr="00452304" w14:paraId="5617A71A" w14:textId="77777777" w:rsidTr="00D9593D">
        <w:trPr>
          <w:trHeight w:val="320"/>
        </w:trPr>
        <w:tc>
          <w:tcPr>
            <w:tcW w:w="1094" w:type="dxa"/>
            <w:vMerge/>
            <w:tcBorders>
              <w:left w:val="nil"/>
              <w:right w:val="nil"/>
            </w:tcBorders>
          </w:tcPr>
          <w:p w14:paraId="6F9F89F4"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67C4D4D"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79AE5FF5"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31A423CE" w14:textId="0561129A" w:rsidR="00D9593D" w:rsidRPr="00A13DC2" w:rsidRDefault="00D9593D" w:rsidP="00D9593D">
            <w:pPr>
              <w:spacing w:after="0" w:line="240" w:lineRule="auto"/>
              <w:jc w:val="right"/>
              <w:rPr>
                <w:b/>
                <w:bCs/>
                <w:color w:val="000000"/>
                <w:sz w:val="20"/>
                <w:szCs w:val="20"/>
                <w:highlight w:val="yellow"/>
              </w:rPr>
            </w:pPr>
            <w:r w:rsidRPr="00A13DC2">
              <w:rPr>
                <w:b/>
                <w:bCs/>
                <w:color w:val="000000"/>
                <w:sz w:val="20"/>
                <w:szCs w:val="20"/>
              </w:rPr>
              <w:t>10.076</w:t>
            </w:r>
          </w:p>
        </w:tc>
        <w:tc>
          <w:tcPr>
            <w:tcW w:w="972" w:type="dxa"/>
            <w:vMerge w:val="restart"/>
            <w:tcBorders>
              <w:top w:val="single" w:sz="4" w:space="0" w:color="auto"/>
              <w:left w:val="nil"/>
              <w:right w:val="nil"/>
            </w:tcBorders>
            <w:noWrap/>
            <w:vAlign w:val="center"/>
          </w:tcPr>
          <w:p w14:paraId="00FE5B99" w14:textId="77777777" w:rsidR="00D9593D" w:rsidRPr="00A13DC2" w:rsidRDefault="00D9593D" w:rsidP="00D9593D">
            <w:pPr>
              <w:spacing w:after="0" w:line="240" w:lineRule="auto"/>
              <w:jc w:val="right"/>
              <w:rPr>
                <w:b/>
                <w:bCs/>
                <w:color w:val="000000"/>
                <w:sz w:val="20"/>
                <w:szCs w:val="20"/>
              </w:rPr>
            </w:pPr>
            <w:r w:rsidRPr="00A13DC2">
              <w:rPr>
                <w:b/>
                <w:bCs/>
                <w:color w:val="000000"/>
                <w:sz w:val="20"/>
                <w:szCs w:val="20"/>
              </w:rPr>
              <w:t>3.302</w:t>
            </w:r>
          </w:p>
        </w:tc>
        <w:tc>
          <w:tcPr>
            <w:tcW w:w="939" w:type="dxa"/>
            <w:vMerge w:val="restart"/>
            <w:tcBorders>
              <w:top w:val="single" w:sz="4" w:space="0" w:color="auto"/>
              <w:left w:val="nil"/>
              <w:right w:val="nil"/>
            </w:tcBorders>
            <w:noWrap/>
            <w:vAlign w:val="center"/>
          </w:tcPr>
          <w:p w14:paraId="390CB42E" w14:textId="77777777" w:rsidR="00D9593D" w:rsidRPr="00A13DC2" w:rsidRDefault="00D9593D" w:rsidP="00D9593D">
            <w:pPr>
              <w:spacing w:after="0" w:line="240" w:lineRule="auto"/>
              <w:jc w:val="right"/>
              <w:rPr>
                <w:b/>
                <w:bCs/>
                <w:color w:val="000000"/>
                <w:sz w:val="20"/>
                <w:szCs w:val="20"/>
              </w:rPr>
            </w:pPr>
            <w:r w:rsidRPr="00A13DC2">
              <w:rPr>
                <w:b/>
                <w:bCs/>
                <w:color w:val="000000"/>
                <w:sz w:val="20"/>
                <w:szCs w:val="20"/>
              </w:rPr>
              <w:t>0.001</w:t>
            </w:r>
          </w:p>
        </w:tc>
        <w:tc>
          <w:tcPr>
            <w:tcW w:w="1857" w:type="dxa"/>
            <w:tcBorders>
              <w:top w:val="single" w:sz="4" w:space="0" w:color="auto"/>
              <w:left w:val="nil"/>
              <w:bottom w:val="nil"/>
              <w:right w:val="nil"/>
            </w:tcBorders>
            <w:noWrap/>
            <w:vAlign w:val="center"/>
          </w:tcPr>
          <w:p w14:paraId="37691A03" w14:textId="529483D6" w:rsidR="00D9593D" w:rsidRPr="00A13DC2" w:rsidRDefault="00D9593D" w:rsidP="00D9593D">
            <w:pPr>
              <w:spacing w:after="0" w:line="240" w:lineRule="auto"/>
              <w:jc w:val="right"/>
              <w:rPr>
                <w:b/>
                <w:bCs/>
                <w:color w:val="000000"/>
                <w:sz w:val="20"/>
                <w:szCs w:val="20"/>
                <w:highlight w:val="yellow"/>
              </w:rPr>
            </w:pPr>
            <w:r w:rsidRPr="00A13DC2">
              <w:rPr>
                <w:b/>
                <w:bCs/>
                <w:color w:val="000000"/>
                <w:sz w:val="20"/>
                <w:szCs w:val="20"/>
              </w:rPr>
              <w:t>[-6.947, 30.213]</w:t>
            </w:r>
          </w:p>
        </w:tc>
      </w:tr>
      <w:tr w:rsidR="00D9593D" w:rsidRPr="00452304" w14:paraId="0EB7849A" w14:textId="77777777" w:rsidTr="00D9593D">
        <w:trPr>
          <w:trHeight w:val="320"/>
        </w:trPr>
        <w:tc>
          <w:tcPr>
            <w:tcW w:w="1094" w:type="dxa"/>
            <w:vMerge/>
            <w:tcBorders>
              <w:left w:val="nil"/>
              <w:bottom w:val="single" w:sz="4" w:space="0" w:color="auto"/>
              <w:right w:val="nil"/>
            </w:tcBorders>
          </w:tcPr>
          <w:p w14:paraId="64726B42"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489A283" w14:textId="77777777" w:rsidR="00D9593D" w:rsidRPr="00452304" w:rsidRDefault="00D9593D" w:rsidP="00D9593D">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F2C45C4"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607D69A9" w14:textId="16EE1C01" w:rsidR="00D9593D" w:rsidRPr="00A13DC2" w:rsidRDefault="00D9593D" w:rsidP="00D9593D">
            <w:pPr>
              <w:spacing w:after="0" w:line="240" w:lineRule="auto"/>
              <w:jc w:val="right"/>
              <w:rPr>
                <w:b/>
                <w:bCs/>
                <w:color w:val="000000"/>
                <w:sz w:val="20"/>
                <w:szCs w:val="20"/>
                <w:highlight w:val="yellow"/>
              </w:rPr>
            </w:pPr>
            <w:r w:rsidRPr="00A13DC2">
              <w:rPr>
                <w:b/>
                <w:bCs/>
                <w:color w:val="000000"/>
                <w:sz w:val="20"/>
                <w:szCs w:val="20"/>
              </w:rPr>
              <w:t>32.711</w:t>
            </w:r>
          </w:p>
        </w:tc>
        <w:tc>
          <w:tcPr>
            <w:tcW w:w="972" w:type="dxa"/>
            <w:vMerge/>
            <w:tcBorders>
              <w:left w:val="nil"/>
              <w:bottom w:val="single" w:sz="4" w:space="0" w:color="auto"/>
              <w:right w:val="nil"/>
            </w:tcBorders>
            <w:noWrap/>
            <w:vAlign w:val="center"/>
          </w:tcPr>
          <w:p w14:paraId="464B632B" w14:textId="77777777" w:rsidR="00D9593D" w:rsidRPr="00A13DC2" w:rsidRDefault="00D9593D" w:rsidP="00D9593D">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55283C3D" w14:textId="77777777" w:rsidR="00D9593D" w:rsidRPr="00A13DC2" w:rsidRDefault="00D9593D" w:rsidP="00D9593D">
            <w:pPr>
              <w:spacing w:after="0" w:line="240" w:lineRule="auto"/>
              <w:jc w:val="right"/>
              <w:rPr>
                <w:b/>
                <w:bCs/>
                <w:color w:val="000000"/>
                <w:sz w:val="20"/>
                <w:szCs w:val="20"/>
                <w:highlight w:val="yellow"/>
              </w:rPr>
            </w:pPr>
          </w:p>
        </w:tc>
        <w:tc>
          <w:tcPr>
            <w:tcW w:w="1857" w:type="dxa"/>
            <w:tcBorders>
              <w:top w:val="nil"/>
              <w:left w:val="nil"/>
              <w:bottom w:val="single" w:sz="4" w:space="0" w:color="auto"/>
              <w:right w:val="nil"/>
            </w:tcBorders>
            <w:noWrap/>
            <w:vAlign w:val="center"/>
          </w:tcPr>
          <w:p w14:paraId="039BE547" w14:textId="5DD93D9A" w:rsidR="00D9593D" w:rsidRPr="00A13DC2" w:rsidRDefault="00D9593D" w:rsidP="00D9593D">
            <w:pPr>
              <w:spacing w:after="0" w:line="240" w:lineRule="auto"/>
              <w:jc w:val="right"/>
              <w:rPr>
                <w:b/>
                <w:bCs/>
                <w:color w:val="000000"/>
                <w:sz w:val="20"/>
                <w:szCs w:val="20"/>
                <w:highlight w:val="yellow"/>
              </w:rPr>
            </w:pPr>
            <w:r w:rsidRPr="00A13DC2">
              <w:rPr>
                <w:b/>
                <w:bCs/>
                <w:color w:val="000000"/>
                <w:sz w:val="20"/>
                <w:szCs w:val="20"/>
              </w:rPr>
              <w:t>[13.769, 54.651]</w:t>
            </w:r>
          </w:p>
        </w:tc>
      </w:tr>
      <w:tr w:rsidR="00D9593D" w:rsidRPr="00452304" w14:paraId="1BA6B3CD" w14:textId="77777777" w:rsidTr="00D9593D">
        <w:trPr>
          <w:trHeight w:val="320"/>
        </w:trPr>
        <w:tc>
          <w:tcPr>
            <w:tcW w:w="1094" w:type="dxa"/>
            <w:vMerge w:val="restart"/>
            <w:tcBorders>
              <w:top w:val="single" w:sz="4" w:space="0" w:color="auto"/>
              <w:left w:val="nil"/>
              <w:right w:val="nil"/>
            </w:tcBorders>
            <w:vAlign w:val="center"/>
          </w:tcPr>
          <w:p w14:paraId="3166B714" w14:textId="77777777" w:rsidR="00D9593D" w:rsidRPr="009D19EF" w:rsidRDefault="00D9593D" w:rsidP="00D9593D">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PNUE</w:t>
            </w:r>
          </w:p>
        </w:tc>
        <w:tc>
          <w:tcPr>
            <w:tcW w:w="1178" w:type="dxa"/>
            <w:vMerge w:val="restart"/>
            <w:tcBorders>
              <w:top w:val="single" w:sz="4" w:space="0" w:color="auto"/>
              <w:left w:val="nil"/>
              <w:right w:val="nil"/>
            </w:tcBorders>
            <w:noWrap/>
            <w:vAlign w:val="center"/>
          </w:tcPr>
          <w:p w14:paraId="4C8A3768"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6D7C7303"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5A5518F3" w14:textId="0AB2EC7B"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-10.774</w:t>
            </w:r>
          </w:p>
        </w:tc>
        <w:tc>
          <w:tcPr>
            <w:tcW w:w="972" w:type="dxa"/>
            <w:vMerge w:val="restart"/>
            <w:tcBorders>
              <w:top w:val="single" w:sz="4" w:space="0" w:color="auto"/>
              <w:left w:val="nil"/>
              <w:right w:val="nil"/>
            </w:tcBorders>
            <w:noWrap/>
            <w:vAlign w:val="center"/>
          </w:tcPr>
          <w:p w14:paraId="0DAAFA79" w14:textId="2A2E19A8"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3.705</w:t>
            </w:r>
          </w:p>
        </w:tc>
        <w:tc>
          <w:tcPr>
            <w:tcW w:w="939" w:type="dxa"/>
            <w:vMerge w:val="restart"/>
            <w:tcBorders>
              <w:top w:val="single" w:sz="4" w:space="0" w:color="auto"/>
              <w:left w:val="nil"/>
              <w:right w:val="nil"/>
            </w:tcBorders>
            <w:noWrap/>
            <w:vAlign w:val="center"/>
          </w:tcPr>
          <w:p w14:paraId="73579F6A" w14:textId="6A32CF90"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&lt;0.001</w:t>
            </w:r>
          </w:p>
        </w:tc>
        <w:tc>
          <w:tcPr>
            <w:tcW w:w="1857" w:type="dxa"/>
            <w:tcBorders>
              <w:top w:val="single" w:sz="4" w:space="0" w:color="auto"/>
              <w:left w:val="nil"/>
              <w:bottom w:val="nil"/>
              <w:right w:val="nil"/>
            </w:tcBorders>
            <w:noWrap/>
            <w:vAlign w:val="center"/>
          </w:tcPr>
          <w:p w14:paraId="038B8CD7" w14:textId="61EE83F5"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[-28.965, 12.075]</w:t>
            </w:r>
          </w:p>
        </w:tc>
      </w:tr>
      <w:tr w:rsidR="00D9593D" w:rsidRPr="00452304" w14:paraId="58540681" w14:textId="77777777" w:rsidTr="00D9593D">
        <w:trPr>
          <w:trHeight w:val="320"/>
        </w:trPr>
        <w:tc>
          <w:tcPr>
            <w:tcW w:w="1094" w:type="dxa"/>
            <w:vMerge/>
            <w:tcBorders>
              <w:left w:val="nil"/>
              <w:right w:val="nil"/>
            </w:tcBorders>
            <w:vAlign w:val="center"/>
          </w:tcPr>
          <w:p w14:paraId="654C92F1"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5AE0EBA" w14:textId="77777777" w:rsidR="00D9593D" w:rsidRPr="00452304" w:rsidRDefault="00D9593D" w:rsidP="00D9593D">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177D3FB"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2D0C18EE" w14:textId="2A337964"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10.849</w:t>
            </w:r>
          </w:p>
        </w:tc>
        <w:tc>
          <w:tcPr>
            <w:tcW w:w="972" w:type="dxa"/>
            <w:vMerge/>
            <w:tcBorders>
              <w:left w:val="nil"/>
              <w:bottom w:val="single" w:sz="4" w:space="0" w:color="auto"/>
              <w:right w:val="nil"/>
            </w:tcBorders>
            <w:noWrap/>
            <w:vAlign w:val="center"/>
          </w:tcPr>
          <w:p w14:paraId="442526A5" w14:textId="77777777" w:rsidR="00D9593D" w:rsidRPr="00D9593D" w:rsidRDefault="00D9593D" w:rsidP="00D9593D">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60486D05" w14:textId="77777777" w:rsidR="00D9593D" w:rsidRPr="00D9593D" w:rsidRDefault="00D9593D" w:rsidP="00D9593D">
            <w:pPr>
              <w:spacing w:after="0" w:line="240" w:lineRule="auto"/>
              <w:jc w:val="right"/>
              <w:rPr>
                <w:b/>
                <w:bCs/>
                <w:color w:val="000000"/>
                <w:sz w:val="20"/>
                <w:szCs w:val="20"/>
                <w:highlight w:val="yellow"/>
              </w:rPr>
            </w:pPr>
          </w:p>
        </w:tc>
        <w:tc>
          <w:tcPr>
            <w:tcW w:w="1857" w:type="dxa"/>
            <w:tcBorders>
              <w:top w:val="nil"/>
              <w:left w:val="nil"/>
              <w:bottom w:val="single" w:sz="4" w:space="0" w:color="auto"/>
              <w:right w:val="nil"/>
            </w:tcBorders>
            <w:noWrap/>
            <w:vAlign w:val="center"/>
          </w:tcPr>
          <w:p w14:paraId="558B33EE" w14:textId="0FF7963B"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[-9.787, 36.343]</w:t>
            </w:r>
          </w:p>
        </w:tc>
      </w:tr>
      <w:tr w:rsidR="00D9593D" w:rsidRPr="00452304" w14:paraId="0DFD44AA" w14:textId="77777777" w:rsidTr="00D9593D">
        <w:trPr>
          <w:trHeight w:val="320"/>
        </w:trPr>
        <w:tc>
          <w:tcPr>
            <w:tcW w:w="1094" w:type="dxa"/>
            <w:vMerge/>
            <w:tcBorders>
              <w:left w:val="nil"/>
              <w:right w:val="nil"/>
            </w:tcBorders>
            <w:vAlign w:val="center"/>
          </w:tcPr>
          <w:p w14:paraId="2A8A62EC"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A01CC55"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52088F20"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2D67ABF2" w14:textId="7E5FD18D"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17.704</w:t>
            </w:r>
          </w:p>
        </w:tc>
        <w:tc>
          <w:tcPr>
            <w:tcW w:w="972" w:type="dxa"/>
            <w:vMerge w:val="restart"/>
            <w:tcBorders>
              <w:top w:val="single" w:sz="4" w:space="0" w:color="auto"/>
              <w:left w:val="nil"/>
              <w:right w:val="nil"/>
            </w:tcBorders>
            <w:noWrap/>
            <w:vAlign w:val="center"/>
          </w:tcPr>
          <w:p w14:paraId="7D3C3D46" w14:textId="1DA7389F"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0.063</w:t>
            </w:r>
          </w:p>
        </w:tc>
        <w:tc>
          <w:tcPr>
            <w:tcW w:w="939" w:type="dxa"/>
            <w:vMerge w:val="restart"/>
            <w:tcBorders>
              <w:top w:val="single" w:sz="4" w:space="0" w:color="auto"/>
              <w:left w:val="nil"/>
              <w:right w:val="nil"/>
            </w:tcBorders>
            <w:noWrap/>
            <w:vAlign w:val="center"/>
          </w:tcPr>
          <w:p w14:paraId="0B07A8E2" w14:textId="41CF66E6"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0.95</w:t>
            </w:r>
            <w:r>
              <w:rPr>
                <w:color w:val="000000"/>
                <w:sz w:val="20"/>
                <w:szCs w:val="20"/>
              </w:rPr>
              <w:t>0</w:t>
            </w:r>
          </w:p>
        </w:tc>
        <w:tc>
          <w:tcPr>
            <w:tcW w:w="1857" w:type="dxa"/>
            <w:tcBorders>
              <w:top w:val="single" w:sz="4" w:space="0" w:color="auto"/>
              <w:left w:val="nil"/>
              <w:bottom w:val="nil"/>
              <w:right w:val="nil"/>
            </w:tcBorders>
            <w:noWrap/>
            <w:vAlign w:val="center"/>
          </w:tcPr>
          <w:p w14:paraId="3FE6A2B8" w14:textId="6117AA86"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[-7.411, 49.631]</w:t>
            </w:r>
          </w:p>
        </w:tc>
      </w:tr>
      <w:tr w:rsidR="00D9593D" w:rsidRPr="00452304" w14:paraId="2002A3F2" w14:textId="77777777" w:rsidTr="00D9593D">
        <w:trPr>
          <w:trHeight w:val="320"/>
        </w:trPr>
        <w:tc>
          <w:tcPr>
            <w:tcW w:w="1094" w:type="dxa"/>
            <w:vMerge/>
            <w:tcBorders>
              <w:left w:val="nil"/>
              <w:right w:val="nil"/>
            </w:tcBorders>
            <w:vAlign w:val="center"/>
          </w:tcPr>
          <w:p w14:paraId="483FDCBD"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504143A" w14:textId="77777777" w:rsidR="00D9593D" w:rsidRPr="00452304" w:rsidRDefault="00D9593D" w:rsidP="00D9593D">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888DF8C"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55F4B59B" w14:textId="6B02D396"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18.175</w:t>
            </w:r>
          </w:p>
        </w:tc>
        <w:tc>
          <w:tcPr>
            <w:tcW w:w="972" w:type="dxa"/>
            <w:vMerge/>
            <w:tcBorders>
              <w:left w:val="nil"/>
              <w:bottom w:val="single" w:sz="4" w:space="0" w:color="auto"/>
              <w:right w:val="nil"/>
            </w:tcBorders>
            <w:noWrap/>
            <w:vAlign w:val="center"/>
          </w:tcPr>
          <w:p w14:paraId="27E7DA8B" w14:textId="77777777" w:rsidR="00D9593D" w:rsidRPr="00D9593D" w:rsidRDefault="00D9593D" w:rsidP="00D9593D">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04B7DB2B" w14:textId="77777777" w:rsidR="00D9593D" w:rsidRPr="00D9593D" w:rsidRDefault="00D9593D" w:rsidP="00D9593D">
            <w:pPr>
              <w:spacing w:after="0" w:line="240" w:lineRule="auto"/>
              <w:jc w:val="right"/>
              <w:rPr>
                <w:color w:val="000000"/>
                <w:sz w:val="20"/>
                <w:szCs w:val="20"/>
                <w:highlight w:val="yellow"/>
              </w:rPr>
            </w:pPr>
          </w:p>
        </w:tc>
        <w:tc>
          <w:tcPr>
            <w:tcW w:w="1857" w:type="dxa"/>
            <w:tcBorders>
              <w:top w:val="nil"/>
              <w:left w:val="nil"/>
              <w:bottom w:val="single" w:sz="4" w:space="0" w:color="auto"/>
              <w:right w:val="nil"/>
            </w:tcBorders>
            <w:noWrap/>
            <w:vAlign w:val="center"/>
          </w:tcPr>
          <w:p w14:paraId="1C5FBDD7" w14:textId="6456666B"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[-5.541, 47.698]</w:t>
            </w:r>
          </w:p>
        </w:tc>
      </w:tr>
      <w:tr w:rsidR="00D9593D" w:rsidRPr="00452304" w14:paraId="78D9CA0D" w14:textId="77777777" w:rsidTr="00D9593D">
        <w:trPr>
          <w:trHeight w:val="320"/>
        </w:trPr>
        <w:tc>
          <w:tcPr>
            <w:tcW w:w="1094" w:type="dxa"/>
            <w:vMerge/>
            <w:tcBorders>
              <w:left w:val="nil"/>
              <w:right w:val="nil"/>
            </w:tcBorders>
            <w:vAlign w:val="center"/>
          </w:tcPr>
          <w:p w14:paraId="20582F4B"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721B0272"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1139C415"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7024060F" w14:textId="411D32BF"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24.483</w:t>
            </w:r>
          </w:p>
        </w:tc>
        <w:tc>
          <w:tcPr>
            <w:tcW w:w="972" w:type="dxa"/>
            <w:vMerge w:val="restart"/>
            <w:tcBorders>
              <w:top w:val="single" w:sz="4" w:space="0" w:color="auto"/>
              <w:left w:val="nil"/>
              <w:right w:val="nil"/>
            </w:tcBorders>
            <w:noWrap/>
            <w:vAlign w:val="center"/>
          </w:tcPr>
          <w:p w14:paraId="310962A3" w14:textId="1F128341"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-0.665</w:t>
            </w:r>
          </w:p>
        </w:tc>
        <w:tc>
          <w:tcPr>
            <w:tcW w:w="939" w:type="dxa"/>
            <w:vMerge w:val="restart"/>
            <w:tcBorders>
              <w:top w:val="single" w:sz="4" w:space="0" w:color="auto"/>
              <w:left w:val="nil"/>
              <w:right w:val="nil"/>
            </w:tcBorders>
            <w:noWrap/>
            <w:vAlign w:val="center"/>
          </w:tcPr>
          <w:p w14:paraId="5019E45A" w14:textId="18E8F63B"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0.506</w:t>
            </w:r>
          </w:p>
        </w:tc>
        <w:tc>
          <w:tcPr>
            <w:tcW w:w="1857" w:type="dxa"/>
            <w:tcBorders>
              <w:top w:val="single" w:sz="4" w:space="0" w:color="auto"/>
              <w:left w:val="nil"/>
              <w:bottom w:val="nil"/>
              <w:right w:val="nil"/>
            </w:tcBorders>
            <w:noWrap/>
            <w:vAlign w:val="center"/>
          </w:tcPr>
          <w:p w14:paraId="0C5A2212" w14:textId="698FC533"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[-12.628, 77.181]</w:t>
            </w:r>
          </w:p>
        </w:tc>
      </w:tr>
      <w:tr w:rsidR="00D9593D" w:rsidRPr="00452304" w14:paraId="2A50800E" w14:textId="77777777" w:rsidTr="00D9593D">
        <w:trPr>
          <w:trHeight w:val="320"/>
        </w:trPr>
        <w:tc>
          <w:tcPr>
            <w:tcW w:w="1094" w:type="dxa"/>
            <w:vMerge/>
            <w:tcBorders>
              <w:left w:val="nil"/>
              <w:bottom w:val="single" w:sz="4" w:space="0" w:color="auto"/>
              <w:right w:val="nil"/>
            </w:tcBorders>
            <w:vAlign w:val="center"/>
          </w:tcPr>
          <w:p w14:paraId="562959CB"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B66B15E" w14:textId="77777777" w:rsidR="00D9593D" w:rsidRPr="00452304" w:rsidRDefault="00D9593D" w:rsidP="00D9593D">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DAF16D8"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410C6969" w14:textId="19AE3F61"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19.722</w:t>
            </w:r>
          </w:p>
        </w:tc>
        <w:tc>
          <w:tcPr>
            <w:tcW w:w="972" w:type="dxa"/>
            <w:vMerge/>
            <w:tcBorders>
              <w:left w:val="nil"/>
              <w:bottom w:val="single" w:sz="4" w:space="0" w:color="auto"/>
              <w:right w:val="nil"/>
            </w:tcBorders>
            <w:noWrap/>
            <w:vAlign w:val="center"/>
          </w:tcPr>
          <w:p w14:paraId="1434AE40" w14:textId="77777777" w:rsidR="00D9593D" w:rsidRPr="00D9593D" w:rsidRDefault="00D9593D" w:rsidP="00D9593D">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440D7D34" w14:textId="77777777" w:rsidR="00D9593D" w:rsidRPr="00D9593D" w:rsidRDefault="00D9593D" w:rsidP="00D9593D">
            <w:pPr>
              <w:spacing w:after="0" w:line="240" w:lineRule="auto"/>
              <w:jc w:val="right"/>
              <w:rPr>
                <w:color w:val="000000"/>
                <w:sz w:val="20"/>
                <w:szCs w:val="20"/>
                <w:highlight w:val="yellow"/>
              </w:rPr>
            </w:pPr>
          </w:p>
        </w:tc>
        <w:tc>
          <w:tcPr>
            <w:tcW w:w="1857" w:type="dxa"/>
            <w:tcBorders>
              <w:top w:val="nil"/>
              <w:left w:val="nil"/>
              <w:bottom w:val="single" w:sz="4" w:space="0" w:color="auto"/>
              <w:right w:val="nil"/>
            </w:tcBorders>
            <w:noWrap/>
            <w:vAlign w:val="center"/>
          </w:tcPr>
          <w:p w14:paraId="54891752" w14:textId="1D9669C9"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[-14.7</w:t>
            </w:r>
            <w:r>
              <w:rPr>
                <w:color w:val="000000"/>
                <w:sz w:val="20"/>
                <w:szCs w:val="20"/>
              </w:rPr>
              <w:t>00</w:t>
            </w:r>
            <w:r w:rsidRPr="00D9593D">
              <w:rPr>
                <w:color w:val="000000"/>
                <w:sz w:val="20"/>
                <w:szCs w:val="20"/>
              </w:rPr>
              <w:t>, 68.203]</w:t>
            </w:r>
          </w:p>
        </w:tc>
      </w:tr>
      <w:tr w:rsidR="00D9593D" w:rsidRPr="00452304" w14:paraId="49604DE9" w14:textId="77777777" w:rsidTr="00D9593D">
        <w:trPr>
          <w:trHeight w:val="320"/>
        </w:trPr>
        <w:tc>
          <w:tcPr>
            <w:tcW w:w="1094" w:type="dxa"/>
            <w:vMerge w:val="restart"/>
            <w:tcBorders>
              <w:top w:val="single" w:sz="4" w:space="0" w:color="auto"/>
              <w:left w:val="nil"/>
              <w:right w:val="nil"/>
            </w:tcBorders>
            <w:vAlign w:val="center"/>
          </w:tcPr>
          <w:p w14:paraId="6D4D55B3" w14:textId="77777777" w:rsidR="00D9593D" w:rsidRPr="009D19EF"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PPUE</w:t>
            </w:r>
          </w:p>
        </w:tc>
        <w:tc>
          <w:tcPr>
            <w:tcW w:w="1178" w:type="dxa"/>
            <w:vMerge w:val="restart"/>
            <w:tcBorders>
              <w:top w:val="single" w:sz="4" w:space="0" w:color="auto"/>
              <w:left w:val="nil"/>
              <w:right w:val="nil"/>
            </w:tcBorders>
            <w:noWrap/>
            <w:vAlign w:val="center"/>
          </w:tcPr>
          <w:p w14:paraId="4ADDB235"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360A7099"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498E7326" w14:textId="4FB490BA"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0.602</w:t>
            </w:r>
          </w:p>
        </w:tc>
        <w:tc>
          <w:tcPr>
            <w:tcW w:w="972" w:type="dxa"/>
            <w:vMerge w:val="restart"/>
            <w:tcBorders>
              <w:top w:val="single" w:sz="4" w:space="0" w:color="auto"/>
              <w:left w:val="nil"/>
              <w:right w:val="nil"/>
            </w:tcBorders>
            <w:noWrap/>
            <w:vAlign w:val="center"/>
          </w:tcPr>
          <w:p w14:paraId="78E46346" w14:textId="415CFAA1"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2.991</w:t>
            </w:r>
          </w:p>
        </w:tc>
        <w:tc>
          <w:tcPr>
            <w:tcW w:w="939" w:type="dxa"/>
            <w:vMerge w:val="restart"/>
            <w:tcBorders>
              <w:top w:val="single" w:sz="4" w:space="0" w:color="auto"/>
              <w:left w:val="nil"/>
              <w:right w:val="nil"/>
            </w:tcBorders>
            <w:noWrap/>
            <w:vAlign w:val="center"/>
          </w:tcPr>
          <w:p w14:paraId="6CC178E7" w14:textId="7283F52F"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0.003</w:t>
            </w:r>
          </w:p>
        </w:tc>
        <w:tc>
          <w:tcPr>
            <w:tcW w:w="1857" w:type="dxa"/>
            <w:tcBorders>
              <w:top w:val="single" w:sz="4" w:space="0" w:color="auto"/>
              <w:left w:val="nil"/>
              <w:bottom w:val="nil"/>
              <w:right w:val="nil"/>
            </w:tcBorders>
            <w:noWrap/>
            <w:vAlign w:val="center"/>
          </w:tcPr>
          <w:p w14:paraId="55481527" w14:textId="2098AFA1"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[-24.195, 33.643]</w:t>
            </w:r>
          </w:p>
        </w:tc>
      </w:tr>
      <w:tr w:rsidR="00D9593D" w:rsidRPr="00452304" w14:paraId="7AAD9E6D" w14:textId="77777777" w:rsidTr="00D9593D">
        <w:trPr>
          <w:trHeight w:val="320"/>
        </w:trPr>
        <w:tc>
          <w:tcPr>
            <w:tcW w:w="1094" w:type="dxa"/>
            <w:vMerge/>
            <w:tcBorders>
              <w:left w:val="nil"/>
              <w:right w:val="nil"/>
            </w:tcBorders>
          </w:tcPr>
          <w:p w14:paraId="0E99CE32"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D8812E1" w14:textId="77777777" w:rsidR="00D9593D" w:rsidRPr="00452304" w:rsidRDefault="00D9593D" w:rsidP="00D9593D">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8491CDA"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17E4AC3E" w14:textId="596F9BED"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28.018</w:t>
            </w:r>
          </w:p>
        </w:tc>
        <w:tc>
          <w:tcPr>
            <w:tcW w:w="972" w:type="dxa"/>
            <w:vMerge/>
            <w:tcBorders>
              <w:left w:val="nil"/>
              <w:bottom w:val="single" w:sz="4" w:space="0" w:color="auto"/>
              <w:right w:val="nil"/>
            </w:tcBorders>
            <w:noWrap/>
            <w:vAlign w:val="center"/>
          </w:tcPr>
          <w:p w14:paraId="3AB08038" w14:textId="77777777" w:rsidR="00D9593D" w:rsidRPr="00D9593D" w:rsidRDefault="00D9593D" w:rsidP="00D9593D">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2033B8F1" w14:textId="77777777" w:rsidR="00D9593D" w:rsidRPr="00D9593D" w:rsidRDefault="00D9593D" w:rsidP="00D9593D">
            <w:pPr>
              <w:spacing w:after="0" w:line="240" w:lineRule="auto"/>
              <w:jc w:val="right"/>
              <w:rPr>
                <w:b/>
                <w:bCs/>
                <w:color w:val="000000"/>
                <w:sz w:val="20"/>
                <w:szCs w:val="20"/>
                <w:highlight w:val="yellow"/>
              </w:rPr>
            </w:pPr>
          </w:p>
        </w:tc>
        <w:tc>
          <w:tcPr>
            <w:tcW w:w="1857" w:type="dxa"/>
            <w:tcBorders>
              <w:top w:val="nil"/>
              <w:left w:val="nil"/>
              <w:bottom w:val="single" w:sz="4" w:space="0" w:color="auto"/>
              <w:right w:val="nil"/>
            </w:tcBorders>
            <w:noWrap/>
            <w:vAlign w:val="center"/>
          </w:tcPr>
          <w:p w14:paraId="7B4AABCC" w14:textId="58AC33C7"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[0.100, 63.722]</w:t>
            </w:r>
          </w:p>
        </w:tc>
      </w:tr>
      <w:tr w:rsidR="00D9593D" w:rsidRPr="00452304" w14:paraId="493C3F1A" w14:textId="77777777" w:rsidTr="00D9593D">
        <w:trPr>
          <w:trHeight w:val="320"/>
        </w:trPr>
        <w:tc>
          <w:tcPr>
            <w:tcW w:w="1094" w:type="dxa"/>
            <w:vMerge/>
            <w:tcBorders>
              <w:left w:val="nil"/>
              <w:right w:val="nil"/>
            </w:tcBorders>
          </w:tcPr>
          <w:p w14:paraId="71A3BC66"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17F7830"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023288E8"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67BAD9FC" w14:textId="4DEB31B0"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-45.990</w:t>
            </w:r>
          </w:p>
        </w:tc>
        <w:tc>
          <w:tcPr>
            <w:tcW w:w="972" w:type="dxa"/>
            <w:vMerge w:val="restart"/>
            <w:tcBorders>
              <w:top w:val="single" w:sz="4" w:space="0" w:color="auto"/>
              <w:left w:val="nil"/>
              <w:right w:val="nil"/>
            </w:tcBorders>
            <w:noWrap/>
            <w:vAlign w:val="center"/>
          </w:tcPr>
          <w:p w14:paraId="0649911D" w14:textId="4CAB5700"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5.130</w:t>
            </w:r>
          </w:p>
        </w:tc>
        <w:tc>
          <w:tcPr>
            <w:tcW w:w="939" w:type="dxa"/>
            <w:vMerge w:val="restart"/>
            <w:tcBorders>
              <w:top w:val="single" w:sz="4" w:space="0" w:color="auto"/>
              <w:left w:val="nil"/>
              <w:right w:val="nil"/>
            </w:tcBorders>
            <w:noWrap/>
            <w:vAlign w:val="center"/>
          </w:tcPr>
          <w:p w14:paraId="4F50B39E" w14:textId="1BC11EB8"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&lt;0.001</w:t>
            </w:r>
          </w:p>
        </w:tc>
        <w:tc>
          <w:tcPr>
            <w:tcW w:w="1857" w:type="dxa"/>
            <w:tcBorders>
              <w:top w:val="single" w:sz="4" w:space="0" w:color="auto"/>
              <w:left w:val="nil"/>
              <w:bottom w:val="nil"/>
              <w:right w:val="nil"/>
            </w:tcBorders>
            <w:noWrap/>
            <w:vAlign w:val="center"/>
          </w:tcPr>
          <w:p w14:paraId="66078312" w14:textId="5A19154D"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[-63.175, -20.785]</w:t>
            </w:r>
          </w:p>
        </w:tc>
      </w:tr>
      <w:tr w:rsidR="00D9593D" w:rsidRPr="00452304" w14:paraId="7CB3FD9F" w14:textId="77777777" w:rsidTr="00D9593D">
        <w:trPr>
          <w:trHeight w:val="320"/>
        </w:trPr>
        <w:tc>
          <w:tcPr>
            <w:tcW w:w="1094" w:type="dxa"/>
            <w:vMerge/>
            <w:tcBorders>
              <w:left w:val="nil"/>
              <w:right w:val="nil"/>
            </w:tcBorders>
          </w:tcPr>
          <w:p w14:paraId="274DA210"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84EFC94" w14:textId="77777777" w:rsidR="00D9593D" w:rsidRPr="00452304" w:rsidRDefault="00D9593D" w:rsidP="00D9593D">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93C9F85"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65C07E6A" w14:textId="52DE0E45"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-12.190</w:t>
            </w:r>
          </w:p>
        </w:tc>
        <w:tc>
          <w:tcPr>
            <w:tcW w:w="972" w:type="dxa"/>
            <w:vMerge/>
            <w:tcBorders>
              <w:left w:val="nil"/>
              <w:bottom w:val="single" w:sz="4" w:space="0" w:color="auto"/>
              <w:right w:val="nil"/>
            </w:tcBorders>
            <w:noWrap/>
            <w:vAlign w:val="center"/>
          </w:tcPr>
          <w:p w14:paraId="24BEA531" w14:textId="77777777" w:rsidR="00D9593D" w:rsidRPr="00D9593D" w:rsidRDefault="00D9593D" w:rsidP="00D9593D">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40D405DE" w14:textId="77777777" w:rsidR="00D9593D" w:rsidRPr="00D9593D" w:rsidRDefault="00D9593D" w:rsidP="00D9593D">
            <w:pPr>
              <w:spacing w:after="0" w:line="240" w:lineRule="auto"/>
              <w:jc w:val="right"/>
              <w:rPr>
                <w:b/>
                <w:bCs/>
                <w:color w:val="000000"/>
                <w:sz w:val="20"/>
                <w:szCs w:val="20"/>
                <w:highlight w:val="yellow"/>
              </w:rPr>
            </w:pPr>
          </w:p>
        </w:tc>
        <w:tc>
          <w:tcPr>
            <w:tcW w:w="1857" w:type="dxa"/>
            <w:tcBorders>
              <w:top w:val="nil"/>
              <w:left w:val="nil"/>
              <w:bottom w:val="single" w:sz="4" w:space="0" w:color="auto"/>
              <w:right w:val="nil"/>
            </w:tcBorders>
            <w:noWrap/>
            <w:vAlign w:val="center"/>
          </w:tcPr>
          <w:p w14:paraId="20F1F0EA" w14:textId="7E7C5646"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[-37.998, 24.359]</w:t>
            </w:r>
          </w:p>
        </w:tc>
      </w:tr>
      <w:tr w:rsidR="00D9593D" w:rsidRPr="00452304" w14:paraId="50E1A9BE" w14:textId="77777777" w:rsidTr="00D9593D">
        <w:trPr>
          <w:trHeight w:val="320"/>
        </w:trPr>
        <w:tc>
          <w:tcPr>
            <w:tcW w:w="1094" w:type="dxa"/>
            <w:vMerge/>
            <w:tcBorders>
              <w:left w:val="nil"/>
              <w:right w:val="nil"/>
            </w:tcBorders>
          </w:tcPr>
          <w:p w14:paraId="2015BAF1"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7CB184E4"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41441AC2"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6CC36EF2" w14:textId="2BD64509"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-18.860</w:t>
            </w:r>
          </w:p>
        </w:tc>
        <w:tc>
          <w:tcPr>
            <w:tcW w:w="972" w:type="dxa"/>
            <w:vMerge w:val="restart"/>
            <w:tcBorders>
              <w:top w:val="single" w:sz="4" w:space="0" w:color="auto"/>
              <w:left w:val="nil"/>
              <w:right w:val="nil"/>
            </w:tcBorders>
            <w:noWrap/>
            <w:vAlign w:val="center"/>
          </w:tcPr>
          <w:p w14:paraId="20843E64" w14:textId="0B009F13"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2.182</w:t>
            </w:r>
          </w:p>
        </w:tc>
        <w:tc>
          <w:tcPr>
            <w:tcW w:w="939" w:type="dxa"/>
            <w:vMerge w:val="restart"/>
            <w:tcBorders>
              <w:top w:val="single" w:sz="4" w:space="0" w:color="auto"/>
              <w:left w:val="nil"/>
              <w:right w:val="nil"/>
            </w:tcBorders>
            <w:noWrap/>
            <w:vAlign w:val="center"/>
          </w:tcPr>
          <w:p w14:paraId="0C5A3B34" w14:textId="79A81F8D"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0.029</w:t>
            </w:r>
          </w:p>
        </w:tc>
        <w:tc>
          <w:tcPr>
            <w:tcW w:w="1857" w:type="dxa"/>
            <w:tcBorders>
              <w:top w:val="single" w:sz="4" w:space="0" w:color="auto"/>
              <w:left w:val="nil"/>
              <w:bottom w:val="nil"/>
              <w:right w:val="nil"/>
            </w:tcBorders>
            <w:noWrap/>
            <w:vAlign w:val="center"/>
          </w:tcPr>
          <w:p w14:paraId="7C9DE831" w14:textId="355E9BC1"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[-43.221, 15.835]</w:t>
            </w:r>
          </w:p>
        </w:tc>
      </w:tr>
      <w:tr w:rsidR="00D9593D" w:rsidRPr="00452304" w14:paraId="14869BB2" w14:textId="77777777" w:rsidTr="00D9593D">
        <w:trPr>
          <w:trHeight w:val="320"/>
        </w:trPr>
        <w:tc>
          <w:tcPr>
            <w:tcW w:w="1094" w:type="dxa"/>
            <w:vMerge/>
            <w:tcBorders>
              <w:left w:val="nil"/>
              <w:bottom w:val="single" w:sz="4" w:space="0" w:color="auto"/>
              <w:right w:val="nil"/>
            </w:tcBorders>
          </w:tcPr>
          <w:p w14:paraId="7C39C74B"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F9F9051" w14:textId="77777777" w:rsidR="00D9593D" w:rsidRPr="00452304" w:rsidRDefault="00D9593D" w:rsidP="00D9593D">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77047DF"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698204AF" w14:textId="6711A517"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-0.797</w:t>
            </w:r>
          </w:p>
        </w:tc>
        <w:tc>
          <w:tcPr>
            <w:tcW w:w="972" w:type="dxa"/>
            <w:vMerge/>
            <w:tcBorders>
              <w:left w:val="nil"/>
              <w:bottom w:val="single" w:sz="4" w:space="0" w:color="auto"/>
              <w:right w:val="nil"/>
            </w:tcBorders>
            <w:noWrap/>
            <w:vAlign w:val="center"/>
          </w:tcPr>
          <w:p w14:paraId="3BFAA323" w14:textId="77777777" w:rsidR="00D9593D" w:rsidRPr="00D9593D" w:rsidRDefault="00D9593D" w:rsidP="00D9593D">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19514F55" w14:textId="77777777" w:rsidR="00D9593D" w:rsidRPr="00D9593D" w:rsidRDefault="00D9593D" w:rsidP="00D9593D">
            <w:pPr>
              <w:spacing w:after="0" w:line="240" w:lineRule="auto"/>
              <w:jc w:val="right"/>
              <w:rPr>
                <w:b/>
                <w:bCs/>
                <w:color w:val="000000"/>
                <w:sz w:val="20"/>
                <w:szCs w:val="20"/>
                <w:highlight w:val="yellow"/>
              </w:rPr>
            </w:pPr>
          </w:p>
        </w:tc>
        <w:tc>
          <w:tcPr>
            <w:tcW w:w="1857" w:type="dxa"/>
            <w:tcBorders>
              <w:top w:val="nil"/>
              <w:left w:val="nil"/>
              <w:bottom w:val="single" w:sz="4" w:space="0" w:color="auto"/>
              <w:right w:val="nil"/>
            </w:tcBorders>
            <w:noWrap/>
            <w:vAlign w:val="center"/>
          </w:tcPr>
          <w:p w14:paraId="5F5D2CA5" w14:textId="128C0F39"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[-27.819, 36.479]</w:t>
            </w:r>
          </w:p>
        </w:tc>
      </w:tr>
    </w:tbl>
    <w:p w14:paraId="0B0FC8C5" w14:textId="6FAAA6EA" w:rsidR="00EA2123" w:rsidRDefault="001A23CA" w:rsidP="00EA2123">
      <w:pPr>
        <w:rPr>
          <w:iCs/>
        </w:rPr>
      </w:pPr>
      <w:r>
        <w:rPr>
          <w:vertAlign w:val="superscript"/>
        </w:rPr>
        <w:t>*</w:t>
      </w:r>
      <w:r>
        <w:t>Significant effects noted in bold font.</w:t>
      </w:r>
      <w:r w:rsidRPr="001A23CA">
        <w:t xml:space="preserve"> </w:t>
      </w:r>
      <w:r>
        <w:t>Model coefficients and 95% confidence interval ranges have been transformed to percent change to mimic figures. Key:</w:t>
      </w:r>
    </w:p>
    <w:p w14:paraId="7C9B9980" w14:textId="77777777" w:rsidR="00EA2123" w:rsidRDefault="00EA2123">
      <w:pPr>
        <w:rPr>
          <w:iCs/>
        </w:rPr>
      </w:pPr>
      <w:r>
        <w:rPr>
          <w:iCs/>
        </w:rPr>
        <w:br w:type="page"/>
      </w:r>
    </w:p>
    <w:p w14:paraId="30EB0C13" w14:textId="2299E76A" w:rsidR="00D52EF1" w:rsidRDefault="00D52EF1" w:rsidP="00D52EF1">
      <w:pPr>
        <w:rPr>
          <w:iCs/>
        </w:rPr>
      </w:pPr>
      <w:r>
        <w:rPr>
          <w:b/>
          <w:bCs/>
          <w:iCs/>
        </w:rPr>
        <w:lastRenderedPageBreak/>
        <w:t>Table S13</w:t>
      </w:r>
      <w:r>
        <w:rPr>
          <w:iCs/>
        </w:rPr>
        <w:t xml:space="preserve"> Photosynthetic pathway moderator effects on leaf photosynthetic responses to nutrient addition</w:t>
      </w:r>
    </w:p>
    <w:tbl>
      <w:tblPr>
        <w:tblW w:w="8190" w:type="dxa"/>
        <w:tblLook w:val="04A0" w:firstRow="1" w:lastRow="0" w:firstColumn="1" w:lastColumn="0" w:noHBand="0" w:noVBand="1"/>
      </w:tblPr>
      <w:tblGrid>
        <w:gridCol w:w="1094"/>
        <w:gridCol w:w="1178"/>
        <w:gridCol w:w="1227"/>
        <w:gridCol w:w="833"/>
        <w:gridCol w:w="972"/>
        <w:gridCol w:w="939"/>
        <w:gridCol w:w="1947"/>
      </w:tblGrid>
      <w:tr w:rsidR="00D52EF1" w:rsidRPr="00452304" w14:paraId="4018D645" w14:textId="77777777" w:rsidTr="00B72AF6">
        <w:trPr>
          <w:trHeight w:val="320"/>
        </w:trPr>
        <w:tc>
          <w:tcPr>
            <w:tcW w:w="1094" w:type="dxa"/>
            <w:tcBorders>
              <w:top w:val="single" w:sz="4" w:space="0" w:color="auto"/>
              <w:left w:val="nil"/>
              <w:bottom w:val="single" w:sz="4" w:space="0" w:color="auto"/>
              <w:right w:val="nil"/>
            </w:tcBorders>
            <w:vAlign w:val="center"/>
          </w:tcPr>
          <w:p w14:paraId="443B0F57" w14:textId="77777777" w:rsidR="00D52EF1" w:rsidRPr="008825E3" w:rsidRDefault="00D52EF1" w:rsidP="006127B4">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28C85FAA" w14:textId="77777777" w:rsidR="00D52EF1" w:rsidRPr="00452304" w:rsidRDefault="00D52EF1" w:rsidP="006127B4">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2A0AB52E" w14:textId="77777777" w:rsidR="00D52EF1" w:rsidRPr="00452304" w:rsidRDefault="00D52EF1" w:rsidP="006127B4">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833" w:type="dxa"/>
            <w:tcBorders>
              <w:top w:val="single" w:sz="4" w:space="0" w:color="auto"/>
              <w:left w:val="nil"/>
              <w:bottom w:val="single" w:sz="4" w:space="0" w:color="auto"/>
              <w:right w:val="nil"/>
            </w:tcBorders>
            <w:noWrap/>
            <w:vAlign w:val="center"/>
            <w:hideMark/>
          </w:tcPr>
          <w:p w14:paraId="77D576EE" w14:textId="77777777" w:rsidR="00D52EF1" w:rsidRPr="00452304" w:rsidRDefault="00D52EF1" w:rsidP="006127B4">
            <w:pPr>
              <w:spacing w:after="0" w:line="240" w:lineRule="auto"/>
              <w:rPr>
                <w:b/>
                <w:bCs/>
                <w:sz w:val="20"/>
                <w:szCs w:val="20"/>
              </w:rPr>
            </w:pPr>
            <w:r w:rsidRPr="008825E3">
              <w:rPr>
                <w:b/>
                <w:bCs/>
                <w:sz w:val="20"/>
                <w:szCs w:val="20"/>
              </w:rPr>
              <w:t>Coef</w:t>
            </w:r>
            <w:r>
              <w:rPr>
                <w:b/>
                <w:bCs/>
                <w:sz w:val="20"/>
                <w:szCs w:val="20"/>
              </w:rPr>
              <w:t>.</w:t>
            </w:r>
          </w:p>
        </w:tc>
        <w:tc>
          <w:tcPr>
            <w:tcW w:w="972" w:type="dxa"/>
            <w:tcBorders>
              <w:top w:val="single" w:sz="4" w:space="0" w:color="auto"/>
              <w:left w:val="nil"/>
              <w:bottom w:val="single" w:sz="4" w:space="0" w:color="auto"/>
              <w:right w:val="nil"/>
            </w:tcBorders>
            <w:noWrap/>
            <w:vAlign w:val="center"/>
            <w:hideMark/>
          </w:tcPr>
          <w:p w14:paraId="534084C4" w14:textId="77777777" w:rsidR="00D52EF1" w:rsidRPr="00452304" w:rsidRDefault="00D52EF1" w:rsidP="006127B4">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6D323A3A" w14:textId="77777777" w:rsidR="00D52EF1" w:rsidRPr="00452304" w:rsidRDefault="00D52EF1" w:rsidP="006127B4">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947" w:type="dxa"/>
            <w:tcBorders>
              <w:top w:val="single" w:sz="4" w:space="0" w:color="auto"/>
              <w:left w:val="nil"/>
              <w:bottom w:val="single" w:sz="4" w:space="0" w:color="auto"/>
              <w:right w:val="nil"/>
            </w:tcBorders>
            <w:noWrap/>
            <w:vAlign w:val="center"/>
            <w:hideMark/>
          </w:tcPr>
          <w:p w14:paraId="3AF0B9E8" w14:textId="77777777" w:rsidR="00D52EF1" w:rsidRPr="00452304" w:rsidRDefault="00D52EF1" w:rsidP="006127B4">
            <w:pPr>
              <w:spacing w:after="0" w:line="240" w:lineRule="auto"/>
              <w:rPr>
                <w:b/>
                <w:bCs/>
                <w:sz w:val="20"/>
                <w:szCs w:val="20"/>
              </w:rPr>
            </w:pPr>
            <w:r w:rsidRPr="008825E3">
              <w:rPr>
                <w:b/>
                <w:bCs/>
                <w:sz w:val="20"/>
                <w:szCs w:val="20"/>
              </w:rPr>
              <w:t>95% CI</w:t>
            </w:r>
          </w:p>
        </w:tc>
      </w:tr>
      <w:tr w:rsidR="00A56843" w:rsidRPr="00452304" w14:paraId="591AB6A1" w14:textId="77777777" w:rsidTr="00A56843">
        <w:trPr>
          <w:trHeight w:val="320"/>
        </w:trPr>
        <w:tc>
          <w:tcPr>
            <w:tcW w:w="1094" w:type="dxa"/>
            <w:vMerge w:val="restart"/>
            <w:tcBorders>
              <w:top w:val="single" w:sz="4" w:space="0" w:color="auto"/>
              <w:left w:val="nil"/>
              <w:right w:val="nil"/>
            </w:tcBorders>
            <w:vAlign w:val="center"/>
          </w:tcPr>
          <w:p w14:paraId="13E0D881" w14:textId="77777777" w:rsidR="00A56843" w:rsidRPr="008A48CF" w:rsidRDefault="00A56843" w:rsidP="00A56843">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A</w:t>
            </w:r>
            <w:r>
              <w:rPr>
                <w:rFonts w:eastAsia="Times New Roman"/>
                <w:color w:val="000000"/>
                <w:kern w:val="0"/>
                <w:sz w:val="20"/>
                <w:szCs w:val="20"/>
                <w:vertAlign w:val="subscript"/>
                <w14:ligatures w14:val="none"/>
              </w:rPr>
              <w:t>sat</w:t>
            </w:r>
          </w:p>
        </w:tc>
        <w:tc>
          <w:tcPr>
            <w:tcW w:w="1178" w:type="dxa"/>
            <w:vMerge w:val="restart"/>
            <w:tcBorders>
              <w:top w:val="single" w:sz="4" w:space="0" w:color="auto"/>
              <w:left w:val="nil"/>
              <w:right w:val="nil"/>
            </w:tcBorders>
            <w:noWrap/>
            <w:vAlign w:val="center"/>
            <w:hideMark/>
          </w:tcPr>
          <w:p w14:paraId="33DE929F" w14:textId="77777777" w:rsidR="00A56843" w:rsidRPr="00452304" w:rsidRDefault="00A56843" w:rsidP="00A56843">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7CABBBB8" w14:textId="77777777" w:rsidR="00A56843" w:rsidRPr="00452304" w:rsidRDefault="00A56843" w:rsidP="00A5684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634D7981" w14:textId="5B34530A" w:rsidR="00A56843" w:rsidRPr="00374137" w:rsidRDefault="00A56843" w:rsidP="00A56843">
            <w:pPr>
              <w:spacing w:after="0" w:line="240" w:lineRule="auto"/>
              <w:jc w:val="right"/>
              <w:rPr>
                <w:rFonts w:eastAsia="Times New Roman"/>
                <w:b/>
                <w:bCs/>
                <w:color w:val="000000"/>
                <w:kern w:val="0"/>
                <w:sz w:val="20"/>
                <w:szCs w:val="20"/>
                <w:highlight w:val="yellow"/>
                <w14:ligatures w14:val="none"/>
              </w:rPr>
            </w:pPr>
            <w:r w:rsidRPr="00374137">
              <w:rPr>
                <w:b/>
                <w:bCs/>
                <w:color w:val="000000"/>
                <w:sz w:val="20"/>
                <w:szCs w:val="20"/>
              </w:rPr>
              <w:t>-13.064</w:t>
            </w:r>
          </w:p>
        </w:tc>
        <w:tc>
          <w:tcPr>
            <w:tcW w:w="972" w:type="dxa"/>
            <w:vMerge w:val="restart"/>
            <w:tcBorders>
              <w:top w:val="single" w:sz="4" w:space="0" w:color="auto"/>
              <w:left w:val="nil"/>
              <w:right w:val="nil"/>
            </w:tcBorders>
            <w:noWrap/>
            <w:vAlign w:val="center"/>
          </w:tcPr>
          <w:p w14:paraId="2E3B26DA" w14:textId="52FD43CF" w:rsidR="00A56843" w:rsidRPr="00374137" w:rsidRDefault="00A56843" w:rsidP="00A56843">
            <w:pPr>
              <w:spacing w:after="0" w:line="240" w:lineRule="auto"/>
              <w:jc w:val="right"/>
              <w:rPr>
                <w:rFonts w:eastAsia="Times New Roman"/>
                <w:b/>
                <w:bCs/>
                <w:color w:val="000000"/>
                <w:kern w:val="0"/>
                <w:sz w:val="20"/>
                <w:szCs w:val="20"/>
                <w:highlight w:val="yellow"/>
                <w14:ligatures w14:val="none"/>
              </w:rPr>
            </w:pPr>
            <w:r w:rsidRPr="00374137">
              <w:rPr>
                <w:b/>
                <w:bCs/>
                <w:color w:val="000000"/>
                <w:sz w:val="20"/>
                <w:szCs w:val="20"/>
              </w:rPr>
              <w:t>-5.745</w:t>
            </w:r>
          </w:p>
        </w:tc>
        <w:tc>
          <w:tcPr>
            <w:tcW w:w="939" w:type="dxa"/>
            <w:vMerge w:val="restart"/>
            <w:tcBorders>
              <w:top w:val="single" w:sz="4" w:space="0" w:color="auto"/>
              <w:left w:val="nil"/>
              <w:right w:val="nil"/>
            </w:tcBorders>
            <w:noWrap/>
            <w:vAlign w:val="center"/>
          </w:tcPr>
          <w:p w14:paraId="2E4E3CA2" w14:textId="1E6E838A" w:rsidR="00A56843" w:rsidRPr="00374137" w:rsidRDefault="00A56843" w:rsidP="00A56843">
            <w:pPr>
              <w:spacing w:after="0" w:line="240" w:lineRule="auto"/>
              <w:jc w:val="right"/>
              <w:rPr>
                <w:rFonts w:eastAsia="Times New Roman"/>
                <w:b/>
                <w:bCs/>
                <w:color w:val="000000"/>
                <w:kern w:val="0"/>
                <w:sz w:val="20"/>
                <w:szCs w:val="20"/>
                <w:highlight w:val="yellow"/>
                <w14:ligatures w14:val="none"/>
              </w:rPr>
            </w:pPr>
            <w:r w:rsidRPr="00374137">
              <w:rPr>
                <w:b/>
                <w:bCs/>
                <w:color w:val="000000"/>
                <w:sz w:val="20"/>
                <w:szCs w:val="20"/>
              </w:rPr>
              <w:t>&lt;0.001</w:t>
            </w:r>
          </w:p>
        </w:tc>
        <w:tc>
          <w:tcPr>
            <w:tcW w:w="1947" w:type="dxa"/>
            <w:tcBorders>
              <w:top w:val="single" w:sz="4" w:space="0" w:color="auto"/>
              <w:left w:val="nil"/>
              <w:bottom w:val="nil"/>
              <w:right w:val="nil"/>
            </w:tcBorders>
            <w:noWrap/>
            <w:vAlign w:val="center"/>
          </w:tcPr>
          <w:p w14:paraId="0A78D89D" w14:textId="13FFD6FC" w:rsidR="00A56843" w:rsidRPr="00374137" w:rsidRDefault="00A56843" w:rsidP="00A56843">
            <w:pPr>
              <w:spacing w:after="0" w:line="240" w:lineRule="auto"/>
              <w:jc w:val="right"/>
              <w:rPr>
                <w:rFonts w:eastAsia="Times New Roman"/>
                <w:b/>
                <w:bCs/>
                <w:color w:val="000000"/>
                <w:kern w:val="0"/>
                <w:sz w:val="20"/>
                <w:szCs w:val="20"/>
                <w:highlight w:val="yellow"/>
                <w14:ligatures w14:val="none"/>
              </w:rPr>
            </w:pPr>
            <w:r w:rsidRPr="00374137">
              <w:rPr>
                <w:b/>
                <w:bCs/>
                <w:color w:val="000000"/>
                <w:sz w:val="20"/>
                <w:szCs w:val="20"/>
              </w:rPr>
              <w:t>[-2.469, 27.634]</w:t>
            </w:r>
          </w:p>
        </w:tc>
      </w:tr>
      <w:tr w:rsidR="00A56843" w:rsidRPr="00452304" w14:paraId="2D94C710" w14:textId="77777777" w:rsidTr="00A56843">
        <w:trPr>
          <w:trHeight w:val="320"/>
        </w:trPr>
        <w:tc>
          <w:tcPr>
            <w:tcW w:w="1094" w:type="dxa"/>
            <w:vMerge/>
            <w:tcBorders>
              <w:left w:val="nil"/>
              <w:right w:val="nil"/>
            </w:tcBorders>
          </w:tcPr>
          <w:p w14:paraId="70DD3625"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71732CB7"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6A874B4F" w14:textId="77777777" w:rsidR="00A56843" w:rsidRPr="00452304" w:rsidRDefault="00A56843" w:rsidP="00A56843">
            <w:pPr>
              <w:spacing w:after="0" w:line="240" w:lineRule="auto"/>
              <w:rPr>
                <w:rFonts w:eastAsia="Times New Roman"/>
                <w:i/>
                <w:iCs/>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63610604" w14:textId="3D1ADA48" w:rsidR="00A56843" w:rsidRPr="00374137" w:rsidRDefault="00A56843" w:rsidP="00A56843">
            <w:pPr>
              <w:spacing w:after="0" w:line="240" w:lineRule="auto"/>
              <w:jc w:val="right"/>
              <w:rPr>
                <w:rFonts w:eastAsia="Times New Roman"/>
                <w:b/>
                <w:bCs/>
                <w:color w:val="000000"/>
                <w:kern w:val="0"/>
                <w:sz w:val="20"/>
                <w:szCs w:val="20"/>
                <w:highlight w:val="yellow"/>
                <w14:ligatures w14:val="none"/>
              </w:rPr>
            </w:pPr>
            <w:r w:rsidRPr="00374137">
              <w:rPr>
                <w:b/>
                <w:bCs/>
                <w:color w:val="000000"/>
                <w:sz w:val="20"/>
                <w:szCs w:val="20"/>
              </w:rPr>
              <w:t>11.963</w:t>
            </w:r>
          </w:p>
        </w:tc>
        <w:tc>
          <w:tcPr>
            <w:tcW w:w="972" w:type="dxa"/>
            <w:vMerge/>
            <w:tcBorders>
              <w:left w:val="nil"/>
              <w:bottom w:val="single" w:sz="4" w:space="0" w:color="auto"/>
              <w:right w:val="nil"/>
            </w:tcBorders>
            <w:noWrap/>
            <w:vAlign w:val="center"/>
          </w:tcPr>
          <w:p w14:paraId="1C30AC02" w14:textId="77777777" w:rsidR="00A56843" w:rsidRPr="00374137" w:rsidRDefault="00A56843" w:rsidP="00A56843">
            <w:pPr>
              <w:spacing w:after="0" w:line="240" w:lineRule="auto"/>
              <w:jc w:val="right"/>
              <w:rPr>
                <w:rFonts w:eastAsia="Times New Roman"/>
                <w:b/>
                <w:bCs/>
                <w:color w:val="000000"/>
                <w:kern w:val="0"/>
                <w:sz w:val="20"/>
                <w:szCs w:val="20"/>
                <w:highlight w:val="yellow"/>
                <w14:ligatures w14:val="none"/>
              </w:rPr>
            </w:pPr>
          </w:p>
        </w:tc>
        <w:tc>
          <w:tcPr>
            <w:tcW w:w="939" w:type="dxa"/>
            <w:vMerge/>
            <w:tcBorders>
              <w:left w:val="nil"/>
              <w:bottom w:val="single" w:sz="4" w:space="0" w:color="auto"/>
              <w:right w:val="nil"/>
            </w:tcBorders>
            <w:noWrap/>
            <w:vAlign w:val="center"/>
          </w:tcPr>
          <w:p w14:paraId="1243996D" w14:textId="77777777" w:rsidR="00A56843" w:rsidRPr="00374137" w:rsidRDefault="00A56843" w:rsidP="00A56843">
            <w:pPr>
              <w:spacing w:after="0" w:line="240" w:lineRule="auto"/>
              <w:jc w:val="right"/>
              <w:rPr>
                <w:rFonts w:eastAsia="Times New Roman"/>
                <w:b/>
                <w:bCs/>
                <w:color w:val="000000"/>
                <w:kern w:val="0"/>
                <w:sz w:val="20"/>
                <w:szCs w:val="20"/>
                <w:highlight w:val="yellow"/>
                <w14:ligatures w14:val="none"/>
              </w:rPr>
            </w:pPr>
          </w:p>
        </w:tc>
        <w:tc>
          <w:tcPr>
            <w:tcW w:w="1947" w:type="dxa"/>
            <w:tcBorders>
              <w:top w:val="nil"/>
              <w:left w:val="nil"/>
              <w:bottom w:val="single" w:sz="4" w:space="0" w:color="auto"/>
              <w:right w:val="nil"/>
            </w:tcBorders>
            <w:noWrap/>
            <w:vAlign w:val="center"/>
          </w:tcPr>
          <w:p w14:paraId="4661B620" w14:textId="3B3FDDF4" w:rsidR="00A56843" w:rsidRPr="00374137" w:rsidRDefault="00A56843" w:rsidP="00A56843">
            <w:pPr>
              <w:spacing w:after="0" w:line="240" w:lineRule="auto"/>
              <w:jc w:val="right"/>
              <w:rPr>
                <w:rFonts w:eastAsia="Times New Roman"/>
                <w:b/>
                <w:bCs/>
                <w:color w:val="000000"/>
                <w:kern w:val="0"/>
                <w:sz w:val="20"/>
                <w:szCs w:val="20"/>
                <w:highlight w:val="yellow"/>
                <w14:ligatures w14:val="none"/>
              </w:rPr>
            </w:pPr>
            <w:r w:rsidRPr="00374137">
              <w:rPr>
                <w:b/>
                <w:bCs/>
                <w:color w:val="000000"/>
                <w:sz w:val="20"/>
                <w:szCs w:val="20"/>
              </w:rPr>
              <w:t>[-25.696, 1.613]</w:t>
            </w:r>
          </w:p>
        </w:tc>
      </w:tr>
      <w:tr w:rsidR="00A56843" w:rsidRPr="00452304" w14:paraId="0C531082" w14:textId="77777777" w:rsidTr="00A56843">
        <w:trPr>
          <w:trHeight w:val="320"/>
        </w:trPr>
        <w:tc>
          <w:tcPr>
            <w:tcW w:w="1094" w:type="dxa"/>
            <w:vMerge/>
            <w:tcBorders>
              <w:left w:val="nil"/>
              <w:right w:val="nil"/>
            </w:tcBorders>
          </w:tcPr>
          <w:p w14:paraId="3FA577B2"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9EDBB0F"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402E0EA8"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41F52590" w14:textId="67A0B92B" w:rsidR="00A56843" w:rsidRPr="00374137" w:rsidRDefault="00A56843" w:rsidP="00A56843">
            <w:pPr>
              <w:spacing w:after="0" w:line="240" w:lineRule="auto"/>
              <w:jc w:val="right"/>
              <w:rPr>
                <w:b/>
                <w:bCs/>
                <w:i/>
                <w:iCs/>
                <w:color w:val="000000"/>
                <w:sz w:val="20"/>
                <w:szCs w:val="20"/>
                <w:highlight w:val="yellow"/>
              </w:rPr>
            </w:pPr>
            <w:r w:rsidRPr="00374137">
              <w:rPr>
                <w:b/>
                <w:bCs/>
                <w:color w:val="000000"/>
                <w:sz w:val="20"/>
                <w:szCs w:val="20"/>
              </w:rPr>
              <w:t>-15.549</w:t>
            </w:r>
          </w:p>
        </w:tc>
        <w:tc>
          <w:tcPr>
            <w:tcW w:w="972" w:type="dxa"/>
            <w:vMerge w:val="restart"/>
            <w:tcBorders>
              <w:top w:val="single" w:sz="4" w:space="0" w:color="auto"/>
              <w:left w:val="nil"/>
              <w:right w:val="nil"/>
            </w:tcBorders>
            <w:noWrap/>
            <w:vAlign w:val="center"/>
          </w:tcPr>
          <w:p w14:paraId="74AED9AE" w14:textId="58E3E53F" w:rsidR="00A56843" w:rsidRPr="00374137" w:rsidRDefault="00A56843" w:rsidP="00A56843">
            <w:pPr>
              <w:spacing w:after="0" w:line="240" w:lineRule="auto"/>
              <w:jc w:val="right"/>
              <w:rPr>
                <w:b/>
                <w:bCs/>
                <w:i/>
                <w:iCs/>
                <w:color w:val="000000"/>
                <w:sz w:val="20"/>
                <w:szCs w:val="20"/>
                <w:highlight w:val="yellow"/>
              </w:rPr>
            </w:pPr>
            <w:r w:rsidRPr="00374137">
              <w:rPr>
                <w:b/>
                <w:bCs/>
                <w:color w:val="000000"/>
                <w:sz w:val="20"/>
                <w:szCs w:val="20"/>
              </w:rPr>
              <w:t>-6.632</w:t>
            </w:r>
          </w:p>
        </w:tc>
        <w:tc>
          <w:tcPr>
            <w:tcW w:w="939" w:type="dxa"/>
            <w:vMerge w:val="restart"/>
            <w:tcBorders>
              <w:top w:val="single" w:sz="4" w:space="0" w:color="auto"/>
              <w:left w:val="nil"/>
              <w:right w:val="nil"/>
            </w:tcBorders>
            <w:noWrap/>
            <w:vAlign w:val="center"/>
          </w:tcPr>
          <w:p w14:paraId="72E1D647" w14:textId="28EF6CB7" w:rsidR="00A56843" w:rsidRPr="00374137" w:rsidRDefault="00A56843" w:rsidP="00A56843">
            <w:pPr>
              <w:spacing w:after="0" w:line="240" w:lineRule="auto"/>
              <w:jc w:val="right"/>
              <w:rPr>
                <w:b/>
                <w:bCs/>
                <w:i/>
                <w:iCs/>
                <w:color w:val="000000"/>
                <w:sz w:val="20"/>
                <w:szCs w:val="20"/>
                <w:highlight w:val="yellow"/>
              </w:rPr>
            </w:pPr>
            <w:r w:rsidRPr="00374137">
              <w:rPr>
                <w:b/>
                <w:bCs/>
                <w:color w:val="000000"/>
                <w:sz w:val="20"/>
                <w:szCs w:val="20"/>
              </w:rPr>
              <w:t>&lt;0.001</w:t>
            </w:r>
          </w:p>
        </w:tc>
        <w:tc>
          <w:tcPr>
            <w:tcW w:w="1947" w:type="dxa"/>
            <w:tcBorders>
              <w:top w:val="single" w:sz="4" w:space="0" w:color="auto"/>
              <w:left w:val="nil"/>
              <w:bottom w:val="nil"/>
              <w:right w:val="nil"/>
            </w:tcBorders>
            <w:noWrap/>
            <w:vAlign w:val="center"/>
          </w:tcPr>
          <w:p w14:paraId="5CE65B8D" w14:textId="5E111EE4" w:rsidR="00A56843" w:rsidRPr="00374137" w:rsidRDefault="00A56843" w:rsidP="00A56843">
            <w:pPr>
              <w:spacing w:after="0" w:line="240" w:lineRule="auto"/>
              <w:jc w:val="right"/>
              <w:rPr>
                <w:b/>
                <w:bCs/>
                <w:i/>
                <w:iCs/>
                <w:color w:val="000000"/>
                <w:sz w:val="20"/>
                <w:szCs w:val="20"/>
                <w:highlight w:val="yellow"/>
              </w:rPr>
            </w:pPr>
            <w:r w:rsidRPr="00374137">
              <w:rPr>
                <w:b/>
                <w:bCs/>
                <w:color w:val="000000"/>
                <w:sz w:val="20"/>
                <w:szCs w:val="20"/>
              </w:rPr>
              <w:t>[-3.536, 30.083]</w:t>
            </w:r>
          </w:p>
        </w:tc>
      </w:tr>
      <w:tr w:rsidR="00A56843" w:rsidRPr="00452304" w14:paraId="5D89AAF8" w14:textId="77777777" w:rsidTr="00A56843">
        <w:trPr>
          <w:trHeight w:val="320"/>
        </w:trPr>
        <w:tc>
          <w:tcPr>
            <w:tcW w:w="1094" w:type="dxa"/>
            <w:vMerge/>
            <w:tcBorders>
              <w:left w:val="nil"/>
              <w:right w:val="nil"/>
            </w:tcBorders>
          </w:tcPr>
          <w:p w14:paraId="69AD0E5C"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F0CD609"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A7BDF5A" w14:textId="77777777" w:rsidR="00A56843" w:rsidRDefault="00A56843" w:rsidP="00A56843">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1D344F7F" w14:textId="4771A308" w:rsidR="00A56843" w:rsidRPr="00374137" w:rsidRDefault="00A56843" w:rsidP="00A56843">
            <w:pPr>
              <w:spacing w:after="0" w:line="240" w:lineRule="auto"/>
              <w:jc w:val="right"/>
              <w:rPr>
                <w:b/>
                <w:bCs/>
                <w:i/>
                <w:iCs/>
                <w:color w:val="000000"/>
                <w:sz w:val="20"/>
                <w:szCs w:val="20"/>
                <w:highlight w:val="yellow"/>
              </w:rPr>
            </w:pPr>
            <w:r w:rsidRPr="00374137">
              <w:rPr>
                <w:b/>
                <w:bCs/>
                <w:color w:val="000000"/>
                <w:sz w:val="20"/>
                <w:szCs w:val="20"/>
              </w:rPr>
              <w:t>27.890</w:t>
            </w:r>
          </w:p>
        </w:tc>
        <w:tc>
          <w:tcPr>
            <w:tcW w:w="972" w:type="dxa"/>
            <w:vMerge/>
            <w:tcBorders>
              <w:left w:val="nil"/>
              <w:bottom w:val="single" w:sz="4" w:space="0" w:color="auto"/>
              <w:right w:val="nil"/>
            </w:tcBorders>
            <w:noWrap/>
            <w:vAlign w:val="center"/>
          </w:tcPr>
          <w:p w14:paraId="7ADA7FC5" w14:textId="77777777" w:rsidR="00A56843" w:rsidRPr="00374137" w:rsidRDefault="00A56843" w:rsidP="00A56843">
            <w:pPr>
              <w:spacing w:after="0" w:line="240" w:lineRule="auto"/>
              <w:jc w:val="right"/>
              <w:rPr>
                <w:b/>
                <w:bCs/>
                <w:i/>
                <w:iCs/>
                <w:color w:val="000000"/>
                <w:sz w:val="20"/>
                <w:szCs w:val="20"/>
                <w:highlight w:val="yellow"/>
              </w:rPr>
            </w:pPr>
          </w:p>
        </w:tc>
        <w:tc>
          <w:tcPr>
            <w:tcW w:w="939" w:type="dxa"/>
            <w:vMerge/>
            <w:tcBorders>
              <w:left w:val="nil"/>
              <w:bottom w:val="single" w:sz="4" w:space="0" w:color="auto"/>
              <w:right w:val="nil"/>
            </w:tcBorders>
            <w:noWrap/>
            <w:vAlign w:val="center"/>
          </w:tcPr>
          <w:p w14:paraId="2B649118" w14:textId="77777777" w:rsidR="00A56843" w:rsidRPr="00374137" w:rsidRDefault="00A56843" w:rsidP="00A56843">
            <w:pPr>
              <w:spacing w:after="0" w:line="240" w:lineRule="auto"/>
              <w:jc w:val="right"/>
              <w:rPr>
                <w:b/>
                <w:bCs/>
                <w:i/>
                <w:iCs/>
                <w:color w:val="000000"/>
                <w:sz w:val="20"/>
                <w:szCs w:val="20"/>
                <w:highlight w:val="yellow"/>
              </w:rPr>
            </w:pPr>
          </w:p>
        </w:tc>
        <w:tc>
          <w:tcPr>
            <w:tcW w:w="1947" w:type="dxa"/>
            <w:tcBorders>
              <w:top w:val="nil"/>
              <w:left w:val="nil"/>
              <w:bottom w:val="single" w:sz="4" w:space="0" w:color="auto"/>
              <w:right w:val="nil"/>
            </w:tcBorders>
            <w:noWrap/>
            <w:vAlign w:val="center"/>
          </w:tcPr>
          <w:p w14:paraId="4C1F082E" w14:textId="1C4D261D" w:rsidR="00A56843" w:rsidRPr="00374137" w:rsidRDefault="00A56843" w:rsidP="00A56843">
            <w:pPr>
              <w:spacing w:after="0" w:line="240" w:lineRule="auto"/>
              <w:jc w:val="right"/>
              <w:rPr>
                <w:b/>
                <w:bCs/>
                <w:i/>
                <w:iCs/>
                <w:color w:val="000000"/>
                <w:sz w:val="20"/>
                <w:szCs w:val="20"/>
                <w:highlight w:val="yellow"/>
              </w:rPr>
            </w:pPr>
            <w:r w:rsidRPr="00374137">
              <w:rPr>
                <w:b/>
                <w:bCs/>
                <w:color w:val="000000"/>
                <w:sz w:val="20"/>
                <w:szCs w:val="20"/>
              </w:rPr>
              <w:t>[-28.538, -0.100]</w:t>
            </w:r>
          </w:p>
        </w:tc>
      </w:tr>
      <w:tr w:rsidR="00A56843" w:rsidRPr="00452304" w14:paraId="7D91712B" w14:textId="77777777" w:rsidTr="00A56843">
        <w:trPr>
          <w:trHeight w:val="320"/>
        </w:trPr>
        <w:tc>
          <w:tcPr>
            <w:tcW w:w="1094" w:type="dxa"/>
            <w:vMerge/>
            <w:tcBorders>
              <w:left w:val="nil"/>
              <w:right w:val="nil"/>
            </w:tcBorders>
          </w:tcPr>
          <w:p w14:paraId="0570D945"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54BD221"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58C92051"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36E9A595" w14:textId="684B2AB7"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31.39</w:t>
            </w:r>
          </w:p>
        </w:tc>
        <w:tc>
          <w:tcPr>
            <w:tcW w:w="972" w:type="dxa"/>
            <w:vMerge w:val="restart"/>
            <w:tcBorders>
              <w:top w:val="single" w:sz="4" w:space="0" w:color="auto"/>
              <w:left w:val="nil"/>
              <w:right w:val="nil"/>
            </w:tcBorders>
            <w:noWrap/>
            <w:vAlign w:val="center"/>
          </w:tcPr>
          <w:p w14:paraId="3C821D05" w14:textId="01465F22"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0.764</w:t>
            </w:r>
          </w:p>
        </w:tc>
        <w:tc>
          <w:tcPr>
            <w:tcW w:w="939" w:type="dxa"/>
            <w:vMerge w:val="restart"/>
            <w:tcBorders>
              <w:top w:val="single" w:sz="4" w:space="0" w:color="auto"/>
              <w:left w:val="nil"/>
              <w:right w:val="nil"/>
            </w:tcBorders>
            <w:noWrap/>
            <w:vAlign w:val="center"/>
          </w:tcPr>
          <w:p w14:paraId="66A02520" w14:textId="681DC439"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0.445</w:t>
            </w:r>
          </w:p>
        </w:tc>
        <w:tc>
          <w:tcPr>
            <w:tcW w:w="1947" w:type="dxa"/>
            <w:tcBorders>
              <w:top w:val="single" w:sz="4" w:space="0" w:color="auto"/>
              <w:left w:val="nil"/>
              <w:bottom w:val="nil"/>
              <w:right w:val="nil"/>
            </w:tcBorders>
            <w:noWrap/>
            <w:vAlign w:val="center"/>
          </w:tcPr>
          <w:p w14:paraId="28BD3470" w14:textId="7400E0E7"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[6.078, 54.188]</w:t>
            </w:r>
          </w:p>
        </w:tc>
      </w:tr>
      <w:tr w:rsidR="00A56843" w:rsidRPr="00452304" w14:paraId="29AA331A" w14:textId="77777777" w:rsidTr="00A56843">
        <w:trPr>
          <w:trHeight w:val="320"/>
        </w:trPr>
        <w:tc>
          <w:tcPr>
            <w:tcW w:w="1094" w:type="dxa"/>
            <w:vMerge/>
            <w:tcBorders>
              <w:left w:val="nil"/>
              <w:bottom w:val="single" w:sz="4" w:space="0" w:color="auto"/>
              <w:right w:val="nil"/>
            </w:tcBorders>
          </w:tcPr>
          <w:p w14:paraId="4FAF7F92"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ABDF51C"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470EA53" w14:textId="77777777" w:rsidR="00A56843" w:rsidRDefault="00A56843" w:rsidP="00A56843">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7ADA19A3" w14:textId="2C214C92"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0.702</w:t>
            </w:r>
          </w:p>
        </w:tc>
        <w:tc>
          <w:tcPr>
            <w:tcW w:w="972" w:type="dxa"/>
            <w:vMerge/>
            <w:tcBorders>
              <w:left w:val="nil"/>
              <w:bottom w:val="single" w:sz="4" w:space="0" w:color="auto"/>
              <w:right w:val="nil"/>
            </w:tcBorders>
            <w:noWrap/>
            <w:vAlign w:val="center"/>
          </w:tcPr>
          <w:p w14:paraId="1C1677DB" w14:textId="77777777" w:rsidR="00A56843" w:rsidRPr="00A56843" w:rsidRDefault="00A56843" w:rsidP="00A56843">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2500C6C8" w14:textId="77777777" w:rsidR="00A56843" w:rsidRPr="00A56843" w:rsidRDefault="00A56843" w:rsidP="00A56843">
            <w:pPr>
              <w:spacing w:after="0" w:line="240" w:lineRule="auto"/>
              <w:jc w:val="right"/>
              <w:rPr>
                <w:color w:val="000000"/>
                <w:sz w:val="20"/>
                <w:szCs w:val="20"/>
                <w:highlight w:val="yellow"/>
              </w:rPr>
            </w:pPr>
          </w:p>
        </w:tc>
        <w:tc>
          <w:tcPr>
            <w:tcW w:w="1947" w:type="dxa"/>
            <w:tcBorders>
              <w:top w:val="nil"/>
              <w:left w:val="nil"/>
              <w:bottom w:val="single" w:sz="4" w:space="0" w:color="auto"/>
              <w:right w:val="nil"/>
            </w:tcBorders>
            <w:noWrap/>
            <w:vAlign w:val="center"/>
          </w:tcPr>
          <w:p w14:paraId="29D69F4E" w14:textId="62D6EB90"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[7.896, 60.159]</w:t>
            </w:r>
          </w:p>
        </w:tc>
      </w:tr>
      <w:tr w:rsidR="00A56843" w:rsidRPr="00452304" w14:paraId="72C09B89" w14:textId="77777777" w:rsidTr="00A56843">
        <w:trPr>
          <w:trHeight w:val="320"/>
        </w:trPr>
        <w:tc>
          <w:tcPr>
            <w:tcW w:w="1094" w:type="dxa"/>
            <w:vMerge w:val="restart"/>
            <w:tcBorders>
              <w:top w:val="single" w:sz="4" w:space="0" w:color="auto"/>
              <w:left w:val="nil"/>
              <w:right w:val="nil"/>
            </w:tcBorders>
            <w:vAlign w:val="center"/>
          </w:tcPr>
          <w:p w14:paraId="01773607" w14:textId="77777777" w:rsidR="00A56843" w:rsidRPr="009D19EF" w:rsidRDefault="00A56843" w:rsidP="00A56843">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V</w:t>
            </w:r>
            <w:r>
              <w:rPr>
                <w:rFonts w:eastAsia="Times New Roman"/>
                <w:color w:val="000000"/>
                <w:kern w:val="0"/>
                <w:sz w:val="20"/>
                <w:szCs w:val="20"/>
                <w:vertAlign w:val="subscript"/>
                <w14:ligatures w14:val="none"/>
              </w:rPr>
              <w:t>cmax</w:t>
            </w:r>
            <w:proofErr w:type="spellEnd"/>
          </w:p>
        </w:tc>
        <w:tc>
          <w:tcPr>
            <w:tcW w:w="1178" w:type="dxa"/>
            <w:vMerge w:val="restart"/>
            <w:tcBorders>
              <w:top w:val="single" w:sz="4" w:space="0" w:color="auto"/>
              <w:left w:val="nil"/>
              <w:right w:val="nil"/>
            </w:tcBorders>
            <w:noWrap/>
            <w:vAlign w:val="center"/>
          </w:tcPr>
          <w:p w14:paraId="55606C41"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6F25DEEA"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1AE5B27E" w14:textId="0D836918"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8.546</w:t>
            </w:r>
          </w:p>
        </w:tc>
        <w:tc>
          <w:tcPr>
            <w:tcW w:w="972" w:type="dxa"/>
            <w:vMerge w:val="restart"/>
            <w:tcBorders>
              <w:top w:val="single" w:sz="4" w:space="0" w:color="auto"/>
              <w:left w:val="nil"/>
              <w:right w:val="nil"/>
            </w:tcBorders>
            <w:noWrap/>
            <w:vAlign w:val="center"/>
          </w:tcPr>
          <w:p w14:paraId="78FD4C6F" w14:textId="77777777" w:rsidR="00A56843" w:rsidRPr="00A56843" w:rsidRDefault="00A56843" w:rsidP="00A56843">
            <w:pPr>
              <w:spacing w:after="0" w:line="240" w:lineRule="auto"/>
              <w:jc w:val="right"/>
              <w:rPr>
                <w:color w:val="000000"/>
                <w:sz w:val="20"/>
                <w:szCs w:val="20"/>
              </w:rPr>
            </w:pPr>
            <w:r w:rsidRPr="00A56843">
              <w:rPr>
                <w:color w:val="000000"/>
                <w:sz w:val="20"/>
                <w:szCs w:val="20"/>
              </w:rPr>
              <w:t>0.464</w:t>
            </w:r>
          </w:p>
        </w:tc>
        <w:tc>
          <w:tcPr>
            <w:tcW w:w="939" w:type="dxa"/>
            <w:vMerge w:val="restart"/>
            <w:tcBorders>
              <w:top w:val="single" w:sz="4" w:space="0" w:color="auto"/>
              <w:left w:val="nil"/>
              <w:right w:val="nil"/>
            </w:tcBorders>
            <w:noWrap/>
            <w:vAlign w:val="center"/>
          </w:tcPr>
          <w:p w14:paraId="286A352A" w14:textId="77777777" w:rsidR="00A56843" w:rsidRPr="00A56843" w:rsidRDefault="00A56843" w:rsidP="00A56843">
            <w:pPr>
              <w:spacing w:after="0" w:line="240" w:lineRule="auto"/>
              <w:jc w:val="right"/>
              <w:rPr>
                <w:color w:val="000000"/>
                <w:sz w:val="20"/>
                <w:szCs w:val="20"/>
              </w:rPr>
            </w:pPr>
            <w:r w:rsidRPr="00A56843">
              <w:rPr>
                <w:color w:val="000000"/>
                <w:sz w:val="20"/>
                <w:szCs w:val="20"/>
              </w:rPr>
              <w:t>0.643</w:t>
            </w:r>
          </w:p>
        </w:tc>
        <w:tc>
          <w:tcPr>
            <w:tcW w:w="1947" w:type="dxa"/>
            <w:tcBorders>
              <w:top w:val="single" w:sz="4" w:space="0" w:color="auto"/>
              <w:left w:val="nil"/>
              <w:bottom w:val="nil"/>
              <w:right w:val="nil"/>
            </w:tcBorders>
            <w:noWrap/>
            <w:vAlign w:val="center"/>
          </w:tcPr>
          <w:p w14:paraId="0D8642E2" w14:textId="32FD0B1A"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[-16.138, 20.804]</w:t>
            </w:r>
          </w:p>
        </w:tc>
      </w:tr>
      <w:tr w:rsidR="00A56843" w:rsidRPr="00452304" w14:paraId="41BB5F98" w14:textId="77777777" w:rsidTr="00A56843">
        <w:trPr>
          <w:trHeight w:val="320"/>
        </w:trPr>
        <w:tc>
          <w:tcPr>
            <w:tcW w:w="1094" w:type="dxa"/>
            <w:vMerge/>
            <w:tcBorders>
              <w:left w:val="nil"/>
              <w:right w:val="nil"/>
            </w:tcBorders>
          </w:tcPr>
          <w:p w14:paraId="621BC2E4"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E1082DD"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A79308D" w14:textId="77777777" w:rsidR="00A56843" w:rsidRDefault="00A56843" w:rsidP="00A56843">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56486A03" w14:textId="5530A35C"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12.412</w:t>
            </w:r>
          </w:p>
        </w:tc>
        <w:tc>
          <w:tcPr>
            <w:tcW w:w="972" w:type="dxa"/>
            <w:vMerge/>
            <w:tcBorders>
              <w:left w:val="nil"/>
              <w:bottom w:val="single" w:sz="4" w:space="0" w:color="auto"/>
              <w:right w:val="nil"/>
            </w:tcBorders>
            <w:noWrap/>
            <w:vAlign w:val="center"/>
          </w:tcPr>
          <w:p w14:paraId="3317D84C" w14:textId="77777777" w:rsidR="00A56843" w:rsidRPr="00A56843" w:rsidRDefault="00A56843" w:rsidP="00A56843">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34D1A1F8" w14:textId="77777777" w:rsidR="00A56843" w:rsidRPr="00A56843" w:rsidRDefault="00A56843" w:rsidP="00A56843">
            <w:pPr>
              <w:spacing w:after="0" w:line="240" w:lineRule="auto"/>
              <w:jc w:val="right"/>
              <w:rPr>
                <w:color w:val="000000"/>
                <w:sz w:val="20"/>
                <w:szCs w:val="20"/>
              </w:rPr>
            </w:pPr>
          </w:p>
        </w:tc>
        <w:tc>
          <w:tcPr>
            <w:tcW w:w="1947" w:type="dxa"/>
            <w:tcBorders>
              <w:top w:val="nil"/>
              <w:left w:val="nil"/>
              <w:bottom w:val="single" w:sz="4" w:space="0" w:color="auto"/>
              <w:right w:val="nil"/>
            </w:tcBorders>
            <w:noWrap/>
            <w:vAlign w:val="center"/>
          </w:tcPr>
          <w:p w14:paraId="693F7012" w14:textId="798ABCC0"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[-24.648, 56.361]</w:t>
            </w:r>
          </w:p>
        </w:tc>
      </w:tr>
      <w:tr w:rsidR="00A56843" w:rsidRPr="00452304" w14:paraId="37047A69" w14:textId="77777777" w:rsidTr="00A56843">
        <w:trPr>
          <w:trHeight w:val="320"/>
        </w:trPr>
        <w:tc>
          <w:tcPr>
            <w:tcW w:w="1094" w:type="dxa"/>
            <w:vMerge/>
            <w:tcBorders>
              <w:left w:val="nil"/>
              <w:right w:val="nil"/>
            </w:tcBorders>
          </w:tcPr>
          <w:p w14:paraId="4C4F2A20"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40FFAA6"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440F70CC"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1F670852" w14:textId="4F7D3985"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-2.274</w:t>
            </w:r>
          </w:p>
        </w:tc>
        <w:tc>
          <w:tcPr>
            <w:tcW w:w="972" w:type="dxa"/>
            <w:vMerge w:val="restart"/>
            <w:tcBorders>
              <w:top w:val="single" w:sz="4" w:space="0" w:color="auto"/>
              <w:left w:val="nil"/>
              <w:right w:val="nil"/>
            </w:tcBorders>
            <w:noWrap/>
            <w:vAlign w:val="center"/>
          </w:tcPr>
          <w:p w14:paraId="4EB6ECD5" w14:textId="77777777" w:rsidR="00A56843" w:rsidRPr="00A56843" w:rsidRDefault="00A56843" w:rsidP="00A56843">
            <w:pPr>
              <w:spacing w:after="0" w:line="240" w:lineRule="auto"/>
              <w:jc w:val="right"/>
              <w:rPr>
                <w:color w:val="000000"/>
                <w:sz w:val="20"/>
                <w:szCs w:val="20"/>
              </w:rPr>
            </w:pPr>
            <w:r w:rsidRPr="00A56843">
              <w:rPr>
                <w:color w:val="000000"/>
                <w:sz w:val="20"/>
                <w:szCs w:val="20"/>
              </w:rPr>
              <w:t>-1.365</w:t>
            </w:r>
          </w:p>
        </w:tc>
        <w:tc>
          <w:tcPr>
            <w:tcW w:w="939" w:type="dxa"/>
            <w:vMerge w:val="restart"/>
            <w:tcBorders>
              <w:top w:val="single" w:sz="4" w:space="0" w:color="auto"/>
              <w:left w:val="nil"/>
              <w:right w:val="nil"/>
            </w:tcBorders>
            <w:noWrap/>
            <w:vAlign w:val="center"/>
          </w:tcPr>
          <w:p w14:paraId="5AA88650" w14:textId="77777777" w:rsidR="00A56843" w:rsidRPr="00A56843" w:rsidRDefault="00A56843" w:rsidP="00A56843">
            <w:pPr>
              <w:spacing w:after="0" w:line="240" w:lineRule="auto"/>
              <w:jc w:val="right"/>
              <w:rPr>
                <w:color w:val="000000"/>
                <w:sz w:val="20"/>
                <w:szCs w:val="20"/>
              </w:rPr>
            </w:pPr>
            <w:r w:rsidRPr="00A56843">
              <w:rPr>
                <w:color w:val="000000"/>
                <w:sz w:val="20"/>
                <w:szCs w:val="20"/>
              </w:rPr>
              <w:t>0.172</w:t>
            </w:r>
          </w:p>
        </w:tc>
        <w:tc>
          <w:tcPr>
            <w:tcW w:w="1947" w:type="dxa"/>
            <w:tcBorders>
              <w:top w:val="single" w:sz="4" w:space="0" w:color="auto"/>
              <w:left w:val="nil"/>
              <w:bottom w:val="nil"/>
              <w:right w:val="nil"/>
            </w:tcBorders>
            <w:noWrap/>
            <w:vAlign w:val="center"/>
          </w:tcPr>
          <w:p w14:paraId="0E358A3A" w14:textId="4BBA2AC9"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[-2.078, 29.175]</w:t>
            </w:r>
          </w:p>
        </w:tc>
      </w:tr>
      <w:tr w:rsidR="00A56843" w:rsidRPr="00452304" w14:paraId="294C173A" w14:textId="77777777" w:rsidTr="00A56843">
        <w:trPr>
          <w:trHeight w:val="320"/>
        </w:trPr>
        <w:tc>
          <w:tcPr>
            <w:tcW w:w="1094" w:type="dxa"/>
            <w:vMerge/>
            <w:tcBorders>
              <w:left w:val="nil"/>
              <w:right w:val="nil"/>
            </w:tcBorders>
          </w:tcPr>
          <w:p w14:paraId="41D8CF7B"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59C8A82"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17A7B7C" w14:textId="77777777" w:rsidR="00A56843" w:rsidRDefault="00A56843" w:rsidP="00A56843">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62E03137" w14:textId="3A39F4DD"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17.939</w:t>
            </w:r>
          </w:p>
        </w:tc>
        <w:tc>
          <w:tcPr>
            <w:tcW w:w="972" w:type="dxa"/>
            <w:vMerge/>
            <w:tcBorders>
              <w:left w:val="nil"/>
              <w:bottom w:val="single" w:sz="4" w:space="0" w:color="auto"/>
              <w:right w:val="nil"/>
            </w:tcBorders>
            <w:noWrap/>
            <w:vAlign w:val="center"/>
          </w:tcPr>
          <w:p w14:paraId="4DCCFDC5" w14:textId="77777777" w:rsidR="00A56843" w:rsidRPr="00A56843" w:rsidRDefault="00A56843" w:rsidP="00A56843">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4C3052E5" w14:textId="77777777" w:rsidR="00A56843" w:rsidRPr="00A56843" w:rsidRDefault="00A56843" w:rsidP="00A56843">
            <w:pPr>
              <w:spacing w:after="0" w:line="240" w:lineRule="auto"/>
              <w:jc w:val="right"/>
              <w:rPr>
                <w:color w:val="000000"/>
                <w:sz w:val="20"/>
                <w:szCs w:val="20"/>
              </w:rPr>
            </w:pPr>
          </w:p>
        </w:tc>
        <w:tc>
          <w:tcPr>
            <w:tcW w:w="1947" w:type="dxa"/>
            <w:tcBorders>
              <w:top w:val="nil"/>
              <w:left w:val="nil"/>
              <w:bottom w:val="single" w:sz="4" w:space="0" w:color="auto"/>
              <w:right w:val="nil"/>
            </w:tcBorders>
            <w:noWrap/>
            <w:vAlign w:val="center"/>
          </w:tcPr>
          <w:p w14:paraId="74E8FD58" w14:textId="18172C77"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[-23.203, 24.359]</w:t>
            </w:r>
          </w:p>
        </w:tc>
      </w:tr>
      <w:tr w:rsidR="00A56843" w:rsidRPr="00452304" w14:paraId="36DF7A5C" w14:textId="77777777" w:rsidTr="00A56843">
        <w:trPr>
          <w:trHeight w:val="320"/>
        </w:trPr>
        <w:tc>
          <w:tcPr>
            <w:tcW w:w="1094" w:type="dxa"/>
            <w:vMerge/>
            <w:tcBorders>
              <w:left w:val="nil"/>
              <w:right w:val="nil"/>
            </w:tcBorders>
          </w:tcPr>
          <w:p w14:paraId="6723C217"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1D9EB22"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001E5E15"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280C003B" w14:textId="5916F65C"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17.351</w:t>
            </w:r>
          </w:p>
        </w:tc>
        <w:tc>
          <w:tcPr>
            <w:tcW w:w="972" w:type="dxa"/>
            <w:vMerge w:val="restart"/>
            <w:tcBorders>
              <w:top w:val="single" w:sz="4" w:space="0" w:color="auto"/>
              <w:left w:val="nil"/>
              <w:right w:val="nil"/>
            </w:tcBorders>
            <w:noWrap/>
            <w:vAlign w:val="center"/>
          </w:tcPr>
          <w:p w14:paraId="6F719E8A" w14:textId="77777777" w:rsidR="00A56843" w:rsidRPr="00A56843" w:rsidRDefault="00A56843" w:rsidP="00A56843">
            <w:pPr>
              <w:spacing w:after="0" w:line="240" w:lineRule="auto"/>
              <w:jc w:val="right"/>
              <w:rPr>
                <w:color w:val="000000"/>
                <w:sz w:val="20"/>
                <w:szCs w:val="20"/>
              </w:rPr>
            </w:pPr>
            <w:r w:rsidRPr="00A56843">
              <w:rPr>
                <w:color w:val="000000"/>
                <w:sz w:val="20"/>
                <w:szCs w:val="20"/>
              </w:rPr>
              <w:t>-0.058</w:t>
            </w:r>
          </w:p>
        </w:tc>
        <w:tc>
          <w:tcPr>
            <w:tcW w:w="939" w:type="dxa"/>
            <w:vMerge w:val="restart"/>
            <w:tcBorders>
              <w:top w:val="single" w:sz="4" w:space="0" w:color="auto"/>
              <w:left w:val="nil"/>
              <w:right w:val="nil"/>
            </w:tcBorders>
            <w:noWrap/>
            <w:vAlign w:val="center"/>
          </w:tcPr>
          <w:p w14:paraId="74DC0AD1" w14:textId="77777777" w:rsidR="00A56843" w:rsidRPr="00A56843" w:rsidRDefault="00A56843" w:rsidP="00A56843">
            <w:pPr>
              <w:spacing w:after="0" w:line="240" w:lineRule="auto"/>
              <w:jc w:val="right"/>
              <w:rPr>
                <w:color w:val="000000"/>
                <w:sz w:val="20"/>
                <w:szCs w:val="20"/>
              </w:rPr>
            </w:pPr>
            <w:r w:rsidRPr="00A56843">
              <w:rPr>
                <w:color w:val="000000"/>
                <w:sz w:val="20"/>
                <w:szCs w:val="20"/>
              </w:rPr>
              <w:t>0.954</w:t>
            </w:r>
          </w:p>
        </w:tc>
        <w:tc>
          <w:tcPr>
            <w:tcW w:w="1947" w:type="dxa"/>
            <w:tcBorders>
              <w:top w:val="single" w:sz="4" w:space="0" w:color="auto"/>
              <w:left w:val="nil"/>
              <w:bottom w:val="nil"/>
              <w:right w:val="nil"/>
            </w:tcBorders>
            <w:noWrap/>
            <w:vAlign w:val="center"/>
          </w:tcPr>
          <w:p w14:paraId="3897E957" w14:textId="3D580390"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[-0.2</w:t>
            </w:r>
            <w:r>
              <w:rPr>
                <w:color w:val="000000"/>
                <w:sz w:val="20"/>
                <w:szCs w:val="20"/>
              </w:rPr>
              <w:t>00</w:t>
            </w:r>
            <w:r w:rsidRPr="00B72AF6">
              <w:rPr>
                <w:color w:val="000000"/>
                <w:sz w:val="20"/>
                <w:szCs w:val="20"/>
              </w:rPr>
              <w:t>, 39.236]</w:t>
            </w:r>
          </w:p>
        </w:tc>
      </w:tr>
      <w:tr w:rsidR="00A56843" w:rsidRPr="00452304" w14:paraId="56BBBC38" w14:textId="77777777" w:rsidTr="00A56843">
        <w:trPr>
          <w:trHeight w:val="320"/>
        </w:trPr>
        <w:tc>
          <w:tcPr>
            <w:tcW w:w="1094" w:type="dxa"/>
            <w:vMerge/>
            <w:tcBorders>
              <w:left w:val="nil"/>
              <w:bottom w:val="single" w:sz="4" w:space="0" w:color="auto"/>
              <w:right w:val="nil"/>
            </w:tcBorders>
          </w:tcPr>
          <w:p w14:paraId="3665E766"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E6B14EF"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D0F0FB4" w14:textId="77777777" w:rsidR="00A56843" w:rsidRDefault="00A56843" w:rsidP="00A56843">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75DA6865" w14:textId="57ACA3BF"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9.527</w:t>
            </w:r>
          </w:p>
        </w:tc>
        <w:tc>
          <w:tcPr>
            <w:tcW w:w="972" w:type="dxa"/>
            <w:vMerge/>
            <w:tcBorders>
              <w:left w:val="nil"/>
              <w:bottom w:val="single" w:sz="4" w:space="0" w:color="auto"/>
              <w:right w:val="nil"/>
            </w:tcBorders>
            <w:noWrap/>
            <w:vAlign w:val="center"/>
          </w:tcPr>
          <w:p w14:paraId="56E3DC35" w14:textId="77777777" w:rsidR="00A56843" w:rsidRPr="00A56843" w:rsidRDefault="00A56843" w:rsidP="00A56843">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7E83BE48" w14:textId="77777777" w:rsidR="00A56843" w:rsidRPr="00A56843" w:rsidRDefault="00A56843" w:rsidP="00A56843">
            <w:pPr>
              <w:spacing w:after="0" w:line="240" w:lineRule="auto"/>
              <w:jc w:val="right"/>
              <w:rPr>
                <w:color w:val="000000"/>
                <w:sz w:val="20"/>
                <w:szCs w:val="20"/>
                <w:highlight w:val="yellow"/>
              </w:rPr>
            </w:pPr>
          </w:p>
        </w:tc>
        <w:tc>
          <w:tcPr>
            <w:tcW w:w="1947" w:type="dxa"/>
            <w:tcBorders>
              <w:top w:val="nil"/>
              <w:left w:val="nil"/>
              <w:bottom w:val="single" w:sz="4" w:space="0" w:color="auto"/>
              <w:right w:val="nil"/>
            </w:tcBorders>
            <w:noWrap/>
            <w:vAlign w:val="center"/>
          </w:tcPr>
          <w:p w14:paraId="1F27D8FA" w14:textId="247896BB"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[-5.824, 46.228]</w:t>
            </w:r>
          </w:p>
        </w:tc>
      </w:tr>
      <w:tr w:rsidR="00A56843" w:rsidRPr="00452304" w14:paraId="0FA33912" w14:textId="77777777" w:rsidTr="00A56843">
        <w:trPr>
          <w:trHeight w:val="320"/>
        </w:trPr>
        <w:tc>
          <w:tcPr>
            <w:tcW w:w="1094" w:type="dxa"/>
            <w:vMerge w:val="restart"/>
            <w:tcBorders>
              <w:top w:val="single" w:sz="4" w:space="0" w:color="auto"/>
              <w:left w:val="nil"/>
              <w:right w:val="nil"/>
            </w:tcBorders>
            <w:vAlign w:val="center"/>
          </w:tcPr>
          <w:p w14:paraId="7B30A288" w14:textId="77777777" w:rsidR="00A56843" w:rsidRPr="009D19EF" w:rsidRDefault="00A56843" w:rsidP="00A56843">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J</w:t>
            </w:r>
            <w:r>
              <w:rPr>
                <w:rFonts w:eastAsia="Times New Roman"/>
                <w:color w:val="000000"/>
                <w:kern w:val="0"/>
                <w:sz w:val="20"/>
                <w:szCs w:val="20"/>
                <w:vertAlign w:val="subscript"/>
                <w14:ligatures w14:val="none"/>
              </w:rPr>
              <w:t>max</w:t>
            </w:r>
            <w:proofErr w:type="spellEnd"/>
          </w:p>
        </w:tc>
        <w:tc>
          <w:tcPr>
            <w:tcW w:w="1178" w:type="dxa"/>
            <w:vMerge w:val="restart"/>
            <w:tcBorders>
              <w:top w:val="single" w:sz="4" w:space="0" w:color="auto"/>
              <w:left w:val="nil"/>
              <w:right w:val="nil"/>
            </w:tcBorders>
            <w:noWrap/>
            <w:vAlign w:val="center"/>
          </w:tcPr>
          <w:p w14:paraId="13D834B8"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686B2D51"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72B65849" w14:textId="08729915"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12.412</w:t>
            </w:r>
          </w:p>
        </w:tc>
        <w:tc>
          <w:tcPr>
            <w:tcW w:w="972" w:type="dxa"/>
            <w:vMerge w:val="restart"/>
            <w:tcBorders>
              <w:top w:val="single" w:sz="4" w:space="0" w:color="auto"/>
              <w:left w:val="nil"/>
              <w:right w:val="nil"/>
            </w:tcBorders>
            <w:noWrap/>
            <w:vAlign w:val="center"/>
          </w:tcPr>
          <w:p w14:paraId="5865DCE2" w14:textId="77777777" w:rsidR="00A56843" w:rsidRPr="00A56843" w:rsidRDefault="00A56843" w:rsidP="00A56843">
            <w:pPr>
              <w:spacing w:after="0" w:line="240" w:lineRule="auto"/>
              <w:jc w:val="right"/>
              <w:rPr>
                <w:color w:val="000000"/>
                <w:sz w:val="20"/>
                <w:szCs w:val="20"/>
              </w:rPr>
            </w:pPr>
            <w:r w:rsidRPr="00A56843">
              <w:rPr>
                <w:color w:val="000000"/>
                <w:sz w:val="20"/>
                <w:szCs w:val="20"/>
              </w:rPr>
              <w:t>0.145</w:t>
            </w:r>
          </w:p>
        </w:tc>
        <w:tc>
          <w:tcPr>
            <w:tcW w:w="939" w:type="dxa"/>
            <w:vMerge w:val="restart"/>
            <w:tcBorders>
              <w:top w:val="single" w:sz="4" w:space="0" w:color="auto"/>
              <w:left w:val="nil"/>
              <w:right w:val="nil"/>
            </w:tcBorders>
            <w:noWrap/>
            <w:vAlign w:val="center"/>
          </w:tcPr>
          <w:p w14:paraId="56D7A763" w14:textId="77777777" w:rsidR="00A56843" w:rsidRPr="00A56843" w:rsidRDefault="00A56843" w:rsidP="00A56843">
            <w:pPr>
              <w:spacing w:after="0" w:line="240" w:lineRule="auto"/>
              <w:jc w:val="right"/>
              <w:rPr>
                <w:color w:val="000000"/>
                <w:sz w:val="20"/>
                <w:szCs w:val="20"/>
              </w:rPr>
            </w:pPr>
            <w:r w:rsidRPr="00A56843">
              <w:rPr>
                <w:color w:val="000000"/>
                <w:sz w:val="20"/>
                <w:szCs w:val="20"/>
              </w:rPr>
              <w:t>0.885</w:t>
            </w:r>
          </w:p>
        </w:tc>
        <w:tc>
          <w:tcPr>
            <w:tcW w:w="1947" w:type="dxa"/>
            <w:tcBorders>
              <w:top w:val="single" w:sz="4" w:space="0" w:color="auto"/>
              <w:left w:val="nil"/>
              <w:bottom w:val="nil"/>
              <w:right w:val="nil"/>
            </w:tcBorders>
            <w:noWrap/>
            <w:vAlign w:val="center"/>
          </w:tcPr>
          <w:p w14:paraId="2A3D6046" w14:textId="1CF0ED75"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[-2.761, 23.244]</w:t>
            </w:r>
          </w:p>
        </w:tc>
      </w:tr>
      <w:tr w:rsidR="00A56843" w:rsidRPr="00452304" w14:paraId="550549F7" w14:textId="77777777" w:rsidTr="00A56843">
        <w:trPr>
          <w:trHeight w:val="320"/>
        </w:trPr>
        <w:tc>
          <w:tcPr>
            <w:tcW w:w="1094" w:type="dxa"/>
            <w:vMerge/>
            <w:tcBorders>
              <w:left w:val="nil"/>
              <w:right w:val="nil"/>
            </w:tcBorders>
          </w:tcPr>
          <w:p w14:paraId="03D120A3"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8DDD06E"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091BCD1" w14:textId="77777777" w:rsidR="00A56843" w:rsidRDefault="00A56843" w:rsidP="00A56843">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320561E3" w14:textId="2F6AA2CC"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19.602</w:t>
            </w:r>
          </w:p>
        </w:tc>
        <w:tc>
          <w:tcPr>
            <w:tcW w:w="972" w:type="dxa"/>
            <w:vMerge/>
            <w:tcBorders>
              <w:left w:val="nil"/>
              <w:bottom w:val="single" w:sz="4" w:space="0" w:color="auto"/>
              <w:right w:val="nil"/>
            </w:tcBorders>
            <w:noWrap/>
            <w:vAlign w:val="center"/>
          </w:tcPr>
          <w:p w14:paraId="138911A4" w14:textId="77777777" w:rsidR="00A56843" w:rsidRPr="00A56843" w:rsidRDefault="00A56843" w:rsidP="00A56843">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0C7681B2" w14:textId="77777777" w:rsidR="00A56843" w:rsidRPr="00A56843" w:rsidRDefault="00A56843" w:rsidP="00A56843">
            <w:pPr>
              <w:spacing w:after="0" w:line="240" w:lineRule="auto"/>
              <w:jc w:val="right"/>
              <w:rPr>
                <w:color w:val="000000"/>
                <w:sz w:val="20"/>
                <w:szCs w:val="20"/>
              </w:rPr>
            </w:pPr>
          </w:p>
        </w:tc>
        <w:tc>
          <w:tcPr>
            <w:tcW w:w="1947" w:type="dxa"/>
            <w:tcBorders>
              <w:top w:val="nil"/>
              <w:left w:val="nil"/>
              <w:bottom w:val="single" w:sz="4" w:space="0" w:color="auto"/>
              <w:right w:val="nil"/>
            </w:tcBorders>
            <w:noWrap/>
            <w:vAlign w:val="center"/>
          </w:tcPr>
          <w:p w14:paraId="395A3739" w14:textId="60FE25B8"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[-22.508, 62.905]</w:t>
            </w:r>
          </w:p>
        </w:tc>
      </w:tr>
      <w:tr w:rsidR="00A56843" w:rsidRPr="00452304" w14:paraId="323375B3" w14:textId="77777777" w:rsidTr="00A56843">
        <w:trPr>
          <w:trHeight w:val="320"/>
        </w:trPr>
        <w:tc>
          <w:tcPr>
            <w:tcW w:w="1094" w:type="dxa"/>
            <w:vMerge/>
            <w:tcBorders>
              <w:left w:val="nil"/>
              <w:right w:val="nil"/>
            </w:tcBorders>
          </w:tcPr>
          <w:p w14:paraId="46F374C7"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4D3CD4A"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4C773EF0"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15B659BA" w14:textId="5AE612F2"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1.41</w:t>
            </w:r>
            <w:r>
              <w:rPr>
                <w:color w:val="000000"/>
                <w:sz w:val="20"/>
                <w:szCs w:val="20"/>
              </w:rPr>
              <w:t>0</w:t>
            </w:r>
          </w:p>
        </w:tc>
        <w:tc>
          <w:tcPr>
            <w:tcW w:w="972" w:type="dxa"/>
            <w:vMerge w:val="restart"/>
            <w:tcBorders>
              <w:top w:val="single" w:sz="4" w:space="0" w:color="auto"/>
              <w:left w:val="nil"/>
              <w:right w:val="nil"/>
            </w:tcBorders>
            <w:noWrap/>
            <w:vAlign w:val="center"/>
          </w:tcPr>
          <w:p w14:paraId="0F9CF490" w14:textId="77777777" w:rsidR="00A56843" w:rsidRPr="00A56843" w:rsidRDefault="00A56843" w:rsidP="00A56843">
            <w:pPr>
              <w:spacing w:after="0" w:line="240" w:lineRule="auto"/>
              <w:jc w:val="right"/>
              <w:rPr>
                <w:color w:val="000000"/>
                <w:sz w:val="20"/>
                <w:szCs w:val="20"/>
              </w:rPr>
            </w:pPr>
            <w:r w:rsidRPr="00A56843">
              <w:rPr>
                <w:color w:val="000000"/>
                <w:sz w:val="20"/>
                <w:szCs w:val="20"/>
              </w:rPr>
              <w:t>-1.509</w:t>
            </w:r>
          </w:p>
        </w:tc>
        <w:tc>
          <w:tcPr>
            <w:tcW w:w="939" w:type="dxa"/>
            <w:vMerge w:val="restart"/>
            <w:tcBorders>
              <w:top w:val="single" w:sz="4" w:space="0" w:color="auto"/>
              <w:left w:val="nil"/>
              <w:right w:val="nil"/>
            </w:tcBorders>
            <w:noWrap/>
            <w:vAlign w:val="center"/>
          </w:tcPr>
          <w:p w14:paraId="135EF070" w14:textId="77777777" w:rsidR="00A56843" w:rsidRPr="00A56843" w:rsidRDefault="00A56843" w:rsidP="00A56843">
            <w:pPr>
              <w:spacing w:after="0" w:line="240" w:lineRule="auto"/>
              <w:jc w:val="right"/>
              <w:rPr>
                <w:color w:val="000000"/>
                <w:sz w:val="20"/>
                <w:szCs w:val="20"/>
              </w:rPr>
            </w:pPr>
            <w:r w:rsidRPr="00A56843">
              <w:rPr>
                <w:color w:val="000000"/>
                <w:sz w:val="20"/>
                <w:szCs w:val="20"/>
              </w:rPr>
              <w:t>0.131</w:t>
            </w:r>
          </w:p>
        </w:tc>
        <w:tc>
          <w:tcPr>
            <w:tcW w:w="1947" w:type="dxa"/>
            <w:tcBorders>
              <w:top w:val="single" w:sz="4" w:space="0" w:color="auto"/>
              <w:left w:val="nil"/>
              <w:bottom w:val="nil"/>
              <w:right w:val="nil"/>
            </w:tcBorders>
            <w:noWrap/>
            <w:vAlign w:val="center"/>
          </w:tcPr>
          <w:p w14:paraId="3C3AAE09" w14:textId="5F975344"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[2.737, 39.236]</w:t>
            </w:r>
          </w:p>
        </w:tc>
      </w:tr>
      <w:tr w:rsidR="00A56843" w:rsidRPr="00452304" w14:paraId="036EF9DF" w14:textId="77777777" w:rsidTr="00A56843">
        <w:trPr>
          <w:trHeight w:val="320"/>
        </w:trPr>
        <w:tc>
          <w:tcPr>
            <w:tcW w:w="1094" w:type="dxa"/>
            <w:vMerge/>
            <w:tcBorders>
              <w:left w:val="nil"/>
              <w:right w:val="nil"/>
            </w:tcBorders>
          </w:tcPr>
          <w:p w14:paraId="7B37131D"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AE53D7E"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774CB4A" w14:textId="77777777" w:rsidR="00A56843" w:rsidRDefault="00A56843" w:rsidP="00A56843">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76A7986B" w14:textId="61DA6EEE"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29.175</w:t>
            </w:r>
          </w:p>
        </w:tc>
        <w:tc>
          <w:tcPr>
            <w:tcW w:w="972" w:type="dxa"/>
            <w:vMerge/>
            <w:tcBorders>
              <w:left w:val="nil"/>
              <w:bottom w:val="single" w:sz="4" w:space="0" w:color="auto"/>
              <w:right w:val="nil"/>
            </w:tcBorders>
            <w:noWrap/>
            <w:vAlign w:val="center"/>
          </w:tcPr>
          <w:p w14:paraId="168F261A" w14:textId="77777777" w:rsidR="00A56843" w:rsidRPr="00A56843" w:rsidRDefault="00A56843" w:rsidP="00A56843">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0CB57636" w14:textId="77777777" w:rsidR="00A56843" w:rsidRPr="00A56843" w:rsidRDefault="00A56843" w:rsidP="00A56843">
            <w:pPr>
              <w:spacing w:after="0" w:line="240" w:lineRule="auto"/>
              <w:jc w:val="right"/>
              <w:rPr>
                <w:color w:val="000000"/>
                <w:sz w:val="20"/>
                <w:szCs w:val="20"/>
              </w:rPr>
            </w:pPr>
          </w:p>
        </w:tc>
        <w:tc>
          <w:tcPr>
            <w:tcW w:w="1947" w:type="dxa"/>
            <w:tcBorders>
              <w:top w:val="nil"/>
              <w:left w:val="nil"/>
              <w:bottom w:val="single" w:sz="4" w:space="0" w:color="auto"/>
              <w:right w:val="nil"/>
            </w:tcBorders>
            <w:noWrap/>
            <w:vAlign w:val="center"/>
          </w:tcPr>
          <w:p w14:paraId="2884A307" w14:textId="748D8B25"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[-21.73</w:t>
            </w:r>
            <w:r>
              <w:rPr>
                <w:color w:val="000000"/>
                <w:sz w:val="20"/>
                <w:szCs w:val="20"/>
              </w:rPr>
              <w:t>0</w:t>
            </w:r>
            <w:r w:rsidRPr="00B72AF6">
              <w:rPr>
                <w:color w:val="000000"/>
                <w:sz w:val="20"/>
                <w:szCs w:val="20"/>
              </w:rPr>
              <w:t>, 31.521]</w:t>
            </w:r>
          </w:p>
        </w:tc>
      </w:tr>
      <w:tr w:rsidR="00A56843" w:rsidRPr="00452304" w14:paraId="5413C317" w14:textId="77777777" w:rsidTr="00A56843">
        <w:trPr>
          <w:trHeight w:val="320"/>
        </w:trPr>
        <w:tc>
          <w:tcPr>
            <w:tcW w:w="1094" w:type="dxa"/>
            <w:vMerge/>
            <w:tcBorders>
              <w:left w:val="nil"/>
              <w:right w:val="nil"/>
            </w:tcBorders>
          </w:tcPr>
          <w:p w14:paraId="53748793"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881E8A5"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6AC6DE67"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6A4EF4CD" w14:textId="5BCCADB3"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26.744</w:t>
            </w:r>
          </w:p>
        </w:tc>
        <w:tc>
          <w:tcPr>
            <w:tcW w:w="972" w:type="dxa"/>
            <w:vMerge w:val="restart"/>
            <w:tcBorders>
              <w:top w:val="single" w:sz="4" w:space="0" w:color="auto"/>
              <w:left w:val="nil"/>
              <w:right w:val="nil"/>
            </w:tcBorders>
            <w:noWrap/>
            <w:vAlign w:val="center"/>
          </w:tcPr>
          <w:p w14:paraId="72123F27" w14:textId="77777777" w:rsidR="00A56843" w:rsidRPr="00A56843" w:rsidRDefault="00A56843" w:rsidP="00A56843">
            <w:pPr>
              <w:spacing w:after="0" w:line="240" w:lineRule="auto"/>
              <w:jc w:val="right"/>
              <w:rPr>
                <w:color w:val="000000"/>
                <w:sz w:val="20"/>
                <w:szCs w:val="20"/>
              </w:rPr>
            </w:pPr>
            <w:r w:rsidRPr="00A56843">
              <w:rPr>
                <w:color w:val="000000"/>
                <w:sz w:val="20"/>
                <w:szCs w:val="20"/>
              </w:rPr>
              <w:t>-0.220</w:t>
            </w:r>
          </w:p>
        </w:tc>
        <w:tc>
          <w:tcPr>
            <w:tcW w:w="939" w:type="dxa"/>
            <w:vMerge w:val="restart"/>
            <w:tcBorders>
              <w:top w:val="single" w:sz="4" w:space="0" w:color="auto"/>
              <w:left w:val="nil"/>
              <w:right w:val="nil"/>
            </w:tcBorders>
            <w:noWrap/>
            <w:vAlign w:val="center"/>
          </w:tcPr>
          <w:p w14:paraId="410D9D79" w14:textId="77777777" w:rsidR="00A56843" w:rsidRPr="00A56843" w:rsidRDefault="00A56843" w:rsidP="00A56843">
            <w:pPr>
              <w:spacing w:after="0" w:line="240" w:lineRule="auto"/>
              <w:jc w:val="right"/>
              <w:rPr>
                <w:color w:val="000000"/>
                <w:sz w:val="20"/>
                <w:szCs w:val="20"/>
              </w:rPr>
            </w:pPr>
            <w:r w:rsidRPr="00A56843">
              <w:rPr>
                <w:color w:val="000000"/>
                <w:sz w:val="20"/>
                <w:szCs w:val="20"/>
              </w:rPr>
              <w:t>0.826</w:t>
            </w:r>
          </w:p>
        </w:tc>
        <w:tc>
          <w:tcPr>
            <w:tcW w:w="1947" w:type="dxa"/>
            <w:tcBorders>
              <w:top w:val="single" w:sz="4" w:space="0" w:color="auto"/>
              <w:left w:val="nil"/>
              <w:bottom w:val="nil"/>
              <w:right w:val="nil"/>
            </w:tcBorders>
            <w:noWrap/>
            <w:vAlign w:val="center"/>
          </w:tcPr>
          <w:p w14:paraId="425F10C9" w14:textId="4D495929"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[20.925, 37.988]</w:t>
            </w:r>
          </w:p>
        </w:tc>
      </w:tr>
      <w:tr w:rsidR="00A56843" w:rsidRPr="00452304" w14:paraId="2B216FB9" w14:textId="77777777" w:rsidTr="00A56843">
        <w:trPr>
          <w:trHeight w:val="320"/>
        </w:trPr>
        <w:tc>
          <w:tcPr>
            <w:tcW w:w="1094" w:type="dxa"/>
            <w:vMerge/>
            <w:tcBorders>
              <w:left w:val="nil"/>
              <w:bottom w:val="single" w:sz="4" w:space="0" w:color="auto"/>
              <w:right w:val="nil"/>
            </w:tcBorders>
          </w:tcPr>
          <w:p w14:paraId="15301B8E"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19DD406"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EDBE849" w14:textId="77777777" w:rsidR="00A56843" w:rsidRDefault="00A56843" w:rsidP="00A56843">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656B06F8" w14:textId="647440C8"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6.93</w:t>
            </w:r>
            <w:r>
              <w:rPr>
                <w:color w:val="000000"/>
                <w:sz w:val="20"/>
                <w:szCs w:val="20"/>
              </w:rPr>
              <w:t>0</w:t>
            </w:r>
          </w:p>
        </w:tc>
        <w:tc>
          <w:tcPr>
            <w:tcW w:w="972" w:type="dxa"/>
            <w:vMerge/>
            <w:tcBorders>
              <w:left w:val="nil"/>
              <w:bottom w:val="single" w:sz="4" w:space="0" w:color="auto"/>
              <w:right w:val="nil"/>
            </w:tcBorders>
            <w:noWrap/>
            <w:vAlign w:val="center"/>
          </w:tcPr>
          <w:p w14:paraId="55F738C0" w14:textId="77777777" w:rsidR="00A56843" w:rsidRPr="00A56843" w:rsidRDefault="00A56843" w:rsidP="00A56843">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084903BB" w14:textId="77777777" w:rsidR="00A56843" w:rsidRPr="00A56843" w:rsidRDefault="00A56843" w:rsidP="00A56843">
            <w:pPr>
              <w:spacing w:after="0" w:line="240" w:lineRule="auto"/>
              <w:jc w:val="right"/>
              <w:rPr>
                <w:color w:val="000000"/>
                <w:sz w:val="20"/>
                <w:szCs w:val="20"/>
                <w:highlight w:val="yellow"/>
              </w:rPr>
            </w:pPr>
          </w:p>
        </w:tc>
        <w:tc>
          <w:tcPr>
            <w:tcW w:w="1947" w:type="dxa"/>
            <w:tcBorders>
              <w:top w:val="nil"/>
              <w:left w:val="nil"/>
              <w:bottom w:val="single" w:sz="4" w:space="0" w:color="auto"/>
              <w:right w:val="nil"/>
            </w:tcBorders>
            <w:noWrap/>
            <w:vAlign w:val="center"/>
          </w:tcPr>
          <w:p w14:paraId="7420D893" w14:textId="7CF59D26"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[6.716, 50.531]</w:t>
            </w:r>
          </w:p>
        </w:tc>
      </w:tr>
      <w:tr w:rsidR="00A56843" w:rsidRPr="00452304" w14:paraId="11CB2CB1" w14:textId="77777777" w:rsidTr="00A56843">
        <w:trPr>
          <w:trHeight w:val="320"/>
        </w:trPr>
        <w:tc>
          <w:tcPr>
            <w:tcW w:w="1094" w:type="dxa"/>
            <w:vMerge w:val="restart"/>
            <w:tcBorders>
              <w:top w:val="single" w:sz="4" w:space="0" w:color="auto"/>
              <w:left w:val="nil"/>
              <w:right w:val="nil"/>
            </w:tcBorders>
            <w:vAlign w:val="center"/>
          </w:tcPr>
          <w:p w14:paraId="3CC7CA79" w14:textId="77777777" w:rsidR="00A56843" w:rsidRPr="009D19EF" w:rsidRDefault="00A56843" w:rsidP="00A56843">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PNUE</w:t>
            </w:r>
          </w:p>
        </w:tc>
        <w:tc>
          <w:tcPr>
            <w:tcW w:w="1178" w:type="dxa"/>
            <w:vMerge w:val="restart"/>
            <w:tcBorders>
              <w:top w:val="single" w:sz="4" w:space="0" w:color="auto"/>
              <w:left w:val="nil"/>
              <w:right w:val="nil"/>
            </w:tcBorders>
            <w:noWrap/>
            <w:vAlign w:val="center"/>
          </w:tcPr>
          <w:p w14:paraId="57AF5B9F"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7D5AD087"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1FFECF38" w14:textId="2C24482F"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27.762</w:t>
            </w:r>
          </w:p>
        </w:tc>
        <w:tc>
          <w:tcPr>
            <w:tcW w:w="972" w:type="dxa"/>
            <w:vMerge w:val="restart"/>
            <w:tcBorders>
              <w:top w:val="single" w:sz="4" w:space="0" w:color="auto"/>
              <w:left w:val="nil"/>
              <w:right w:val="nil"/>
            </w:tcBorders>
            <w:noWrap/>
            <w:vAlign w:val="center"/>
          </w:tcPr>
          <w:p w14:paraId="0D605AB5" w14:textId="6C7BCCFF"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3.900</w:t>
            </w:r>
          </w:p>
        </w:tc>
        <w:tc>
          <w:tcPr>
            <w:tcW w:w="939" w:type="dxa"/>
            <w:vMerge w:val="restart"/>
            <w:tcBorders>
              <w:top w:val="single" w:sz="4" w:space="0" w:color="auto"/>
              <w:left w:val="nil"/>
              <w:right w:val="nil"/>
            </w:tcBorders>
            <w:noWrap/>
            <w:vAlign w:val="center"/>
          </w:tcPr>
          <w:p w14:paraId="4484908B" w14:textId="0B641CC1"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&lt;0.001</w:t>
            </w:r>
          </w:p>
        </w:tc>
        <w:tc>
          <w:tcPr>
            <w:tcW w:w="1947" w:type="dxa"/>
            <w:tcBorders>
              <w:top w:val="single" w:sz="4" w:space="0" w:color="auto"/>
              <w:left w:val="nil"/>
              <w:bottom w:val="nil"/>
              <w:right w:val="nil"/>
            </w:tcBorders>
            <w:noWrap/>
            <w:vAlign w:val="center"/>
          </w:tcPr>
          <w:p w14:paraId="2CAA0694" w14:textId="4C75285B"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[-12.453, 30.474]</w:t>
            </w:r>
          </w:p>
        </w:tc>
      </w:tr>
      <w:tr w:rsidR="00A56843" w:rsidRPr="00452304" w14:paraId="28C670F7" w14:textId="77777777" w:rsidTr="00A56843">
        <w:trPr>
          <w:trHeight w:val="320"/>
        </w:trPr>
        <w:tc>
          <w:tcPr>
            <w:tcW w:w="1094" w:type="dxa"/>
            <w:vMerge/>
            <w:tcBorders>
              <w:left w:val="nil"/>
              <w:right w:val="nil"/>
            </w:tcBorders>
            <w:vAlign w:val="center"/>
          </w:tcPr>
          <w:p w14:paraId="3A7E3C5F"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7DED996"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B4E177F" w14:textId="77777777" w:rsidR="00A56843" w:rsidRDefault="00A56843" w:rsidP="00A56843">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5DE85254" w14:textId="0A8DD0BB"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18.887</w:t>
            </w:r>
          </w:p>
        </w:tc>
        <w:tc>
          <w:tcPr>
            <w:tcW w:w="972" w:type="dxa"/>
            <w:vMerge/>
            <w:tcBorders>
              <w:left w:val="nil"/>
              <w:bottom w:val="single" w:sz="4" w:space="0" w:color="auto"/>
              <w:right w:val="nil"/>
            </w:tcBorders>
            <w:noWrap/>
            <w:vAlign w:val="center"/>
          </w:tcPr>
          <w:p w14:paraId="34AB4FA3" w14:textId="77777777" w:rsidR="00A56843" w:rsidRPr="00A56843" w:rsidRDefault="00A56843" w:rsidP="00A56843">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2B1AE201" w14:textId="77777777" w:rsidR="00A56843" w:rsidRPr="00A56843" w:rsidRDefault="00A56843" w:rsidP="00A56843">
            <w:pPr>
              <w:spacing w:after="0" w:line="240" w:lineRule="auto"/>
              <w:jc w:val="right"/>
              <w:rPr>
                <w:b/>
                <w:bCs/>
                <w:color w:val="000000"/>
                <w:sz w:val="20"/>
                <w:szCs w:val="20"/>
                <w:highlight w:val="yellow"/>
              </w:rPr>
            </w:pPr>
          </w:p>
        </w:tc>
        <w:tc>
          <w:tcPr>
            <w:tcW w:w="1947" w:type="dxa"/>
            <w:tcBorders>
              <w:top w:val="nil"/>
              <w:left w:val="nil"/>
              <w:bottom w:val="single" w:sz="4" w:space="0" w:color="auto"/>
              <w:right w:val="nil"/>
            </w:tcBorders>
            <w:noWrap/>
            <w:vAlign w:val="center"/>
          </w:tcPr>
          <w:p w14:paraId="415D0646" w14:textId="3F958A6B"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[2.737, 58.883]</w:t>
            </w:r>
          </w:p>
        </w:tc>
      </w:tr>
      <w:tr w:rsidR="00A56843" w:rsidRPr="00452304" w14:paraId="7F9D60F9" w14:textId="77777777" w:rsidTr="00A56843">
        <w:trPr>
          <w:trHeight w:val="320"/>
        </w:trPr>
        <w:tc>
          <w:tcPr>
            <w:tcW w:w="1094" w:type="dxa"/>
            <w:vMerge/>
            <w:tcBorders>
              <w:left w:val="nil"/>
              <w:right w:val="nil"/>
            </w:tcBorders>
            <w:vAlign w:val="center"/>
          </w:tcPr>
          <w:p w14:paraId="5FE87CC9"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750808AD"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5041D6FF"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08E1E21C" w14:textId="337F0DB3" w:rsidR="00A56843" w:rsidRPr="00A56843" w:rsidRDefault="00A56843" w:rsidP="00A56843">
            <w:pPr>
              <w:spacing w:after="0" w:line="240" w:lineRule="auto"/>
              <w:jc w:val="right"/>
              <w:rPr>
                <w:b/>
                <w:bCs/>
                <w:i/>
                <w:iCs/>
                <w:color w:val="000000"/>
                <w:sz w:val="20"/>
                <w:szCs w:val="20"/>
                <w:highlight w:val="yellow"/>
              </w:rPr>
            </w:pPr>
            <w:r w:rsidRPr="00A56843">
              <w:rPr>
                <w:b/>
                <w:bCs/>
                <w:color w:val="000000"/>
                <w:sz w:val="20"/>
                <w:szCs w:val="20"/>
              </w:rPr>
              <w:t>-20.388</w:t>
            </w:r>
          </w:p>
        </w:tc>
        <w:tc>
          <w:tcPr>
            <w:tcW w:w="972" w:type="dxa"/>
            <w:vMerge w:val="restart"/>
            <w:tcBorders>
              <w:top w:val="single" w:sz="4" w:space="0" w:color="auto"/>
              <w:left w:val="nil"/>
              <w:right w:val="nil"/>
            </w:tcBorders>
            <w:noWrap/>
            <w:vAlign w:val="center"/>
          </w:tcPr>
          <w:p w14:paraId="5CAC0E1B" w14:textId="7647DE19" w:rsidR="00A56843" w:rsidRPr="00A56843" w:rsidRDefault="00A56843" w:rsidP="00A56843">
            <w:pPr>
              <w:spacing w:after="0" w:line="240" w:lineRule="auto"/>
              <w:jc w:val="right"/>
              <w:rPr>
                <w:b/>
                <w:bCs/>
                <w:i/>
                <w:iCs/>
                <w:color w:val="000000"/>
                <w:sz w:val="20"/>
                <w:szCs w:val="20"/>
                <w:highlight w:val="yellow"/>
              </w:rPr>
            </w:pPr>
            <w:r w:rsidRPr="00A56843">
              <w:rPr>
                <w:b/>
                <w:bCs/>
                <w:color w:val="000000"/>
                <w:sz w:val="20"/>
                <w:szCs w:val="20"/>
              </w:rPr>
              <w:t>-8.214</w:t>
            </w:r>
          </w:p>
        </w:tc>
        <w:tc>
          <w:tcPr>
            <w:tcW w:w="939" w:type="dxa"/>
            <w:vMerge w:val="restart"/>
            <w:tcBorders>
              <w:top w:val="single" w:sz="4" w:space="0" w:color="auto"/>
              <w:left w:val="nil"/>
              <w:right w:val="nil"/>
            </w:tcBorders>
            <w:noWrap/>
            <w:vAlign w:val="center"/>
          </w:tcPr>
          <w:p w14:paraId="4FA61C04" w14:textId="7C394EEC" w:rsidR="00A56843" w:rsidRPr="00A56843" w:rsidRDefault="00A56843" w:rsidP="00A56843">
            <w:pPr>
              <w:spacing w:after="0" w:line="240" w:lineRule="auto"/>
              <w:jc w:val="right"/>
              <w:rPr>
                <w:b/>
                <w:bCs/>
                <w:i/>
                <w:iCs/>
                <w:color w:val="000000"/>
                <w:sz w:val="20"/>
                <w:szCs w:val="20"/>
                <w:highlight w:val="yellow"/>
              </w:rPr>
            </w:pPr>
            <w:r w:rsidRPr="00A56843">
              <w:rPr>
                <w:b/>
                <w:bCs/>
                <w:color w:val="000000"/>
                <w:sz w:val="20"/>
                <w:szCs w:val="20"/>
              </w:rPr>
              <w:t>&lt;0.001</w:t>
            </w:r>
          </w:p>
        </w:tc>
        <w:tc>
          <w:tcPr>
            <w:tcW w:w="1947" w:type="dxa"/>
            <w:tcBorders>
              <w:top w:val="single" w:sz="4" w:space="0" w:color="auto"/>
              <w:left w:val="nil"/>
              <w:bottom w:val="nil"/>
              <w:right w:val="nil"/>
            </w:tcBorders>
            <w:noWrap/>
            <w:vAlign w:val="center"/>
          </w:tcPr>
          <w:p w14:paraId="328DA91C" w14:textId="072D0F6A" w:rsidR="00A56843" w:rsidRPr="00A56843" w:rsidRDefault="00A56843" w:rsidP="00A56843">
            <w:pPr>
              <w:spacing w:after="0" w:line="240" w:lineRule="auto"/>
              <w:jc w:val="right"/>
              <w:rPr>
                <w:b/>
                <w:bCs/>
                <w:i/>
                <w:iCs/>
                <w:color w:val="000000"/>
                <w:sz w:val="20"/>
                <w:szCs w:val="20"/>
                <w:highlight w:val="yellow"/>
              </w:rPr>
            </w:pPr>
            <w:r w:rsidRPr="00A56843">
              <w:rPr>
                <w:b/>
                <w:bCs/>
                <w:color w:val="000000"/>
                <w:sz w:val="20"/>
                <w:szCs w:val="20"/>
              </w:rPr>
              <w:t>[-4.782, 48.587]</w:t>
            </w:r>
          </w:p>
        </w:tc>
      </w:tr>
      <w:tr w:rsidR="00A56843" w:rsidRPr="00452304" w14:paraId="50CC4693" w14:textId="77777777" w:rsidTr="00A56843">
        <w:trPr>
          <w:trHeight w:val="320"/>
        </w:trPr>
        <w:tc>
          <w:tcPr>
            <w:tcW w:w="1094" w:type="dxa"/>
            <w:vMerge/>
            <w:tcBorders>
              <w:left w:val="nil"/>
              <w:right w:val="nil"/>
            </w:tcBorders>
            <w:vAlign w:val="center"/>
          </w:tcPr>
          <w:p w14:paraId="539E2D70"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641FAA0"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C38BD44" w14:textId="77777777" w:rsidR="00A56843" w:rsidRDefault="00A56843" w:rsidP="00A56843">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07C1BE30" w14:textId="4B657CB7" w:rsidR="00A56843" w:rsidRPr="00A56843" w:rsidRDefault="00A56843" w:rsidP="00A56843">
            <w:pPr>
              <w:spacing w:after="0" w:line="240" w:lineRule="auto"/>
              <w:jc w:val="right"/>
              <w:rPr>
                <w:b/>
                <w:bCs/>
                <w:i/>
                <w:iCs/>
                <w:color w:val="000000"/>
                <w:sz w:val="20"/>
                <w:szCs w:val="20"/>
                <w:highlight w:val="yellow"/>
              </w:rPr>
            </w:pPr>
            <w:r w:rsidRPr="00A56843">
              <w:rPr>
                <w:b/>
                <w:bCs/>
                <w:color w:val="000000"/>
                <w:sz w:val="20"/>
                <w:szCs w:val="20"/>
              </w:rPr>
              <w:t>18.649</w:t>
            </w:r>
          </w:p>
        </w:tc>
        <w:tc>
          <w:tcPr>
            <w:tcW w:w="972" w:type="dxa"/>
            <w:vMerge/>
            <w:tcBorders>
              <w:left w:val="nil"/>
              <w:bottom w:val="single" w:sz="4" w:space="0" w:color="auto"/>
              <w:right w:val="nil"/>
            </w:tcBorders>
            <w:noWrap/>
            <w:vAlign w:val="center"/>
          </w:tcPr>
          <w:p w14:paraId="2EA9DACE" w14:textId="77777777" w:rsidR="00A56843" w:rsidRPr="00A56843" w:rsidRDefault="00A56843" w:rsidP="00A56843">
            <w:pPr>
              <w:spacing w:after="0" w:line="240" w:lineRule="auto"/>
              <w:jc w:val="right"/>
              <w:rPr>
                <w:b/>
                <w:bCs/>
                <w:i/>
                <w:iCs/>
                <w:color w:val="000000"/>
                <w:sz w:val="20"/>
                <w:szCs w:val="20"/>
                <w:highlight w:val="yellow"/>
              </w:rPr>
            </w:pPr>
          </w:p>
        </w:tc>
        <w:tc>
          <w:tcPr>
            <w:tcW w:w="939" w:type="dxa"/>
            <w:vMerge/>
            <w:tcBorders>
              <w:left w:val="nil"/>
              <w:bottom w:val="single" w:sz="4" w:space="0" w:color="auto"/>
              <w:right w:val="nil"/>
            </w:tcBorders>
            <w:noWrap/>
            <w:vAlign w:val="center"/>
          </w:tcPr>
          <w:p w14:paraId="453BE07C" w14:textId="77777777" w:rsidR="00A56843" w:rsidRPr="00A56843" w:rsidRDefault="00A56843" w:rsidP="00A56843">
            <w:pPr>
              <w:spacing w:after="0" w:line="240" w:lineRule="auto"/>
              <w:jc w:val="right"/>
              <w:rPr>
                <w:b/>
                <w:bCs/>
                <w:i/>
                <w:iCs/>
                <w:color w:val="000000"/>
                <w:sz w:val="20"/>
                <w:szCs w:val="20"/>
                <w:highlight w:val="yellow"/>
              </w:rPr>
            </w:pPr>
          </w:p>
        </w:tc>
        <w:tc>
          <w:tcPr>
            <w:tcW w:w="1947" w:type="dxa"/>
            <w:tcBorders>
              <w:top w:val="nil"/>
              <w:left w:val="nil"/>
              <w:bottom w:val="single" w:sz="4" w:space="0" w:color="auto"/>
              <w:right w:val="nil"/>
            </w:tcBorders>
            <w:noWrap/>
            <w:vAlign w:val="center"/>
          </w:tcPr>
          <w:p w14:paraId="251FD21C" w14:textId="47F55DA8" w:rsidR="00A56843" w:rsidRPr="00A56843" w:rsidRDefault="00A56843" w:rsidP="00A56843">
            <w:pPr>
              <w:spacing w:after="0" w:line="240" w:lineRule="auto"/>
              <w:jc w:val="right"/>
              <w:rPr>
                <w:b/>
                <w:bCs/>
                <w:i/>
                <w:iCs/>
                <w:color w:val="000000"/>
                <w:sz w:val="20"/>
                <w:szCs w:val="20"/>
                <w:highlight w:val="yellow"/>
              </w:rPr>
            </w:pPr>
            <w:r w:rsidRPr="00A56843">
              <w:rPr>
                <w:b/>
                <w:bCs/>
                <w:color w:val="000000"/>
                <w:sz w:val="20"/>
                <w:szCs w:val="20"/>
              </w:rPr>
              <w:t>[-37.500, 1.410]</w:t>
            </w:r>
          </w:p>
        </w:tc>
      </w:tr>
      <w:tr w:rsidR="00A56843" w:rsidRPr="00452304" w14:paraId="57284275" w14:textId="77777777" w:rsidTr="00A56843">
        <w:trPr>
          <w:trHeight w:val="320"/>
        </w:trPr>
        <w:tc>
          <w:tcPr>
            <w:tcW w:w="1094" w:type="dxa"/>
            <w:vMerge/>
            <w:tcBorders>
              <w:left w:val="nil"/>
              <w:right w:val="nil"/>
            </w:tcBorders>
            <w:vAlign w:val="center"/>
          </w:tcPr>
          <w:p w14:paraId="47BC5D67"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05816C1"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6E6DB7E3"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02346E23" w14:textId="17615991" w:rsidR="00A56843" w:rsidRPr="00A56843" w:rsidRDefault="00A56843" w:rsidP="00A56843">
            <w:pPr>
              <w:spacing w:after="0" w:line="240" w:lineRule="auto"/>
              <w:jc w:val="right"/>
              <w:rPr>
                <w:b/>
                <w:bCs/>
                <w:i/>
                <w:iCs/>
                <w:color w:val="000000"/>
                <w:sz w:val="20"/>
                <w:szCs w:val="20"/>
                <w:highlight w:val="yellow"/>
              </w:rPr>
            </w:pPr>
            <w:r w:rsidRPr="00A56843">
              <w:rPr>
                <w:b/>
                <w:bCs/>
                <w:color w:val="000000"/>
                <w:sz w:val="20"/>
                <w:szCs w:val="20"/>
              </w:rPr>
              <w:t>45.645</w:t>
            </w:r>
          </w:p>
        </w:tc>
        <w:tc>
          <w:tcPr>
            <w:tcW w:w="972" w:type="dxa"/>
            <w:vMerge w:val="restart"/>
            <w:tcBorders>
              <w:top w:val="single" w:sz="4" w:space="0" w:color="auto"/>
              <w:left w:val="nil"/>
              <w:right w:val="nil"/>
            </w:tcBorders>
            <w:noWrap/>
            <w:vAlign w:val="center"/>
          </w:tcPr>
          <w:p w14:paraId="3071F322" w14:textId="1CD5858E" w:rsidR="00A56843" w:rsidRPr="00A56843" w:rsidRDefault="00A56843" w:rsidP="00A56843">
            <w:pPr>
              <w:spacing w:after="0" w:line="240" w:lineRule="auto"/>
              <w:jc w:val="right"/>
              <w:rPr>
                <w:b/>
                <w:bCs/>
                <w:i/>
                <w:iCs/>
                <w:color w:val="000000"/>
                <w:sz w:val="20"/>
                <w:szCs w:val="20"/>
                <w:highlight w:val="yellow"/>
              </w:rPr>
            </w:pPr>
            <w:r w:rsidRPr="00A56843">
              <w:rPr>
                <w:b/>
                <w:bCs/>
                <w:color w:val="000000"/>
                <w:sz w:val="20"/>
                <w:szCs w:val="20"/>
              </w:rPr>
              <w:t>4.406</w:t>
            </w:r>
          </w:p>
        </w:tc>
        <w:tc>
          <w:tcPr>
            <w:tcW w:w="939" w:type="dxa"/>
            <w:vMerge w:val="restart"/>
            <w:tcBorders>
              <w:top w:val="single" w:sz="4" w:space="0" w:color="auto"/>
              <w:left w:val="nil"/>
              <w:right w:val="nil"/>
            </w:tcBorders>
            <w:noWrap/>
            <w:vAlign w:val="center"/>
          </w:tcPr>
          <w:p w14:paraId="1E891E99" w14:textId="04DE83B6" w:rsidR="00A56843" w:rsidRPr="00A56843" w:rsidRDefault="00A56843" w:rsidP="00A56843">
            <w:pPr>
              <w:spacing w:after="0" w:line="240" w:lineRule="auto"/>
              <w:jc w:val="right"/>
              <w:rPr>
                <w:b/>
                <w:bCs/>
                <w:i/>
                <w:iCs/>
                <w:color w:val="000000"/>
                <w:sz w:val="20"/>
                <w:szCs w:val="20"/>
                <w:highlight w:val="yellow"/>
              </w:rPr>
            </w:pPr>
            <w:r w:rsidRPr="00A56843">
              <w:rPr>
                <w:b/>
                <w:bCs/>
                <w:color w:val="000000"/>
                <w:sz w:val="20"/>
                <w:szCs w:val="20"/>
              </w:rPr>
              <w:t>&lt;0.001</w:t>
            </w:r>
          </w:p>
        </w:tc>
        <w:tc>
          <w:tcPr>
            <w:tcW w:w="1947" w:type="dxa"/>
            <w:tcBorders>
              <w:top w:val="single" w:sz="4" w:space="0" w:color="auto"/>
              <w:left w:val="nil"/>
              <w:bottom w:val="nil"/>
              <w:right w:val="nil"/>
            </w:tcBorders>
            <w:noWrap/>
            <w:vAlign w:val="center"/>
          </w:tcPr>
          <w:p w14:paraId="0D678364" w14:textId="77D6A81D" w:rsidR="00A56843" w:rsidRPr="00A56843" w:rsidRDefault="00A56843" w:rsidP="00A56843">
            <w:pPr>
              <w:spacing w:after="0" w:line="240" w:lineRule="auto"/>
              <w:jc w:val="right"/>
              <w:rPr>
                <w:b/>
                <w:bCs/>
                <w:i/>
                <w:iCs/>
                <w:color w:val="000000"/>
                <w:sz w:val="20"/>
                <w:szCs w:val="20"/>
                <w:highlight w:val="yellow"/>
              </w:rPr>
            </w:pPr>
            <w:r w:rsidRPr="00A56843">
              <w:rPr>
                <w:b/>
                <w:bCs/>
                <w:color w:val="000000"/>
                <w:sz w:val="20"/>
                <w:szCs w:val="20"/>
              </w:rPr>
              <w:t>[-15.126, 65.699]</w:t>
            </w:r>
          </w:p>
        </w:tc>
      </w:tr>
      <w:tr w:rsidR="00A56843" w:rsidRPr="00452304" w14:paraId="44AF0BB4" w14:textId="77777777" w:rsidTr="00A56843">
        <w:trPr>
          <w:trHeight w:val="320"/>
        </w:trPr>
        <w:tc>
          <w:tcPr>
            <w:tcW w:w="1094" w:type="dxa"/>
            <w:vMerge/>
            <w:tcBorders>
              <w:left w:val="nil"/>
              <w:bottom w:val="single" w:sz="4" w:space="0" w:color="auto"/>
              <w:right w:val="nil"/>
            </w:tcBorders>
            <w:vAlign w:val="center"/>
          </w:tcPr>
          <w:p w14:paraId="3E8A6602"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E783CF5"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5C761DD" w14:textId="77777777" w:rsidR="00A56843" w:rsidRDefault="00A56843" w:rsidP="00A56843">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0D02337B" w14:textId="34A7B9DB" w:rsidR="00A56843" w:rsidRPr="00A56843" w:rsidRDefault="00A56843" w:rsidP="00A56843">
            <w:pPr>
              <w:spacing w:after="0" w:line="240" w:lineRule="auto"/>
              <w:jc w:val="right"/>
              <w:rPr>
                <w:b/>
                <w:bCs/>
                <w:i/>
                <w:iCs/>
                <w:color w:val="000000"/>
                <w:sz w:val="20"/>
                <w:szCs w:val="20"/>
                <w:highlight w:val="yellow"/>
              </w:rPr>
            </w:pPr>
            <w:r w:rsidRPr="00A56843">
              <w:rPr>
                <w:b/>
                <w:bCs/>
                <w:color w:val="000000"/>
                <w:sz w:val="20"/>
                <w:szCs w:val="20"/>
              </w:rPr>
              <w:t>24.483</w:t>
            </w:r>
          </w:p>
        </w:tc>
        <w:tc>
          <w:tcPr>
            <w:tcW w:w="972" w:type="dxa"/>
            <w:vMerge/>
            <w:tcBorders>
              <w:left w:val="nil"/>
              <w:bottom w:val="single" w:sz="4" w:space="0" w:color="auto"/>
              <w:right w:val="nil"/>
            </w:tcBorders>
            <w:noWrap/>
            <w:vAlign w:val="center"/>
          </w:tcPr>
          <w:p w14:paraId="287DA125" w14:textId="77777777" w:rsidR="00A56843" w:rsidRPr="00A56843" w:rsidRDefault="00A56843" w:rsidP="00A56843">
            <w:pPr>
              <w:spacing w:after="0" w:line="240" w:lineRule="auto"/>
              <w:jc w:val="right"/>
              <w:rPr>
                <w:b/>
                <w:bCs/>
                <w:i/>
                <w:iCs/>
                <w:color w:val="000000"/>
                <w:sz w:val="20"/>
                <w:szCs w:val="20"/>
                <w:highlight w:val="yellow"/>
              </w:rPr>
            </w:pPr>
          </w:p>
        </w:tc>
        <w:tc>
          <w:tcPr>
            <w:tcW w:w="939" w:type="dxa"/>
            <w:vMerge/>
            <w:tcBorders>
              <w:left w:val="nil"/>
              <w:bottom w:val="single" w:sz="4" w:space="0" w:color="auto"/>
              <w:right w:val="nil"/>
            </w:tcBorders>
            <w:noWrap/>
            <w:vAlign w:val="center"/>
          </w:tcPr>
          <w:p w14:paraId="769BC967" w14:textId="77777777" w:rsidR="00A56843" w:rsidRPr="00A56843" w:rsidRDefault="00A56843" w:rsidP="00A56843">
            <w:pPr>
              <w:spacing w:after="0" w:line="240" w:lineRule="auto"/>
              <w:jc w:val="right"/>
              <w:rPr>
                <w:b/>
                <w:bCs/>
                <w:i/>
                <w:iCs/>
                <w:color w:val="000000"/>
                <w:sz w:val="20"/>
                <w:szCs w:val="20"/>
                <w:highlight w:val="yellow"/>
              </w:rPr>
            </w:pPr>
          </w:p>
        </w:tc>
        <w:tc>
          <w:tcPr>
            <w:tcW w:w="1947" w:type="dxa"/>
            <w:tcBorders>
              <w:top w:val="nil"/>
              <w:left w:val="nil"/>
              <w:bottom w:val="single" w:sz="4" w:space="0" w:color="auto"/>
              <w:right w:val="nil"/>
            </w:tcBorders>
            <w:noWrap/>
            <w:vAlign w:val="center"/>
          </w:tcPr>
          <w:p w14:paraId="518A60C3" w14:textId="6C09D090" w:rsidR="00A56843" w:rsidRPr="00A56843" w:rsidRDefault="00A56843" w:rsidP="00A56843">
            <w:pPr>
              <w:spacing w:after="0" w:line="240" w:lineRule="auto"/>
              <w:jc w:val="right"/>
              <w:rPr>
                <w:b/>
                <w:bCs/>
                <w:i/>
                <w:iCs/>
                <w:color w:val="000000"/>
                <w:sz w:val="20"/>
                <w:szCs w:val="20"/>
                <w:highlight w:val="yellow"/>
              </w:rPr>
            </w:pPr>
            <w:r w:rsidRPr="00A56843">
              <w:rPr>
                <w:b/>
                <w:bCs/>
                <w:color w:val="000000"/>
                <w:sz w:val="20"/>
                <w:szCs w:val="20"/>
              </w:rPr>
              <w:t>[3.149, 105.649]</w:t>
            </w:r>
          </w:p>
        </w:tc>
      </w:tr>
      <w:tr w:rsidR="00A56843" w:rsidRPr="00452304" w14:paraId="76861B54" w14:textId="77777777" w:rsidTr="00A56843">
        <w:trPr>
          <w:trHeight w:val="320"/>
        </w:trPr>
        <w:tc>
          <w:tcPr>
            <w:tcW w:w="1094" w:type="dxa"/>
            <w:vMerge w:val="restart"/>
            <w:tcBorders>
              <w:top w:val="single" w:sz="4" w:space="0" w:color="auto"/>
              <w:left w:val="nil"/>
              <w:right w:val="nil"/>
            </w:tcBorders>
            <w:vAlign w:val="center"/>
          </w:tcPr>
          <w:p w14:paraId="0A60E3B1" w14:textId="77777777" w:rsidR="00A56843" w:rsidRPr="009D19EF"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PPUE</w:t>
            </w:r>
          </w:p>
        </w:tc>
        <w:tc>
          <w:tcPr>
            <w:tcW w:w="1178" w:type="dxa"/>
            <w:vMerge w:val="restart"/>
            <w:tcBorders>
              <w:top w:val="single" w:sz="4" w:space="0" w:color="auto"/>
              <w:left w:val="nil"/>
              <w:right w:val="nil"/>
            </w:tcBorders>
            <w:noWrap/>
            <w:vAlign w:val="center"/>
          </w:tcPr>
          <w:p w14:paraId="420BB4F9"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562A8CB9"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39656DFF" w14:textId="756E6E4F"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34.986</w:t>
            </w:r>
          </w:p>
        </w:tc>
        <w:tc>
          <w:tcPr>
            <w:tcW w:w="972" w:type="dxa"/>
            <w:vMerge w:val="restart"/>
            <w:tcBorders>
              <w:top w:val="single" w:sz="4" w:space="0" w:color="auto"/>
              <w:left w:val="nil"/>
              <w:right w:val="nil"/>
            </w:tcBorders>
            <w:noWrap/>
            <w:vAlign w:val="center"/>
          </w:tcPr>
          <w:p w14:paraId="0339B2D9" w14:textId="4FE39DA3"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0.986</w:t>
            </w:r>
          </w:p>
        </w:tc>
        <w:tc>
          <w:tcPr>
            <w:tcW w:w="939" w:type="dxa"/>
            <w:vMerge w:val="restart"/>
            <w:tcBorders>
              <w:top w:val="single" w:sz="4" w:space="0" w:color="auto"/>
              <w:left w:val="nil"/>
              <w:right w:val="nil"/>
            </w:tcBorders>
            <w:noWrap/>
            <w:vAlign w:val="center"/>
          </w:tcPr>
          <w:p w14:paraId="578ECED3" w14:textId="67F9984C"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0.324</w:t>
            </w:r>
          </w:p>
        </w:tc>
        <w:tc>
          <w:tcPr>
            <w:tcW w:w="1947" w:type="dxa"/>
            <w:tcBorders>
              <w:top w:val="single" w:sz="4" w:space="0" w:color="auto"/>
              <w:left w:val="nil"/>
              <w:bottom w:val="nil"/>
              <w:right w:val="nil"/>
            </w:tcBorders>
            <w:noWrap/>
            <w:vAlign w:val="center"/>
          </w:tcPr>
          <w:p w14:paraId="1CA16400" w14:textId="56B6C9A9"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[-0.399, 55.582]</w:t>
            </w:r>
          </w:p>
        </w:tc>
      </w:tr>
      <w:tr w:rsidR="00A56843" w:rsidRPr="00452304" w14:paraId="214D08BB" w14:textId="77777777" w:rsidTr="00A56843">
        <w:trPr>
          <w:trHeight w:val="320"/>
        </w:trPr>
        <w:tc>
          <w:tcPr>
            <w:tcW w:w="1094" w:type="dxa"/>
            <w:vMerge/>
            <w:tcBorders>
              <w:left w:val="nil"/>
              <w:right w:val="nil"/>
            </w:tcBorders>
          </w:tcPr>
          <w:p w14:paraId="11D362B9"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57F1AC3"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8329697" w14:textId="77777777" w:rsidR="00A56843" w:rsidRDefault="00A56843" w:rsidP="00A56843">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37C7D9FA" w14:textId="6E066121"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-17.634</w:t>
            </w:r>
          </w:p>
        </w:tc>
        <w:tc>
          <w:tcPr>
            <w:tcW w:w="972" w:type="dxa"/>
            <w:vMerge/>
            <w:tcBorders>
              <w:left w:val="nil"/>
              <w:bottom w:val="single" w:sz="4" w:space="0" w:color="auto"/>
              <w:right w:val="nil"/>
            </w:tcBorders>
            <w:noWrap/>
            <w:vAlign w:val="center"/>
          </w:tcPr>
          <w:p w14:paraId="09020B5D" w14:textId="77777777" w:rsidR="00A56843" w:rsidRPr="00A56843" w:rsidRDefault="00A56843" w:rsidP="00A56843">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2E7AA376" w14:textId="77777777" w:rsidR="00A56843" w:rsidRPr="00A56843" w:rsidRDefault="00A56843" w:rsidP="00A56843">
            <w:pPr>
              <w:spacing w:after="0" w:line="240" w:lineRule="auto"/>
              <w:jc w:val="right"/>
              <w:rPr>
                <w:color w:val="000000"/>
                <w:sz w:val="20"/>
                <w:szCs w:val="20"/>
                <w:highlight w:val="yellow"/>
              </w:rPr>
            </w:pPr>
          </w:p>
        </w:tc>
        <w:tc>
          <w:tcPr>
            <w:tcW w:w="1947" w:type="dxa"/>
            <w:tcBorders>
              <w:top w:val="nil"/>
              <w:left w:val="nil"/>
              <w:bottom w:val="single" w:sz="4" w:space="0" w:color="auto"/>
              <w:right w:val="nil"/>
            </w:tcBorders>
            <w:noWrap/>
            <w:vAlign w:val="center"/>
          </w:tcPr>
          <w:p w14:paraId="31DDB3F2" w14:textId="2B16E1EE"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[2.84</w:t>
            </w:r>
            <w:r>
              <w:rPr>
                <w:color w:val="000000"/>
                <w:sz w:val="20"/>
                <w:szCs w:val="20"/>
              </w:rPr>
              <w:t>0</w:t>
            </w:r>
            <w:r w:rsidRPr="00B72AF6">
              <w:rPr>
                <w:color w:val="000000"/>
                <w:sz w:val="20"/>
                <w:szCs w:val="20"/>
              </w:rPr>
              <w:t>, 77.358]</w:t>
            </w:r>
          </w:p>
        </w:tc>
      </w:tr>
      <w:tr w:rsidR="00A56843" w:rsidRPr="00452304" w14:paraId="04F3016B" w14:textId="77777777" w:rsidTr="00A56843">
        <w:trPr>
          <w:trHeight w:val="320"/>
        </w:trPr>
        <w:tc>
          <w:tcPr>
            <w:tcW w:w="1094" w:type="dxa"/>
            <w:vMerge/>
            <w:tcBorders>
              <w:left w:val="nil"/>
              <w:right w:val="nil"/>
            </w:tcBorders>
          </w:tcPr>
          <w:p w14:paraId="2354C228"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5A9324E"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46FB8F89"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3BBE5343" w14:textId="12271C59"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-28.609</w:t>
            </w:r>
          </w:p>
        </w:tc>
        <w:tc>
          <w:tcPr>
            <w:tcW w:w="972" w:type="dxa"/>
            <w:vMerge w:val="restart"/>
            <w:tcBorders>
              <w:top w:val="single" w:sz="4" w:space="0" w:color="auto"/>
              <w:left w:val="nil"/>
              <w:right w:val="nil"/>
            </w:tcBorders>
            <w:noWrap/>
            <w:vAlign w:val="center"/>
          </w:tcPr>
          <w:p w14:paraId="0F8CF8AD" w14:textId="57880B2B"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-1.231</w:t>
            </w:r>
          </w:p>
        </w:tc>
        <w:tc>
          <w:tcPr>
            <w:tcW w:w="939" w:type="dxa"/>
            <w:vMerge w:val="restart"/>
            <w:tcBorders>
              <w:top w:val="single" w:sz="4" w:space="0" w:color="auto"/>
              <w:left w:val="nil"/>
              <w:right w:val="nil"/>
            </w:tcBorders>
            <w:noWrap/>
            <w:vAlign w:val="center"/>
          </w:tcPr>
          <w:p w14:paraId="2E2CB554" w14:textId="2E2F5729"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0.218</w:t>
            </w:r>
          </w:p>
        </w:tc>
        <w:tc>
          <w:tcPr>
            <w:tcW w:w="1947" w:type="dxa"/>
            <w:tcBorders>
              <w:top w:val="single" w:sz="4" w:space="0" w:color="auto"/>
              <w:left w:val="nil"/>
              <w:bottom w:val="nil"/>
              <w:right w:val="nil"/>
            </w:tcBorders>
            <w:noWrap/>
            <w:vAlign w:val="center"/>
          </w:tcPr>
          <w:p w14:paraId="04351F00" w14:textId="5C13401E"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[-39.286, 11.851]</w:t>
            </w:r>
          </w:p>
        </w:tc>
      </w:tr>
      <w:tr w:rsidR="00A56843" w:rsidRPr="00452304" w14:paraId="2E9A088B" w14:textId="77777777" w:rsidTr="00A56843">
        <w:trPr>
          <w:trHeight w:val="320"/>
        </w:trPr>
        <w:tc>
          <w:tcPr>
            <w:tcW w:w="1094" w:type="dxa"/>
            <w:vMerge/>
            <w:tcBorders>
              <w:left w:val="nil"/>
              <w:right w:val="nil"/>
            </w:tcBorders>
          </w:tcPr>
          <w:p w14:paraId="798A251B"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3BE88B3"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F8F19A9" w14:textId="77777777" w:rsidR="00A56843" w:rsidRDefault="00A56843" w:rsidP="00A56843">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2FD8520B" w14:textId="54A8BFC2"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-3.825</w:t>
            </w:r>
          </w:p>
        </w:tc>
        <w:tc>
          <w:tcPr>
            <w:tcW w:w="972" w:type="dxa"/>
            <w:vMerge/>
            <w:tcBorders>
              <w:left w:val="nil"/>
              <w:bottom w:val="single" w:sz="4" w:space="0" w:color="auto"/>
              <w:right w:val="nil"/>
            </w:tcBorders>
            <w:noWrap/>
            <w:vAlign w:val="center"/>
          </w:tcPr>
          <w:p w14:paraId="18D04E2F" w14:textId="77777777" w:rsidR="00A56843" w:rsidRPr="00A56843" w:rsidRDefault="00A56843" w:rsidP="00A56843">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0A5420EB" w14:textId="77777777" w:rsidR="00A56843" w:rsidRPr="00A56843" w:rsidRDefault="00A56843" w:rsidP="00A56843">
            <w:pPr>
              <w:spacing w:after="0" w:line="240" w:lineRule="auto"/>
              <w:jc w:val="right"/>
              <w:rPr>
                <w:color w:val="000000"/>
                <w:sz w:val="20"/>
                <w:szCs w:val="20"/>
                <w:highlight w:val="yellow"/>
              </w:rPr>
            </w:pPr>
          </w:p>
        </w:tc>
        <w:tc>
          <w:tcPr>
            <w:tcW w:w="1947" w:type="dxa"/>
            <w:tcBorders>
              <w:top w:val="nil"/>
              <w:left w:val="nil"/>
              <w:bottom w:val="single" w:sz="4" w:space="0" w:color="auto"/>
              <w:right w:val="nil"/>
            </w:tcBorders>
            <w:noWrap/>
            <w:vAlign w:val="center"/>
          </w:tcPr>
          <w:p w14:paraId="587F818E" w14:textId="45CC31DB"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[-51.032, 4.081]</w:t>
            </w:r>
          </w:p>
        </w:tc>
      </w:tr>
      <w:tr w:rsidR="00A56843" w:rsidRPr="00452304" w14:paraId="2B71EDAF" w14:textId="77777777" w:rsidTr="00A56843">
        <w:trPr>
          <w:trHeight w:val="320"/>
        </w:trPr>
        <w:tc>
          <w:tcPr>
            <w:tcW w:w="1094" w:type="dxa"/>
            <w:vMerge/>
            <w:tcBorders>
              <w:left w:val="nil"/>
              <w:right w:val="nil"/>
            </w:tcBorders>
          </w:tcPr>
          <w:p w14:paraId="66467BCF"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908A0B2"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1B09A71B"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5C5C7380" w14:textId="43F8EFBD"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51.589</w:t>
            </w:r>
          </w:p>
        </w:tc>
        <w:tc>
          <w:tcPr>
            <w:tcW w:w="972" w:type="dxa"/>
            <w:vMerge w:val="restart"/>
            <w:tcBorders>
              <w:top w:val="single" w:sz="4" w:space="0" w:color="auto"/>
              <w:left w:val="nil"/>
              <w:right w:val="nil"/>
            </w:tcBorders>
            <w:noWrap/>
            <w:vAlign w:val="center"/>
          </w:tcPr>
          <w:p w14:paraId="61C7D448" w14:textId="326B99A1"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4.535</w:t>
            </w:r>
          </w:p>
        </w:tc>
        <w:tc>
          <w:tcPr>
            <w:tcW w:w="939" w:type="dxa"/>
            <w:vMerge w:val="restart"/>
            <w:tcBorders>
              <w:top w:val="single" w:sz="4" w:space="0" w:color="auto"/>
              <w:left w:val="nil"/>
              <w:right w:val="nil"/>
            </w:tcBorders>
            <w:noWrap/>
            <w:vAlign w:val="center"/>
          </w:tcPr>
          <w:p w14:paraId="4A27C5BE" w14:textId="1F4E5B22"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&lt;0.001</w:t>
            </w:r>
          </w:p>
        </w:tc>
        <w:tc>
          <w:tcPr>
            <w:tcW w:w="1947" w:type="dxa"/>
            <w:tcBorders>
              <w:top w:val="single" w:sz="4" w:space="0" w:color="auto"/>
              <w:left w:val="nil"/>
              <w:bottom w:val="nil"/>
              <w:right w:val="nil"/>
            </w:tcBorders>
            <w:noWrap/>
            <w:vAlign w:val="center"/>
          </w:tcPr>
          <w:p w14:paraId="72D9DFF7" w14:textId="27E63085"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[-29.602, 31.390]</w:t>
            </w:r>
          </w:p>
        </w:tc>
      </w:tr>
      <w:tr w:rsidR="00A56843" w:rsidRPr="00452304" w14:paraId="2CADB0C2" w14:textId="77777777" w:rsidTr="00A56843">
        <w:trPr>
          <w:trHeight w:val="320"/>
        </w:trPr>
        <w:tc>
          <w:tcPr>
            <w:tcW w:w="1094" w:type="dxa"/>
            <w:vMerge/>
            <w:tcBorders>
              <w:left w:val="nil"/>
              <w:bottom w:val="single" w:sz="4" w:space="0" w:color="auto"/>
              <w:right w:val="nil"/>
            </w:tcBorders>
          </w:tcPr>
          <w:p w14:paraId="4CB81C14"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E1A0C5F"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85981EF" w14:textId="77777777" w:rsidR="00A56843" w:rsidRDefault="00A56843" w:rsidP="00A56843">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7CDA9D77" w14:textId="0DA621A0"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-13.064</w:t>
            </w:r>
          </w:p>
        </w:tc>
        <w:tc>
          <w:tcPr>
            <w:tcW w:w="972" w:type="dxa"/>
            <w:vMerge/>
            <w:tcBorders>
              <w:left w:val="nil"/>
              <w:bottom w:val="single" w:sz="4" w:space="0" w:color="auto"/>
              <w:right w:val="nil"/>
            </w:tcBorders>
            <w:noWrap/>
            <w:vAlign w:val="center"/>
          </w:tcPr>
          <w:p w14:paraId="69D7D0CB" w14:textId="77777777" w:rsidR="00A56843" w:rsidRPr="00A56843" w:rsidRDefault="00A56843" w:rsidP="00A56843">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1771F19C" w14:textId="77777777" w:rsidR="00A56843" w:rsidRPr="00A56843" w:rsidRDefault="00A56843" w:rsidP="00A56843">
            <w:pPr>
              <w:spacing w:after="0" w:line="240" w:lineRule="auto"/>
              <w:jc w:val="right"/>
              <w:rPr>
                <w:b/>
                <w:bCs/>
                <w:color w:val="000000"/>
                <w:sz w:val="20"/>
                <w:szCs w:val="20"/>
                <w:highlight w:val="yellow"/>
              </w:rPr>
            </w:pPr>
          </w:p>
        </w:tc>
        <w:tc>
          <w:tcPr>
            <w:tcW w:w="1947" w:type="dxa"/>
            <w:tcBorders>
              <w:top w:val="nil"/>
              <w:left w:val="nil"/>
              <w:bottom w:val="single" w:sz="4" w:space="0" w:color="auto"/>
              <w:right w:val="nil"/>
            </w:tcBorders>
            <w:noWrap/>
            <w:vAlign w:val="center"/>
          </w:tcPr>
          <w:p w14:paraId="094EBCCD" w14:textId="41485366"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[5.022, 118.803]</w:t>
            </w:r>
          </w:p>
        </w:tc>
      </w:tr>
    </w:tbl>
    <w:p w14:paraId="1E62C35E" w14:textId="00D2565F" w:rsidR="00D52EF1" w:rsidRDefault="001A23CA" w:rsidP="00D52EF1">
      <w:pPr>
        <w:rPr>
          <w:iCs/>
        </w:rPr>
      </w:pPr>
      <w:r>
        <w:rPr>
          <w:vertAlign w:val="superscript"/>
        </w:rPr>
        <w:t>*</w:t>
      </w:r>
      <w:r>
        <w:t>Significant effects noted in bold font.</w:t>
      </w:r>
      <w:r w:rsidRPr="001A23CA">
        <w:t xml:space="preserve"> </w:t>
      </w:r>
      <w:r>
        <w:t>Model coefficients and 95% confidence interval ranges have been transformed to percent change to mimic figures. Key:</w:t>
      </w:r>
    </w:p>
    <w:p w14:paraId="4DEDAC2A" w14:textId="77777777" w:rsidR="00D52EF1" w:rsidRDefault="00D52EF1" w:rsidP="00D52EF1">
      <w:pPr>
        <w:rPr>
          <w:iCs/>
        </w:rPr>
      </w:pPr>
      <w:r>
        <w:rPr>
          <w:iCs/>
        </w:rPr>
        <w:br w:type="page"/>
      </w:r>
    </w:p>
    <w:p w14:paraId="49B1C8C0" w14:textId="7B6FDD45" w:rsidR="009D19EF" w:rsidRDefault="009D19EF" w:rsidP="009D19EF">
      <w:pPr>
        <w:rPr>
          <w:iCs/>
        </w:rPr>
      </w:pPr>
      <w:r>
        <w:rPr>
          <w:b/>
          <w:bCs/>
          <w:iCs/>
        </w:rPr>
        <w:lastRenderedPageBreak/>
        <w:t>Table S</w:t>
      </w:r>
      <w:r w:rsidR="00EA2123">
        <w:rPr>
          <w:b/>
          <w:bCs/>
          <w:iCs/>
        </w:rPr>
        <w:t>14</w:t>
      </w:r>
      <w:r>
        <w:rPr>
          <w:iCs/>
        </w:rPr>
        <w:t xml:space="preserve"> Photosynthetic pathway moderator effects on leaf photosynthetic responses to nutrient addition</w:t>
      </w:r>
    </w:p>
    <w:tbl>
      <w:tblPr>
        <w:tblW w:w="8280" w:type="dxa"/>
        <w:tblLook w:val="04A0" w:firstRow="1" w:lastRow="0" w:firstColumn="1" w:lastColumn="0" w:noHBand="0" w:noVBand="1"/>
      </w:tblPr>
      <w:tblGrid>
        <w:gridCol w:w="1294"/>
        <w:gridCol w:w="1178"/>
        <w:gridCol w:w="1227"/>
        <w:gridCol w:w="866"/>
        <w:gridCol w:w="972"/>
        <w:gridCol w:w="939"/>
        <w:gridCol w:w="1804"/>
      </w:tblGrid>
      <w:tr w:rsidR="009D19EF" w:rsidRPr="00452304" w14:paraId="4F60EF7D" w14:textId="77777777" w:rsidTr="00D9593D">
        <w:trPr>
          <w:trHeight w:val="320"/>
        </w:trPr>
        <w:tc>
          <w:tcPr>
            <w:tcW w:w="1294" w:type="dxa"/>
            <w:tcBorders>
              <w:top w:val="single" w:sz="4" w:space="0" w:color="auto"/>
              <w:left w:val="nil"/>
              <w:bottom w:val="single" w:sz="4" w:space="0" w:color="auto"/>
              <w:right w:val="nil"/>
            </w:tcBorders>
            <w:vAlign w:val="center"/>
          </w:tcPr>
          <w:p w14:paraId="446F3B73" w14:textId="77777777" w:rsidR="009D19EF" w:rsidRPr="008825E3" w:rsidRDefault="009D19EF"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7A48927A" w14:textId="77777777" w:rsidR="009D19EF" w:rsidRPr="00452304" w:rsidRDefault="009D19EF"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4D283B25" w14:textId="77777777" w:rsidR="009D19EF" w:rsidRPr="00452304" w:rsidRDefault="009D19EF" w:rsidP="00BF3DEC">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866" w:type="dxa"/>
            <w:tcBorders>
              <w:top w:val="single" w:sz="4" w:space="0" w:color="auto"/>
              <w:left w:val="nil"/>
              <w:bottom w:val="single" w:sz="4" w:space="0" w:color="auto"/>
              <w:right w:val="nil"/>
            </w:tcBorders>
            <w:noWrap/>
            <w:vAlign w:val="center"/>
            <w:hideMark/>
          </w:tcPr>
          <w:p w14:paraId="1B71D8C7" w14:textId="6B050AFA" w:rsidR="009D19EF" w:rsidRPr="00452304" w:rsidRDefault="009D19EF" w:rsidP="00BF3DEC">
            <w:pPr>
              <w:spacing w:after="0" w:line="240" w:lineRule="auto"/>
              <w:rPr>
                <w:b/>
                <w:bCs/>
                <w:sz w:val="20"/>
                <w:szCs w:val="20"/>
              </w:rPr>
            </w:pPr>
            <w:r w:rsidRPr="008825E3">
              <w:rPr>
                <w:b/>
                <w:bCs/>
                <w:sz w:val="20"/>
                <w:szCs w:val="20"/>
              </w:rPr>
              <w:t>Coef</w:t>
            </w:r>
            <w:r>
              <w:rPr>
                <w:b/>
                <w:bCs/>
                <w:sz w:val="20"/>
                <w:szCs w:val="20"/>
              </w:rPr>
              <w:t>.</w:t>
            </w:r>
          </w:p>
        </w:tc>
        <w:tc>
          <w:tcPr>
            <w:tcW w:w="972" w:type="dxa"/>
            <w:tcBorders>
              <w:top w:val="single" w:sz="4" w:space="0" w:color="auto"/>
              <w:left w:val="nil"/>
              <w:bottom w:val="single" w:sz="4" w:space="0" w:color="auto"/>
              <w:right w:val="nil"/>
            </w:tcBorders>
            <w:noWrap/>
            <w:vAlign w:val="center"/>
            <w:hideMark/>
          </w:tcPr>
          <w:p w14:paraId="79961811" w14:textId="77777777" w:rsidR="009D19EF" w:rsidRPr="00452304" w:rsidRDefault="009D19EF" w:rsidP="00BF3DEC">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0E2632D9" w14:textId="77777777" w:rsidR="009D19EF" w:rsidRPr="00452304" w:rsidRDefault="009D19EF" w:rsidP="00BF3DEC">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804" w:type="dxa"/>
            <w:tcBorders>
              <w:top w:val="single" w:sz="4" w:space="0" w:color="auto"/>
              <w:left w:val="nil"/>
              <w:bottom w:val="single" w:sz="4" w:space="0" w:color="auto"/>
              <w:right w:val="nil"/>
            </w:tcBorders>
            <w:noWrap/>
            <w:vAlign w:val="center"/>
            <w:hideMark/>
          </w:tcPr>
          <w:p w14:paraId="6A796D3F" w14:textId="77777777" w:rsidR="009D19EF" w:rsidRPr="00452304" w:rsidRDefault="009D19EF" w:rsidP="00BF3DEC">
            <w:pPr>
              <w:spacing w:after="0" w:line="240" w:lineRule="auto"/>
              <w:rPr>
                <w:b/>
                <w:bCs/>
                <w:sz w:val="20"/>
                <w:szCs w:val="20"/>
              </w:rPr>
            </w:pPr>
            <w:r w:rsidRPr="008825E3">
              <w:rPr>
                <w:b/>
                <w:bCs/>
                <w:sz w:val="20"/>
                <w:szCs w:val="20"/>
              </w:rPr>
              <w:t>95% CI</w:t>
            </w:r>
          </w:p>
        </w:tc>
      </w:tr>
      <w:tr w:rsidR="00D9593D" w:rsidRPr="00452304" w14:paraId="3CC1DAA9" w14:textId="77777777" w:rsidTr="00D9593D">
        <w:trPr>
          <w:trHeight w:val="320"/>
        </w:trPr>
        <w:tc>
          <w:tcPr>
            <w:tcW w:w="1294" w:type="dxa"/>
            <w:vMerge w:val="restart"/>
            <w:tcBorders>
              <w:top w:val="single" w:sz="4" w:space="0" w:color="auto"/>
              <w:left w:val="nil"/>
              <w:right w:val="nil"/>
            </w:tcBorders>
            <w:vAlign w:val="center"/>
          </w:tcPr>
          <w:p w14:paraId="54D073F0" w14:textId="63798040" w:rsidR="00D9593D" w:rsidRPr="008A48CF" w:rsidRDefault="00D9593D" w:rsidP="00D9593D">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Total biomass</w:t>
            </w:r>
          </w:p>
        </w:tc>
        <w:tc>
          <w:tcPr>
            <w:tcW w:w="1178" w:type="dxa"/>
            <w:vMerge w:val="restart"/>
            <w:tcBorders>
              <w:top w:val="single" w:sz="4" w:space="0" w:color="auto"/>
              <w:left w:val="nil"/>
              <w:right w:val="nil"/>
            </w:tcBorders>
            <w:noWrap/>
            <w:vAlign w:val="center"/>
            <w:hideMark/>
          </w:tcPr>
          <w:p w14:paraId="5BFC9CBF" w14:textId="77777777" w:rsidR="00D9593D" w:rsidRPr="00452304" w:rsidRDefault="00D9593D" w:rsidP="00D9593D">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05162E12" w14:textId="77777777" w:rsidR="00D9593D" w:rsidRPr="00452304" w:rsidRDefault="00D9593D" w:rsidP="00D9593D">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66" w:type="dxa"/>
            <w:tcBorders>
              <w:top w:val="single" w:sz="4" w:space="0" w:color="auto"/>
              <w:left w:val="nil"/>
              <w:bottom w:val="nil"/>
              <w:right w:val="nil"/>
            </w:tcBorders>
            <w:noWrap/>
            <w:vAlign w:val="center"/>
          </w:tcPr>
          <w:p w14:paraId="3EF2247B" w14:textId="1F3DD0DB" w:rsidR="00D9593D" w:rsidRPr="00D9593D" w:rsidRDefault="00D9593D" w:rsidP="00D9593D">
            <w:pPr>
              <w:spacing w:after="0" w:line="240" w:lineRule="auto"/>
              <w:jc w:val="right"/>
              <w:rPr>
                <w:rFonts w:eastAsia="Times New Roman"/>
                <w:color w:val="000000"/>
                <w:kern w:val="0"/>
                <w:sz w:val="20"/>
                <w:szCs w:val="20"/>
                <w:highlight w:val="yellow"/>
                <w14:ligatures w14:val="none"/>
              </w:rPr>
            </w:pPr>
            <w:r w:rsidRPr="00D9593D">
              <w:rPr>
                <w:color w:val="000000"/>
                <w:sz w:val="20"/>
                <w:szCs w:val="20"/>
              </w:rPr>
              <w:t>23.244</w:t>
            </w:r>
          </w:p>
        </w:tc>
        <w:tc>
          <w:tcPr>
            <w:tcW w:w="972" w:type="dxa"/>
            <w:vMerge w:val="restart"/>
            <w:tcBorders>
              <w:top w:val="single" w:sz="4" w:space="0" w:color="auto"/>
              <w:left w:val="nil"/>
              <w:right w:val="nil"/>
            </w:tcBorders>
            <w:noWrap/>
            <w:vAlign w:val="center"/>
          </w:tcPr>
          <w:p w14:paraId="6A6E6882" w14:textId="44222F25" w:rsidR="00D9593D" w:rsidRPr="00D9593D" w:rsidRDefault="00D9593D" w:rsidP="00D9593D">
            <w:pPr>
              <w:spacing w:after="0" w:line="240" w:lineRule="auto"/>
              <w:jc w:val="right"/>
              <w:rPr>
                <w:rFonts w:eastAsia="Times New Roman"/>
                <w:color w:val="000000"/>
                <w:kern w:val="0"/>
                <w:sz w:val="20"/>
                <w:szCs w:val="20"/>
                <w14:ligatures w14:val="none"/>
              </w:rPr>
            </w:pPr>
            <w:r w:rsidRPr="00D9593D">
              <w:rPr>
                <w:color w:val="000000"/>
                <w:sz w:val="20"/>
                <w:szCs w:val="20"/>
              </w:rPr>
              <w:t>-0.970</w:t>
            </w:r>
          </w:p>
        </w:tc>
        <w:tc>
          <w:tcPr>
            <w:tcW w:w="939" w:type="dxa"/>
            <w:vMerge w:val="restart"/>
            <w:tcBorders>
              <w:top w:val="single" w:sz="4" w:space="0" w:color="auto"/>
              <w:left w:val="nil"/>
              <w:right w:val="nil"/>
            </w:tcBorders>
            <w:noWrap/>
            <w:vAlign w:val="center"/>
          </w:tcPr>
          <w:p w14:paraId="28AC3DA9" w14:textId="1859A374" w:rsidR="00D9593D" w:rsidRPr="00D9593D" w:rsidRDefault="00D9593D" w:rsidP="00D9593D">
            <w:pPr>
              <w:spacing w:after="0" w:line="240" w:lineRule="auto"/>
              <w:jc w:val="right"/>
              <w:rPr>
                <w:rFonts w:eastAsia="Times New Roman"/>
                <w:color w:val="000000"/>
                <w:kern w:val="0"/>
                <w:sz w:val="20"/>
                <w:szCs w:val="20"/>
                <w14:ligatures w14:val="none"/>
              </w:rPr>
            </w:pPr>
            <w:r w:rsidRPr="00D9593D">
              <w:rPr>
                <w:color w:val="000000"/>
                <w:sz w:val="20"/>
                <w:szCs w:val="20"/>
              </w:rPr>
              <w:t>0.332</w:t>
            </w:r>
          </w:p>
        </w:tc>
        <w:tc>
          <w:tcPr>
            <w:tcW w:w="1804" w:type="dxa"/>
            <w:tcBorders>
              <w:top w:val="single" w:sz="4" w:space="0" w:color="auto"/>
              <w:left w:val="nil"/>
              <w:bottom w:val="nil"/>
              <w:right w:val="nil"/>
            </w:tcBorders>
            <w:noWrap/>
            <w:vAlign w:val="center"/>
          </w:tcPr>
          <w:p w14:paraId="72C64E97" w14:textId="6A9B81CE" w:rsidR="00D9593D" w:rsidRPr="00D9593D" w:rsidRDefault="00D9593D" w:rsidP="00D9593D">
            <w:pPr>
              <w:spacing w:after="0" w:line="240" w:lineRule="auto"/>
              <w:jc w:val="right"/>
              <w:rPr>
                <w:rFonts w:eastAsia="Times New Roman"/>
                <w:color w:val="000000"/>
                <w:kern w:val="0"/>
                <w:sz w:val="20"/>
                <w:szCs w:val="20"/>
                <w:highlight w:val="yellow"/>
                <w14:ligatures w14:val="none"/>
              </w:rPr>
            </w:pPr>
            <w:r w:rsidRPr="00D9593D">
              <w:rPr>
                <w:color w:val="000000"/>
                <w:sz w:val="20"/>
                <w:szCs w:val="20"/>
              </w:rPr>
              <w:t>[-41.257, 158.83</w:t>
            </w:r>
            <w:r w:rsidR="00374137">
              <w:rPr>
                <w:color w:val="000000"/>
                <w:sz w:val="20"/>
                <w:szCs w:val="20"/>
              </w:rPr>
              <w:t>0</w:t>
            </w:r>
            <w:r w:rsidRPr="00D9593D">
              <w:rPr>
                <w:color w:val="000000"/>
                <w:sz w:val="20"/>
                <w:szCs w:val="20"/>
              </w:rPr>
              <w:t>]</w:t>
            </w:r>
          </w:p>
        </w:tc>
      </w:tr>
      <w:tr w:rsidR="00D9593D" w:rsidRPr="00452304" w14:paraId="2E9B93EA" w14:textId="77777777" w:rsidTr="00D9593D">
        <w:trPr>
          <w:trHeight w:val="320"/>
        </w:trPr>
        <w:tc>
          <w:tcPr>
            <w:tcW w:w="1294" w:type="dxa"/>
            <w:vMerge/>
            <w:tcBorders>
              <w:left w:val="nil"/>
              <w:right w:val="nil"/>
            </w:tcBorders>
          </w:tcPr>
          <w:p w14:paraId="73EE5D22"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1A77D618" w14:textId="77777777" w:rsidR="00D9593D" w:rsidRPr="00452304" w:rsidRDefault="00D9593D" w:rsidP="00D9593D">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025D0A0C" w14:textId="77777777" w:rsidR="00D9593D" w:rsidRPr="00452304" w:rsidRDefault="00D9593D" w:rsidP="00D9593D">
            <w:pPr>
              <w:spacing w:after="0" w:line="240" w:lineRule="auto"/>
              <w:rPr>
                <w:rFonts w:eastAsia="Times New Roman"/>
                <w:i/>
                <w:iCs/>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66" w:type="dxa"/>
            <w:tcBorders>
              <w:top w:val="nil"/>
              <w:left w:val="nil"/>
              <w:bottom w:val="single" w:sz="4" w:space="0" w:color="auto"/>
              <w:right w:val="nil"/>
            </w:tcBorders>
            <w:noWrap/>
            <w:vAlign w:val="center"/>
          </w:tcPr>
          <w:p w14:paraId="46573218" w14:textId="1936ABDF" w:rsidR="00D9593D" w:rsidRPr="00D9593D" w:rsidRDefault="00D9593D" w:rsidP="00D9593D">
            <w:pPr>
              <w:spacing w:after="0" w:line="240" w:lineRule="auto"/>
              <w:jc w:val="right"/>
              <w:rPr>
                <w:rFonts w:eastAsia="Times New Roman"/>
                <w:color w:val="000000"/>
                <w:kern w:val="0"/>
                <w:sz w:val="20"/>
                <w:szCs w:val="20"/>
                <w:highlight w:val="yellow"/>
                <w14:ligatures w14:val="none"/>
              </w:rPr>
            </w:pPr>
            <w:r w:rsidRPr="00D9593D">
              <w:rPr>
                <w:color w:val="000000"/>
                <w:sz w:val="20"/>
                <w:szCs w:val="20"/>
              </w:rPr>
              <w:t>-33.102</w:t>
            </w:r>
          </w:p>
        </w:tc>
        <w:tc>
          <w:tcPr>
            <w:tcW w:w="972" w:type="dxa"/>
            <w:vMerge/>
            <w:tcBorders>
              <w:left w:val="nil"/>
              <w:bottom w:val="single" w:sz="4" w:space="0" w:color="auto"/>
              <w:right w:val="nil"/>
            </w:tcBorders>
            <w:noWrap/>
            <w:vAlign w:val="center"/>
          </w:tcPr>
          <w:p w14:paraId="1A29A45B" w14:textId="6E777342" w:rsidR="00D9593D" w:rsidRPr="00D9593D" w:rsidRDefault="00D9593D" w:rsidP="00D9593D">
            <w:pPr>
              <w:spacing w:after="0" w:line="240" w:lineRule="auto"/>
              <w:jc w:val="right"/>
              <w:rPr>
                <w:rFonts w:eastAsia="Times New Roman"/>
                <w:color w:val="000000"/>
                <w:kern w:val="0"/>
                <w:sz w:val="20"/>
                <w:szCs w:val="20"/>
                <w14:ligatures w14:val="none"/>
              </w:rPr>
            </w:pPr>
          </w:p>
        </w:tc>
        <w:tc>
          <w:tcPr>
            <w:tcW w:w="939" w:type="dxa"/>
            <w:vMerge/>
            <w:tcBorders>
              <w:left w:val="nil"/>
              <w:bottom w:val="single" w:sz="4" w:space="0" w:color="auto"/>
              <w:right w:val="nil"/>
            </w:tcBorders>
            <w:noWrap/>
            <w:vAlign w:val="center"/>
          </w:tcPr>
          <w:p w14:paraId="4A92F52D" w14:textId="673BDB8C" w:rsidR="00D9593D" w:rsidRPr="00D9593D" w:rsidRDefault="00D9593D" w:rsidP="00D9593D">
            <w:pPr>
              <w:spacing w:after="0" w:line="240" w:lineRule="auto"/>
              <w:jc w:val="right"/>
              <w:rPr>
                <w:rFonts w:eastAsia="Times New Roman"/>
                <w:color w:val="000000"/>
                <w:kern w:val="0"/>
                <w:sz w:val="20"/>
                <w:szCs w:val="20"/>
                <w14:ligatures w14:val="none"/>
              </w:rPr>
            </w:pPr>
          </w:p>
        </w:tc>
        <w:tc>
          <w:tcPr>
            <w:tcW w:w="1804" w:type="dxa"/>
            <w:tcBorders>
              <w:top w:val="nil"/>
              <w:left w:val="nil"/>
              <w:bottom w:val="single" w:sz="4" w:space="0" w:color="auto"/>
              <w:right w:val="nil"/>
            </w:tcBorders>
            <w:noWrap/>
            <w:vAlign w:val="center"/>
          </w:tcPr>
          <w:p w14:paraId="02D48915" w14:textId="45123E46" w:rsidR="00D9593D" w:rsidRPr="00D9593D" w:rsidRDefault="00D9593D" w:rsidP="00D9593D">
            <w:pPr>
              <w:spacing w:after="0" w:line="240" w:lineRule="auto"/>
              <w:jc w:val="right"/>
              <w:rPr>
                <w:rFonts w:eastAsia="Times New Roman"/>
                <w:color w:val="000000"/>
                <w:kern w:val="0"/>
                <w:sz w:val="20"/>
                <w:szCs w:val="20"/>
                <w:highlight w:val="yellow"/>
                <w14:ligatures w14:val="none"/>
              </w:rPr>
            </w:pPr>
            <w:r w:rsidRPr="00D9593D">
              <w:rPr>
                <w:color w:val="000000"/>
                <w:sz w:val="20"/>
                <w:szCs w:val="20"/>
              </w:rPr>
              <w:t>[-75.068, 79.679]</w:t>
            </w:r>
          </w:p>
        </w:tc>
      </w:tr>
      <w:tr w:rsidR="00D9593D" w:rsidRPr="00452304" w14:paraId="703B5651" w14:textId="77777777" w:rsidTr="00D9593D">
        <w:trPr>
          <w:trHeight w:val="320"/>
        </w:trPr>
        <w:tc>
          <w:tcPr>
            <w:tcW w:w="1294" w:type="dxa"/>
            <w:vMerge/>
            <w:tcBorders>
              <w:left w:val="nil"/>
              <w:right w:val="nil"/>
            </w:tcBorders>
          </w:tcPr>
          <w:p w14:paraId="21865513"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97A74F2"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29E546DA"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66" w:type="dxa"/>
            <w:tcBorders>
              <w:top w:val="single" w:sz="4" w:space="0" w:color="auto"/>
              <w:left w:val="nil"/>
              <w:bottom w:val="nil"/>
              <w:right w:val="nil"/>
            </w:tcBorders>
            <w:noWrap/>
            <w:vAlign w:val="center"/>
          </w:tcPr>
          <w:p w14:paraId="5BDBD1FD" w14:textId="127F5F11"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1.207</w:t>
            </w:r>
          </w:p>
        </w:tc>
        <w:tc>
          <w:tcPr>
            <w:tcW w:w="972" w:type="dxa"/>
            <w:vMerge w:val="restart"/>
            <w:tcBorders>
              <w:top w:val="single" w:sz="4" w:space="0" w:color="auto"/>
              <w:left w:val="nil"/>
              <w:right w:val="nil"/>
            </w:tcBorders>
            <w:noWrap/>
            <w:vAlign w:val="center"/>
          </w:tcPr>
          <w:p w14:paraId="1B13CAFA" w14:textId="28BC4B23" w:rsidR="00D9593D" w:rsidRPr="00D9593D" w:rsidRDefault="00D9593D" w:rsidP="00D9593D">
            <w:pPr>
              <w:spacing w:after="0" w:line="240" w:lineRule="auto"/>
              <w:jc w:val="right"/>
              <w:rPr>
                <w:b/>
                <w:bCs/>
                <w:color w:val="000000"/>
                <w:sz w:val="20"/>
                <w:szCs w:val="20"/>
              </w:rPr>
            </w:pPr>
            <w:r w:rsidRPr="00D9593D">
              <w:rPr>
                <w:b/>
                <w:bCs/>
                <w:color w:val="000000"/>
                <w:sz w:val="20"/>
                <w:szCs w:val="20"/>
              </w:rPr>
              <w:t>8.491</w:t>
            </w:r>
          </w:p>
        </w:tc>
        <w:tc>
          <w:tcPr>
            <w:tcW w:w="939" w:type="dxa"/>
            <w:vMerge w:val="restart"/>
            <w:tcBorders>
              <w:top w:val="single" w:sz="4" w:space="0" w:color="auto"/>
              <w:left w:val="nil"/>
              <w:right w:val="nil"/>
            </w:tcBorders>
            <w:noWrap/>
            <w:vAlign w:val="center"/>
          </w:tcPr>
          <w:p w14:paraId="615E9A28" w14:textId="5A9B57A1" w:rsidR="00D9593D" w:rsidRPr="00D9593D" w:rsidRDefault="00D9593D" w:rsidP="00D9593D">
            <w:pPr>
              <w:spacing w:after="0" w:line="240" w:lineRule="auto"/>
              <w:jc w:val="right"/>
              <w:rPr>
                <w:b/>
                <w:bCs/>
                <w:color w:val="000000"/>
                <w:sz w:val="20"/>
                <w:szCs w:val="20"/>
              </w:rPr>
            </w:pPr>
            <w:r w:rsidRPr="00D9593D">
              <w:rPr>
                <w:b/>
                <w:bCs/>
                <w:color w:val="000000"/>
                <w:sz w:val="20"/>
                <w:szCs w:val="20"/>
              </w:rPr>
              <w:t>&lt;0.001</w:t>
            </w:r>
          </w:p>
        </w:tc>
        <w:tc>
          <w:tcPr>
            <w:tcW w:w="1804" w:type="dxa"/>
            <w:tcBorders>
              <w:top w:val="single" w:sz="4" w:space="0" w:color="auto"/>
              <w:left w:val="nil"/>
              <w:bottom w:val="nil"/>
              <w:right w:val="nil"/>
            </w:tcBorders>
            <w:noWrap/>
            <w:vAlign w:val="center"/>
          </w:tcPr>
          <w:p w14:paraId="054CD95C" w14:textId="60A27A12"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[-25.844, 38.127]</w:t>
            </w:r>
          </w:p>
        </w:tc>
      </w:tr>
      <w:tr w:rsidR="00D9593D" w:rsidRPr="00452304" w14:paraId="7BE70C4C" w14:textId="77777777" w:rsidTr="00D9593D">
        <w:trPr>
          <w:trHeight w:val="320"/>
        </w:trPr>
        <w:tc>
          <w:tcPr>
            <w:tcW w:w="1294" w:type="dxa"/>
            <w:vMerge/>
            <w:tcBorders>
              <w:left w:val="nil"/>
              <w:right w:val="nil"/>
            </w:tcBorders>
          </w:tcPr>
          <w:p w14:paraId="2F6B4E99"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2B31015" w14:textId="77777777" w:rsidR="00D9593D" w:rsidRPr="00452304" w:rsidRDefault="00D9593D" w:rsidP="00D9593D">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A7CE0ED" w14:textId="77777777" w:rsidR="00D9593D" w:rsidRDefault="00D9593D" w:rsidP="00D9593D">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66" w:type="dxa"/>
            <w:tcBorders>
              <w:top w:val="nil"/>
              <w:left w:val="nil"/>
              <w:bottom w:val="single" w:sz="4" w:space="0" w:color="auto"/>
              <w:right w:val="nil"/>
            </w:tcBorders>
            <w:noWrap/>
            <w:vAlign w:val="center"/>
          </w:tcPr>
          <w:p w14:paraId="53CDC222" w14:textId="226ADB23"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440.325</w:t>
            </w:r>
          </w:p>
        </w:tc>
        <w:tc>
          <w:tcPr>
            <w:tcW w:w="972" w:type="dxa"/>
            <w:vMerge/>
            <w:tcBorders>
              <w:left w:val="nil"/>
              <w:bottom w:val="single" w:sz="4" w:space="0" w:color="auto"/>
              <w:right w:val="nil"/>
            </w:tcBorders>
            <w:noWrap/>
            <w:vAlign w:val="center"/>
          </w:tcPr>
          <w:p w14:paraId="179D6A9F" w14:textId="35741210" w:rsidR="00D9593D" w:rsidRPr="00D9593D" w:rsidRDefault="00D9593D" w:rsidP="00D9593D">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0D100831" w14:textId="2BCA2655" w:rsidR="00D9593D" w:rsidRPr="00D9593D" w:rsidRDefault="00D9593D" w:rsidP="00D9593D">
            <w:pPr>
              <w:spacing w:after="0" w:line="240" w:lineRule="auto"/>
              <w:jc w:val="right"/>
              <w:rPr>
                <w:b/>
                <w:bCs/>
                <w:color w:val="000000"/>
                <w:sz w:val="20"/>
                <w:szCs w:val="20"/>
              </w:rPr>
            </w:pPr>
          </w:p>
        </w:tc>
        <w:tc>
          <w:tcPr>
            <w:tcW w:w="1804" w:type="dxa"/>
            <w:tcBorders>
              <w:top w:val="nil"/>
              <w:left w:val="nil"/>
              <w:bottom w:val="single" w:sz="4" w:space="0" w:color="auto"/>
              <w:right w:val="nil"/>
            </w:tcBorders>
            <w:noWrap/>
            <w:vAlign w:val="center"/>
          </w:tcPr>
          <w:p w14:paraId="3B16FCA5" w14:textId="1A12CB0F" w:rsidR="00D9593D" w:rsidRPr="00D9593D" w:rsidRDefault="00D9593D" w:rsidP="00D9593D">
            <w:pPr>
              <w:spacing w:after="0" w:line="240" w:lineRule="auto"/>
              <w:jc w:val="right"/>
              <w:rPr>
                <w:b/>
                <w:bCs/>
                <w:color w:val="000000"/>
                <w:sz w:val="20"/>
                <w:szCs w:val="20"/>
                <w:highlight w:val="yellow"/>
              </w:rPr>
            </w:pPr>
            <w:r w:rsidRPr="00D9593D">
              <w:rPr>
                <w:b/>
                <w:bCs/>
                <w:color w:val="000000"/>
                <w:sz w:val="20"/>
                <w:szCs w:val="20"/>
              </w:rPr>
              <w:t>[329.306, 580.053]</w:t>
            </w:r>
          </w:p>
        </w:tc>
      </w:tr>
      <w:tr w:rsidR="00D9593D" w:rsidRPr="00452304" w14:paraId="63651DC5" w14:textId="77777777" w:rsidTr="00D9593D">
        <w:trPr>
          <w:trHeight w:val="320"/>
        </w:trPr>
        <w:tc>
          <w:tcPr>
            <w:tcW w:w="1294" w:type="dxa"/>
            <w:vMerge/>
            <w:tcBorders>
              <w:left w:val="nil"/>
              <w:right w:val="nil"/>
            </w:tcBorders>
          </w:tcPr>
          <w:p w14:paraId="69CFAEF3"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F779D55"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0ADBA5CA"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66" w:type="dxa"/>
            <w:tcBorders>
              <w:top w:val="single" w:sz="4" w:space="0" w:color="auto"/>
              <w:left w:val="nil"/>
              <w:bottom w:val="nil"/>
              <w:right w:val="nil"/>
            </w:tcBorders>
            <w:noWrap/>
            <w:vAlign w:val="center"/>
          </w:tcPr>
          <w:p w14:paraId="2773FD0B" w14:textId="6AC93312"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77.891</w:t>
            </w:r>
          </w:p>
        </w:tc>
        <w:tc>
          <w:tcPr>
            <w:tcW w:w="972" w:type="dxa"/>
            <w:vMerge w:val="restart"/>
            <w:tcBorders>
              <w:top w:val="single" w:sz="4" w:space="0" w:color="auto"/>
              <w:left w:val="nil"/>
              <w:right w:val="nil"/>
            </w:tcBorders>
            <w:noWrap/>
            <w:vAlign w:val="center"/>
          </w:tcPr>
          <w:p w14:paraId="27BF4D7D" w14:textId="08C2DAFB" w:rsidR="00D9593D" w:rsidRPr="00D9593D" w:rsidRDefault="00D9593D" w:rsidP="00D9593D">
            <w:pPr>
              <w:spacing w:after="0" w:line="240" w:lineRule="auto"/>
              <w:jc w:val="right"/>
              <w:rPr>
                <w:color w:val="000000"/>
                <w:sz w:val="20"/>
                <w:szCs w:val="20"/>
              </w:rPr>
            </w:pPr>
            <w:r w:rsidRPr="00D9593D">
              <w:rPr>
                <w:color w:val="000000"/>
                <w:sz w:val="20"/>
                <w:szCs w:val="20"/>
              </w:rPr>
              <w:t>1.639</w:t>
            </w:r>
          </w:p>
        </w:tc>
        <w:tc>
          <w:tcPr>
            <w:tcW w:w="939" w:type="dxa"/>
            <w:vMerge w:val="restart"/>
            <w:tcBorders>
              <w:top w:val="single" w:sz="4" w:space="0" w:color="auto"/>
              <w:left w:val="nil"/>
              <w:right w:val="nil"/>
            </w:tcBorders>
            <w:noWrap/>
            <w:vAlign w:val="center"/>
          </w:tcPr>
          <w:p w14:paraId="710C7A9E" w14:textId="36578A87" w:rsidR="00D9593D" w:rsidRPr="00D9593D" w:rsidRDefault="00D9593D" w:rsidP="00D9593D">
            <w:pPr>
              <w:spacing w:after="0" w:line="240" w:lineRule="auto"/>
              <w:jc w:val="right"/>
              <w:rPr>
                <w:color w:val="000000"/>
                <w:sz w:val="20"/>
                <w:szCs w:val="20"/>
              </w:rPr>
            </w:pPr>
            <w:r w:rsidRPr="00D9593D">
              <w:rPr>
                <w:color w:val="000000"/>
                <w:sz w:val="20"/>
                <w:szCs w:val="20"/>
              </w:rPr>
              <w:t>0.101</w:t>
            </w:r>
          </w:p>
        </w:tc>
        <w:tc>
          <w:tcPr>
            <w:tcW w:w="1804" w:type="dxa"/>
            <w:tcBorders>
              <w:top w:val="single" w:sz="4" w:space="0" w:color="auto"/>
              <w:left w:val="nil"/>
              <w:bottom w:val="nil"/>
              <w:right w:val="nil"/>
            </w:tcBorders>
            <w:noWrap/>
            <w:vAlign w:val="center"/>
          </w:tcPr>
          <w:p w14:paraId="06C8E0CF" w14:textId="74364DC2"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[-18.617, 288.841]</w:t>
            </w:r>
          </w:p>
        </w:tc>
      </w:tr>
      <w:tr w:rsidR="00D9593D" w:rsidRPr="00452304" w14:paraId="3D434B7A" w14:textId="77777777" w:rsidTr="00D9593D">
        <w:trPr>
          <w:trHeight w:val="320"/>
        </w:trPr>
        <w:tc>
          <w:tcPr>
            <w:tcW w:w="1294" w:type="dxa"/>
            <w:vMerge/>
            <w:tcBorders>
              <w:left w:val="nil"/>
              <w:bottom w:val="single" w:sz="4" w:space="0" w:color="auto"/>
              <w:right w:val="nil"/>
            </w:tcBorders>
          </w:tcPr>
          <w:p w14:paraId="3933EDBA"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833C646" w14:textId="77777777" w:rsidR="00D9593D" w:rsidRPr="00452304" w:rsidRDefault="00D9593D" w:rsidP="00D9593D">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54A2CC5" w14:textId="77777777" w:rsidR="00D9593D" w:rsidRDefault="00D9593D" w:rsidP="00D9593D">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66" w:type="dxa"/>
            <w:tcBorders>
              <w:top w:val="nil"/>
              <w:left w:val="nil"/>
              <w:bottom w:val="single" w:sz="4" w:space="0" w:color="auto"/>
              <w:right w:val="nil"/>
            </w:tcBorders>
            <w:noWrap/>
            <w:vAlign w:val="center"/>
          </w:tcPr>
          <w:p w14:paraId="59A44407" w14:textId="3331080C"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405.815</w:t>
            </w:r>
          </w:p>
        </w:tc>
        <w:tc>
          <w:tcPr>
            <w:tcW w:w="972" w:type="dxa"/>
            <w:vMerge/>
            <w:tcBorders>
              <w:left w:val="nil"/>
              <w:bottom w:val="single" w:sz="4" w:space="0" w:color="auto"/>
              <w:right w:val="nil"/>
            </w:tcBorders>
            <w:noWrap/>
            <w:vAlign w:val="center"/>
          </w:tcPr>
          <w:p w14:paraId="0DD29ECE" w14:textId="0959621A" w:rsidR="00D9593D" w:rsidRPr="00D9593D" w:rsidRDefault="00D9593D" w:rsidP="00D9593D">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64230BA4" w14:textId="6EEBBC72" w:rsidR="00D9593D" w:rsidRPr="00D9593D" w:rsidRDefault="00D9593D" w:rsidP="00D9593D">
            <w:pPr>
              <w:spacing w:after="0" w:line="240" w:lineRule="auto"/>
              <w:jc w:val="right"/>
              <w:rPr>
                <w:color w:val="000000"/>
                <w:sz w:val="20"/>
                <w:szCs w:val="20"/>
              </w:rPr>
            </w:pPr>
          </w:p>
        </w:tc>
        <w:tc>
          <w:tcPr>
            <w:tcW w:w="1804" w:type="dxa"/>
            <w:tcBorders>
              <w:top w:val="nil"/>
              <w:left w:val="nil"/>
              <w:bottom w:val="single" w:sz="4" w:space="0" w:color="auto"/>
              <w:right w:val="nil"/>
            </w:tcBorders>
            <w:noWrap/>
            <w:vAlign w:val="center"/>
          </w:tcPr>
          <w:p w14:paraId="2F82855F" w14:textId="280533A8"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[90.98</w:t>
            </w:r>
            <w:r w:rsidR="00374137">
              <w:rPr>
                <w:color w:val="000000"/>
                <w:sz w:val="20"/>
                <w:szCs w:val="20"/>
              </w:rPr>
              <w:t>0</w:t>
            </w:r>
            <w:r w:rsidRPr="00D9593D">
              <w:rPr>
                <w:color w:val="000000"/>
                <w:sz w:val="20"/>
                <w:szCs w:val="20"/>
              </w:rPr>
              <w:t>, 1239.659]</w:t>
            </w:r>
          </w:p>
        </w:tc>
      </w:tr>
      <w:tr w:rsidR="00D9593D" w:rsidRPr="00452304" w14:paraId="41F1A72E" w14:textId="77777777" w:rsidTr="00D9593D">
        <w:trPr>
          <w:trHeight w:val="320"/>
        </w:trPr>
        <w:tc>
          <w:tcPr>
            <w:tcW w:w="1294" w:type="dxa"/>
            <w:vMerge w:val="restart"/>
            <w:tcBorders>
              <w:top w:val="single" w:sz="4" w:space="0" w:color="auto"/>
              <w:left w:val="nil"/>
              <w:right w:val="nil"/>
            </w:tcBorders>
            <w:vAlign w:val="center"/>
          </w:tcPr>
          <w:p w14:paraId="59B3697A" w14:textId="7D1F4BE2" w:rsidR="00D9593D" w:rsidRPr="009D19EF" w:rsidRDefault="00D9593D" w:rsidP="00D9593D">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Aboveground biomass</w:t>
            </w:r>
          </w:p>
        </w:tc>
        <w:tc>
          <w:tcPr>
            <w:tcW w:w="1178" w:type="dxa"/>
            <w:vMerge w:val="restart"/>
            <w:tcBorders>
              <w:top w:val="single" w:sz="4" w:space="0" w:color="auto"/>
              <w:left w:val="nil"/>
              <w:right w:val="nil"/>
            </w:tcBorders>
            <w:noWrap/>
            <w:vAlign w:val="center"/>
          </w:tcPr>
          <w:p w14:paraId="52E24536"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4D8604EE"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66" w:type="dxa"/>
            <w:tcBorders>
              <w:top w:val="single" w:sz="4" w:space="0" w:color="auto"/>
              <w:left w:val="nil"/>
              <w:bottom w:val="nil"/>
              <w:right w:val="nil"/>
            </w:tcBorders>
            <w:noWrap/>
            <w:vAlign w:val="center"/>
          </w:tcPr>
          <w:p w14:paraId="2977EFE9" w14:textId="2F87D317"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60.32</w:t>
            </w:r>
            <w:r w:rsidR="00374137">
              <w:rPr>
                <w:color w:val="000000"/>
                <w:sz w:val="20"/>
                <w:szCs w:val="20"/>
              </w:rPr>
              <w:t>0</w:t>
            </w:r>
          </w:p>
        </w:tc>
        <w:tc>
          <w:tcPr>
            <w:tcW w:w="972" w:type="dxa"/>
            <w:vMerge w:val="restart"/>
            <w:tcBorders>
              <w:top w:val="single" w:sz="4" w:space="0" w:color="auto"/>
              <w:left w:val="nil"/>
              <w:right w:val="nil"/>
            </w:tcBorders>
            <w:noWrap/>
            <w:vAlign w:val="center"/>
          </w:tcPr>
          <w:p w14:paraId="793B8220" w14:textId="7F60D910" w:rsidR="00D9593D" w:rsidRPr="00D9593D" w:rsidRDefault="00D9593D" w:rsidP="00D9593D">
            <w:pPr>
              <w:spacing w:after="0" w:line="240" w:lineRule="auto"/>
              <w:jc w:val="right"/>
              <w:rPr>
                <w:color w:val="000000"/>
                <w:sz w:val="20"/>
                <w:szCs w:val="20"/>
              </w:rPr>
            </w:pPr>
            <w:r w:rsidRPr="00D9593D">
              <w:rPr>
                <w:color w:val="000000"/>
                <w:sz w:val="20"/>
                <w:szCs w:val="20"/>
              </w:rPr>
              <w:t>-0.328</w:t>
            </w:r>
          </w:p>
        </w:tc>
        <w:tc>
          <w:tcPr>
            <w:tcW w:w="939" w:type="dxa"/>
            <w:vMerge w:val="restart"/>
            <w:tcBorders>
              <w:top w:val="single" w:sz="4" w:space="0" w:color="auto"/>
              <w:left w:val="nil"/>
              <w:right w:val="nil"/>
            </w:tcBorders>
            <w:noWrap/>
            <w:vAlign w:val="center"/>
          </w:tcPr>
          <w:p w14:paraId="7AFC0693" w14:textId="4174335F" w:rsidR="00D9593D" w:rsidRPr="00D9593D" w:rsidRDefault="00D9593D" w:rsidP="00D9593D">
            <w:pPr>
              <w:spacing w:after="0" w:line="240" w:lineRule="auto"/>
              <w:jc w:val="right"/>
              <w:rPr>
                <w:color w:val="000000"/>
                <w:sz w:val="20"/>
                <w:szCs w:val="20"/>
              </w:rPr>
            </w:pPr>
            <w:r w:rsidRPr="00D9593D">
              <w:rPr>
                <w:color w:val="000000"/>
                <w:sz w:val="20"/>
                <w:szCs w:val="20"/>
              </w:rPr>
              <w:t>0.743</w:t>
            </w:r>
          </w:p>
        </w:tc>
        <w:tc>
          <w:tcPr>
            <w:tcW w:w="1804" w:type="dxa"/>
            <w:tcBorders>
              <w:top w:val="single" w:sz="4" w:space="0" w:color="auto"/>
              <w:left w:val="nil"/>
              <w:bottom w:val="nil"/>
              <w:right w:val="nil"/>
            </w:tcBorders>
            <w:noWrap/>
            <w:vAlign w:val="center"/>
          </w:tcPr>
          <w:p w14:paraId="31952678" w14:textId="6C80825E"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[16.766, 119.899]</w:t>
            </w:r>
          </w:p>
        </w:tc>
      </w:tr>
      <w:tr w:rsidR="00D9593D" w:rsidRPr="00452304" w14:paraId="160A5A09" w14:textId="77777777" w:rsidTr="00D9593D">
        <w:trPr>
          <w:trHeight w:val="320"/>
        </w:trPr>
        <w:tc>
          <w:tcPr>
            <w:tcW w:w="1294" w:type="dxa"/>
            <w:vMerge/>
            <w:tcBorders>
              <w:left w:val="nil"/>
              <w:right w:val="nil"/>
            </w:tcBorders>
          </w:tcPr>
          <w:p w14:paraId="6EA76487"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6C88090" w14:textId="77777777" w:rsidR="00D9593D" w:rsidRPr="00452304" w:rsidRDefault="00D9593D" w:rsidP="00D9593D">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4F8CEFA" w14:textId="77777777" w:rsidR="00D9593D" w:rsidRDefault="00D9593D" w:rsidP="00D9593D">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66" w:type="dxa"/>
            <w:tcBorders>
              <w:top w:val="nil"/>
              <w:left w:val="nil"/>
              <w:bottom w:val="single" w:sz="4" w:space="0" w:color="auto"/>
              <w:right w:val="nil"/>
            </w:tcBorders>
            <w:noWrap/>
            <w:vAlign w:val="center"/>
          </w:tcPr>
          <w:p w14:paraId="082955A5" w14:textId="0074EF36"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40.214</w:t>
            </w:r>
          </w:p>
        </w:tc>
        <w:tc>
          <w:tcPr>
            <w:tcW w:w="972" w:type="dxa"/>
            <w:vMerge/>
            <w:tcBorders>
              <w:left w:val="nil"/>
              <w:bottom w:val="single" w:sz="4" w:space="0" w:color="auto"/>
              <w:right w:val="nil"/>
            </w:tcBorders>
            <w:noWrap/>
            <w:vAlign w:val="center"/>
          </w:tcPr>
          <w:p w14:paraId="34C741FB" w14:textId="12228C1A" w:rsidR="00D9593D" w:rsidRPr="00D9593D" w:rsidRDefault="00D9593D" w:rsidP="00D9593D">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5B3B0602" w14:textId="14445788" w:rsidR="00D9593D" w:rsidRPr="00D9593D" w:rsidRDefault="00D9593D" w:rsidP="00D9593D">
            <w:pPr>
              <w:spacing w:after="0" w:line="240" w:lineRule="auto"/>
              <w:jc w:val="right"/>
              <w:rPr>
                <w:color w:val="000000"/>
                <w:sz w:val="20"/>
                <w:szCs w:val="20"/>
              </w:rPr>
            </w:pPr>
          </w:p>
        </w:tc>
        <w:tc>
          <w:tcPr>
            <w:tcW w:w="1804" w:type="dxa"/>
            <w:tcBorders>
              <w:top w:val="nil"/>
              <w:left w:val="nil"/>
              <w:bottom w:val="single" w:sz="4" w:space="0" w:color="auto"/>
              <w:right w:val="nil"/>
            </w:tcBorders>
            <w:noWrap/>
            <w:vAlign w:val="center"/>
          </w:tcPr>
          <w:p w14:paraId="0262740A" w14:textId="043E4AAD"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[-32.834, 192.706]</w:t>
            </w:r>
          </w:p>
        </w:tc>
      </w:tr>
      <w:tr w:rsidR="00D9593D" w:rsidRPr="00452304" w14:paraId="041CEED9" w14:textId="77777777" w:rsidTr="00D9593D">
        <w:trPr>
          <w:trHeight w:val="320"/>
        </w:trPr>
        <w:tc>
          <w:tcPr>
            <w:tcW w:w="1294" w:type="dxa"/>
            <w:vMerge/>
            <w:tcBorders>
              <w:left w:val="nil"/>
              <w:right w:val="nil"/>
            </w:tcBorders>
          </w:tcPr>
          <w:p w14:paraId="262CB9CE"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CE0D699"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78957F59"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66" w:type="dxa"/>
            <w:tcBorders>
              <w:top w:val="single" w:sz="4" w:space="0" w:color="auto"/>
              <w:left w:val="nil"/>
              <w:bottom w:val="nil"/>
              <w:right w:val="nil"/>
            </w:tcBorders>
            <w:noWrap/>
            <w:vAlign w:val="center"/>
          </w:tcPr>
          <w:p w14:paraId="1A437C62" w14:textId="06AFCB2B"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19.363</w:t>
            </w:r>
          </w:p>
        </w:tc>
        <w:tc>
          <w:tcPr>
            <w:tcW w:w="972" w:type="dxa"/>
            <w:vMerge w:val="restart"/>
            <w:tcBorders>
              <w:top w:val="single" w:sz="4" w:space="0" w:color="auto"/>
              <w:left w:val="nil"/>
              <w:right w:val="nil"/>
            </w:tcBorders>
            <w:noWrap/>
            <w:vAlign w:val="center"/>
          </w:tcPr>
          <w:p w14:paraId="2A07899B" w14:textId="4F87FA9A" w:rsidR="00D9593D" w:rsidRPr="00D9593D" w:rsidRDefault="00D9593D" w:rsidP="00D9593D">
            <w:pPr>
              <w:spacing w:after="0" w:line="240" w:lineRule="auto"/>
              <w:jc w:val="right"/>
              <w:rPr>
                <w:color w:val="000000"/>
                <w:sz w:val="20"/>
                <w:szCs w:val="20"/>
              </w:rPr>
            </w:pPr>
            <w:r w:rsidRPr="00D9593D">
              <w:rPr>
                <w:color w:val="000000"/>
                <w:sz w:val="20"/>
                <w:szCs w:val="20"/>
              </w:rPr>
              <w:t>-0.051</w:t>
            </w:r>
          </w:p>
        </w:tc>
        <w:tc>
          <w:tcPr>
            <w:tcW w:w="939" w:type="dxa"/>
            <w:vMerge w:val="restart"/>
            <w:tcBorders>
              <w:top w:val="single" w:sz="4" w:space="0" w:color="auto"/>
              <w:left w:val="nil"/>
              <w:right w:val="nil"/>
            </w:tcBorders>
            <w:noWrap/>
            <w:vAlign w:val="center"/>
          </w:tcPr>
          <w:p w14:paraId="7E36B627" w14:textId="447E80DB" w:rsidR="00D9593D" w:rsidRPr="00D9593D" w:rsidRDefault="00D9593D" w:rsidP="00D9593D">
            <w:pPr>
              <w:spacing w:after="0" w:line="240" w:lineRule="auto"/>
              <w:jc w:val="right"/>
              <w:rPr>
                <w:color w:val="000000"/>
                <w:sz w:val="20"/>
                <w:szCs w:val="20"/>
              </w:rPr>
            </w:pPr>
            <w:r w:rsidRPr="00D9593D">
              <w:rPr>
                <w:color w:val="000000"/>
                <w:sz w:val="20"/>
                <w:szCs w:val="20"/>
              </w:rPr>
              <w:t>0.960</w:t>
            </w:r>
          </w:p>
        </w:tc>
        <w:tc>
          <w:tcPr>
            <w:tcW w:w="1804" w:type="dxa"/>
            <w:tcBorders>
              <w:top w:val="single" w:sz="4" w:space="0" w:color="auto"/>
              <w:left w:val="nil"/>
              <w:bottom w:val="nil"/>
              <w:right w:val="nil"/>
            </w:tcBorders>
            <w:noWrap/>
            <w:vAlign w:val="center"/>
          </w:tcPr>
          <w:p w14:paraId="13F6F4E0" w14:textId="3AE461E7"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[-8.972, 56.518]</w:t>
            </w:r>
          </w:p>
        </w:tc>
      </w:tr>
      <w:tr w:rsidR="00D9593D" w:rsidRPr="00452304" w14:paraId="5F82F55A" w14:textId="77777777" w:rsidTr="00D9593D">
        <w:trPr>
          <w:trHeight w:val="320"/>
        </w:trPr>
        <w:tc>
          <w:tcPr>
            <w:tcW w:w="1294" w:type="dxa"/>
            <w:vMerge/>
            <w:tcBorders>
              <w:left w:val="nil"/>
              <w:right w:val="nil"/>
            </w:tcBorders>
          </w:tcPr>
          <w:p w14:paraId="6503BA85"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B17694A" w14:textId="77777777" w:rsidR="00D9593D" w:rsidRPr="00452304" w:rsidRDefault="00D9593D" w:rsidP="00D9593D">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C2F2815" w14:textId="77777777" w:rsidR="00D9593D" w:rsidRDefault="00D9593D" w:rsidP="00D9593D">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66" w:type="dxa"/>
            <w:tcBorders>
              <w:top w:val="nil"/>
              <w:left w:val="nil"/>
              <w:bottom w:val="single" w:sz="4" w:space="0" w:color="auto"/>
              <w:right w:val="nil"/>
            </w:tcBorders>
            <w:noWrap/>
            <w:vAlign w:val="center"/>
          </w:tcPr>
          <w:p w14:paraId="28216C32" w14:textId="43AC743F"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17.351</w:t>
            </w:r>
          </w:p>
        </w:tc>
        <w:tc>
          <w:tcPr>
            <w:tcW w:w="972" w:type="dxa"/>
            <w:vMerge/>
            <w:tcBorders>
              <w:left w:val="nil"/>
              <w:bottom w:val="single" w:sz="4" w:space="0" w:color="auto"/>
              <w:right w:val="nil"/>
            </w:tcBorders>
            <w:noWrap/>
            <w:vAlign w:val="center"/>
          </w:tcPr>
          <w:p w14:paraId="25408758" w14:textId="51DC8306" w:rsidR="00D9593D" w:rsidRPr="00D9593D" w:rsidRDefault="00D9593D" w:rsidP="00D9593D">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3794F1E4" w14:textId="11551F96" w:rsidR="00D9593D" w:rsidRPr="00D9593D" w:rsidRDefault="00D9593D" w:rsidP="00D9593D">
            <w:pPr>
              <w:spacing w:after="0" w:line="240" w:lineRule="auto"/>
              <w:jc w:val="right"/>
              <w:rPr>
                <w:color w:val="000000"/>
                <w:sz w:val="20"/>
                <w:szCs w:val="20"/>
              </w:rPr>
            </w:pPr>
          </w:p>
        </w:tc>
        <w:tc>
          <w:tcPr>
            <w:tcW w:w="1804" w:type="dxa"/>
            <w:tcBorders>
              <w:top w:val="nil"/>
              <w:left w:val="nil"/>
              <w:bottom w:val="single" w:sz="4" w:space="0" w:color="auto"/>
              <w:right w:val="nil"/>
            </w:tcBorders>
            <w:noWrap/>
            <w:vAlign w:val="center"/>
          </w:tcPr>
          <w:p w14:paraId="68109723" w14:textId="5E63717A"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[-37.5</w:t>
            </w:r>
            <w:r w:rsidR="00374137">
              <w:rPr>
                <w:color w:val="000000"/>
                <w:sz w:val="20"/>
                <w:szCs w:val="20"/>
              </w:rPr>
              <w:t>00</w:t>
            </w:r>
            <w:r w:rsidRPr="00D9593D">
              <w:rPr>
                <w:color w:val="000000"/>
                <w:sz w:val="20"/>
                <w:szCs w:val="20"/>
              </w:rPr>
              <w:t>, 120.119]</w:t>
            </w:r>
          </w:p>
        </w:tc>
      </w:tr>
      <w:tr w:rsidR="00D9593D" w:rsidRPr="00452304" w14:paraId="23F94BE1" w14:textId="77777777" w:rsidTr="00D9593D">
        <w:trPr>
          <w:trHeight w:val="320"/>
        </w:trPr>
        <w:tc>
          <w:tcPr>
            <w:tcW w:w="1294" w:type="dxa"/>
            <w:vMerge/>
            <w:tcBorders>
              <w:left w:val="nil"/>
              <w:right w:val="nil"/>
            </w:tcBorders>
          </w:tcPr>
          <w:p w14:paraId="3E0B5D28"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5018ABE"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3734723E"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66" w:type="dxa"/>
            <w:tcBorders>
              <w:top w:val="single" w:sz="4" w:space="0" w:color="auto"/>
              <w:left w:val="nil"/>
              <w:bottom w:val="nil"/>
              <w:right w:val="nil"/>
            </w:tcBorders>
            <w:noWrap/>
            <w:vAlign w:val="center"/>
          </w:tcPr>
          <w:p w14:paraId="720F787B" w14:textId="3F3EEEC1"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93.093</w:t>
            </w:r>
          </w:p>
        </w:tc>
        <w:tc>
          <w:tcPr>
            <w:tcW w:w="972" w:type="dxa"/>
            <w:vMerge w:val="restart"/>
            <w:tcBorders>
              <w:top w:val="single" w:sz="4" w:space="0" w:color="auto"/>
              <w:left w:val="nil"/>
              <w:right w:val="nil"/>
            </w:tcBorders>
            <w:noWrap/>
            <w:vAlign w:val="center"/>
          </w:tcPr>
          <w:p w14:paraId="568DFD38" w14:textId="710E660C" w:rsidR="00D9593D" w:rsidRPr="00D9593D" w:rsidRDefault="00D9593D" w:rsidP="00D9593D">
            <w:pPr>
              <w:spacing w:after="0" w:line="240" w:lineRule="auto"/>
              <w:jc w:val="right"/>
              <w:rPr>
                <w:color w:val="000000"/>
                <w:sz w:val="20"/>
                <w:szCs w:val="20"/>
              </w:rPr>
            </w:pPr>
            <w:r w:rsidRPr="00D9593D">
              <w:rPr>
                <w:color w:val="000000"/>
                <w:sz w:val="20"/>
                <w:szCs w:val="20"/>
              </w:rPr>
              <w:t>-0.079</w:t>
            </w:r>
          </w:p>
        </w:tc>
        <w:tc>
          <w:tcPr>
            <w:tcW w:w="939" w:type="dxa"/>
            <w:vMerge w:val="restart"/>
            <w:tcBorders>
              <w:top w:val="single" w:sz="4" w:space="0" w:color="auto"/>
              <w:left w:val="nil"/>
              <w:right w:val="nil"/>
            </w:tcBorders>
            <w:noWrap/>
            <w:vAlign w:val="center"/>
          </w:tcPr>
          <w:p w14:paraId="203834D2" w14:textId="506DDFF5" w:rsidR="00D9593D" w:rsidRPr="00D9593D" w:rsidRDefault="00D9593D" w:rsidP="00D9593D">
            <w:pPr>
              <w:spacing w:after="0" w:line="240" w:lineRule="auto"/>
              <w:jc w:val="right"/>
              <w:rPr>
                <w:color w:val="000000"/>
                <w:sz w:val="20"/>
                <w:szCs w:val="20"/>
              </w:rPr>
            </w:pPr>
            <w:r w:rsidRPr="00D9593D">
              <w:rPr>
                <w:color w:val="000000"/>
                <w:sz w:val="20"/>
                <w:szCs w:val="20"/>
              </w:rPr>
              <w:t>0.937</w:t>
            </w:r>
          </w:p>
        </w:tc>
        <w:tc>
          <w:tcPr>
            <w:tcW w:w="1804" w:type="dxa"/>
            <w:tcBorders>
              <w:top w:val="single" w:sz="4" w:space="0" w:color="auto"/>
              <w:left w:val="nil"/>
              <w:bottom w:val="nil"/>
              <w:right w:val="nil"/>
            </w:tcBorders>
            <w:noWrap/>
            <w:vAlign w:val="center"/>
          </w:tcPr>
          <w:p w14:paraId="274F3036" w14:textId="16B4473F"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[26.744, 194.174]</w:t>
            </w:r>
          </w:p>
        </w:tc>
      </w:tr>
      <w:tr w:rsidR="00D9593D" w:rsidRPr="00452304" w14:paraId="1F929170" w14:textId="77777777" w:rsidTr="00D9593D">
        <w:trPr>
          <w:trHeight w:val="320"/>
        </w:trPr>
        <w:tc>
          <w:tcPr>
            <w:tcW w:w="1294" w:type="dxa"/>
            <w:vMerge/>
            <w:tcBorders>
              <w:left w:val="nil"/>
              <w:bottom w:val="single" w:sz="4" w:space="0" w:color="auto"/>
              <w:right w:val="nil"/>
            </w:tcBorders>
          </w:tcPr>
          <w:p w14:paraId="2DE0BC6C"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1A9523A" w14:textId="77777777" w:rsidR="00D9593D" w:rsidRPr="00452304" w:rsidRDefault="00D9593D" w:rsidP="00D9593D">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7C4507C" w14:textId="77777777" w:rsidR="00D9593D" w:rsidRDefault="00D9593D" w:rsidP="00D9593D">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66" w:type="dxa"/>
            <w:tcBorders>
              <w:top w:val="nil"/>
              <w:left w:val="nil"/>
              <w:bottom w:val="single" w:sz="4" w:space="0" w:color="auto"/>
              <w:right w:val="nil"/>
            </w:tcBorders>
            <w:noWrap/>
            <w:vAlign w:val="center"/>
          </w:tcPr>
          <w:p w14:paraId="4150A7F2" w14:textId="5A4B0D60"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85.151</w:t>
            </w:r>
          </w:p>
        </w:tc>
        <w:tc>
          <w:tcPr>
            <w:tcW w:w="972" w:type="dxa"/>
            <w:vMerge/>
            <w:tcBorders>
              <w:left w:val="nil"/>
              <w:bottom w:val="single" w:sz="4" w:space="0" w:color="auto"/>
              <w:right w:val="nil"/>
            </w:tcBorders>
            <w:noWrap/>
            <w:vAlign w:val="center"/>
          </w:tcPr>
          <w:p w14:paraId="4E47D557" w14:textId="2CA56ADD" w:rsidR="00D9593D" w:rsidRPr="00D9593D" w:rsidRDefault="00D9593D" w:rsidP="00D9593D">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34D0500F" w14:textId="5687619E" w:rsidR="00D9593D" w:rsidRPr="00D9593D" w:rsidRDefault="00D9593D" w:rsidP="00D9593D">
            <w:pPr>
              <w:spacing w:after="0" w:line="240" w:lineRule="auto"/>
              <w:jc w:val="right"/>
              <w:rPr>
                <w:color w:val="000000"/>
                <w:sz w:val="20"/>
                <w:szCs w:val="20"/>
              </w:rPr>
            </w:pPr>
          </w:p>
        </w:tc>
        <w:tc>
          <w:tcPr>
            <w:tcW w:w="1804" w:type="dxa"/>
            <w:tcBorders>
              <w:top w:val="nil"/>
              <w:left w:val="nil"/>
              <w:bottom w:val="single" w:sz="4" w:space="0" w:color="auto"/>
              <w:right w:val="nil"/>
            </w:tcBorders>
            <w:noWrap/>
            <w:vAlign w:val="center"/>
          </w:tcPr>
          <w:p w14:paraId="369C270B" w14:textId="1FD0BBD5"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[-28.68, 381.146]</w:t>
            </w:r>
          </w:p>
        </w:tc>
      </w:tr>
      <w:tr w:rsidR="00D9593D" w:rsidRPr="00452304" w14:paraId="533F73FB" w14:textId="77777777" w:rsidTr="00D9593D">
        <w:trPr>
          <w:trHeight w:val="320"/>
        </w:trPr>
        <w:tc>
          <w:tcPr>
            <w:tcW w:w="1294" w:type="dxa"/>
            <w:vMerge w:val="restart"/>
            <w:tcBorders>
              <w:top w:val="single" w:sz="4" w:space="0" w:color="auto"/>
              <w:left w:val="nil"/>
              <w:right w:val="nil"/>
            </w:tcBorders>
            <w:vAlign w:val="center"/>
          </w:tcPr>
          <w:p w14:paraId="54E23141" w14:textId="21741489" w:rsidR="00D9593D" w:rsidRPr="009D19EF" w:rsidRDefault="00D9593D" w:rsidP="00D9593D">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Belowground biomass</w:t>
            </w:r>
          </w:p>
        </w:tc>
        <w:tc>
          <w:tcPr>
            <w:tcW w:w="1178" w:type="dxa"/>
            <w:vMerge w:val="restart"/>
            <w:tcBorders>
              <w:top w:val="single" w:sz="4" w:space="0" w:color="auto"/>
              <w:left w:val="nil"/>
              <w:right w:val="nil"/>
            </w:tcBorders>
            <w:noWrap/>
            <w:vAlign w:val="center"/>
          </w:tcPr>
          <w:p w14:paraId="048873F7"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01D58D0C"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66" w:type="dxa"/>
            <w:tcBorders>
              <w:top w:val="single" w:sz="4" w:space="0" w:color="auto"/>
              <w:left w:val="nil"/>
              <w:bottom w:val="nil"/>
              <w:right w:val="nil"/>
            </w:tcBorders>
            <w:noWrap/>
            <w:vAlign w:val="center"/>
          </w:tcPr>
          <w:p w14:paraId="7890AF51" w14:textId="0135EB3E"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18.175</w:t>
            </w:r>
          </w:p>
        </w:tc>
        <w:tc>
          <w:tcPr>
            <w:tcW w:w="972" w:type="dxa"/>
            <w:vMerge w:val="restart"/>
            <w:tcBorders>
              <w:top w:val="single" w:sz="4" w:space="0" w:color="auto"/>
              <w:left w:val="nil"/>
              <w:right w:val="nil"/>
            </w:tcBorders>
            <w:noWrap/>
            <w:vAlign w:val="center"/>
          </w:tcPr>
          <w:p w14:paraId="61A2ABD7" w14:textId="3A7887CD" w:rsidR="00D9593D" w:rsidRPr="00D9593D" w:rsidRDefault="00D9593D" w:rsidP="00D9593D">
            <w:pPr>
              <w:spacing w:after="0" w:line="240" w:lineRule="auto"/>
              <w:jc w:val="right"/>
              <w:rPr>
                <w:color w:val="000000"/>
                <w:sz w:val="20"/>
                <w:szCs w:val="20"/>
              </w:rPr>
            </w:pPr>
            <w:r w:rsidRPr="00D9593D">
              <w:rPr>
                <w:color w:val="000000"/>
                <w:sz w:val="20"/>
                <w:szCs w:val="20"/>
              </w:rPr>
              <w:t>0.267</w:t>
            </w:r>
          </w:p>
        </w:tc>
        <w:tc>
          <w:tcPr>
            <w:tcW w:w="939" w:type="dxa"/>
            <w:vMerge w:val="restart"/>
            <w:tcBorders>
              <w:top w:val="single" w:sz="4" w:space="0" w:color="auto"/>
              <w:left w:val="nil"/>
              <w:right w:val="nil"/>
            </w:tcBorders>
            <w:noWrap/>
            <w:vAlign w:val="center"/>
          </w:tcPr>
          <w:p w14:paraId="38A739C9" w14:textId="3483EF42" w:rsidR="00D9593D" w:rsidRPr="00D9593D" w:rsidRDefault="00D9593D" w:rsidP="00D9593D">
            <w:pPr>
              <w:spacing w:after="0" w:line="240" w:lineRule="auto"/>
              <w:jc w:val="right"/>
              <w:rPr>
                <w:color w:val="000000"/>
                <w:sz w:val="20"/>
                <w:szCs w:val="20"/>
              </w:rPr>
            </w:pPr>
            <w:r w:rsidRPr="00D9593D">
              <w:rPr>
                <w:color w:val="000000"/>
                <w:sz w:val="20"/>
                <w:szCs w:val="20"/>
              </w:rPr>
              <w:t>0.790</w:t>
            </w:r>
          </w:p>
        </w:tc>
        <w:tc>
          <w:tcPr>
            <w:tcW w:w="1804" w:type="dxa"/>
            <w:tcBorders>
              <w:top w:val="single" w:sz="4" w:space="0" w:color="auto"/>
              <w:left w:val="nil"/>
              <w:bottom w:val="nil"/>
              <w:right w:val="nil"/>
            </w:tcBorders>
            <w:noWrap/>
            <w:vAlign w:val="center"/>
          </w:tcPr>
          <w:p w14:paraId="0260B654" w14:textId="346CB4DC"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[-29.953, 99.571]</w:t>
            </w:r>
          </w:p>
        </w:tc>
      </w:tr>
      <w:tr w:rsidR="00D9593D" w:rsidRPr="00452304" w14:paraId="0C8A619C" w14:textId="77777777" w:rsidTr="00D9593D">
        <w:trPr>
          <w:trHeight w:val="320"/>
        </w:trPr>
        <w:tc>
          <w:tcPr>
            <w:tcW w:w="1294" w:type="dxa"/>
            <w:vMerge/>
            <w:tcBorders>
              <w:left w:val="nil"/>
              <w:right w:val="nil"/>
            </w:tcBorders>
          </w:tcPr>
          <w:p w14:paraId="44513841"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AE7FECF" w14:textId="77777777" w:rsidR="00D9593D" w:rsidRPr="00452304" w:rsidRDefault="00D9593D" w:rsidP="00D9593D">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1274C4D" w14:textId="77777777" w:rsidR="00D9593D" w:rsidRDefault="00D9593D" w:rsidP="00D9593D">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66" w:type="dxa"/>
            <w:tcBorders>
              <w:top w:val="nil"/>
              <w:left w:val="nil"/>
              <w:bottom w:val="single" w:sz="4" w:space="0" w:color="auto"/>
              <w:right w:val="nil"/>
            </w:tcBorders>
            <w:noWrap/>
            <w:vAlign w:val="center"/>
          </w:tcPr>
          <w:p w14:paraId="4BA6FE9D" w14:textId="49623F67"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34.447</w:t>
            </w:r>
          </w:p>
        </w:tc>
        <w:tc>
          <w:tcPr>
            <w:tcW w:w="972" w:type="dxa"/>
            <w:vMerge/>
            <w:tcBorders>
              <w:left w:val="nil"/>
              <w:bottom w:val="single" w:sz="4" w:space="0" w:color="auto"/>
              <w:right w:val="nil"/>
            </w:tcBorders>
            <w:noWrap/>
            <w:vAlign w:val="center"/>
          </w:tcPr>
          <w:p w14:paraId="6082A24D" w14:textId="1CA6172D" w:rsidR="00D9593D" w:rsidRPr="00D9593D" w:rsidRDefault="00D9593D" w:rsidP="00D9593D">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0E9958F0" w14:textId="003AF504" w:rsidR="00D9593D" w:rsidRPr="00D9593D" w:rsidRDefault="00D9593D" w:rsidP="00D9593D">
            <w:pPr>
              <w:spacing w:after="0" w:line="240" w:lineRule="auto"/>
              <w:jc w:val="right"/>
              <w:rPr>
                <w:color w:val="000000"/>
                <w:sz w:val="20"/>
                <w:szCs w:val="20"/>
              </w:rPr>
            </w:pPr>
          </w:p>
        </w:tc>
        <w:tc>
          <w:tcPr>
            <w:tcW w:w="1804" w:type="dxa"/>
            <w:tcBorders>
              <w:top w:val="nil"/>
              <w:left w:val="nil"/>
              <w:bottom w:val="single" w:sz="4" w:space="0" w:color="auto"/>
              <w:right w:val="nil"/>
            </w:tcBorders>
            <w:noWrap/>
            <w:vAlign w:val="center"/>
          </w:tcPr>
          <w:p w14:paraId="2BF5B76C" w14:textId="7D4BF46F"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[-38.676, 194.763]</w:t>
            </w:r>
          </w:p>
        </w:tc>
      </w:tr>
      <w:tr w:rsidR="00D9593D" w:rsidRPr="00452304" w14:paraId="2145F160" w14:textId="77777777" w:rsidTr="00D9593D">
        <w:trPr>
          <w:trHeight w:val="320"/>
        </w:trPr>
        <w:tc>
          <w:tcPr>
            <w:tcW w:w="1294" w:type="dxa"/>
            <w:vMerge/>
            <w:tcBorders>
              <w:left w:val="nil"/>
              <w:right w:val="nil"/>
            </w:tcBorders>
          </w:tcPr>
          <w:p w14:paraId="33CF5A11"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4BF0116"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E998AB3"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66" w:type="dxa"/>
            <w:tcBorders>
              <w:top w:val="single" w:sz="4" w:space="0" w:color="auto"/>
              <w:left w:val="nil"/>
              <w:bottom w:val="nil"/>
              <w:right w:val="nil"/>
            </w:tcBorders>
            <w:noWrap/>
            <w:vAlign w:val="center"/>
          </w:tcPr>
          <w:p w14:paraId="036AC97A" w14:textId="4DAD4F33"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-10.863</w:t>
            </w:r>
          </w:p>
        </w:tc>
        <w:tc>
          <w:tcPr>
            <w:tcW w:w="972" w:type="dxa"/>
            <w:vMerge w:val="restart"/>
            <w:tcBorders>
              <w:top w:val="single" w:sz="4" w:space="0" w:color="auto"/>
              <w:left w:val="nil"/>
              <w:right w:val="nil"/>
            </w:tcBorders>
            <w:noWrap/>
            <w:vAlign w:val="center"/>
          </w:tcPr>
          <w:p w14:paraId="32BFF5A2" w14:textId="2A1096D2" w:rsidR="00D9593D" w:rsidRPr="00D9593D" w:rsidRDefault="00D9593D" w:rsidP="00D9593D">
            <w:pPr>
              <w:spacing w:after="0" w:line="240" w:lineRule="auto"/>
              <w:jc w:val="right"/>
              <w:rPr>
                <w:color w:val="000000"/>
                <w:sz w:val="20"/>
                <w:szCs w:val="20"/>
              </w:rPr>
            </w:pPr>
            <w:r w:rsidRPr="00D9593D">
              <w:rPr>
                <w:color w:val="000000"/>
                <w:sz w:val="20"/>
                <w:szCs w:val="20"/>
              </w:rPr>
              <w:t>2.096</w:t>
            </w:r>
          </w:p>
        </w:tc>
        <w:tc>
          <w:tcPr>
            <w:tcW w:w="939" w:type="dxa"/>
            <w:vMerge w:val="restart"/>
            <w:tcBorders>
              <w:top w:val="single" w:sz="4" w:space="0" w:color="auto"/>
              <w:left w:val="nil"/>
              <w:right w:val="nil"/>
            </w:tcBorders>
            <w:noWrap/>
            <w:vAlign w:val="center"/>
          </w:tcPr>
          <w:p w14:paraId="093F170E" w14:textId="778D9C7D" w:rsidR="00D9593D" w:rsidRPr="00D9593D" w:rsidRDefault="00D9593D" w:rsidP="00D9593D">
            <w:pPr>
              <w:spacing w:after="0" w:line="240" w:lineRule="auto"/>
              <w:jc w:val="right"/>
              <w:rPr>
                <w:color w:val="000000"/>
                <w:sz w:val="20"/>
                <w:szCs w:val="20"/>
              </w:rPr>
            </w:pPr>
            <w:r w:rsidRPr="00D9593D">
              <w:rPr>
                <w:color w:val="000000"/>
                <w:sz w:val="20"/>
                <w:szCs w:val="20"/>
              </w:rPr>
              <w:t>0.960</w:t>
            </w:r>
          </w:p>
        </w:tc>
        <w:tc>
          <w:tcPr>
            <w:tcW w:w="1804" w:type="dxa"/>
            <w:tcBorders>
              <w:top w:val="single" w:sz="4" w:space="0" w:color="auto"/>
              <w:left w:val="nil"/>
              <w:bottom w:val="nil"/>
              <w:right w:val="nil"/>
            </w:tcBorders>
            <w:noWrap/>
            <w:vAlign w:val="center"/>
          </w:tcPr>
          <w:p w14:paraId="54642756" w14:textId="5745026B"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[-26.948, 8.763]</w:t>
            </w:r>
          </w:p>
        </w:tc>
      </w:tr>
      <w:tr w:rsidR="00D9593D" w:rsidRPr="00452304" w14:paraId="616C10C3" w14:textId="77777777" w:rsidTr="00D9593D">
        <w:trPr>
          <w:trHeight w:val="320"/>
        </w:trPr>
        <w:tc>
          <w:tcPr>
            <w:tcW w:w="1294" w:type="dxa"/>
            <w:vMerge/>
            <w:tcBorders>
              <w:left w:val="nil"/>
              <w:right w:val="nil"/>
            </w:tcBorders>
          </w:tcPr>
          <w:p w14:paraId="1349AF44"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CD590CF" w14:textId="77777777" w:rsidR="00D9593D" w:rsidRPr="00452304" w:rsidRDefault="00D9593D" w:rsidP="00D9593D">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8210526" w14:textId="77777777" w:rsidR="00D9593D" w:rsidRDefault="00D9593D" w:rsidP="00D9593D">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66" w:type="dxa"/>
            <w:tcBorders>
              <w:top w:val="nil"/>
              <w:left w:val="nil"/>
              <w:bottom w:val="single" w:sz="4" w:space="0" w:color="auto"/>
              <w:right w:val="nil"/>
            </w:tcBorders>
            <w:noWrap/>
            <w:vAlign w:val="center"/>
          </w:tcPr>
          <w:p w14:paraId="25CF8C9A" w14:textId="53421ADB"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28.66</w:t>
            </w:r>
            <w:r>
              <w:rPr>
                <w:color w:val="000000"/>
                <w:sz w:val="20"/>
                <w:szCs w:val="20"/>
              </w:rPr>
              <w:t>0</w:t>
            </w:r>
          </w:p>
        </w:tc>
        <w:tc>
          <w:tcPr>
            <w:tcW w:w="972" w:type="dxa"/>
            <w:vMerge/>
            <w:tcBorders>
              <w:left w:val="nil"/>
              <w:bottom w:val="single" w:sz="4" w:space="0" w:color="auto"/>
              <w:right w:val="nil"/>
            </w:tcBorders>
            <w:noWrap/>
            <w:vAlign w:val="center"/>
          </w:tcPr>
          <w:p w14:paraId="2651A4EC" w14:textId="0DAAD115" w:rsidR="00D9593D" w:rsidRPr="00D9593D" w:rsidRDefault="00D9593D" w:rsidP="00D9593D">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2530B552" w14:textId="59E4801F" w:rsidR="00D9593D" w:rsidRPr="00D9593D" w:rsidRDefault="00D9593D" w:rsidP="00D9593D">
            <w:pPr>
              <w:spacing w:after="0" w:line="240" w:lineRule="auto"/>
              <w:jc w:val="right"/>
              <w:rPr>
                <w:color w:val="000000"/>
                <w:sz w:val="20"/>
                <w:szCs w:val="20"/>
              </w:rPr>
            </w:pPr>
          </w:p>
        </w:tc>
        <w:tc>
          <w:tcPr>
            <w:tcW w:w="1804" w:type="dxa"/>
            <w:tcBorders>
              <w:top w:val="nil"/>
              <w:left w:val="nil"/>
              <w:bottom w:val="single" w:sz="4" w:space="0" w:color="auto"/>
              <w:right w:val="nil"/>
            </w:tcBorders>
            <w:noWrap/>
            <w:vAlign w:val="center"/>
          </w:tcPr>
          <w:p w14:paraId="58A8DE7C" w14:textId="33A9E5FD"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[-2.664, 70.063]</w:t>
            </w:r>
          </w:p>
        </w:tc>
      </w:tr>
      <w:tr w:rsidR="00D9593D" w:rsidRPr="00452304" w14:paraId="6F39E7AC" w14:textId="77777777" w:rsidTr="00D9593D">
        <w:trPr>
          <w:trHeight w:val="320"/>
        </w:trPr>
        <w:tc>
          <w:tcPr>
            <w:tcW w:w="1294" w:type="dxa"/>
            <w:vMerge/>
            <w:tcBorders>
              <w:left w:val="nil"/>
              <w:right w:val="nil"/>
            </w:tcBorders>
          </w:tcPr>
          <w:p w14:paraId="09CC0141"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7258CA1D" w14:textId="77777777" w:rsidR="00D9593D" w:rsidRPr="00452304" w:rsidRDefault="00D9593D" w:rsidP="00D9593D">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534EC0E1" w14:textId="77777777" w:rsidR="00D9593D" w:rsidRDefault="00D9593D" w:rsidP="00D9593D">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66" w:type="dxa"/>
            <w:tcBorders>
              <w:top w:val="single" w:sz="4" w:space="0" w:color="auto"/>
              <w:left w:val="nil"/>
              <w:bottom w:val="nil"/>
              <w:right w:val="nil"/>
            </w:tcBorders>
            <w:noWrap/>
            <w:vAlign w:val="center"/>
          </w:tcPr>
          <w:p w14:paraId="0F4A6BCE" w14:textId="778E8211"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3.666</w:t>
            </w:r>
          </w:p>
        </w:tc>
        <w:tc>
          <w:tcPr>
            <w:tcW w:w="972" w:type="dxa"/>
            <w:vMerge w:val="restart"/>
            <w:tcBorders>
              <w:top w:val="single" w:sz="4" w:space="0" w:color="auto"/>
              <w:left w:val="nil"/>
              <w:right w:val="nil"/>
            </w:tcBorders>
            <w:noWrap/>
            <w:vAlign w:val="center"/>
          </w:tcPr>
          <w:p w14:paraId="35167F2D" w14:textId="5049322D" w:rsidR="00D9593D" w:rsidRPr="00D9593D" w:rsidRDefault="00D9593D" w:rsidP="00D9593D">
            <w:pPr>
              <w:spacing w:after="0" w:line="240" w:lineRule="auto"/>
              <w:jc w:val="right"/>
              <w:rPr>
                <w:color w:val="000000"/>
                <w:sz w:val="20"/>
                <w:szCs w:val="20"/>
              </w:rPr>
            </w:pPr>
            <w:r w:rsidRPr="00D9593D">
              <w:rPr>
                <w:color w:val="000000"/>
                <w:sz w:val="20"/>
                <w:szCs w:val="20"/>
              </w:rPr>
              <w:t>0.661</w:t>
            </w:r>
          </w:p>
        </w:tc>
        <w:tc>
          <w:tcPr>
            <w:tcW w:w="939" w:type="dxa"/>
            <w:vMerge w:val="restart"/>
            <w:tcBorders>
              <w:top w:val="single" w:sz="4" w:space="0" w:color="auto"/>
              <w:left w:val="nil"/>
              <w:right w:val="nil"/>
            </w:tcBorders>
            <w:noWrap/>
            <w:vAlign w:val="center"/>
          </w:tcPr>
          <w:p w14:paraId="3B19A3CF" w14:textId="2316D8BE" w:rsidR="00D9593D" w:rsidRPr="00D9593D" w:rsidRDefault="00D9593D" w:rsidP="00D9593D">
            <w:pPr>
              <w:spacing w:after="0" w:line="240" w:lineRule="auto"/>
              <w:jc w:val="right"/>
              <w:rPr>
                <w:color w:val="000000"/>
                <w:sz w:val="20"/>
                <w:szCs w:val="20"/>
              </w:rPr>
            </w:pPr>
            <w:r w:rsidRPr="00D9593D">
              <w:rPr>
                <w:color w:val="000000"/>
                <w:sz w:val="20"/>
                <w:szCs w:val="20"/>
              </w:rPr>
              <w:t>0.509</w:t>
            </w:r>
          </w:p>
        </w:tc>
        <w:tc>
          <w:tcPr>
            <w:tcW w:w="1804" w:type="dxa"/>
            <w:tcBorders>
              <w:top w:val="single" w:sz="4" w:space="0" w:color="auto"/>
              <w:left w:val="nil"/>
              <w:bottom w:val="nil"/>
              <w:right w:val="nil"/>
            </w:tcBorders>
            <w:noWrap/>
            <w:vAlign w:val="center"/>
          </w:tcPr>
          <w:p w14:paraId="61AE1A75" w14:textId="5DF127B5"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[-44.512, 93.673]</w:t>
            </w:r>
          </w:p>
        </w:tc>
      </w:tr>
      <w:tr w:rsidR="00D9593D" w:rsidRPr="00452304" w14:paraId="34CE077B" w14:textId="77777777" w:rsidTr="00D9593D">
        <w:trPr>
          <w:trHeight w:val="320"/>
        </w:trPr>
        <w:tc>
          <w:tcPr>
            <w:tcW w:w="1294" w:type="dxa"/>
            <w:vMerge/>
            <w:tcBorders>
              <w:left w:val="nil"/>
              <w:bottom w:val="single" w:sz="4" w:space="0" w:color="auto"/>
              <w:right w:val="nil"/>
            </w:tcBorders>
          </w:tcPr>
          <w:p w14:paraId="1B79A447" w14:textId="77777777" w:rsidR="00D9593D" w:rsidRPr="008825E3" w:rsidRDefault="00D9593D" w:rsidP="00D9593D">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49FF5C3" w14:textId="77777777" w:rsidR="00D9593D" w:rsidRPr="00452304" w:rsidRDefault="00D9593D" w:rsidP="00D9593D">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7A3F5A2" w14:textId="77777777" w:rsidR="00D9593D" w:rsidRDefault="00D9593D" w:rsidP="00D9593D">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66" w:type="dxa"/>
            <w:tcBorders>
              <w:top w:val="nil"/>
              <w:left w:val="nil"/>
              <w:bottom w:val="single" w:sz="4" w:space="0" w:color="auto"/>
              <w:right w:val="nil"/>
            </w:tcBorders>
            <w:noWrap/>
            <w:vAlign w:val="center"/>
          </w:tcPr>
          <w:p w14:paraId="58131FBE" w14:textId="4D737682"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52.348</w:t>
            </w:r>
          </w:p>
        </w:tc>
        <w:tc>
          <w:tcPr>
            <w:tcW w:w="972" w:type="dxa"/>
            <w:vMerge/>
            <w:tcBorders>
              <w:left w:val="nil"/>
              <w:bottom w:val="single" w:sz="4" w:space="0" w:color="auto"/>
              <w:right w:val="nil"/>
            </w:tcBorders>
            <w:noWrap/>
            <w:vAlign w:val="center"/>
          </w:tcPr>
          <w:p w14:paraId="70B59855" w14:textId="6364FE7D" w:rsidR="00D9593D" w:rsidRPr="008D7F03" w:rsidRDefault="00D9593D" w:rsidP="00D9593D">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01A1ECB2" w14:textId="51A034B9" w:rsidR="00D9593D" w:rsidRPr="008D7F03" w:rsidRDefault="00D9593D" w:rsidP="00D9593D">
            <w:pPr>
              <w:spacing w:after="0" w:line="240" w:lineRule="auto"/>
              <w:jc w:val="right"/>
              <w:rPr>
                <w:color w:val="000000"/>
                <w:sz w:val="20"/>
                <w:szCs w:val="20"/>
                <w:highlight w:val="yellow"/>
              </w:rPr>
            </w:pPr>
          </w:p>
        </w:tc>
        <w:tc>
          <w:tcPr>
            <w:tcW w:w="1804" w:type="dxa"/>
            <w:tcBorders>
              <w:top w:val="nil"/>
              <w:left w:val="nil"/>
              <w:bottom w:val="single" w:sz="4" w:space="0" w:color="auto"/>
              <w:right w:val="nil"/>
            </w:tcBorders>
            <w:noWrap/>
            <w:vAlign w:val="center"/>
          </w:tcPr>
          <w:p w14:paraId="3C0206DC" w14:textId="4DDE4016" w:rsidR="00D9593D" w:rsidRPr="00D9593D" w:rsidRDefault="00D9593D" w:rsidP="00D9593D">
            <w:pPr>
              <w:spacing w:after="0" w:line="240" w:lineRule="auto"/>
              <w:jc w:val="right"/>
              <w:rPr>
                <w:color w:val="000000"/>
                <w:sz w:val="20"/>
                <w:szCs w:val="20"/>
                <w:highlight w:val="yellow"/>
              </w:rPr>
            </w:pPr>
            <w:r w:rsidRPr="00D9593D">
              <w:rPr>
                <w:color w:val="000000"/>
                <w:sz w:val="20"/>
                <w:szCs w:val="20"/>
              </w:rPr>
              <w:t>[-41.316, 295.508]</w:t>
            </w:r>
          </w:p>
        </w:tc>
      </w:tr>
    </w:tbl>
    <w:p w14:paraId="7465DF15" w14:textId="73DFFC49" w:rsidR="009D19EF" w:rsidRDefault="001A23CA" w:rsidP="009D19EF">
      <w:pPr>
        <w:rPr>
          <w:iCs/>
        </w:rPr>
      </w:pPr>
      <w:r>
        <w:rPr>
          <w:vertAlign w:val="superscript"/>
        </w:rPr>
        <w:t>*</w:t>
      </w:r>
      <w:r>
        <w:t>Significant effects noted in bold font.</w:t>
      </w:r>
      <w:r w:rsidRPr="001A23CA">
        <w:t xml:space="preserve"> </w:t>
      </w:r>
      <w:r>
        <w:t>Model coefficients and 95% confidence interval ranges have been transformed to percent change to mimic figures.</w:t>
      </w:r>
    </w:p>
    <w:p w14:paraId="032C222B" w14:textId="55D80A50" w:rsidR="009465D9" w:rsidRDefault="009465D9" w:rsidP="009D19EF">
      <w:pPr>
        <w:rPr>
          <w:iCs/>
        </w:rPr>
      </w:pPr>
      <w:r>
        <w:rPr>
          <w:iCs/>
        </w:rPr>
        <w:br w:type="page"/>
      </w:r>
    </w:p>
    <w:p w14:paraId="459625B3" w14:textId="72446BBE" w:rsidR="00A13DC2" w:rsidRDefault="00A13DC2" w:rsidP="00A13DC2">
      <w:pPr>
        <w:rPr>
          <w:iCs/>
        </w:rPr>
      </w:pPr>
      <w:r>
        <w:rPr>
          <w:b/>
          <w:bCs/>
          <w:iCs/>
        </w:rPr>
        <w:lastRenderedPageBreak/>
        <w:t>Table S15</w:t>
      </w:r>
      <w:r>
        <w:rPr>
          <w:iCs/>
        </w:rPr>
        <w:t xml:space="preserve"> Climate moderator effects on interaction effect sizes</w:t>
      </w:r>
    </w:p>
    <w:tbl>
      <w:tblPr>
        <w:tblW w:w="8280" w:type="dxa"/>
        <w:tblLook w:val="04A0" w:firstRow="1" w:lastRow="0" w:firstColumn="1" w:lastColumn="0" w:noHBand="0" w:noVBand="1"/>
      </w:tblPr>
      <w:tblGrid>
        <w:gridCol w:w="1397"/>
        <w:gridCol w:w="1454"/>
        <w:gridCol w:w="1026"/>
        <w:gridCol w:w="1152"/>
        <w:gridCol w:w="1113"/>
        <w:gridCol w:w="2138"/>
      </w:tblGrid>
      <w:tr w:rsidR="00A13DC2" w:rsidRPr="00452304" w14:paraId="0E7515B0" w14:textId="77777777" w:rsidTr="00A13DC2">
        <w:trPr>
          <w:trHeight w:val="320"/>
        </w:trPr>
        <w:tc>
          <w:tcPr>
            <w:tcW w:w="1397" w:type="dxa"/>
            <w:tcBorders>
              <w:top w:val="single" w:sz="4" w:space="0" w:color="auto"/>
              <w:left w:val="nil"/>
              <w:bottom w:val="single" w:sz="4" w:space="0" w:color="auto"/>
              <w:right w:val="nil"/>
            </w:tcBorders>
            <w:noWrap/>
            <w:vAlign w:val="center"/>
            <w:hideMark/>
          </w:tcPr>
          <w:p w14:paraId="284D8CEF" w14:textId="66A46A9B" w:rsidR="00A13DC2" w:rsidRPr="00452304" w:rsidRDefault="00A13DC2" w:rsidP="00A13DC2">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Trait</w:t>
            </w:r>
          </w:p>
        </w:tc>
        <w:tc>
          <w:tcPr>
            <w:tcW w:w="1454" w:type="dxa"/>
            <w:tcBorders>
              <w:top w:val="single" w:sz="4" w:space="0" w:color="auto"/>
              <w:left w:val="nil"/>
              <w:bottom w:val="single" w:sz="4" w:space="0" w:color="auto"/>
              <w:right w:val="nil"/>
            </w:tcBorders>
            <w:noWrap/>
            <w:vAlign w:val="center"/>
            <w:hideMark/>
          </w:tcPr>
          <w:p w14:paraId="422480D2" w14:textId="77777777" w:rsidR="00A13DC2" w:rsidRPr="00452304" w:rsidRDefault="00A13DC2" w:rsidP="00A13DC2">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1026" w:type="dxa"/>
            <w:tcBorders>
              <w:top w:val="single" w:sz="4" w:space="0" w:color="auto"/>
              <w:left w:val="nil"/>
              <w:bottom w:val="single" w:sz="4" w:space="0" w:color="auto"/>
              <w:right w:val="nil"/>
            </w:tcBorders>
            <w:noWrap/>
            <w:vAlign w:val="center"/>
            <w:hideMark/>
          </w:tcPr>
          <w:p w14:paraId="0D6EC385" w14:textId="66DAEEE8" w:rsidR="00A13DC2" w:rsidRPr="00452304" w:rsidRDefault="00A13DC2" w:rsidP="00A13DC2">
            <w:pPr>
              <w:spacing w:after="0" w:line="240" w:lineRule="auto"/>
              <w:rPr>
                <w:b/>
                <w:bCs/>
                <w:sz w:val="20"/>
                <w:szCs w:val="20"/>
              </w:rPr>
            </w:pPr>
            <w:r w:rsidRPr="008825E3">
              <w:rPr>
                <w:b/>
                <w:bCs/>
                <w:sz w:val="20"/>
                <w:szCs w:val="20"/>
              </w:rPr>
              <w:t>Coef</w:t>
            </w:r>
            <w:r>
              <w:rPr>
                <w:b/>
                <w:bCs/>
                <w:sz w:val="20"/>
                <w:szCs w:val="20"/>
              </w:rPr>
              <w:t>.</w:t>
            </w:r>
            <w:r w:rsidRPr="008825E3">
              <w:rPr>
                <w:b/>
                <w:bCs/>
                <w:sz w:val="20"/>
                <w:szCs w:val="20"/>
              </w:rPr>
              <w:t xml:space="preserve"> (±SE)</w:t>
            </w:r>
          </w:p>
        </w:tc>
        <w:tc>
          <w:tcPr>
            <w:tcW w:w="1152" w:type="dxa"/>
            <w:tcBorders>
              <w:top w:val="single" w:sz="4" w:space="0" w:color="auto"/>
              <w:left w:val="nil"/>
              <w:bottom w:val="single" w:sz="4" w:space="0" w:color="auto"/>
              <w:right w:val="nil"/>
            </w:tcBorders>
            <w:noWrap/>
            <w:vAlign w:val="center"/>
            <w:hideMark/>
          </w:tcPr>
          <w:p w14:paraId="6D4F86E0" w14:textId="06A58A50" w:rsidR="00A13DC2" w:rsidRPr="00452304" w:rsidRDefault="00A13DC2" w:rsidP="00A13DC2">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1113" w:type="dxa"/>
            <w:tcBorders>
              <w:top w:val="single" w:sz="4" w:space="0" w:color="auto"/>
              <w:left w:val="nil"/>
              <w:bottom w:val="single" w:sz="4" w:space="0" w:color="auto"/>
              <w:right w:val="nil"/>
            </w:tcBorders>
            <w:noWrap/>
            <w:vAlign w:val="center"/>
            <w:hideMark/>
          </w:tcPr>
          <w:p w14:paraId="1EF63D1B" w14:textId="7FC4A471" w:rsidR="00A13DC2" w:rsidRPr="00452304" w:rsidRDefault="00A13DC2" w:rsidP="00A13DC2">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2138" w:type="dxa"/>
            <w:tcBorders>
              <w:top w:val="single" w:sz="4" w:space="0" w:color="auto"/>
              <w:left w:val="nil"/>
              <w:bottom w:val="single" w:sz="4" w:space="0" w:color="auto"/>
              <w:right w:val="nil"/>
            </w:tcBorders>
            <w:noWrap/>
            <w:vAlign w:val="center"/>
            <w:hideMark/>
          </w:tcPr>
          <w:p w14:paraId="679306B4" w14:textId="41959E9A" w:rsidR="00A13DC2" w:rsidRPr="00452304" w:rsidRDefault="00A13DC2" w:rsidP="00A13DC2">
            <w:pPr>
              <w:spacing w:after="0" w:line="240" w:lineRule="auto"/>
              <w:rPr>
                <w:b/>
                <w:bCs/>
                <w:sz w:val="20"/>
                <w:szCs w:val="20"/>
              </w:rPr>
            </w:pPr>
            <w:r w:rsidRPr="008825E3">
              <w:rPr>
                <w:b/>
                <w:bCs/>
                <w:sz w:val="20"/>
                <w:szCs w:val="20"/>
              </w:rPr>
              <w:t>95% CI</w:t>
            </w:r>
          </w:p>
        </w:tc>
      </w:tr>
      <w:tr w:rsidR="00A13DC2" w:rsidRPr="00D9593D" w14:paraId="4121E441" w14:textId="77777777" w:rsidTr="00A13DC2">
        <w:trPr>
          <w:trHeight w:val="320"/>
        </w:trPr>
        <w:tc>
          <w:tcPr>
            <w:tcW w:w="1397" w:type="dxa"/>
            <w:vMerge w:val="restart"/>
            <w:tcBorders>
              <w:top w:val="single" w:sz="4" w:space="0" w:color="auto"/>
              <w:left w:val="nil"/>
              <w:right w:val="nil"/>
            </w:tcBorders>
            <w:noWrap/>
            <w:vAlign w:val="center"/>
            <w:hideMark/>
          </w:tcPr>
          <w:p w14:paraId="3CCDC2CD" w14:textId="10DAD400" w:rsidR="00A13DC2" w:rsidRPr="00A13DC2" w:rsidRDefault="00A13DC2" w:rsidP="00A13DC2">
            <w:pPr>
              <w:spacing w:after="0" w:line="240" w:lineRule="auto"/>
              <w:rPr>
                <w:rFonts w:eastAsia="Times New Roman"/>
                <w:iCs/>
                <w:color w:val="000000"/>
                <w:kern w:val="0"/>
                <w:sz w:val="20"/>
                <w:szCs w:val="20"/>
                <w14:ligatures w14:val="none"/>
              </w:rPr>
            </w:pPr>
            <w:r>
              <w:rPr>
                <w:rFonts w:eastAsia="Times New Roman"/>
                <w:i/>
                <w:iCs/>
                <w:color w:val="000000"/>
                <w:kern w:val="0"/>
                <w:sz w:val="20"/>
                <w:szCs w:val="20"/>
                <w14:ligatures w14:val="none"/>
              </w:rPr>
              <w:t>M</w:t>
            </w:r>
            <w:r>
              <w:rPr>
                <w:rFonts w:eastAsia="Times New Roman"/>
                <w:iCs/>
                <w:color w:val="000000"/>
                <w:kern w:val="0"/>
                <w:sz w:val="20"/>
                <w:szCs w:val="20"/>
                <w:vertAlign w:val="subscript"/>
                <w14:ligatures w14:val="none"/>
              </w:rPr>
              <w:t>area</w:t>
            </w:r>
          </w:p>
        </w:tc>
        <w:tc>
          <w:tcPr>
            <w:tcW w:w="1454" w:type="dxa"/>
            <w:tcBorders>
              <w:top w:val="single" w:sz="4" w:space="0" w:color="auto"/>
              <w:left w:val="nil"/>
              <w:right w:val="nil"/>
            </w:tcBorders>
            <w:noWrap/>
            <w:vAlign w:val="center"/>
            <w:hideMark/>
          </w:tcPr>
          <w:p w14:paraId="3CB6FF5A" w14:textId="5C915159" w:rsidR="00A13DC2" w:rsidRPr="00452304" w:rsidRDefault="00A13DC2" w:rsidP="00A13DC2">
            <w:pPr>
              <w:spacing w:after="0" w:line="240" w:lineRule="auto"/>
              <w:rPr>
                <w:rFonts w:eastAsia="Times New Roman"/>
                <w:i/>
                <w:iCs/>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026" w:type="dxa"/>
            <w:tcBorders>
              <w:top w:val="single" w:sz="4" w:space="0" w:color="auto"/>
              <w:left w:val="nil"/>
              <w:right w:val="nil"/>
            </w:tcBorders>
            <w:noWrap/>
            <w:vAlign w:val="center"/>
          </w:tcPr>
          <w:p w14:paraId="536EE11B" w14:textId="055D21BD" w:rsidR="00A13DC2" w:rsidRPr="00D9593D" w:rsidRDefault="00A13DC2" w:rsidP="00A13DC2">
            <w:pPr>
              <w:spacing w:after="0" w:line="240" w:lineRule="auto"/>
              <w:jc w:val="right"/>
              <w:rPr>
                <w:rFonts w:eastAsia="Times New Roman"/>
                <w:color w:val="000000"/>
                <w:kern w:val="0"/>
                <w:sz w:val="20"/>
                <w:szCs w:val="20"/>
                <w:highlight w:val="yellow"/>
                <w14:ligatures w14:val="none"/>
              </w:rPr>
            </w:pPr>
          </w:p>
        </w:tc>
        <w:tc>
          <w:tcPr>
            <w:tcW w:w="1152" w:type="dxa"/>
            <w:tcBorders>
              <w:top w:val="single" w:sz="4" w:space="0" w:color="auto"/>
              <w:left w:val="nil"/>
              <w:right w:val="nil"/>
            </w:tcBorders>
            <w:noWrap/>
            <w:vAlign w:val="center"/>
          </w:tcPr>
          <w:p w14:paraId="5FBEB89A" w14:textId="40DD5044" w:rsidR="00A13DC2" w:rsidRPr="00D9593D" w:rsidRDefault="00A13DC2" w:rsidP="00A13DC2">
            <w:pPr>
              <w:spacing w:after="0" w:line="240" w:lineRule="auto"/>
              <w:jc w:val="right"/>
              <w:rPr>
                <w:rFonts w:eastAsia="Times New Roman"/>
                <w:color w:val="000000"/>
                <w:kern w:val="0"/>
                <w:sz w:val="20"/>
                <w:szCs w:val="20"/>
                <w14:ligatures w14:val="none"/>
              </w:rPr>
            </w:pPr>
          </w:p>
        </w:tc>
        <w:tc>
          <w:tcPr>
            <w:tcW w:w="1113" w:type="dxa"/>
            <w:tcBorders>
              <w:top w:val="single" w:sz="4" w:space="0" w:color="auto"/>
              <w:left w:val="nil"/>
              <w:right w:val="nil"/>
            </w:tcBorders>
            <w:noWrap/>
            <w:vAlign w:val="center"/>
          </w:tcPr>
          <w:p w14:paraId="32BCC616" w14:textId="3C205EB0" w:rsidR="00A13DC2" w:rsidRPr="00D9593D" w:rsidRDefault="00A13DC2" w:rsidP="00A13DC2">
            <w:pPr>
              <w:spacing w:after="0" w:line="240" w:lineRule="auto"/>
              <w:jc w:val="right"/>
              <w:rPr>
                <w:rFonts w:eastAsia="Times New Roman"/>
                <w:color w:val="000000"/>
                <w:kern w:val="0"/>
                <w:sz w:val="20"/>
                <w:szCs w:val="20"/>
                <w14:ligatures w14:val="none"/>
              </w:rPr>
            </w:pPr>
          </w:p>
        </w:tc>
        <w:tc>
          <w:tcPr>
            <w:tcW w:w="2138" w:type="dxa"/>
            <w:tcBorders>
              <w:top w:val="single" w:sz="4" w:space="0" w:color="auto"/>
              <w:left w:val="nil"/>
              <w:right w:val="nil"/>
            </w:tcBorders>
            <w:noWrap/>
            <w:vAlign w:val="center"/>
          </w:tcPr>
          <w:p w14:paraId="0F08012D" w14:textId="29083D32" w:rsidR="00A13DC2" w:rsidRPr="00D9593D" w:rsidRDefault="00A13DC2" w:rsidP="00A13DC2">
            <w:pPr>
              <w:spacing w:after="0" w:line="240" w:lineRule="auto"/>
              <w:jc w:val="right"/>
              <w:rPr>
                <w:rFonts w:eastAsia="Times New Roman"/>
                <w:color w:val="000000"/>
                <w:kern w:val="0"/>
                <w:sz w:val="20"/>
                <w:szCs w:val="20"/>
                <w:highlight w:val="yellow"/>
                <w14:ligatures w14:val="none"/>
              </w:rPr>
            </w:pPr>
          </w:p>
        </w:tc>
      </w:tr>
      <w:tr w:rsidR="00A13DC2" w:rsidRPr="00D9593D" w14:paraId="465A5152" w14:textId="77777777" w:rsidTr="00A13DC2">
        <w:trPr>
          <w:trHeight w:val="320"/>
        </w:trPr>
        <w:tc>
          <w:tcPr>
            <w:tcW w:w="1397" w:type="dxa"/>
            <w:vMerge/>
            <w:tcBorders>
              <w:left w:val="nil"/>
              <w:right w:val="nil"/>
            </w:tcBorders>
            <w:noWrap/>
            <w:vAlign w:val="center"/>
          </w:tcPr>
          <w:p w14:paraId="2A78F69F" w14:textId="77777777" w:rsidR="00A13DC2" w:rsidRPr="00452304" w:rsidRDefault="00A13DC2" w:rsidP="00A13DC2">
            <w:pPr>
              <w:spacing w:after="0" w:line="240" w:lineRule="auto"/>
              <w:rPr>
                <w:rFonts w:eastAsia="Times New Roman"/>
                <w:color w:val="000000"/>
                <w:kern w:val="0"/>
                <w:sz w:val="20"/>
                <w:szCs w:val="20"/>
                <w14:ligatures w14:val="none"/>
              </w:rPr>
            </w:pPr>
          </w:p>
        </w:tc>
        <w:tc>
          <w:tcPr>
            <w:tcW w:w="1454" w:type="dxa"/>
            <w:tcBorders>
              <w:left w:val="nil"/>
              <w:bottom w:val="nil"/>
              <w:right w:val="nil"/>
            </w:tcBorders>
            <w:noWrap/>
            <w:vAlign w:val="center"/>
          </w:tcPr>
          <w:p w14:paraId="7D99F15F" w14:textId="4DEAAB08" w:rsidR="00A13DC2" w:rsidRDefault="00A13DC2" w:rsidP="00A13DC2">
            <w:pPr>
              <w:spacing w:after="0" w:line="240" w:lineRule="auto"/>
              <w:rPr>
                <w:rFonts w:eastAsia="Times New Roman"/>
                <w:i/>
                <w:iCs/>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026" w:type="dxa"/>
            <w:tcBorders>
              <w:left w:val="nil"/>
              <w:bottom w:val="nil"/>
              <w:right w:val="nil"/>
            </w:tcBorders>
            <w:noWrap/>
            <w:vAlign w:val="center"/>
          </w:tcPr>
          <w:p w14:paraId="15CDD1E2" w14:textId="77777777" w:rsidR="00A13DC2" w:rsidRPr="00D9593D" w:rsidRDefault="00A13DC2" w:rsidP="00A13DC2">
            <w:pPr>
              <w:spacing w:after="0" w:line="240" w:lineRule="auto"/>
              <w:jc w:val="right"/>
              <w:rPr>
                <w:color w:val="000000"/>
                <w:sz w:val="20"/>
                <w:szCs w:val="20"/>
              </w:rPr>
            </w:pPr>
          </w:p>
        </w:tc>
        <w:tc>
          <w:tcPr>
            <w:tcW w:w="1152" w:type="dxa"/>
            <w:tcBorders>
              <w:left w:val="nil"/>
              <w:right w:val="nil"/>
            </w:tcBorders>
            <w:noWrap/>
            <w:vAlign w:val="center"/>
          </w:tcPr>
          <w:p w14:paraId="13F9950F" w14:textId="77777777" w:rsidR="00A13DC2" w:rsidRPr="00D9593D" w:rsidRDefault="00A13DC2" w:rsidP="00A13DC2">
            <w:pPr>
              <w:spacing w:after="0" w:line="240" w:lineRule="auto"/>
              <w:jc w:val="right"/>
              <w:rPr>
                <w:color w:val="000000"/>
                <w:sz w:val="20"/>
                <w:szCs w:val="20"/>
              </w:rPr>
            </w:pPr>
          </w:p>
        </w:tc>
        <w:tc>
          <w:tcPr>
            <w:tcW w:w="1113" w:type="dxa"/>
            <w:tcBorders>
              <w:left w:val="nil"/>
              <w:right w:val="nil"/>
            </w:tcBorders>
            <w:noWrap/>
            <w:vAlign w:val="center"/>
          </w:tcPr>
          <w:p w14:paraId="68D81EA3" w14:textId="77777777" w:rsidR="00A13DC2" w:rsidRPr="00D9593D" w:rsidRDefault="00A13DC2" w:rsidP="00A13DC2">
            <w:pPr>
              <w:spacing w:after="0" w:line="240" w:lineRule="auto"/>
              <w:jc w:val="right"/>
              <w:rPr>
                <w:color w:val="000000"/>
                <w:sz w:val="20"/>
                <w:szCs w:val="20"/>
              </w:rPr>
            </w:pPr>
          </w:p>
        </w:tc>
        <w:tc>
          <w:tcPr>
            <w:tcW w:w="2138" w:type="dxa"/>
            <w:tcBorders>
              <w:left w:val="nil"/>
              <w:bottom w:val="nil"/>
              <w:right w:val="nil"/>
            </w:tcBorders>
            <w:noWrap/>
            <w:vAlign w:val="center"/>
          </w:tcPr>
          <w:p w14:paraId="461C4A47" w14:textId="77777777" w:rsidR="00A13DC2" w:rsidRPr="00D9593D" w:rsidRDefault="00A13DC2" w:rsidP="00A13DC2">
            <w:pPr>
              <w:spacing w:after="0" w:line="240" w:lineRule="auto"/>
              <w:jc w:val="right"/>
              <w:rPr>
                <w:color w:val="000000"/>
                <w:sz w:val="20"/>
                <w:szCs w:val="20"/>
              </w:rPr>
            </w:pPr>
          </w:p>
        </w:tc>
      </w:tr>
      <w:tr w:rsidR="00A13DC2" w:rsidRPr="00D9593D" w14:paraId="308C71B9" w14:textId="77777777" w:rsidTr="00A13DC2">
        <w:trPr>
          <w:trHeight w:val="320"/>
        </w:trPr>
        <w:tc>
          <w:tcPr>
            <w:tcW w:w="1397" w:type="dxa"/>
            <w:vMerge/>
            <w:tcBorders>
              <w:left w:val="nil"/>
              <w:bottom w:val="single" w:sz="4" w:space="0" w:color="auto"/>
              <w:right w:val="nil"/>
            </w:tcBorders>
            <w:noWrap/>
            <w:vAlign w:val="center"/>
            <w:hideMark/>
          </w:tcPr>
          <w:p w14:paraId="4C3E6156" w14:textId="77777777" w:rsidR="00A13DC2" w:rsidRPr="00452304" w:rsidRDefault="00A13DC2" w:rsidP="00A13DC2">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hideMark/>
          </w:tcPr>
          <w:p w14:paraId="10290446" w14:textId="09C9F632" w:rsidR="00A13DC2" w:rsidRPr="00452304" w:rsidRDefault="00A13DC2" w:rsidP="00A13DC2">
            <w:pPr>
              <w:spacing w:after="0" w:line="240" w:lineRule="auto"/>
              <w:rPr>
                <w:rFonts w:eastAsia="Times New Roman"/>
                <w:i/>
                <w:iCs/>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026" w:type="dxa"/>
            <w:tcBorders>
              <w:top w:val="nil"/>
              <w:left w:val="nil"/>
              <w:bottom w:val="single" w:sz="4" w:space="0" w:color="auto"/>
              <w:right w:val="nil"/>
            </w:tcBorders>
            <w:noWrap/>
            <w:vAlign w:val="center"/>
          </w:tcPr>
          <w:p w14:paraId="1095B7B7" w14:textId="27A3B884" w:rsidR="00A13DC2" w:rsidRPr="00D9593D" w:rsidRDefault="00A13DC2" w:rsidP="00A13DC2">
            <w:pPr>
              <w:spacing w:after="0" w:line="240" w:lineRule="auto"/>
              <w:jc w:val="right"/>
              <w:rPr>
                <w:rFonts w:eastAsia="Times New Roman"/>
                <w:color w:val="000000"/>
                <w:kern w:val="0"/>
                <w:sz w:val="20"/>
                <w:szCs w:val="20"/>
                <w:highlight w:val="yellow"/>
                <w14:ligatures w14:val="none"/>
              </w:rPr>
            </w:pPr>
          </w:p>
        </w:tc>
        <w:tc>
          <w:tcPr>
            <w:tcW w:w="1152" w:type="dxa"/>
            <w:tcBorders>
              <w:left w:val="nil"/>
              <w:bottom w:val="single" w:sz="4" w:space="0" w:color="auto"/>
              <w:right w:val="nil"/>
            </w:tcBorders>
            <w:noWrap/>
            <w:vAlign w:val="center"/>
          </w:tcPr>
          <w:p w14:paraId="5AB5A97E" w14:textId="77777777" w:rsidR="00A13DC2" w:rsidRPr="00D9593D" w:rsidRDefault="00A13DC2" w:rsidP="00A13DC2">
            <w:pPr>
              <w:spacing w:after="0" w:line="240" w:lineRule="auto"/>
              <w:jc w:val="right"/>
              <w:rPr>
                <w:rFonts w:eastAsia="Times New Roman"/>
                <w:color w:val="000000"/>
                <w:kern w:val="0"/>
                <w:sz w:val="20"/>
                <w:szCs w:val="20"/>
                <w14:ligatures w14:val="none"/>
              </w:rPr>
            </w:pPr>
          </w:p>
        </w:tc>
        <w:tc>
          <w:tcPr>
            <w:tcW w:w="1113" w:type="dxa"/>
            <w:tcBorders>
              <w:left w:val="nil"/>
              <w:bottom w:val="single" w:sz="4" w:space="0" w:color="auto"/>
              <w:right w:val="nil"/>
            </w:tcBorders>
            <w:noWrap/>
            <w:vAlign w:val="center"/>
          </w:tcPr>
          <w:p w14:paraId="06342197" w14:textId="77777777" w:rsidR="00A13DC2" w:rsidRPr="00D9593D" w:rsidRDefault="00A13DC2" w:rsidP="00A13DC2">
            <w:pPr>
              <w:spacing w:after="0" w:line="240" w:lineRule="auto"/>
              <w:jc w:val="right"/>
              <w:rPr>
                <w:rFonts w:eastAsia="Times New Roman"/>
                <w:color w:val="000000"/>
                <w:kern w:val="0"/>
                <w:sz w:val="20"/>
                <w:szCs w:val="20"/>
                <w14:ligatures w14:val="none"/>
              </w:rPr>
            </w:pPr>
          </w:p>
        </w:tc>
        <w:tc>
          <w:tcPr>
            <w:tcW w:w="2138" w:type="dxa"/>
            <w:tcBorders>
              <w:top w:val="nil"/>
              <w:left w:val="nil"/>
              <w:bottom w:val="single" w:sz="4" w:space="0" w:color="auto"/>
              <w:right w:val="nil"/>
            </w:tcBorders>
            <w:noWrap/>
            <w:vAlign w:val="center"/>
          </w:tcPr>
          <w:p w14:paraId="18F95707" w14:textId="60E40BC0" w:rsidR="00A13DC2" w:rsidRPr="00D9593D" w:rsidRDefault="00A13DC2" w:rsidP="00A13DC2">
            <w:pPr>
              <w:spacing w:after="0" w:line="240" w:lineRule="auto"/>
              <w:jc w:val="right"/>
              <w:rPr>
                <w:rFonts w:eastAsia="Times New Roman"/>
                <w:color w:val="000000"/>
                <w:kern w:val="0"/>
                <w:sz w:val="20"/>
                <w:szCs w:val="20"/>
                <w:highlight w:val="yellow"/>
                <w14:ligatures w14:val="none"/>
              </w:rPr>
            </w:pPr>
          </w:p>
        </w:tc>
      </w:tr>
      <w:tr w:rsidR="00A13DC2" w:rsidRPr="00D9593D" w14:paraId="3A65AE3C" w14:textId="77777777" w:rsidTr="00A13DC2">
        <w:trPr>
          <w:trHeight w:val="320"/>
        </w:trPr>
        <w:tc>
          <w:tcPr>
            <w:tcW w:w="1397" w:type="dxa"/>
            <w:vMerge w:val="restart"/>
            <w:tcBorders>
              <w:top w:val="single" w:sz="4" w:space="0" w:color="auto"/>
              <w:left w:val="nil"/>
              <w:right w:val="nil"/>
            </w:tcBorders>
            <w:noWrap/>
            <w:vAlign w:val="center"/>
          </w:tcPr>
          <w:p w14:paraId="16105B09" w14:textId="6CE288C9" w:rsidR="00A13DC2" w:rsidRPr="00A13DC2" w:rsidRDefault="00A13DC2" w:rsidP="00A13DC2">
            <w:pPr>
              <w:spacing w:after="0" w:line="240" w:lineRule="auto"/>
              <w:rPr>
                <w:rFonts w:eastAsia="Times New Roman"/>
                <w:iCs/>
                <w:color w:val="000000"/>
                <w:kern w:val="0"/>
                <w:sz w:val="20"/>
                <w:szCs w:val="20"/>
                <w:vertAlign w:val="subscript"/>
                <w14:ligatures w14:val="none"/>
              </w:rPr>
            </w:pPr>
            <w:proofErr w:type="spellStart"/>
            <w:r>
              <w:rPr>
                <w:rFonts w:eastAsia="Times New Roman"/>
                <w:i/>
                <w:iCs/>
                <w:color w:val="000000"/>
                <w:kern w:val="0"/>
                <w:sz w:val="20"/>
                <w:szCs w:val="20"/>
                <w14:ligatures w14:val="none"/>
              </w:rPr>
              <w:t>N</w:t>
            </w:r>
            <w:r>
              <w:rPr>
                <w:rFonts w:eastAsia="Times New Roman"/>
                <w:iCs/>
                <w:color w:val="000000"/>
                <w:kern w:val="0"/>
                <w:sz w:val="20"/>
                <w:szCs w:val="20"/>
                <w:vertAlign w:val="subscript"/>
                <w14:ligatures w14:val="none"/>
              </w:rPr>
              <w:t>mass</w:t>
            </w:r>
            <w:proofErr w:type="spellEnd"/>
          </w:p>
        </w:tc>
        <w:tc>
          <w:tcPr>
            <w:tcW w:w="1454" w:type="dxa"/>
            <w:tcBorders>
              <w:top w:val="single" w:sz="4" w:space="0" w:color="auto"/>
              <w:left w:val="nil"/>
              <w:bottom w:val="nil"/>
              <w:right w:val="nil"/>
            </w:tcBorders>
            <w:noWrap/>
            <w:vAlign w:val="center"/>
          </w:tcPr>
          <w:p w14:paraId="0C812770" w14:textId="1C4F770D" w:rsidR="00A13DC2" w:rsidRPr="00355693" w:rsidRDefault="00A13DC2" w:rsidP="00A13DC2">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026" w:type="dxa"/>
            <w:tcBorders>
              <w:top w:val="single" w:sz="4" w:space="0" w:color="auto"/>
              <w:left w:val="nil"/>
              <w:bottom w:val="nil"/>
              <w:right w:val="nil"/>
            </w:tcBorders>
            <w:noWrap/>
            <w:vAlign w:val="center"/>
          </w:tcPr>
          <w:p w14:paraId="51D2ABE2" w14:textId="77777777" w:rsidR="00A13DC2" w:rsidRPr="00D9593D" w:rsidRDefault="00A13DC2" w:rsidP="00A13DC2">
            <w:pPr>
              <w:spacing w:after="0" w:line="240" w:lineRule="auto"/>
              <w:jc w:val="right"/>
              <w:rPr>
                <w:color w:val="000000"/>
                <w:sz w:val="20"/>
                <w:szCs w:val="20"/>
              </w:rPr>
            </w:pPr>
          </w:p>
        </w:tc>
        <w:tc>
          <w:tcPr>
            <w:tcW w:w="1152" w:type="dxa"/>
            <w:tcBorders>
              <w:top w:val="single" w:sz="4" w:space="0" w:color="auto"/>
              <w:left w:val="nil"/>
              <w:right w:val="nil"/>
            </w:tcBorders>
            <w:noWrap/>
            <w:vAlign w:val="center"/>
          </w:tcPr>
          <w:p w14:paraId="1A18DFC9" w14:textId="77777777" w:rsidR="00A13DC2" w:rsidRPr="00D9593D" w:rsidRDefault="00A13DC2" w:rsidP="00A13DC2">
            <w:pPr>
              <w:spacing w:after="0" w:line="240" w:lineRule="auto"/>
              <w:jc w:val="right"/>
              <w:rPr>
                <w:rFonts w:eastAsia="Times New Roman"/>
                <w:color w:val="000000"/>
                <w:kern w:val="0"/>
                <w:sz w:val="20"/>
                <w:szCs w:val="20"/>
                <w14:ligatures w14:val="none"/>
              </w:rPr>
            </w:pPr>
          </w:p>
        </w:tc>
        <w:tc>
          <w:tcPr>
            <w:tcW w:w="1113" w:type="dxa"/>
            <w:tcBorders>
              <w:top w:val="single" w:sz="4" w:space="0" w:color="auto"/>
              <w:left w:val="nil"/>
              <w:right w:val="nil"/>
            </w:tcBorders>
            <w:noWrap/>
            <w:vAlign w:val="center"/>
          </w:tcPr>
          <w:p w14:paraId="474DDDF6" w14:textId="77777777" w:rsidR="00A13DC2" w:rsidRPr="00D9593D" w:rsidRDefault="00A13DC2" w:rsidP="00A13DC2">
            <w:pPr>
              <w:spacing w:after="0" w:line="240" w:lineRule="auto"/>
              <w:jc w:val="right"/>
              <w:rPr>
                <w:rFonts w:eastAsia="Times New Roman"/>
                <w:color w:val="000000"/>
                <w:kern w:val="0"/>
                <w:sz w:val="20"/>
                <w:szCs w:val="20"/>
                <w14:ligatures w14:val="none"/>
              </w:rPr>
            </w:pPr>
          </w:p>
        </w:tc>
        <w:tc>
          <w:tcPr>
            <w:tcW w:w="2138" w:type="dxa"/>
            <w:tcBorders>
              <w:top w:val="single" w:sz="4" w:space="0" w:color="auto"/>
              <w:left w:val="nil"/>
              <w:bottom w:val="nil"/>
              <w:right w:val="nil"/>
            </w:tcBorders>
            <w:noWrap/>
            <w:vAlign w:val="center"/>
          </w:tcPr>
          <w:p w14:paraId="11490C33" w14:textId="77777777" w:rsidR="00A13DC2" w:rsidRPr="00D9593D" w:rsidRDefault="00A13DC2" w:rsidP="00A13DC2">
            <w:pPr>
              <w:spacing w:after="0" w:line="240" w:lineRule="auto"/>
              <w:jc w:val="right"/>
              <w:rPr>
                <w:color w:val="000000"/>
                <w:sz w:val="20"/>
                <w:szCs w:val="20"/>
              </w:rPr>
            </w:pPr>
          </w:p>
        </w:tc>
      </w:tr>
      <w:tr w:rsidR="00A13DC2" w:rsidRPr="00D9593D" w14:paraId="1FE98DB0" w14:textId="77777777" w:rsidTr="00A13DC2">
        <w:trPr>
          <w:trHeight w:val="320"/>
        </w:trPr>
        <w:tc>
          <w:tcPr>
            <w:tcW w:w="1397" w:type="dxa"/>
            <w:vMerge/>
            <w:tcBorders>
              <w:left w:val="nil"/>
              <w:right w:val="nil"/>
            </w:tcBorders>
            <w:noWrap/>
            <w:vAlign w:val="center"/>
          </w:tcPr>
          <w:p w14:paraId="69DA05FE" w14:textId="77777777" w:rsidR="00A13DC2" w:rsidRPr="00452304" w:rsidRDefault="00A13DC2" w:rsidP="00A13DC2">
            <w:pPr>
              <w:spacing w:after="0" w:line="240" w:lineRule="auto"/>
              <w:rPr>
                <w:rFonts w:eastAsia="Times New Roman"/>
                <w:color w:val="000000"/>
                <w:kern w:val="0"/>
                <w:sz w:val="20"/>
                <w:szCs w:val="20"/>
                <w14:ligatures w14:val="none"/>
              </w:rPr>
            </w:pPr>
          </w:p>
        </w:tc>
        <w:tc>
          <w:tcPr>
            <w:tcW w:w="1454" w:type="dxa"/>
            <w:tcBorders>
              <w:top w:val="nil"/>
              <w:left w:val="nil"/>
              <w:bottom w:val="nil"/>
              <w:right w:val="nil"/>
            </w:tcBorders>
            <w:noWrap/>
            <w:vAlign w:val="center"/>
          </w:tcPr>
          <w:p w14:paraId="6C24C513" w14:textId="2F96E878" w:rsidR="00A13DC2" w:rsidRPr="00355693" w:rsidRDefault="00A13DC2" w:rsidP="00A13DC2">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026" w:type="dxa"/>
            <w:tcBorders>
              <w:top w:val="nil"/>
              <w:left w:val="nil"/>
              <w:bottom w:val="nil"/>
              <w:right w:val="nil"/>
            </w:tcBorders>
            <w:noWrap/>
            <w:vAlign w:val="center"/>
          </w:tcPr>
          <w:p w14:paraId="59A96801" w14:textId="77777777" w:rsidR="00A13DC2" w:rsidRPr="00D9593D" w:rsidRDefault="00A13DC2" w:rsidP="00A13DC2">
            <w:pPr>
              <w:spacing w:after="0" w:line="240" w:lineRule="auto"/>
              <w:jc w:val="right"/>
              <w:rPr>
                <w:color w:val="000000"/>
                <w:sz w:val="20"/>
                <w:szCs w:val="20"/>
              </w:rPr>
            </w:pPr>
          </w:p>
        </w:tc>
        <w:tc>
          <w:tcPr>
            <w:tcW w:w="1152" w:type="dxa"/>
            <w:tcBorders>
              <w:left w:val="nil"/>
              <w:right w:val="nil"/>
            </w:tcBorders>
            <w:noWrap/>
            <w:vAlign w:val="center"/>
          </w:tcPr>
          <w:p w14:paraId="5307E32D" w14:textId="77777777" w:rsidR="00A13DC2" w:rsidRPr="00D9593D" w:rsidRDefault="00A13DC2" w:rsidP="00A13DC2">
            <w:pPr>
              <w:spacing w:after="0" w:line="240" w:lineRule="auto"/>
              <w:jc w:val="right"/>
              <w:rPr>
                <w:rFonts w:eastAsia="Times New Roman"/>
                <w:color w:val="000000"/>
                <w:kern w:val="0"/>
                <w:sz w:val="20"/>
                <w:szCs w:val="20"/>
                <w14:ligatures w14:val="none"/>
              </w:rPr>
            </w:pPr>
          </w:p>
        </w:tc>
        <w:tc>
          <w:tcPr>
            <w:tcW w:w="1113" w:type="dxa"/>
            <w:tcBorders>
              <w:left w:val="nil"/>
              <w:right w:val="nil"/>
            </w:tcBorders>
            <w:noWrap/>
            <w:vAlign w:val="center"/>
          </w:tcPr>
          <w:p w14:paraId="70A31601" w14:textId="77777777" w:rsidR="00A13DC2" w:rsidRPr="00D9593D" w:rsidRDefault="00A13DC2" w:rsidP="00A13DC2">
            <w:pPr>
              <w:spacing w:after="0" w:line="240" w:lineRule="auto"/>
              <w:jc w:val="right"/>
              <w:rPr>
                <w:rFonts w:eastAsia="Times New Roman"/>
                <w:color w:val="000000"/>
                <w:kern w:val="0"/>
                <w:sz w:val="20"/>
                <w:szCs w:val="20"/>
                <w14:ligatures w14:val="none"/>
              </w:rPr>
            </w:pPr>
          </w:p>
        </w:tc>
        <w:tc>
          <w:tcPr>
            <w:tcW w:w="2138" w:type="dxa"/>
            <w:tcBorders>
              <w:top w:val="nil"/>
              <w:left w:val="nil"/>
              <w:bottom w:val="nil"/>
              <w:right w:val="nil"/>
            </w:tcBorders>
            <w:noWrap/>
            <w:vAlign w:val="center"/>
          </w:tcPr>
          <w:p w14:paraId="3B900A57" w14:textId="77777777" w:rsidR="00A13DC2" w:rsidRPr="00D9593D" w:rsidRDefault="00A13DC2" w:rsidP="00A13DC2">
            <w:pPr>
              <w:spacing w:after="0" w:line="240" w:lineRule="auto"/>
              <w:jc w:val="right"/>
              <w:rPr>
                <w:color w:val="000000"/>
                <w:sz w:val="20"/>
                <w:szCs w:val="20"/>
              </w:rPr>
            </w:pPr>
          </w:p>
        </w:tc>
      </w:tr>
      <w:tr w:rsidR="00A13DC2" w:rsidRPr="00D9593D" w14:paraId="73336757" w14:textId="77777777" w:rsidTr="00A13DC2">
        <w:trPr>
          <w:trHeight w:val="320"/>
        </w:trPr>
        <w:tc>
          <w:tcPr>
            <w:tcW w:w="1397" w:type="dxa"/>
            <w:vMerge/>
            <w:tcBorders>
              <w:left w:val="nil"/>
              <w:bottom w:val="single" w:sz="4" w:space="0" w:color="auto"/>
              <w:right w:val="nil"/>
            </w:tcBorders>
            <w:noWrap/>
            <w:vAlign w:val="center"/>
          </w:tcPr>
          <w:p w14:paraId="5EB9F71C" w14:textId="77777777" w:rsidR="00A13DC2" w:rsidRPr="00452304" w:rsidRDefault="00A13DC2" w:rsidP="00A13DC2">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1F49D819" w14:textId="4B6106A7" w:rsidR="00A13DC2" w:rsidRPr="00355693" w:rsidRDefault="00A13DC2" w:rsidP="00A13DC2">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026" w:type="dxa"/>
            <w:tcBorders>
              <w:top w:val="nil"/>
              <w:left w:val="nil"/>
              <w:bottom w:val="single" w:sz="4" w:space="0" w:color="auto"/>
              <w:right w:val="nil"/>
            </w:tcBorders>
            <w:noWrap/>
            <w:vAlign w:val="center"/>
          </w:tcPr>
          <w:p w14:paraId="6EF3F246" w14:textId="77777777" w:rsidR="00A13DC2" w:rsidRPr="00D9593D" w:rsidRDefault="00A13DC2" w:rsidP="00A13DC2">
            <w:pPr>
              <w:spacing w:after="0" w:line="240" w:lineRule="auto"/>
              <w:jc w:val="right"/>
              <w:rPr>
                <w:color w:val="000000"/>
                <w:sz w:val="20"/>
                <w:szCs w:val="20"/>
              </w:rPr>
            </w:pPr>
          </w:p>
        </w:tc>
        <w:tc>
          <w:tcPr>
            <w:tcW w:w="1152" w:type="dxa"/>
            <w:tcBorders>
              <w:left w:val="nil"/>
              <w:bottom w:val="single" w:sz="4" w:space="0" w:color="auto"/>
              <w:right w:val="nil"/>
            </w:tcBorders>
            <w:noWrap/>
            <w:vAlign w:val="center"/>
          </w:tcPr>
          <w:p w14:paraId="1FA2544E" w14:textId="77777777" w:rsidR="00A13DC2" w:rsidRPr="00D9593D" w:rsidRDefault="00A13DC2" w:rsidP="00A13DC2">
            <w:pPr>
              <w:spacing w:after="0" w:line="240" w:lineRule="auto"/>
              <w:jc w:val="right"/>
              <w:rPr>
                <w:rFonts w:eastAsia="Times New Roman"/>
                <w:color w:val="000000"/>
                <w:kern w:val="0"/>
                <w:sz w:val="20"/>
                <w:szCs w:val="20"/>
                <w14:ligatures w14:val="none"/>
              </w:rPr>
            </w:pPr>
          </w:p>
        </w:tc>
        <w:tc>
          <w:tcPr>
            <w:tcW w:w="1113" w:type="dxa"/>
            <w:tcBorders>
              <w:left w:val="nil"/>
              <w:bottom w:val="single" w:sz="4" w:space="0" w:color="auto"/>
              <w:right w:val="nil"/>
            </w:tcBorders>
            <w:noWrap/>
            <w:vAlign w:val="center"/>
          </w:tcPr>
          <w:p w14:paraId="3188E4F7" w14:textId="77777777" w:rsidR="00A13DC2" w:rsidRPr="00D9593D" w:rsidRDefault="00A13DC2" w:rsidP="00A13DC2">
            <w:pPr>
              <w:spacing w:after="0" w:line="240" w:lineRule="auto"/>
              <w:jc w:val="right"/>
              <w:rPr>
                <w:rFonts w:eastAsia="Times New Roman"/>
                <w:color w:val="000000"/>
                <w:kern w:val="0"/>
                <w:sz w:val="20"/>
                <w:szCs w:val="20"/>
                <w14:ligatures w14:val="none"/>
              </w:rPr>
            </w:pPr>
          </w:p>
        </w:tc>
        <w:tc>
          <w:tcPr>
            <w:tcW w:w="2138" w:type="dxa"/>
            <w:tcBorders>
              <w:top w:val="nil"/>
              <w:left w:val="nil"/>
              <w:bottom w:val="single" w:sz="4" w:space="0" w:color="auto"/>
              <w:right w:val="nil"/>
            </w:tcBorders>
            <w:noWrap/>
            <w:vAlign w:val="center"/>
          </w:tcPr>
          <w:p w14:paraId="6BC4AD25" w14:textId="77777777" w:rsidR="00A13DC2" w:rsidRPr="00D9593D" w:rsidRDefault="00A13DC2" w:rsidP="00A13DC2">
            <w:pPr>
              <w:spacing w:after="0" w:line="240" w:lineRule="auto"/>
              <w:jc w:val="right"/>
              <w:rPr>
                <w:color w:val="000000"/>
                <w:sz w:val="20"/>
                <w:szCs w:val="20"/>
              </w:rPr>
            </w:pPr>
          </w:p>
        </w:tc>
      </w:tr>
      <w:tr w:rsidR="00A13DC2" w:rsidRPr="00D9593D" w14:paraId="6205D220" w14:textId="77777777" w:rsidTr="00A13DC2">
        <w:trPr>
          <w:trHeight w:val="320"/>
        </w:trPr>
        <w:tc>
          <w:tcPr>
            <w:tcW w:w="1397" w:type="dxa"/>
            <w:vMerge w:val="restart"/>
            <w:tcBorders>
              <w:top w:val="single" w:sz="4" w:space="0" w:color="auto"/>
              <w:left w:val="nil"/>
              <w:right w:val="nil"/>
            </w:tcBorders>
            <w:noWrap/>
            <w:vAlign w:val="center"/>
          </w:tcPr>
          <w:p w14:paraId="3BDCB558" w14:textId="26A90A76" w:rsidR="00A13DC2" w:rsidRPr="00A13DC2" w:rsidRDefault="00A13DC2" w:rsidP="00A13DC2">
            <w:pPr>
              <w:spacing w:after="0" w:line="240" w:lineRule="auto"/>
              <w:rPr>
                <w:rFonts w:eastAsia="Times New Roman"/>
                <w:iCs/>
                <w:color w:val="000000"/>
                <w:kern w:val="0"/>
                <w:sz w:val="20"/>
                <w:szCs w:val="20"/>
                <w14:ligatures w14:val="none"/>
              </w:rPr>
            </w:pPr>
            <w:r>
              <w:rPr>
                <w:rFonts w:eastAsia="Times New Roman"/>
                <w:i/>
                <w:iCs/>
                <w:color w:val="000000"/>
                <w:kern w:val="0"/>
                <w:sz w:val="20"/>
                <w:szCs w:val="20"/>
                <w14:ligatures w14:val="none"/>
              </w:rPr>
              <w:t>N</w:t>
            </w:r>
            <w:r>
              <w:rPr>
                <w:rFonts w:eastAsia="Times New Roman"/>
                <w:iCs/>
                <w:color w:val="000000"/>
                <w:kern w:val="0"/>
                <w:sz w:val="20"/>
                <w:szCs w:val="20"/>
                <w:vertAlign w:val="subscript"/>
                <w14:ligatures w14:val="none"/>
              </w:rPr>
              <w:t>area</w:t>
            </w:r>
          </w:p>
        </w:tc>
        <w:tc>
          <w:tcPr>
            <w:tcW w:w="1454" w:type="dxa"/>
            <w:tcBorders>
              <w:top w:val="single" w:sz="4" w:space="0" w:color="auto"/>
              <w:left w:val="nil"/>
              <w:bottom w:val="nil"/>
              <w:right w:val="nil"/>
            </w:tcBorders>
            <w:noWrap/>
            <w:vAlign w:val="center"/>
          </w:tcPr>
          <w:p w14:paraId="1D25C4D1" w14:textId="5101FE21" w:rsidR="00A13DC2" w:rsidRPr="00355693" w:rsidRDefault="00A13DC2" w:rsidP="00A13DC2">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026" w:type="dxa"/>
            <w:tcBorders>
              <w:top w:val="single" w:sz="4" w:space="0" w:color="auto"/>
              <w:left w:val="nil"/>
              <w:bottom w:val="nil"/>
              <w:right w:val="nil"/>
            </w:tcBorders>
            <w:noWrap/>
            <w:vAlign w:val="center"/>
          </w:tcPr>
          <w:p w14:paraId="4CFC4337" w14:textId="77777777" w:rsidR="00A13DC2" w:rsidRPr="00D9593D" w:rsidRDefault="00A13DC2" w:rsidP="00A13DC2">
            <w:pPr>
              <w:spacing w:after="0" w:line="240" w:lineRule="auto"/>
              <w:jc w:val="right"/>
              <w:rPr>
                <w:color w:val="000000"/>
                <w:sz w:val="20"/>
                <w:szCs w:val="20"/>
              </w:rPr>
            </w:pPr>
          </w:p>
        </w:tc>
        <w:tc>
          <w:tcPr>
            <w:tcW w:w="1152" w:type="dxa"/>
            <w:tcBorders>
              <w:top w:val="single" w:sz="4" w:space="0" w:color="auto"/>
              <w:left w:val="nil"/>
              <w:right w:val="nil"/>
            </w:tcBorders>
            <w:noWrap/>
            <w:vAlign w:val="center"/>
          </w:tcPr>
          <w:p w14:paraId="04AB8527" w14:textId="77777777" w:rsidR="00A13DC2" w:rsidRPr="00D9593D" w:rsidRDefault="00A13DC2" w:rsidP="00A13DC2">
            <w:pPr>
              <w:spacing w:after="0" w:line="240" w:lineRule="auto"/>
              <w:jc w:val="right"/>
              <w:rPr>
                <w:rFonts w:eastAsia="Times New Roman"/>
                <w:color w:val="000000"/>
                <w:kern w:val="0"/>
                <w:sz w:val="20"/>
                <w:szCs w:val="20"/>
                <w14:ligatures w14:val="none"/>
              </w:rPr>
            </w:pPr>
          </w:p>
        </w:tc>
        <w:tc>
          <w:tcPr>
            <w:tcW w:w="1113" w:type="dxa"/>
            <w:tcBorders>
              <w:top w:val="single" w:sz="4" w:space="0" w:color="auto"/>
              <w:left w:val="nil"/>
              <w:right w:val="nil"/>
            </w:tcBorders>
            <w:noWrap/>
            <w:vAlign w:val="center"/>
          </w:tcPr>
          <w:p w14:paraId="431FD96C" w14:textId="77777777" w:rsidR="00A13DC2" w:rsidRPr="00D9593D" w:rsidRDefault="00A13DC2" w:rsidP="00A13DC2">
            <w:pPr>
              <w:spacing w:after="0" w:line="240" w:lineRule="auto"/>
              <w:jc w:val="right"/>
              <w:rPr>
                <w:rFonts w:eastAsia="Times New Roman"/>
                <w:color w:val="000000"/>
                <w:kern w:val="0"/>
                <w:sz w:val="20"/>
                <w:szCs w:val="20"/>
                <w14:ligatures w14:val="none"/>
              </w:rPr>
            </w:pPr>
          </w:p>
        </w:tc>
        <w:tc>
          <w:tcPr>
            <w:tcW w:w="2138" w:type="dxa"/>
            <w:tcBorders>
              <w:top w:val="single" w:sz="4" w:space="0" w:color="auto"/>
              <w:left w:val="nil"/>
              <w:bottom w:val="nil"/>
              <w:right w:val="nil"/>
            </w:tcBorders>
            <w:noWrap/>
            <w:vAlign w:val="center"/>
          </w:tcPr>
          <w:p w14:paraId="37E4DD2D" w14:textId="77777777" w:rsidR="00A13DC2" w:rsidRPr="00D9593D" w:rsidRDefault="00A13DC2" w:rsidP="00A13DC2">
            <w:pPr>
              <w:spacing w:after="0" w:line="240" w:lineRule="auto"/>
              <w:jc w:val="right"/>
              <w:rPr>
                <w:color w:val="000000"/>
                <w:sz w:val="20"/>
                <w:szCs w:val="20"/>
              </w:rPr>
            </w:pPr>
          </w:p>
        </w:tc>
      </w:tr>
      <w:tr w:rsidR="00A13DC2" w:rsidRPr="00D9593D" w14:paraId="2CD32F0E" w14:textId="77777777" w:rsidTr="00A13DC2">
        <w:trPr>
          <w:trHeight w:val="320"/>
        </w:trPr>
        <w:tc>
          <w:tcPr>
            <w:tcW w:w="1397" w:type="dxa"/>
            <w:vMerge/>
            <w:tcBorders>
              <w:left w:val="nil"/>
              <w:right w:val="nil"/>
            </w:tcBorders>
            <w:noWrap/>
            <w:vAlign w:val="center"/>
          </w:tcPr>
          <w:p w14:paraId="145AFA1B" w14:textId="77777777" w:rsidR="00A13DC2" w:rsidRPr="00452304" w:rsidRDefault="00A13DC2" w:rsidP="00A13DC2">
            <w:pPr>
              <w:spacing w:after="0" w:line="240" w:lineRule="auto"/>
              <w:rPr>
                <w:rFonts w:eastAsia="Times New Roman"/>
                <w:color w:val="000000"/>
                <w:kern w:val="0"/>
                <w:sz w:val="20"/>
                <w:szCs w:val="20"/>
                <w14:ligatures w14:val="none"/>
              </w:rPr>
            </w:pPr>
          </w:p>
        </w:tc>
        <w:tc>
          <w:tcPr>
            <w:tcW w:w="1454" w:type="dxa"/>
            <w:tcBorders>
              <w:top w:val="nil"/>
              <w:left w:val="nil"/>
              <w:bottom w:val="nil"/>
              <w:right w:val="nil"/>
            </w:tcBorders>
            <w:noWrap/>
            <w:vAlign w:val="center"/>
          </w:tcPr>
          <w:p w14:paraId="0139A78B" w14:textId="547F277B" w:rsidR="00A13DC2" w:rsidRPr="00355693" w:rsidRDefault="00A13DC2" w:rsidP="00A13DC2">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026" w:type="dxa"/>
            <w:tcBorders>
              <w:top w:val="nil"/>
              <w:left w:val="nil"/>
              <w:bottom w:val="nil"/>
              <w:right w:val="nil"/>
            </w:tcBorders>
            <w:noWrap/>
            <w:vAlign w:val="center"/>
          </w:tcPr>
          <w:p w14:paraId="1BDD28C9" w14:textId="77777777" w:rsidR="00A13DC2" w:rsidRPr="00D9593D" w:rsidRDefault="00A13DC2" w:rsidP="00A13DC2">
            <w:pPr>
              <w:spacing w:after="0" w:line="240" w:lineRule="auto"/>
              <w:jc w:val="right"/>
              <w:rPr>
                <w:color w:val="000000"/>
                <w:sz w:val="20"/>
                <w:szCs w:val="20"/>
              </w:rPr>
            </w:pPr>
          </w:p>
        </w:tc>
        <w:tc>
          <w:tcPr>
            <w:tcW w:w="1152" w:type="dxa"/>
            <w:tcBorders>
              <w:left w:val="nil"/>
              <w:right w:val="nil"/>
            </w:tcBorders>
            <w:noWrap/>
            <w:vAlign w:val="center"/>
          </w:tcPr>
          <w:p w14:paraId="0E725DB9" w14:textId="77777777" w:rsidR="00A13DC2" w:rsidRPr="00D9593D" w:rsidRDefault="00A13DC2" w:rsidP="00A13DC2">
            <w:pPr>
              <w:spacing w:after="0" w:line="240" w:lineRule="auto"/>
              <w:jc w:val="right"/>
              <w:rPr>
                <w:rFonts w:eastAsia="Times New Roman"/>
                <w:color w:val="000000"/>
                <w:kern w:val="0"/>
                <w:sz w:val="20"/>
                <w:szCs w:val="20"/>
                <w14:ligatures w14:val="none"/>
              </w:rPr>
            </w:pPr>
          </w:p>
        </w:tc>
        <w:tc>
          <w:tcPr>
            <w:tcW w:w="1113" w:type="dxa"/>
            <w:tcBorders>
              <w:left w:val="nil"/>
              <w:right w:val="nil"/>
            </w:tcBorders>
            <w:noWrap/>
            <w:vAlign w:val="center"/>
          </w:tcPr>
          <w:p w14:paraId="548231C0" w14:textId="77777777" w:rsidR="00A13DC2" w:rsidRPr="00D9593D" w:rsidRDefault="00A13DC2" w:rsidP="00A13DC2">
            <w:pPr>
              <w:spacing w:after="0" w:line="240" w:lineRule="auto"/>
              <w:jc w:val="right"/>
              <w:rPr>
                <w:rFonts w:eastAsia="Times New Roman"/>
                <w:color w:val="000000"/>
                <w:kern w:val="0"/>
                <w:sz w:val="20"/>
                <w:szCs w:val="20"/>
                <w14:ligatures w14:val="none"/>
              </w:rPr>
            </w:pPr>
          </w:p>
        </w:tc>
        <w:tc>
          <w:tcPr>
            <w:tcW w:w="2138" w:type="dxa"/>
            <w:tcBorders>
              <w:top w:val="nil"/>
              <w:left w:val="nil"/>
              <w:bottom w:val="nil"/>
              <w:right w:val="nil"/>
            </w:tcBorders>
            <w:noWrap/>
            <w:vAlign w:val="center"/>
          </w:tcPr>
          <w:p w14:paraId="21BB630A" w14:textId="77777777" w:rsidR="00A13DC2" w:rsidRPr="00D9593D" w:rsidRDefault="00A13DC2" w:rsidP="00A13DC2">
            <w:pPr>
              <w:spacing w:after="0" w:line="240" w:lineRule="auto"/>
              <w:jc w:val="right"/>
              <w:rPr>
                <w:color w:val="000000"/>
                <w:sz w:val="20"/>
                <w:szCs w:val="20"/>
              </w:rPr>
            </w:pPr>
          </w:p>
        </w:tc>
      </w:tr>
      <w:tr w:rsidR="00A13DC2" w:rsidRPr="00D9593D" w14:paraId="128CBA88" w14:textId="77777777" w:rsidTr="00A13DC2">
        <w:trPr>
          <w:trHeight w:val="320"/>
        </w:trPr>
        <w:tc>
          <w:tcPr>
            <w:tcW w:w="1397" w:type="dxa"/>
            <w:vMerge/>
            <w:tcBorders>
              <w:left w:val="nil"/>
              <w:bottom w:val="single" w:sz="4" w:space="0" w:color="auto"/>
              <w:right w:val="nil"/>
            </w:tcBorders>
            <w:noWrap/>
            <w:vAlign w:val="center"/>
          </w:tcPr>
          <w:p w14:paraId="44029B4D" w14:textId="77777777" w:rsidR="00A13DC2" w:rsidRPr="00452304" w:rsidRDefault="00A13DC2" w:rsidP="00A13DC2">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330C9EE2" w14:textId="2D1A7E50" w:rsidR="00A13DC2" w:rsidRPr="00355693" w:rsidRDefault="00A13DC2" w:rsidP="00A13DC2">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026" w:type="dxa"/>
            <w:tcBorders>
              <w:top w:val="nil"/>
              <w:left w:val="nil"/>
              <w:bottom w:val="single" w:sz="4" w:space="0" w:color="auto"/>
              <w:right w:val="nil"/>
            </w:tcBorders>
            <w:noWrap/>
            <w:vAlign w:val="center"/>
          </w:tcPr>
          <w:p w14:paraId="063809A4" w14:textId="77777777" w:rsidR="00A13DC2" w:rsidRPr="00D9593D" w:rsidRDefault="00A13DC2" w:rsidP="00A13DC2">
            <w:pPr>
              <w:spacing w:after="0" w:line="240" w:lineRule="auto"/>
              <w:jc w:val="right"/>
              <w:rPr>
                <w:color w:val="000000"/>
                <w:sz w:val="20"/>
                <w:szCs w:val="20"/>
              </w:rPr>
            </w:pPr>
          </w:p>
        </w:tc>
        <w:tc>
          <w:tcPr>
            <w:tcW w:w="1152" w:type="dxa"/>
            <w:tcBorders>
              <w:left w:val="nil"/>
              <w:bottom w:val="single" w:sz="4" w:space="0" w:color="auto"/>
              <w:right w:val="nil"/>
            </w:tcBorders>
            <w:noWrap/>
            <w:vAlign w:val="center"/>
          </w:tcPr>
          <w:p w14:paraId="2ED67B45" w14:textId="77777777" w:rsidR="00A13DC2" w:rsidRPr="00D9593D" w:rsidRDefault="00A13DC2" w:rsidP="00A13DC2">
            <w:pPr>
              <w:spacing w:after="0" w:line="240" w:lineRule="auto"/>
              <w:jc w:val="right"/>
              <w:rPr>
                <w:rFonts w:eastAsia="Times New Roman"/>
                <w:color w:val="000000"/>
                <w:kern w:val="0"/>
                <w:sz w:val="20"/>
                <w:szCs w:val="20"/>
                <w14:ligatures w14:val="none"/>
              </w:rPr>
            </w:pPr>
          </w:p>
        </w:tc>
        <w:tc>
          <w:tcPr>
            <w:tcW w:w="1113" w:type="dxa"/>
            <w:tcBorders>
              <w:left w:val="nil"/>
              <w:bottom w:val="single" w:sz="4" w:space="0" w:color="auto"/>
              <w:right w:val="nil"/>
            </w:tcBorders>
            <w:noWrap/>
            <w:vAlign w:val="center"/>
          </w:tcPr>
          <w:p w14:paraId="7543E3B9" w14:textId="77777777" w:rsidR="00A13DC2" w:rsidRPr="00D9593D" w:rsidRDefault="00A13DC2" w:rsidP="00A13DC2">
            <w:pPr>
              <w:spacing w:after="0" w:line="240" w:lineRule="auto"/>
              <w:jc w:val="right"/>
              <w:rPr>
                <w:rFonts w:eastAsia="Times New Roman"/>
                <w:color w:val="000000"/>
                <w:kern w:val="0"/>
                <w:sz w:val="20"/>
                <w:szCs w:val="20"/>
                <w14:ligatures w14:val="none"/>
              </w:rPr>
            </w:pPr>
          </w:p>
        </w:tc>
        <w:tc>
          <w:tcPr>
            <w:tcW w:w="2138" w:type="dxa"/>
            <w:tcBorders>
              <w:top w:val="nil"/>
              <w:left w:val="nil"/>
              <w:bottom w:val="single" w:sz="4" w:space="0" w:color="auto"/>
              <w:right w:val="nil"/>
            </w:tcBorders>
            <w:noWrap/>
            <w:vAlign w:val="center"/>
          </w:tcPr>
          <w:p w14:paraId="4884325B" w14:textId="77777777" w:rsidR="00A13DC2" w:rsidRPr="00D9593D" w:rsidRDefault="00A13DC2" w:rsidP="00A13DC2">
            <w:pPr>
              <w:spacing w:after="0" w:line="240" w:lineRule="auto"/>
              <w:jc w:val="right"/>
              <w:rPr>
                <w:color w:val="000000"/>
                <w:sz w:val="20"/>
                <w:szCs w:val="20"/>
              </w:rPr>
            </w:pPr>
          </w:p>
        </w:tc>
      </w:tr>
      <w:tr w:rsidR="00A13DC2" w:rsidRPr="00D9593D" w14:paraId="2932A9C8" w14:textId="77777777" w:rsidTr="00A13DC2">
        <w:trPr>
          <w:trHeight w:val="320"/>
        </w:trPr>
        <w:tc>
          <w:tcPr>
            <w:tcW w:w="1397" w:type="dxa"/>
            <w:vMerge w:val="restart"/>
            <w:tcBorders>
              <w:top w:val="single" w:sz="4" w:space="0" w:color="auto"/>
              <w:left w:val="nil"/>
              <w:right w:val="nil"/>
            </w:tcBorders>
            <w:noWrap/>
            <w:vAlign w:val="center"/>
          </w:tcPr>
          <w:p w14:paraId="02360057" w14:textId="45E579A0" w:rsidR="00A13DC2" w:rsidRPr="00A13DC2" w:rsidRDefault="00A13DC2" w:rsidP="00A13DC2">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mass</w:t>
            </w:r>
            <w:proofErr w:type="spellEnd"/>
          </w:p>
        </w:tc>
        <w:tc>
          <w:tcPr>
            <w:tcW w:w="1454" w:type="dxa"/>
            <w:tcBorders>
              <w:top w:val="single" w:sz="4" w:space="0" w:color="auto"/>
              <w:left w:val="nil"/>
              <w:bottom w:val="nil"/>
              <w:right w:val="nil"/>
            </w:tcBorders>
            <w:noWrap/>
            <w:vAlign w:val="center"/>
          </w:tcPr>
          <w:p w14:paraId="6CB7CC4A" w14:textId="6C6C9ABA" w:rsidR="00A13DC2" w:rsidRPr="00355693" w:rsidRDefault="00A13DC2" w:rsidP="00A13DC2">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026" w:type="dxa"/>
            <w:tcBorders>
              <w:top w:val="single" w:sz="4" w:space="0" w:color="auto"/>
              <w:left w:val="nil"/>
              <w:bottom w:val="nil"/>
              <w:right w:val="nil"/>
            </w:tcBorders>
            <w:noWrap/>
            <w:vAlign w:val="center"/>
          </w:tcPr>
          <w:p w14:paraId="6225260C" w14:textId="77777777" w:rsidR="00A13DC2" w:rsidRPr="00D9593D" w:rsidRDefault="00A13DC2" w:rsidP="00A13DC2">
            <w:pPr>
              <w:spacing w:after="0" w:line="240" w:lineRule="auto"/>
              <w:jc w:val="right"/>
              <w:rPr>
                <w:color w:val="000000"/>
                <w:sz w:val="20"/>
                <w:szCs w:val="20"/>
              </w:rPr>
            </w:pPr>
          </w:p>
        </w:tc>
        <w:tc>
          <w:tcPr>
            <w:tcW w:w="1152" w:type="dxa"/>
            <w:tcBorders>
              <w:top w:val="single" w:sz="4" w:space="0" w:color="auto"/>
              <w:left w:val="nil"/>
              <w:right w:val="nil"/>
            </w:tcBorders>
            <w:noWrap/>
            <w:vAlign w:val="center"/>
          </w:tcPr>
          <w:p w14:paraId="4631922B" w14:textId="77777777" w:rsidR="00A13DC2" w:rsidRPr="00D9593D" w:rsidRDefault="00A13DC2" w:rsidP="00A13DC2">
            <w:pPr>
              <w:spacing w:after="0" w:line="240" w:lineRule="auto"/>
              <w:jc w:val="right"/>
              <w:rPr>
                <w:rFonts w:eastAsia="Times New Roman"/>
                <w:color w:val="000000"/>
                <w:kern w:val="0"/>
                <w:sz w:val="20"/>
                <w:szCs w:val="20"/>
                <w14:ligatures w14:val="none"/>
              </w:rPr>
            </w:pPr>
          </w:p>
        </w:tc>
        <w:tc>
          <w:tcPr>
            <w:tcW w:w="1113" w:type="dxa"/>
            <w:tcBorders>
              <w:top w:val="single" w:sz="4" w:space="0" w:color="auto"/>
              <w:left w:val="nil"/>
              <w:right w:val="nil"/>
            </w:tcBorders>
            <w:noWrap/>
            <w:vAlign w:val="center"/>
          </w:tcPr>
          <w:p w14:paraId="76C16677" w14:textId="77777777" w:rsidR="00A13DC2" w:rsidRPr="00D9593D" w:rsidRDefault="00A13DC2" w:rsidP="00A13DC2">
            <w:pPr>
              <w:spacing w:after="0" w:line="240" w:lineRule="auto"/>
              <w:jc w:val="right"/>
              <w:rPr>
                <w:rFonts w:eastAsia="Times New Roman"/>
                <w:color w:val="000000"/>
                <w:kern w:val="0"/>
                <w:sz w:val="20"/>
                <w:szCs w:val="20"/>
                <w14:ligatures w14:val="none"/>
              </w:rPr>
            </w:pPr>
          </w:p>
        </w:tc>
        <w:tc>
          <w:tcPr>
            <w:tcW w:w="2138" w:type="dxa"/>
            <w:tcBorders>
              <w:top w:val="single" w:sz="4" w:space="0" w:color="auto"/>
              <w:left w:val="nil"/>
              <w:bottom w:val="nil"/>
              <w:right w:val="nil"/>
            </w:tcBorders>
            <w:noWrap/>
            <w:vAlign w:val="center"/>
          </w:tcPr>
          <w:p w14:paraId="7484E42E" w14:textId="77777777" w:rsidR="00A13DC2" w:rsidRPr="00D9593D" w:rsidRDefault="00A13DC2" w:rsidP="00A13DC2">
            <w:pPr>
              <w:spacing w:after="0" w:line="240" w:lineRule="auto"/>
              <w:jc w:val="right"/>
              <w:rPr>
                <w:color w:val="000000"/>
                <w:sz w:val="20"/>
                <w:szCs w:val="20"/>
              </w:rPr>
            </w:pPr>
          </w:p>
        </w:tc>
      </w:tr>
      <w:tr w:rsidR="00A13DC2" w:rsidRPr="00D9593D" w14:paraId="11E2BC2A" w14:textId="77777777" w:rsidTr="00A13DC2">
        <w:trPr>
          <w:trHeight w:val="320"/>
        </w:trPr>
        <w:tc>
          <w:tcPr>
            <w:tcW w:w="1397" w:type="dxa"/>
            <w:vMerge/>
            <w:tcBorders>
              <w:left w:val="nil"/>
              <w:right w:val="nil"/>
            </w:tcBorders>
            <w:noWrap/>
            <w:vAlign w:val="center"/>
          </w:tcPr>
          <w:p w14:paraId="17A814E2" w14:textId="77777777" w:rsidR="00A13DC2" w:rsidRPr="00452304" w:rsidRDefault="00A13DC2" w:rsidP="00A13DC2">
            <w:pPr>
              <w:spacing w:after="0" w:line="240" w:lineRule="auto"/>
              <w:rPr>
                <w:rFonts w:eastAsia="Times New Roman"/>
                <w:color w:val="000000"/>
                <w:kern w:val="0"/>
                <w:sz w:val="20"/>
                <w:szCs w:val="20"/>
                <w14:ligatures w14:val="none"/>
              </w:rPr>
            </w:pPr>
          </w:p>
        </w:tc>
        <w:tc>
          <w:tcPr>
            <w:tcW w:w="1454" w:type="dxa"/>
            <w:tcBorders>
              <w:top w:val="nil"/>
              <w:left w:val="nil"/>
              <w:bottom w:val="nil"/>
              <w:right w:val="nil"/>
            </w:tcBorders>
            <w:noWrap/>
            <w:vAlign w:val="center"/>
          </w:tcPr>
          <w:p w14:paraId="2635D08F" w14:textId="1D78BF58" w:rsidR="00A13DC2" w:rsidRPr="00355693" w:rsidRDefault="00A13DC2" w:rsidP="00A13DC2">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026" w:type="dxa"/>
            <w:tcBorders>
              <w:top w:val="nil"/>
              <w:left w:val="nil"/>
              <w:bottom w:val="nil"/>
              <w:right w:val="nil"/>
            </w:tcBorders>
            <w:noWrap/>
            <w:vAlign w:val="center"/>
          </w:tcPr>
          <w:p w14:paraId="798EC919" w14:textId="77777777" w:rsidR="00A13DC2" w:rsidRPr="00D9593D" w:rsidRDefault="00A13DC2" w:rsidP="00A13DC2">
            <w:pPr>
              <w:spacing w:after="0" w:line="240" w:lineRule="auto"/>
              <w:jc w:val="right"/>
              <w:rPr>
                <w:color w:val="000000"/>
                <w:sz w:val="20"/>
                <w:szCs w:val="20"/>
              </w:rPr>
            </w:pPr>
          </w:p>
        </w:tc>
        <w:tc>
          <w:tcPr>
            <w:tcW w:w="1152" w:type="dxa"/>
            <w:tcBorders>
              <w:left w:val="nil"/>
              <w:right w:val="nil"/>
            </w:tcBorders>
            <w:noWrap/>
            <w:vAlign w:val="center"/>
          </w:tcPr>
          <w:p w14:paraId="75C5CB66" w14:textId="77777777" w:rsidR="00A13DC2" w:rsidRPr="00D9593D" w:rsidRDefault="00A13DC2" w:rsidP="00A13DC2">
            <w:pPr>
              <w:spacing w:after="0" w:line="240" w:lineRule="auto"/>
              <w:jc w:val="right"/>
              <w:rPr>
                <w:rFonts w:eastAsia="Times New Roman"/>
                <w:color w:val="000000"/>
                <w:kern w:val="0"/>
                <w:sz w:val="20"/>
                <w:szCs w:val="20"/>
                <w14:ligatures w14:val="none"/>
              </w:rPr>
            </w:pPr>
          </w:p>
        </w:tc>
        <w:tc>
          <w:tcPr>
            <w:tcW w:w="1113" w:type="dxa"/>
            <w:tcBorders>
              <w:left w:val="nil"/>
              <w:right w:val="nil"/>
            </w:tcBorders>
            <w:noWrap/>
            <w:vAlign w:val="center"/>
          </w:tcPr>
          <w:p w14:paraId="401909E8" w14:textId="77777777" w:rsidR="00A13DC2" w:rsidRPr="00D9593D" w:rsidRDefault="00A13DC2" w:rsidP="00A13DC2">
            <w:pPr>
              <w:spacing w:after="0" w:line="240" w:lineRule="auto"/>
              <w:jc w:val="right"/>
              <w:rPr>
                <w:rFonts w:eastAsia="Times New Roman"/>
                <w:color w:val="000000"/>
                <w:kern w:val="0"/>
                <w:sz w:val="20"/>
                <w:szCs w:val="20"/>
                <w14:ligatures w14:val="none"/>
              </w:rPr>
            </w:pPr>
          </w:p>
        </w:tc>
        <w:tc>
          <w:tcPr>
            <w:tcW w:w="2138" w:type="dxa"/>
            <w:tcBorders>
              <w:top w:val="nil"/>
              <w:left w:val="nil"/>
              <w:bottom w:val="nil"/>
              <w:right w:val="nil"/>
            </w:tcBorders>
            <w:noWrap/>
            <w:vAlign w:val="center"/>
          </w:tcPr>
          <w:p w14:paraId="1B9DDAE1" w14:textId="77777777" w:rsidR="00A13DC2" w:rsidRPr="00D9593D" w:rsidRDefault="00A13DC2" w:rsidP="00A13DC2">
            <w:pPr>
              <w:spacing w:after="0" w:line="240" w:lineRule="auto"/>
              <w:jc w:val="right"/>
              <w:rPr>
                <w:color w:val="000000"/>
                <w:sz w:val="20"/>
                <w:szCs w:val="20"/>
              </w:rPr>
            </w:pPr>
          </w:p>
        </w:tc>
      </w:tr>
      <w:tr w:rsidR="00A13DC2" w:rsidRPr="00D9593D" w14:paraId="46215570" w14:textId="77777777" w:rsidTr="00A13DC2">
        <w:trPr>
          <w:trHeight w:val="320"/>
        </w:trPr>
        <w:tc>
          <w:tcPr>
            <w:tcW w:w="1397" w:type="dxa"/>
            <w:vMerge/>
            <w:tcBorders>
              <w:left w:val="nil"/>
              <w:bottom w:val="single" w:sz="4" w:space="0" w:color="auto"/>
              <w:right w:val="nil"/>
            </w:tcBorders>
            <w:noWrap/>
            <w:vAlign w:val="center"/>
          </w:tcPr>
          <w:p w14:paraId="4259433E" w14:textId="77777777" w:rsidR="00A13DC2" w:rsidRPr="00452304" w:rsidRDefault="00A13DC2" w:rsidP="00A13DC2">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75756CE6" w14:textId="3C514A7E" w:rsidR="00A13DC2" w:rsidRPr="00355693" w:rsidRDefault="00A13DC2" w:rsidP="00A13DC2">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026" w:type="dxa"/>
            <w:tcBorders>
              <w:top w:val="nil"/>
              <w:left w:val="nil"/>
              <w:bottom w:val="single" w:sz="4" w:space="0" w:color="auto"/>
              <w:right w:val="nil"/>
            </w:tcBorders>
            <w:noWrap/>
            <w:vAlign w:val="center"/>
          </w:tcPr>
          <w:p w14:paraId="34DFA96B" w14:textId="77777777" w:rsidR="00A13DC2" w:rsidRPr="00D9593D" w:rsidRDefault="00A13DC2" w:rsidP="00A13DC2">
            <w:pPr>
              <w:spacing w:after="0" w:line="240" w:lineRule="auto"/>
              <w:jc w:val="right"/>
              <w:rPr>
                <w:color w:val="000000"/>
                <w:sz w:val="20"/>
                <w:szCs w:val="20"/>
              </w:rPr>
            </w:pPr>
          </w:p>
        </w:tc>
        <w:tc>
          <w:tcPr>
            <w:tcW w:w="1152" w:type="dxa"/>
            <w:tcBorders>
              <w:left w:val="nil"/>
              <w:bottom w:val="single" w:sz="4" w:space="0" w:color="auto"/>
              <w:right w:val="nil"/>
            </w:tcBorders>
            <w:noWrap/>
            <w:vAlign w:val="center"/>
          </w:tcPr>
          <w:p w14:paraId="03733D13" w14:textId="77777777" w:rsidR="00A13DC2" w:rsidRPr="00D9593D" w:rsidRDefault="00A13DC2" w:rsidP="00A13DC2">
            <w:pPr>
              <w:spacing w:after="0" w:line="240" w:lineRule="auto"/>
              <w:jc w:val="right"/>
              <w:rPr>
                <w:rFonts w:eastAsia="Times New Roman"/>
                <w:color w:val="000000"/>
                <w:kern w:val="0"/>
                <w:sz w:val="20"/>
                <w:szCs w:val="20"/>
                <w14:ligatures w14:val="none"/>
              </w:rPr>
            </w:pPr>
          </w:p>
        </w:tc>
        <w:tc>
          <w:tcPr>
            <w:tcW w:w="1113" w:type="dxa"/>
            <w:tcBorders>
              <w:left w:val="nil"/>
              <w:bottom w:val="single" w:sz="4" w:space="0" w:color="auto"/>
              <w:right w:val="nil"/>
            </w:tcBorders>
            <w:noWrap/>
            <w:vAlign w:val="center"/>
          </w:tcPr>
          <w:p w14:paraId="76FAB526" w14:textId="77777777" w:rsidR="00A13DC2" w:rsidRPr="00D9593D" w:rsidRDefault="00A13DC2" w:rsidP="00A13DC2">
            <w:pPr>
              <w:spacing w:after="0" w:line="240" w:lineRule="auto"/>
              <w:jc w:val="right"/>
              <w:rPr>
                <w:rFonts w:eastAsia="Times New Roman"/>
                <w:color w:val="000000"/>
                <w:kern w:val="0"/>
                <w:sz w:val="20"/>
                <w:szCs w:val="20"/>
                <w14:ligatures w14:val="none"/>
              </w:rPr>
            </w:pPr>
          </w:p>
        </w:tc>
        <w:tc>
          <w:tcPr>
            <w:tcW w:w="2138" w:type="dxa"/>
            <w:tcBorders>
              <w:top w:val="nil"/>
              <w:left w:val="nil"/>
              <w:bottom w:val="single" w:sz="4" w:space="0" w:color="auto"/>
              <w:right w:val="nil"/>
            </w:tcBorders>
            <w:noWrap/>
            <w:vAlign w:val="center"/>
          </w:tcPr>
          <w:p w14:paraId="0B047C4D" w14:textId="77777777" w:rsidR="00A13DC2" w:rsidRPr="00D9593D" w:rsidRDefault="00A13DC2" w:rsidP="00A13DC2">
            <w:pPr>
              <w:spacing w:after="0" w:line="240" w:lineRule="auto"/>
              <w:jc w:val="right"/>
              <w:rPr>
                <w:color w:val="000000"/>
                <w:sz w:val="20"/>
                <w:szCs w:val="20"/>
              </w:rPr>
            </w:pPr>
          </w:p>
        </w:tc>
      </w:tr>
      <w:tr w:rsidR="00A13DC2" w:rsidRPr="00D9593D" w14:paraId="6EA1C489" w14:textId="77777777" w:rsidTr="00A13DC2">
        <w:trPr>
          <w:trHeight w:val="320"/>
        </w:trPr>
        <w:tc>
          <w:tcPr>
            <w:tcW w:w="1397" w:type="dxa"/>
            <w:vMerge w:val="restart"/>
            <w:tcBorders>
              <w:top w:val="single" w:sz="4" w:space="0" w:color="auto"/>
              <w:left w:val="nil"/>
              <w:right w:val="nil"/>
            </w:tcBorders>
            <w:noWrap/>
            <w:vAlign w:val="center"/>
          </w:tcPr>
          <w:p w14:paraId="07D77DC3" w14:textId="29477FCD" w:rsidR="00A13DC2" w:rsidRPr="00A13DC2" w:rsidRDefault="00A13DC2" w:rsidP="00A13DC2">
            <w:pPr>
              <w:spacing w:after="0" w:line="240" w:lineRule="auto"/>
              <w:rPr>
                <w:rFonts w:eastAsia="Times New Roman"/>
                <w:color w:val="000000"/>
                <w:kern w:val="0"/>
                <w:sz w:val="20"/>
                <w:szCs w:val="20"/>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area</w:t>
            </w:r>
            <w:proofErr w:type="spellEnd"/>
          </w:p>
        </w:tc>
        <w:tc>
          <w:tcPr>
            <w:tcW w:w="1454" w:type="dxa"/>
            <w:tcBorders>
              <w:top w:val="single" w:sz="4" w:space="0" w:color="auto"/>
              <w:left w:val="nil"/>
              <w:bottom w:val="nil"/>
              <w:right w:val="nil"/>
            </w:tcBorders>
            <w:noWrap/>
            <w:vAlign w:val="center"/>
          </w:tcPr>
          <w:p w14:paraId="71004DAC" w14:textId="20AB0168" w:rsidR="00A13DC2" w:rsidRPr="00355693" w:rsidRDefault="00A13DC2" w:rsidP="00A13DC2">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026" w:type="dxa"/>
            <w:tcBorders>
              <w:top w:val="single" w:sz="4" w:space="0" w:color="auto"/>
              <w:left w:val="nil"/>
              <w:bottom w:val="nil"/>
              <w:right w:val="nil"/>
            </w:tcBorders>
            <w:noWrap/>
            <w:vAlign w:val="center"/>
          </w:tcPr>
          <w:p w14:paraId="33B0A34A" w14:textId="77777777" w:rsidR="00A13DC2" w:rsidRPr="00D9593D" w:rsidRDefault="00A13DC2" w:rsidP="00A13DC2">
            <w:pPr>
              <w:spacing w:after="0" w:line="240" w:lineRule="auto"/>
              <w:jc w:val="right"/>
              <w:rPr>
                <w:color w:val="000000"/>
                <w:sz w:val="20"/>
                <w:szCs w:val="20"/>
              </w:rPr>
            </w:pPr>
          </w:p>
        </w:tc>
        <w:tc>
          <w:tcPr>
            <w:tcW w:w="1152" w:type="dxa"/>
            <w:tcBorders>
              <w:top w:val="single" w:sz="4" w:space="0" w:color="auto"/>
              <w:left w:val="nil"/>
              <w:right w:val="nil"/>
            </w:tcBorders>
            <w:noWrap/>
            <w:vAlign w:val="center"/>
          </w:tcPr>
          <w:p w14:paraId="1A7525A0" w14:textId="77777777" w:rsidR="00A13DC2" w:rsidRPr="00D9593D" w:rsidRDefault="00A13DC2" w:rsidP="00A13DC2">
            <w:pPr>
              <w:spacing w:after="0" w:line="240" w:lineRule="auto"/>
              <w:jc w:val="right"/>
              <w:rPr>
                <w:rFonts w:eastAsia="Times New Roman"/>
                <w:color w:val="000000"/>
                <w:kern w:val="0"/>
                <w:sz w:val="20"/>
                <w:szCs w:val="20"/>
                <w14:ligatures w14:val="none"/>
              </w:rPr>
            </w:pPr>
          </w:p>
        </w:tc>
        <w:tc>
          <w:tcPr>
            <w:tcW w:w="1113" w:type="dxa"/>
            <w:tcBorders>
              <w:top w:val="single" w:sz="4" w:space="0" w:color="auto"/>
              <w:left w:val="nil"/>
              <w:right w:val="nil"/>
            </w:tcBorders>
            <w:noWrap/>
            <w:vAlign w:val="center"/>
          </w:tcPr>
          <w:p w14:paraId="1B313981" w14:textId="77777777" w:rsidR="00A13DC2" w:rsidRPr="00D9593D" w:rsidRDefault="00A13DC2" w:rsidP="00A13DC2">
            <w:pPr>
              <w:spacing w:after="0" w:line="240" w:lineRule="auto"/>
              <w:jc w:val="right"/>
              <w:rPr>
                <w:rFonts w:eastAsia="Times New Roman"/>
                <w:color w:val="000000"/>
                <w:kern w:val="0"/>
                <w:sz w:val="20"/>
                <w:szCs w:val="20"/>
                <w14:ligatures w14:val="none"/>
              </w:rPr>
            </w:pPr>
          </w:p>
        </w:tc>
        <w:tc>
          <w:tcPr>
            <w:tcW w:w="2138" w:type="dxa"/>
            <w:tcBorders>
              <w:top w:val="single" w:sz="4" w:space="0" w:color="auto"/>
              <w:left w:val="nil"/>
              <w:bottom w:val="nil"/>
              <w:right w:val="nil"/>
            </w:tcBorders>
            <w:noWrap/>
            <w:vAlign w:val="center"/>
          </w:tcPr>
          <w:p w14:paraId="4A77BD30" w14:textId="77777777" w:rsidR="00A13DC2" w:rsidRPr="00D9593D" w:rsidRDefault="00A13DC2" w:rsidP="00A13DC2">
            <w:pPr>
              <w:spacing w:after="0" w:line="240" w:lineRule="auto"/>
              <w:jc w:val="right"/>
              <w:rPr>
                <w:color w:val="000000"/>
                <w:sz w:val="20"/>
                <w:szCs w:val="20"/>
              </w:rPr>
            </w:pPr>
          </w:p>
        </w:tc>
      </w:tr>
      <w:tr w:rsidR="00A13DC2" w:rsidRPr="00D9593D" w14:paraId="3F05B786" w14:textId="77777777" w:rsidTr="00A13DC2">
        <w:trPr>
          <w:trHeight w:val="320"/>
        </w:trPr>
        <w:tc>
          <w:tcPr>
            <w:tcW w:w="1397" w:type="dxa"/>
            <w:vMerge/>
            <w:tcBorders>
              <w:left w:val="nil"/>
              <w:right w:val="nil"/>
            </w:tcBorders>
            <w:noWrap/>
            <w:vAlign w:val="center"/>
          </w:tcPr>
          <w:p w14:paraId="4EFD9D67" w14:textId="77777777" w:rsidR="00A13DC2" w:rsidRPr="00452304" w:rsidRDefault="00A13DC2" w:rsidP="00A13DC2">
            <w:pPr>
              <w:spacing w:after="0" w:line="240" w:lineRule="auto"/>
              <w:rPr>
                <w:rFonts w:eastAsia="Times New Roman"/>
                <w:color w:val="000000"/>
                <w:kern w:val="0"/>
                <w:sz w:val="20"/>
                <w:szCs w:val="20"/>
                <w14:ligatures w14:val="none"/>
              </w:rPr>
            </w:pPr>
          </w:p>
        </w:tc>
        <w:tc>
          <w:tcPr>
            <w:tcW w:w="1454" w:type="dxa"/>
            <w:tcBorders>
              <w:top w:val="nil"/>
              <w:left w:val="nil"/>
              <w:bottom w:val="nil"/>
              <w:right w:val="nil"/>
            </w:tcBorders>
            <w:noWrap/>
            <w:vAlign w:val="center"/>
          </w:tcPr>
          <w:p w14:paraId="728C45F7" w14:textId="5B61B850" w:rsidR="00A13DC2" w:rsidRPr="00355693" w:rsidRDefault="00A13DC2" w:rsidP="00A13DC2">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026" w:type="dxa"/>
            <w:tcBorders>
              <w:top w:val="nil"/>
              <w:left w:val="nil"/>
              <w:bottom w:val="nil"/>
              <w:right w:val="nil"/>
            </w:tcBorders>
            <w:noWrap/>
            <w:vAlign w:val="center"/>
          </w:tcPr>
          <w:p w14:paraId="0A6514DD" w14:textId="77777777" w:rsidR="00A13DC2" w:rsidRPr="00D9593D" w:rsidRDefault="00A13DC2" w:rsidP="00A13DC2">
            <w:pPr>
              <w:spacing w:after="0" w:line="240" w:lineRule="auto"/>
              <w:jc w:val="right"/>
              <w:rPr>
                <w:color w:val="000000"/>
                <w:sz w:val="20"/>
                <w:szCs w:val="20"/>
              </w:rPr>
            </w:pPr>
          </w:p>
        </w:tc>
        <w:tc>
          <w:tcPr>
            <w:tcW w:w="1152" w:type="dxa"/>
            <w:tcBorders>
              <w:left w:val="nil"/>
              <w:right w:val="nil"/>
            </w:tcBorders>
            <w:noWrap/>
            <w:vAlign w:val="center"/>
          </w:tcPr>
          <w:p w14:paraId="62DE06A0" w14:textId="77777777" w:rsidR="00A13DC2" w:rsidRPr="00D9593D" w:rsidRDefault="00A13DC2" w:rsidP="00A13DC2">
            <w:pPr>
              <w:spacing w:after="0" w:line="240" w:lineRule="auto"/>
              <w:jc w:val="right"/>
              <w:rPr>
                <w:rFonts w:eastAsia="Times New Roman"/>
                <w:color w:val="000000"/>
                <w:kern w:val="0"/>
                <w:sz w:val="20"/>
                <w:szCs w:val="20"/>
                <w14:ligatures w14:val="none"/>
              </w:rPr>
            </w:pPr>
          </w:p>
        </w:tc>
        <w:tc>
          <w:tcPr>
            <w:tcW w:w="1113" w:type="dxa"/>
            <w:tcBorders>
              <w:left w:val="nil"/>
              <w:right w:val="nil"/>
            </w:tcBorders>
            <w:noWrap/>
            <w:vAlign w:val="center"/>
          </w:tcPr>
          <w:p w14:paraId="7AB105A2" w14:textId="77777777" w:rsidR="00A13DC2" w:rsidRPr="00D9593D" w:rsidRDefault="00A13DC2" w:rsidP="00A13DC2">
            <w:pPr>
              <w:spacing w:after="0" w:line="240" w:lineRule="auto"/>
              <w:jc w:val="right"/>
              <w:rPr>
                <w:rFonts w:eastAsia="Times New Roman"/>
                <w:color w:val="000000"/>
                <w:kern w:val="0"/>
                <w:sz w:val="20"/>
                <w:szCs w:val="20"/>
                <w14:ligatures w14:val="none"/>
              </w:rPr>
            </w:pPr>
          </w:p>
        </w:tc>
        <w:tc>
          <w:tcPr>
            <w:tcW w:w="2138" w:type="dxa"/>
            <w:tcBorders>
              <w:top w:val="nil"/>
              <w:left w:val="nil"/>
              <w:bottom w:val="nil"/>
              <w:right w:val="nil"/>
            </w:tcBorders>
            <w:noWrap/>
            <w:vAlign w:val="center"/>
          </w:tcPr>
          <w:p w14:paraId="74320C10" w14:textId="77777777" w:rsidR="00A13DC2" w:rsidRPr="00D9593D" w:rsidRDefault="00A13DC2" w:rsidP="00A13DC2">
            <w:pPr>
              <w:spacing w:after="0" w:line="240" w:lineRule="auto"/>
              <w:jc w:val="right"/>
              <w:rPr>
                <w:color w:val="000000"/>
                <w:sz w:val="20"/>
                <w:szCs w:val="20"/>
              </w:rPr>
            </w:pPr>
          </w:p>
        </w:tc>
      </w:tr>
      <w:tr w:rsidR="00A13DC2" w:rsidRPr="00D9593D" w14:paraId="60CD6286" w14:textId="77777777" w:rsidTr="00A13DC2">
        <w:trPr>
          <w:trHeight w:val="320"/>
        </w:trPr>
        <w:tc>
          <w:tcPr>
            <w:tcW w:w="1397" w:type="dxa"/>
            <w:vMerge/>
            <w:tcBorders>
              <w:left w:val="nil"/>
              <w:bottom w:val="single" w:sz="4" w:space="0" w:color="auto"/>
              <w:right w:val="nil"/>
            </w:tcBorders>
            <w:noWrap/>
            <w:vAlign w:val="center"/>
          </w:tcPr>
          <w:p w14:paraId="595E774E" w14:textId="77777777" w:rsidR="00A13DC2" w:rsidRPr="00452304" w:rsidRDefault="00A13DC2" w:rsidP="00A13DC2">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1813CD32" w14:textId="4EE8C47B" w:rsidR="00A13DC2" w:rsidRPr="00355693" w:rsidRDefault="00A13DC2" w:rsidP="00A13DC2">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026" w:type="dxa"/>
            <w:tcBorders>
              <w:top w:val="nil"/>
              <w:left w:val="nil"/>
              <w:bottom w:val="single" w:sz="4" w:space="0" w:color="auto"/>
              <w:right w:val="nil"/>
            </w:tcBorders>
            <w:noWrap/>
            <w:vAlign w:val="center"/>
          </w:tcPr>
          <w:p w14:paraId="4AB3B32E" w14:textId="77777777" w:rsidR="00A13DC2" w:rsidRPr="00D9593D" w:rsidRDefault="00A13DC2" w:rsidP="00A13DC2">
            <w:pPr>
              <w:spacing w:after="0" w:line="240" w:lineRule="auto"/>
              <w:jc w:val="right"/>
              <w:rPr>
                <w:color w:val="000000"/>
                <w:sz w:val="20"/>
                <w:szCs w:val="20"/>
              </w:rPr>
            </w:pPr>
          </w:p>
        </w:tc>
        <w:tc>
          <w:tcPr>
            <w:tcW w:w="1152" w:type="dxa"/>
            <w:tcBorders>
              <w:left w:val="nil"/>
              <w:bottom w:val="single" w:sz="4" w:space="0" w:color="auto"/>
              <w:right w:val="nil"/>
            </w:tcBorders>
            <w:noWrap/>
            <w:vAlign w:val="center"/>
          </w:tcPr>
          <w:p w14:paraId="6AEDD881" w14:textId="77777777" w:rsidR="00A13DC2" w:rsidRPr="00D9593D" w:rsidRDefault="00A13DC2" w:rsidP="00A13DC2">
            <w:pPr>
              <w:spacing w:after="0" w:line="240" w:lineRule="auto"/>
              <w:jc w:val="right"/>
              <w:rPr>
                <w:rFonts w:eastAsia="Times New Roman"/>
                <w:color w:val="000000"/>
                <w:kern w:val="0"/>
                <w:sz w:val="20"/>
                <w:szCs w:val="20"/>
                <w14:ligatures w14:val="none"/>
              </w:rPr>
            </w:pPr>
          </w:p>
        </w:tc>
        <w:tc>
          <w:tcPr>
            <w:tcW w:w="1113" w:type="dxa"/>
            <w:tcBorders>
              <w:left w:val="nil"/>
              <w:bottom w:val="single" w:sz="4" w:space="0" w:color="auto"/>
              <w:right w:val="nil"/>
            </w:tcBorders>
            <w:noWrap/>
            <w:vAlign w:val="center"/>
          </w:tcPr>
          <w:p w14:paraId="4197C32D" w14:textId="77777777" w:rsidR="00A13DC2" w:rsidRPr="00D9593D" w:rsidRDefault="00A13DC2" w:rsidP="00A13DC2">
            <w:pPr>
              <w:spacing w:after="0" w:line="240" w:lineRule="auto"/>
              <w:jc w:val="right"/>
              <w:rPr>
                <w:rFonts w:eastAsia="Times New Roman"/>
                <w:color w:val="000000"/>
                <w:kern w:val="0"/>
                <w:sz w:val="20"/>
                <w:szCs w:val="20"/>
                <w14:ligatures w14:val="none"/>
              </w:rPr>
            </w:pPr>
          </w:p>
        </w:tc>
        <w:tc>
          <w:tcPr>
            <w:tcW w:w="2138" w:type="dxa"/>
            <w:tcBorders>
              <w:top w:val="nil"/>
              <w:left w:val="nil"/>
              <w:bottom w:val="single" w:sz="4" w:space="0" w:color="auto"/>
              <w:right w:val="nil"/>
            </w:tcBorders>
            <w:noWrap/>
            <w:vAlign w:val="center"/>
          </w:tcPr>
          <w:p w14:paraId="762767FE" w14:textId="77777777" w:rsidR="00A13DC2" w:rsidRPr="00D9593D" w:rsidRDefault="00A13DC2" w:rsidP="00A13DC2">
            <w:pPr>
              <w:spacing w:after="0" w:line="240" w:lineRule="auto"/>
              <w:jc w:val="right"/>
              <w:rPr>
                <w:color w:val="000000"/>
                <w:sz w:val="20"/>
                <w:szCs w:val="20"/>
              </w:rPr>
            </w:pPr>
          </w:p>
        </w:tc>
      </w:tr>
      <w:tr w:rsidR="00A13DC2" w:rsidRPr="00D9593D" w14:paraId="57820505" w14:textId="77777777" w:rsidTr="00A13DC2">
        <w:trPr>
          <w:trHeight w:val="320"/>
        </w:trPr>
        <w:tc>
          <w:tcPr>
            <w:tcW w:w="1397" w:type="dxa"/>
            <w:vMerge w:val="restart"/>
            <w:tcBorders>
              <w:top w:val="single" w:sz="4" w:space="0" w:color="auto"/>
              <w:left w:val="nil"/>
              <w:right w:val="nil"/>
            </w:tcBorders>
            <w:noWrap/>
            <w:vAlign w:val="center"/>
          </w:tcPr>
          <w:p w14:paraId="4249940F" w14:textId="2AB04F77" w:rsidR="00A13DC2" w:rsidRPr="00A13DC2" w:rsidRDefault="00A13DC2" w:rsidP="00A13DC2">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Leaf N:P</w:t>
            </w:r>
          </w:p>
        </w:tc>
        <w:tc>
          <w:tcPr>
            <w:tcW w:w="1454" w:type="dxa"/>
            <w:tcBorders>
              <w:top w:val="single" w:sz="4" w:space="0" w:color="auto"/>
              <w:left w:val="nil"/>
              <w:bottom w:val="nil"/>
              <w:right w:val="nil"/>
            </w:tcBorders>
            <w:noWrap/>
            <w:vAlign w:val="center"/>
          </w:tcPr>
          <w:p w14:paraId="1BC1D413" w14:textId="52C68058" w:rsidR="00A13DC2" w:rsidRPr="00355693" w:rsidRDefault="00A13DC2" w:rsidP="00A13DC2">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026" w:type="dxa"/>
            <w:tcBorders>
              <w:top w:val="single" w:sz="4" w:space="0" w:color="auto"/>
              <w:left w:val="nil"/>
              <w:bottom w:val="nil"/>
              <w:right w:val="nil"/>
            </w:tcBorders>
            <w:noWrap/>
            <w:vAlign w:val="center"/>
          </w:tcPr>
          <w:p w14:paraId="75F1A175" w14:textId="77777777" w:rsidR="00A13DC2" w:rsidRPr="00D9593D" w:rsidRDefault="00A13DC2" w:rsidP="00A13DC2">
            <w:pPr>
              <w:spacing w:after="0" w:line="240" w:lineRule="auto"/>
              <w:jc w:val="right"/>
              <w:rPr>
                <w:color w:val="000000"/>
                <w:sz w:val="20"/>
                <w:szCs w:val="20"/>
              </w:rPr>
            </w:pPr>
          </w:p>
        </w:tc>
        <w:tc>
          <w:tcPr>
            <w:tcW w:w="1152" w:type="dxa"/>
            <w:tcBorders>
              <w:top w:val="single" w:sz="4" w:space="0" w:color="auto"/>
              <w:left w:val="nil"/>
              <w:right w:val="nil"/>
            </w:tcBorders>
            <w:noWrap/>
            <w:vAlign w:val="center"/>
          </w:tcPr>
          <w:p w14:paraId="51CC0D6C" w14:textId="77777777" w:rsidR="00A13DC2" w:rsidRPr="00D9593D" w:rsidRDefault="00A13DC2" w:rsidP="00A13DC2">
            <w:pPr>
              <w:spacing w:after="0" w:line="240" w:lineRule="auto"/>
              <w:jc w:val="right"/>
              <w:rPr>
                <w:rFonts w:eastAsia="Times New Roman"/>
                <w:color w:val="000000"/>
                <w:kern w:val="0"/>
                <w:sz w:val="20"/>
                <w:szCs w:val="20"/>
                <w14:ligatures w14:val="none"/>
              </w:rPr>
            </w:pPr>
          </w:p>
        </w:tc>
        <w:tc>
          <w:tcPr>
            <w:tcW w:w="1113" w:type="dxa"/>
            <w:tcBorders>
              <w:top w:val="single" w:sz="4" w:space="0" w:color="auto"/>
              <w:left w:val="nil"/>
              <w:right w:val="nil"/>
            </w:tcBorders>
            <w:noWrap/>
            <w:vAlign w:val="center"/>
          </w:tcPr>
          <w:p w14:paraId="1C2BD51C" w14:textId="77777777" w:rsidR="00A13DC2" w:rsidRPr="00D9593D" w:rsidRDefault="00A13DC2" w:rsidP="00A13DC2">
            <w:pPr>
              <w:spacing w:after="0" w:line="240" w:lineRule="auto"/>
              <w:jc w:val="right"/>
              <w:rPr>
                <w:rFonts w:eastAsia="Times New Roman"/>
                <w:color w:val="000000"/>
                <w:kern w:val="0"/>
                <w:sz w:val="20"/>
                <w:szCs w:val="20"/>
                <w14:ligatures w14:val="none"/>
              </w:rPr>
            </w:pPr>
          </w:p>
        </w:tc>
        <w:tc>
          <w:tcPr>
            <w:tcW w:w="2138" w:type="dxa"/>
            <w:tcBorders>
              <w:top w:val="single" w:sz="4" w:space="0" w:color="auto"/>
              <w:left w:val="nil"/>
              <w:bottom w:val="nil"/>
              <w:right w:val="nil"/>
            </w:tcBorders>
            <w:noWrap/>
            <w:vAlign w:val="center"/>
          </w:tcPr>
          <w:p w14:paraId="589B43B9" w14:textId="77777777" w:rsidR="00A13DC2" w:rsidRPr="00D9593D" w:rsidRDefault="00A13DC2" w:rsidP="00A13DC2">
            <w:pPr>
              <w:spacing w:after="0" w:line="240" w:lineRule="auto"/>
              <w:jc w:val="right"/>
              <w:rPr>
                <w:color w:val="000000"/>
                <w:sz w:val="20"/>
                <w:szCs w:val="20"/>
              </w:rPr>
            </w:pPr>
          </w:p>
        </w:tc>
      </w:tr>
      <w:tr w:rsidR="00A13DC2" w:rsidRPr="00D9593D" w14:paraId="1EDD40B6" w14:textId="77777777" w:rsidTr="00A13DC2">
        <w:trPr>
          <w:trHeight w:val="320"/>
        </w:trPr>
        <w:tc>
          <w:tcPr>
            <w:tcW w:w="1397" w:type="dxa"/>
            <w:vMerge/>
            <w:tcBorders>
              <w:left w:val="nil"/>
              <w:right w:val="nil"/>
            </w:tcBorders>
            <w:noWrap/>
            <w:vAlign w:val="center"/>
          </w:tcPr>
          <w:p w14:paraId="3207717A" w14:textId="77777777" w:rsidR="00A13DC2" w:rsidRPr="00452304" w:rsidRDefault="00A13DC2" w:rsidP="00A13DC2">
            <w:pPr>
              <w:spacing w:after="0" w:line="240" w:lineRule="auto"/>
              <w:rPr>
                <w:rFonts w:eastAsia="Times New Roman"/>
                <w:color w:val="000000"/>
                <w:kern w:val="0"/>
                <w:sz w:val="20"/>
                <w:szCs w:val="20"/>
                <w14:ligatures w14:val="none"/>
              </w:rPr>
            </w:pPr>
          </w:p>
        </w:tc>
        <w:tc>
          <w:tcPr>
            <w:tcW w:w="1454" w:type="dxa"/>
            <w:tcBorders>
              <w:top w:val="nil"/>
              <w:left w:val="nil"/>
              <w:bottom w:val="nil"/>
              <w:right w:val="nil"/>
            </w:tcBorders>
            <w:noWrap/>
            <w:vAlign w:val="center"/>
          </w:tcPr>
          <w:p w14:paraId="629914EF" w14:textId="24368BC2" w:rsidR="00A13DC2" w:rsidRPr="00355693" w:rsidRDefault="00A13DC2" w:rsidP="00A13DC2">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026" w:type="dxa"/>
            <w:tcBorders>
              <w:top w:val="nil"/>
              <w:left w:val="nil"/>
              <w:bottom w:val="nil"/>
              <w:right w:val="nil"/>
            </w:tcBorders>
            <w:noWrap/>
            <w:vAlign w:val="center"/>
          </w:tcPr>
          <w:p w14:paraId="25C4F6D5" w14:textId="77777777" w:rsidR="00A13DC2" w:rsidRPr="00D9593D" w:rsidRDefault="00A13DC2" w:rsidP="00A13DC2">
            <w:pPr>
              <w:spacing w:after="0" w:line="240" w:lineRule="auto"/>
              <w:jc w:val="right"/>
              <w:rPr>
                <w:color w:val="000000"/>
                <w:sz w:val="20"/>
                <w:szCs w:val="20"/>
              </w:rPr>
            </w:pPr>
          </w:p>
        </w:tc>
        <w:tc>
          <w:tcPr>
            <w:tcW w:w="1152" w:type="dxa"/>
            <w:tcBorders>
              <w:left w:val="nil"/>
              <w:right w:val="nil"/>
            </w:tcBorders>
            <w:noWrap/>
            <w:vAlign w:val="center"/>
          </w:tcPr>
          <w:p w14:paraId="103E1356" w14:textId="77777777" w:rsidR="00A13DC2" w:rsidRPr="00D9593D" w:rsidRDefault="00A13DC2" w:rsidP="00A13DC2">
            <w:pPr>
              <w:spacing w:after="0" w:line="240" w:lineRule="auto"/>
              <w:jc w:val="right"/>
              <w:rPr>
                <w:rFonts w:eastAsia="Times New Roman"/>
                <w:color w:val="000000"/>
                <w:kern w:val="0"/>
                <w:sz w:val="20"/>
                <w:szCs w:val="20"/>
                <w14:ligatures w14:val="none"/>
              </w:rPr>
            </w:pPr>
          </w:p>
        </w:tc>
        <w:tc>
          <w:tcPr>
            <w:tcW w:w="1113" w:type="dxa"/>
            <w:tcBorders>
              <w:left w:val="nil"/>
              <w:right w:val="nil"/>
            </w:tcBorders>
            <w:noWrap/>
            <w:vAlign w:val="center"/>
          </w:tcPr>
          <w:p w14:paraId="3878886F" w14:textId="77777777" w:rsidR="00A13DC2" w:rsidRPr="00D9593D" w:rsidRDefault="00A13DC2" w:rsidP="00A13DC2">
            <w:pPr>
              <w:spacing w:after="0" w:line="240" w:lineRule="auto"/>
              <w:jc w:val="right"/>
              <w:rPr>
                <w:rFonts w:eastAsia="Times New Roman"/>
                <w:color w:val="000000"/>
                <w:kern w:val="0"/>
                <w:sz w:val="20"/>
                <w:szCs w:val="20"/>
                <w14:ligatures w14:val="none"/>
              </w:rPr>
            </w:pPr>
          </w:p>
        </w:tc>
        <w:tc>
          <w:tcPr>
            <w:tcW w:w="2138" w:type="dxa"/>
            <w:tcBorders>
              <w:top w:val="nil"/>
              <w:left w:val="nil"/>
              <w:bottom w:val="nil"/>
              <w:right w:val="nil"/>
            </w:tcBorders>
            <w:noWrap/>
            <w:vAlign w:val="center"/>
          </w:tcPr>
          <w:p w14:paraId="0316DB07" w14:textId="77777777" w:rsidR="00A13DC2" w:rsidRPr="00D9593D" w:rsidRDefault="00A13DC2" w:rsidP="00A13DC2">
            <w:pPr>
              <w:spacing w:after="0" w:line="240" w:lineRule="auto"/>
              <w:jc w:val="right"/>
              <w:rPr>
                <w:color w:val="000000"/>
                <w:sz w:val="20"/>
                <w:szCs w:val="20"/>
              </w:rPr>
            </w:pPr>
          </w:p>
        </w:tc>
      </w:tr>
      <w:tr w:rsidR="00A13DC2" w:rsidRPr="00D9593D" w14:paraId="1E5A1DCD" w14:textId="77777777" w:rsidTr="00A13DC2">
        <w:trPr>
          <w:trHeight w:val="320"/>
        </w:trPr>
        <w:tc>
          <w:tcPr>
            <w:tcW w:w="1397" w:type="dxa"/>
            <w:vMerge/>
            <w:tcBorders>
              <w:left w:val="nil"/>
              <w:bottom w:val="single" w:sz="4" w:space="0" w:color="auto"/>
              <w:right w:val="nil"/>
            </w:tcBorders>
            <w:noWrap/>
            <w:vAlign w:val="center"/>
          </w:tcPr>
          <w:p w14:paraId="154BDAA1" w14:textId="77777777" w:rsidR="00A13DC2" w:rsidRPr="00452304" w:rsidRDefault="00A13DC2" w:rsidP="00A13DC2">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1A0F1EB1" w14:textId="5B9C5882" w:rsidR="00A13DC2" w:rsidRPr="00355693" w:rsidRDefault="00A13DC2" w:rsidP="00A13DC2">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026" w:type="dxa"/>
            <w:tcBorders>
              <w:top w:val="nil"/>
              <w:left w:val="nil"/>
              <w:bottom w:val="single" w:sz="4" w:space="0" w:color="auto"/>
              <w:right w:val="nil"/>
            </w:tcBorders>
            <w:noWrap/>
            <w:vAlign w:val="center"/>
          </w:tcPr>
          <w:p w14:paraId="51193BB9" w14:textId="77777777" w:rsidR="00A13DC2" w:rsidRPr="00D9593D" w:rsidRDefault="00A13DC2" w:rsidP="00A13DC2">
            <w:pPr>
              <w:spacing w:after="0" w:line="240" w:lineRule="auto"/>
              <w:jc w:val="right"/>
              <w:rPr>
                <w:color w:val="000000"/>
                <w:sz w:val="20"/>
                <w:szCs w:val="20"/>
              </w:rPr>
            </w:pPr>
          </w:p>
        </w:tc>
        <w:tc>
          <w:tcPr>
            <w:tcW w:w="1152" w:type="dxa"/>
            <w:tcBorders>
              <w:left w:val="nil"/>
              <w:bottom w:val="single" w:sz="4" w:space="0" w:color="auto"/>
              <w:right w:val="nil"/>
            </w:tcBorders>
            <w:noWrap/>
            <w:vAlign w:val="center"/>
          </w:tcPr>
          <w:p w14:paraId="501516BA" w14:textId="77777777" w:rsidR="00A13DC2" w:rsidRPr="00D9593D" w:rsidRDefault="00A13DC2" w:rsidP="00A13DC2">
            <w:pPr>
              <w:spacing w:after="0" w:line="240" w:lineRule="auto"/>
              <w:jc w:val="right"/>
              <w:rPr>
                <w:rFonts w:eastAsia="Times New Roman"/>
                <w:color w:val="000000"/>
                <w:kern w:val="0"/>
                <w:sz w:val="20"/>
                <w:szCs w:val="20"/>
                <w14:ligatures w14:val="none"/>
              </w:rPr>
            </w:pPr>
          </w:p>
        </w:tc>
        <w:tc>
          <w:tcPr>
            <w:tcW w:w="1113" w:type="dxa"/>
            <w:tcBorders>
              <w:left w:val="nil"/>
              <w:bottom w:val="single" w:sz="4" w:space="0" w:color="auto"/>
              <w:right w:val="nil"/>
            </w:tcBorders>
            <w:noWrap/>
            <w:vAlign w:val="center"/>
          </w:tcPr>
          <w:p w14:paraId="5415B456" w14:textId="77777777" w:rsidR="00A13DC2" w:rsidRPr="00D9593D" w:rsidRDefault="00A13DC2" w:rsidP="00A13DC2">
            <w:pPr>
              <w:spacing w:after="0" w:line="240" w:lineRule="auto"/>
              <w:jc w:val="right"/>
              <w:rPr>
                <w:rFonts w:eastAsia="Times New Roman"/>
                <w:color w:val="000000"/>
                <w:kern w:val="0"/>
                <w:sz w:val="20"/>
                <w:szCs w:val="20"/>
                <w14:ligatures w14:val="none"/>
              </w:rPr>
            </w:pPr>
          </w:p>
        </w:tc>
        <w:tc>
          <w:tcPr>
            <w:tcW w:w="2138" w:type="dxa"/>
            <w:tcBorders>
              <w:top w:val="nil"/>
              <w:left w:val="nil"/>
              <w:bottom w:val="single" w:sz="4" w:space="0" w:color="auto"/>
              <w:right w:val="nil"/>
            </w:tcBorders>
            <w:noWrap/>
            <w:vAlign w:val="center"/>
          </w:tcPr>
          <w:p w14:paraId="5FB42E1E" w14:textId="77777777" w:rsidR="00A13DC2" w:rsidRPr="00D9593D" w:rsidRDefault="00A13DC2" w:rsidP="00A13DC2">
            <w:pPr>
              <w:spacing w:after="0" w:line="240" w:lineRule="auto"/>
              <w:jc w:val="right"/>
              <w:rPr>
                <w:color w:val="000000"/>
                <w:sz w:val="20"/>
                <w:szCs w:val="20"/>
              </w:rPr>
            </w:pPr>
          </w:p>
        </w:tc>
      </w:tr>
      <w:tr w:rsidR="00A13DC2" w:rsidRPr="00D9593D" w14:paraId="5C0A96E5" w14:textId="77777777" w:rsidTr="00A13DC2">
        <w:trPr>
          <w:trHeight w:val="320"/>
        </w:trPr>
        <w:tc>
          <w:tcPr>
            <w:tcW w:w="1397" w:type="dxa"/>
            <w:vMerge w:val="restart"/>
            <w:tcBorders>
              <w:top w:val="single" w:sz="4" w:space="0" w:color="auto"/>
              <w:left w:val="nil"/>
              <w:right w:val="nil"/>
            </w:tcBorders>
            <w:noWrap/>
            <w:vAlign w:val="center"/>
          </w:tcPr>
          <w:p w14:paraId="4DF4FF7F" w14:textId="64DDDDB1" w:rsidR="00A13DC2" w:rsidRPr="00A13DC2" w:rsidRDefault="00A13DC2" w:rsidP="00A13DC2">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Total biomass</w:t>
            </w:r>
          </w:p>
        </w:tc>
        <w:tc>
          <w:tcPr>
            <w:tcW w:w="1454" w:type="dxa"/>
            <w:tcBorders>
              <w:top w:val="single" w:sz="4" w:space="0" w:color="auto"/>
              <w:left w:val="nil"/>
              <w:bottom w:val="nil"/>
              <w:right w:val="nil"/>
            </w:tcBorders>
            <w:noWrap/>
            <w:vAlign w:val="center"/>
          </w:tcPr>
          <w:p w14:paraId="4AFA87D3" w14:textId="6D876358" w:rsidR="00A13DC2" w:rsidRPr="00355693" w:rsidRDefault="00A13DC2" w:rsidP="00A13DC2">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026" w:type="dxa"/>
            <w:tcBorders>
              <w:top w:val="single" w:sz="4" w:space="0" w:color="auto"/>
              <w:left w:val="nil"/>
              <w:bottom w:val="nil"/>
              <w:right w:val="nil"/>
            </w:tcBorders>
            <w:noWrap/>
            <w:vAlign w:val="center"/>
          </w:tcPr>
          <w:p w14:paraId="08397795" w14:textId="77777777" w:rsidR="00A13DC2" w:rsidRPr="00D9593D" w:rsidRDefault="00A13DC2" w:rsidP="00A13DC2">
            <w:pPr>
              <w:spacing w:after="0" w:line="240" w:lineRule="auto"/>
              <w:jc w:val="right"/>
              <w:rPr>
                <w:color w:val="000000"/>
                <w:sz w:val="20"/>
                <w:szCs w:val="20"/>
              </w:rPr>
            </w:pPr>
          </w:p>
        </w:tc>
        <w:tc>
          <w:tcPr>
            <w:tcW w:w="1152" w:type="dxa"/>
            <w:tcBorders>
              <w:top w:val="single" w:sz="4" w:space="0" w:color="auto"/>
              <w:left w:val="nil"/>
              <w:right w:val="nil"/>
            </w:tcBorders>
            <w:noWrap/>
            <w:vAlign w:val="center"/>
          </w:tcPr>
          <w:p w14:paraId="1FAD3F03" w14:textId="77777777" w:rsidR="00A13DC2" w:rsidRPr="00D9593D" w:rsidRDefault="00A13DC2" w:rsidP="00A13DC2">
            <w:pPr>
              <w:spacing w:after="0" w:line="240" w:lineRule="auto"/>
              <w:jc w:val="right"/>
              <w:rPr>
                <w:rFonts w:eastAsia="Times New Roman"/>
                <w:color w:val="000000"/>
                <w:kern w:val="0"/>
                <w:sz w:val="20"/>
                <w:szCs w:val="20"/>
                <w14:ligatures w14:val="none"/>
              </w:rPr>
            </w:pPr>
          </w:p>
        </w:tc>
        <w:tc>
          <w:tcPr>
            <w:tcW w:w="1113" w:type="dxa"/>
            <w:tcBorders>
              <w:top w:val="single" w:sz="4" w:space="0" w:color="auto"/>
              <w:left w:val="nil"/>
              <w:right w:val="nil"/>
            </w:tcBorders>
            <w:noWrap/>
            <w:vAlign w:val="center"/>
          </w:tcPr>
          <w:p w14:paraId="54570C30" w14:textId="77777777" w:rsidR="00A13DC2" w:rsidRPr="00D9593D" w:rsidRDefault="00A13DC2" w:rsidP="00A13DC2">
            <w:pPr>
              <w:spacing w:after="0" w:line="240" w:lineRule="auto"/>
              <w:jc w:val="right"/>
              <w:rPr>
                <w:rFonts w:eastAsia="Times New Roman"/>
                <w:color w:val="000000"/>
                <w:kern w:val="0"/>
                <w:sz w:val="20"/>
                <w:szCs w:val="20"/>
                <w14:ligatures w14:val="none"/>
              </w:rPr>
            </w:pPr>
          </w:p>
        </w:tc>
        <w:tc>
          <w:tcPr>
            <w:tcW w:w="2138" w:type="dxa"/>
            <w:tcBorders>
              <w:top w:val="single" w:sz="4" w:space="0" w:color="auto"/>
              <w:left w:val="nil"/>
              <w:bottom w:val="nil"/>
              <w:right w:val="nil"/>
            </w:tcBorders>
            <w:noWrap/>
            <w:vAlign w:val="center"/>
          </w:tcPr>
          <w:p w14:paraId="2A7B6CD3" w14:textId="77777777" w:rsidR="00A13DC2" w:rsidRPr="00D9593D" w:rsidRDefault="00A13DC2" w:rsidP="00A13DC2">
            <w:pPr>
              <w:spacing w:after="0" w:line="240" w:lineRule="auto"/>
              <w:jc w:val="right"/>
              <w:rPr>
                <w:color w:val="000000"/>
                <w:sz w:val="20"/>
                <w:szCs w:val="20"/>
              </w:rPr>
            </w:pPr>
          </w:p>
        </w:tc>
      </w:tr>
      <w:tr w:rsidR="00A13DC2" w:rsidRPr="00D9593D" w14:paraId="53A05D51" w14:textId="77777777" w:rsidTr="00A13DC2">
        <w:trPr>
          <w:trHeight w:val="320"/>
        </w:trPr>
        <w:tc>
          <w:tcPr>
            <w:tcW w:w="1397" w:type="dxa"/>
            <w:vMerge/>
            <w:tcBorders>
              <w:left w:val="nil"/>
              <w:right w:val="nil"/>
            </w:tcBorders>
            <w:noWrap/>
            <w:vAlign w:val="center"/>
          </w:tcPr>
          <w:p w14:paraId="1D4BAA88" w14:textId="77777777" w:rsidR="00A13DC2" w:rsidRPr="00452304" w:rsidRDefault="00A13DC2" w:rsidP="00A13DC2">
            <w:pPr>
              <w:spacing w:after="0" w:line="240" w:lineRule="auto"/>
              <w:rPr>
                <w:rFonts w:eastAsia="Times New Roman"/>
                <w:color w:val="000000"/>
                <w:kern w:val="0"/>
                <w:sz w:val="20"/>
                <w:szCs w:val="20"/>
                <w14:ligatures w14:val="none"/>
              </w:rPr>
            </w:pPr>
          </w:p>
        </w:tc>
        <w:tc>
          <w:tcPr>
            <w:tcW w:w="1454" w:type="dxa"/>
            <w:tcBorders>
              <w:top w:val="nil"/>
              <w:left w:val="nil"/>
              <w:bottom w:val="nil"/>
              <w:right w:val="nil"/>
            </w:tcBorders>
            <w:noWrap/>
            <w:vAlign w:val="center"/>
          </w:tcPr>
          <w:p w14:paraId="7AD9E6FD" w14:textId="7DFB169C" w:rsidR="00A13DC2" w:rsidRPr="00355693" w:rsidRDefault="00A13DC2" w:rsidP="00A13DC2">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026" w:type="dxa"/>
            <w:tcBorders>
              <w:top w:val="nil"/>
              <w:left w:val="nil"/>
              <w:bottom w:val="nil"/>
              <w:right w:val="nil"/>
            </w:tcBorders>
            <w:noWrap/>
            <w:vAlign w:val="center"/>
          </w:tcPr>
          <w:p w14:paraId="147F71F9" w14:textId="77777777" w:rsidR="00A13DC2" w:rsidRPr="00D9593D" w:rsidRDefault="00A13DC2" w:rsidP="00A13DC2">
            <w:pPr>
              <w:spacing w:after="0" w:line="240" w:lineRule="auto"/>
              <w:jc w:val="right"/>
              <w:rPr>
                <w:color w:val="000000"/>
                <w:sz w:val="20"/>
                <w:szCs w:val="20"/>
              </w:rPr>
            </w:pPr>
          </w:p>
        </w:tc>
        <w:tc>
          <w:tcPr>
            <w:tcW w:w="1152" w:type="dxa"/>
            <w:tcBorders>
              <w:left w:val="nil"/>
              <w:right w:val="nil"/>
            </w:tcBorders>
            <w:noWrap/>
            <w:vAlign w:val="center"/>
          </w:tcPr>
          <w:p w14:paraId="78440CE2" w14:textId="77777777" w:rsidR="00A13DC2" w:rsidRPr="00D9593D" w:rsidRDefault="00A13DC2" w:rsidP="00A13DC2">
            <w:pPr>
              <w:spacing w:after="0" w:line="240" w:lineRule="auto"/>
              <w:jc w:val="right"/>
              <w:rPr>
                <w:rFonts w:eastAsia="Times New Roman"/>
                <w:color w:val="000000"/>
                <w:kern w:val="0"/>
                <w:sz w:val="20"/>
                <w:szCs w:val="20"/>
                <w14:ligatures w14:val="none"/>
              </w:rPr>
            </w:pPr>
          </w:p>
        </w:tc>
        <w:tc>
          <w:tcPr>
            <w:tcW w:w="1113" w:type="dxa"/>
            <w:tcBorders>
              <w:left w:val="nil"/>
              <w:right w:val="nil"/>
            </w:tcBorders>
            <w:noWrap/>
            <w:vAlign w:val="center"/>
          </w:tcPr>
          <w:p w14:paraId="65AF397A" w14:textId="77777777" w:rsidR="00A13DC2" w:rsidRPr="00D9593D" w:rsidRDefault="00A13DC2" w:rsidP="00A13DC2">
            <w:pPr>
              <w:spacing w:after="0" w:line="240" w:lineRule="auto"/>
              <w:jc w:val="right"/>
              <w:rPr>
                <w:rFonts w:eastAsia="Times New Roman"/>
                <w:color w:val="000000"/>
                <w:kern w:val="0"/>
                <w:sz w:val="20"/>
                <w:szCs w:val="20"/>
                <w14:ligatures w14:val="none"/>
              </w:rPr>
            </w:pPr>
          </w:p>
        </w:tc>
        <w:tc>
          <w:tcPr>
            <w:tcW w:w="2138" w:type="dxa"/>
            <w:tcBorders>
              <w:top w:val="nil"/>
              <w:left w:val="nil"/>
              <w:bottom w:val="nil"/>
              <w:right w:val="nil"/>
            </w:tcBorders>
            <w:noWrap/>
            <w:vAlign w:val="center"/>
          </w:tcPr>
          <w:p w14:paraId="0E3CF56F" w14:textId="77777777" w:rsidR="00A13DC2" w:rsidRPr="00D9593D" w:rsidRDefault="00A13DC2" w:rsidP="00A13DC2">
            <w:pPr>
              <w:spacing w:after="0" w:line="240" w:lineRule="auto"/>
              <w:jc w:val="right"/>
              <w:rPr>
                <w:color w:val="000000"/>
                <w:sz w:val="20"/>
                <w:szCs w:val="20"/>
              </w:rPr>
            </w:pPr>
          </w:p>
        </w:tc>
      </w:tr>
      <w:tr w:rsidR="00A13DC2" w:rsidRPr="00D9593D" w14:paraId="7226CBD4" w14:textId="77777777" w:rsidTr="00A13DC2">
        <w:trPr>
          <w:trHeight w:val="320"/>
        </w:trPr>
        <w:tc>
          <w:tcPr>
            <w:tcW w:w="1397" w:type="dxa"/>
            <w:vMerge/>
            <w:tcBorders>
              <w:left w:val="nil"/>
              <w:bottom w:val="single" w:sz="4" w:space="0" w:color="auto"/>
              <w:right w:val="nil"/>
            </w:tcBorders>
            <w:noWrap/>
            <w:vAlign w:val="center"/>
          </w:tcPr>
          <w:p w14:paraId="4A28DCE5" w14:textId="77777777" w:rsidR="00A13DC2" w:rsidRPr="00452304" w:rsidRDefault="00A13DC2" w:rsidP="00A13DC2">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1CAF0952" w14:textId="249F513D" w:rsidR="00A13DC2" w:rsidRPr="00355693" w:rsidRDefault="00A13DC2" w:rsidP="00A13DC2">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026" w:type="dxa"/>
            <w:tcBorders>
              <w:top w:val="nil"/>
              <w:left w:val="nil"/>
              <w:bottom w:val="single" w:sz="4" w:space="0" w:color="auto"/>
              <w:right w:val="nil"/>
            </w:tcBorders>
            <w:noWrap/>
            <w:vAlign w:val="center"/>
          </w:tcPr>
          <w:p w14:paraId="02055740" w14:textId="77777777" w:rsidR="00A13DC2" w:rsidRPr="00D9593D" w:rsidRDefault="00A13DC2" w:rsidP="00A13DC2">
            <w:pPr>
              <w:spacing w:after="0" w:line="240" w:lineRule="auto"/>
              <w:jc w:val="right"/>
              <w:rPr>
                <w:color w:val="000000"/>
                <w:sz w:val="20"/>
                <w:szCs w:val="20"/>
              </w:rPr>
            </w:pPr>
          </w:p>
        </w:tc>
        <w:tc>
          <w:tcPr>
            <w:tcW w:w="1152" w:type="dxa"/>
            <w:tcBorders>
              <w:left w:val="nil"/>
              <w:bottom w:val="single" w:sz="4" w:space="0" w:color="auto"/>
              <w:right w:val="nil"/>
            </w:tcBorders>
            <w:noWrap/>
            <w:vAlign w:val="center"/>
          </w:tcPr>
          <w:p w14:paraId="21F0D82A" w14:textId="77777777" w:rsidR="00A13DC2" w:rsidRPr="00D9593D" w:rsidRDefault="00A13DC2" w:rsidP="00A13DC2">
            <w:pPr>
              <w:spacing w:after="0" w:line="240" w:lineRule="auto"/>
              <w:jc w:val="right"/>
              <w:rPr>
                <w:rFonts w:eastAsia="Times New Roman"/>
                <w:color w:val="000000"/>
                <w:kern w:val="0"/>
                <w:sz w:val="20"/>
                <w:szCs w:val="20"/>
                <w14:ligatures w14:val="none"/>
              </w:rPr>
            </w:pPr>
          </w:p>
        </w:tc>
        <w:tc>
          <w:tcPr>
            <w:tcW w:w="1113" w:type="dxa"/>
            <w:tcBorders>
              <w:left w:val="nil"/>
              <w:bottom w:val="single" w:sz="4" w:space="0" w:color="auto"/>
              <w:right w:val="nil"/>
            </w:tcBorders>
            <w:noWrap/>
            <w:vAlign w:val="center"/>
          </w:tcPr>
          <w:p w14:paraId="2FA199A7" w14:textId="77777777" w:rsidR="00A13DC2" w:rsidRPr="00D9593D" w:rsidRDefault="00A13DC2" w:rsidP="00A13DC2">
            <w:pPr>
              <w:spacing w:after="0" w:line="240" w:lineRule="auto"/>
              <w:jc w:val="right"/>
              <w:rPr>
                <w:rFonts w:eastAsia="Times New Roman"/>
                <w:color w:val="000000"/>
                <w:kern w:val="0"/>
                <w:sz w:val="20"/>
                <w:szCs w:val="20"/>
                <w14:ligatures w14:val="none"/>
              </w:rPr>
            </w:pPr>
          </w:p>
        </w:tc>
        <w:tc>
          <w:tcPr>
            <w:tcW w:w="2138" w:type="dxa"/>
            <w:tcBorders>
              <w:top w:val="nil"/>
              <w:left w:val="nil"/>
              <w:bottom w:val="single" w:sz="4" w:space="0" w:color="auto"/>
              <w:right w:val="nil"/>
            </w:tcBorders>
            <w:noWrap/>
            <w:vAlign w:val="center"/>
          </w:tcPr>
          <w:p w14:paraId="659076B4" w14:textId="77777777" w:rsidR="00A13DC2" w:rsidRPr="00D9593D" w:rsidRDefault="00A13DC2" w:rsidP="00A13DC2">
            <w:pPr>
              <w:spacing w:after="0" w:line="240" w:lineRule="auto"/>
              <w:jc w:val="right"/>
              <w:rPr>
                <w:color w:val="000000"/>
                <w:sz w:val="20"/>
                <w:szCs w:val="20"/>
              </w:rPr>
            </w:pPr>
          </w:p>
        </w:tc>
      </w:tr>
      <w:tr w:rsidR="00A13DC2" w:rsidRPr="00D9593D" w14:paraId="1770FADB" w14:textId="77777777" w:rsidTr="00A13DC2">
        <w:trPr>
          <w:trHeight w:val="320"/>
        </w:trPr>
        <w:tc>
          <w:tcPr>
            <w:tcW w:w="1397" w:type="dxa"/>
            <w:vMerge w:val="restart"/>
            <w:tcBorders>
              <w:top w:val="single" w:sz="4" w:space="0" w:color="auto"/>
              <w:left w:val="nil"/>
              <w:right w:val="nil"/>
            </w:tcBorders>
            <w:noWrap/>
            <w:vAlign w:val="center"/>
          </w:tcPr>
          <w:p w14:paraId="55666832" w14:textId="4190AD5F" w:rsidR="00A13DC2" w:rsidRPr="00A13DC2" w:rsidRDefault="00A13DC2" w:rsidP="00A13DC2">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Aboveground biomass</w:t>
            </w:r>
          </w:p>
        </w:tc>
        <w:tc>
          <w:tcPr>
            <w:tcW w:w="1454" w:type="dxa"/>
            <w:tcBorders>
              <w:top w:val="single" w:sz="4" w:space="0" w:color="auto"/>
              <w:left w:val="nil"/>
              <w:bottom w:val="nil"/>
              <w:right w:val="nil"/>
            </w:tcBorders>
            <w:noWrap/>
            <w:vAlign w:val="center"/>
          </w:tcPr>
          <w:p w14:paraId="54B81A75" w14:textId="58E0759B" w:rsidR="00A13DC2" w:rsidRPr="00355693" w:rsidRDefault="00A13DC2" w:rsidP="00A13DC2">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026" w:type="dxa"/>
            <w:tcBorders>
              <w:top w:val="single" w:sz="4" w:space="0" w:color="auto"/>
              <w:left w:val="nil"/>
              <w:bottom w:val="nil"/>
              <w:right w:val="nil"/>
            </w:tcBorders>
            <w:noWrap/>
            <w:vAlign w:val="center"/>
          </w:tcPr>
          <w:p w14:paraId="35DBE19B" w14:textId="77777777" w:rsidR="00A13DC2" w:rsidRPr="00D9593D" w:rsidRDefault="00A13DC2" w:rsidP="00A13DC2">
            <w:pPr>
              <w:spacing w:after="0" w:line="240" w:lineRule="auto"/>
              <w:jc w:val="right"/>
              <w:rPr>
                <w:color w:val="000000"/>
                <w:sz w:val="20"/>
                <w:szCs w:val="20"/>
              </w:rPr>
            </w:pPr>
          </w:p>
        </w:tc>
        <w:tc>
          <w:tcPr>
            <w:tcW w:w="1152" w:type="dxa"/>
            <w:tcBorders>
              <w:top w:val="single" w:sz="4" w:space="0" w:color="auto"/>
              <w:left w:val="nil"/>
              <w:right w:val="nil"/>
            </w:tcBorders>
            <w:noWrap/>
            <w:vAlign w:val="center"/>
          </w:tcPr>
          <w:p w14:paraId="4F6ACEC0" w14:textId="77777777" w:rsidR="00A13DC2" w:rsidRPr="00D9593D" w:rsidRDefault="00A13DC2" w:rsidP="00A13DC2">
            <w:pPr>
              <w:spacing w:after="0" w:line="240" w:lineRule="auto"/>
              <w:jc w:val="right"/>
              <w:rPr>
                <w:rFonts w:eastAsia="Times New Roman"/>
                <w:color w:val="000000"/>
                <w:kern w:val="0"/>
                <w:sz w:val="20"/>
                <w:szCs w:val="20"/>
                <w14:ligatures w14:val="none"/>
              </w:rPr>
            </w:pPr>
          </w:p>
        </w:tc>
        <w:tc>
          <w:tcPr>
            <w:tcW w:w="1113" w:type="dxa"/>
            <w:tcBorders>
              <w:top w:val="single" w:sz="4" w:space="0" w:color="auto"/>
              <w:left w:val="nil"/>
              <w:right w:val="nil"/>
            </w:tcBorders>
            <w:noWrap/>
            <w:vAlign w:val="center"/>
          </w:tcPr>
          <w:p w14:paraId="4F8A749D" w14:textId="77777777" w:rsidR="00A13DC2" w:rsidRPr="00D9593D" w:rsidRDefault="00A13DC2" w:rsidP="00A13DC2">
            <w:pPr>
              <w:spacing w:after="0" w:line="240" w:lineRule="auto"/>
              <w:jc w:val="right"/>
              <w:rPr>
                <w:rFonts w:eastAsia="Times New Roman"/>
                <w:color w:val="000000"/>
                <w:kern w:val="0"/>
                <w:sz w:val="20"/>
                <w:szCs w:val="20"/>
                <w14:ligatures w14:val="none"/>
              </w:rPr>
            </w:pPr>
          </w:p>
        </w:tc>
        <w:tc>
          <w:tcPr>
            <w:tcW w:w="2138" w:type="dxa"/>
            <w:tcBorders>
              <w:top w:val="single" w:sz="4" w:space="0" w:color="auto"/>
              <w:left w:val="nil"/>
              <w:bottom w:val="nil"/>
              <w:right w:val="nil"/>
            </w:tcBorders>
            <w:noWrap/>
            <w:vAlign w:val="center"/>
          </w:tcPr>
          <w:p w14:paraId="0DA89536" w14:textId="77777777" w:rsidR="00A13DC2" w:rsidRPr="00D9593D" w:rsidRDefault="00A13DC2" w:rsidP="00A13DC2">
            <w:pPr>
              <w:spacing w:after="0" w:line="240" w:lineRule="auto"/>
              <w:jc w:val="right"/>
              <w:rPr>
                <w:color w:val="000000"/>
                <w:sz w:val="20"/>
                <w:szCs w:val="20"/>
              </w:rPr>
            </w:pPr>
          </w:p>
        </w:tc>
      </w:tr>
      <w:tr w:rsidR="00A13DC2" w:rsidRPr="00D9593D" w14:paraId="461F053A" w14:textId="77777777" w:rsidTr="00A13DC2">
        <w:trPr>
          <w:trHeight w:val="320"/>
        </w:trPr>
        <w:tc>
          <w:tcPr>
            <w:tcW w:w="1397" w:type="dxa"/>
            <w:vMerge/>
            <w:tcBorders>
              <w:left w:val="nil"/>
              <w:right w:val="nil"/>
            </w:tcBorders>
            <w:noWrap/>
            <w:vAlign w:val="center"/>
          </w:tcPr>
          <w:p w14:paraId="64546CE9" w14:textId="77777777" w:rsidR="00A13DC2" w:rsidRPr="00452304" w:rsidRDefault="00A13DC2" w:rsidP="00A13DC2">
            <w:pPr>
              <w:spacing w:after="0" w:line="240" w:lineRule="auto"/>
              <w:rPr>
                <w:rFonts w:eastAsia="Times New Roman"/>
                <w:color w:val="000000"/>
                <w:kern w:val="0"/>
                <w:sz w:val="20"/>
                <w:szCs w:val="20"/>
                <w14:ligatures w14:val="none"/>
              </w:rPr>
            </w:pPr>
          </w:p>
        </w:tc>
        <w:tc>
          <w:tcPr>
            <w:tcW w:w="1454" w:type="dxa"/>
            <w:tcBorders>
              <w:top w:val="nil"/>
              <w:left w:val="nil"/>
              <w:bottom w:val="nil"/>
              <w:right w:val="nil"/>
            </w:tcBorders>
            <w:noWrap/>
            <w:vAlign w:val="center"/>
          </w:tcPr>
          <w:p w14:paraId="15E3202E" w14:textId="360C9659" w:rsidR="00A13DC2" w:rsidRPr="00355693" w:rsidRDefault="00A13DC2" w:rsidP="00A13DC2">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026" w:type="dxa"/>
            <w:tcBorders>
              <w:top w:val="nil"/>
              <w:left w:val="nil"/>
              <w:bottom w:val="nil"/>
              <w:right w:val="nil"/>
            </w:tcBorders>
            <w:noWrap/>
            <w:vAlign w:val="center"/>
          </w:tcPr>
          <w:p w14:paraId="45565004" w14:textId="77777777" w:rsidR="00A13DC2" w:rsidRPr="00D9593D" w:rsidRDefault="00A13DC2" w:rsidP="00A13DC2">
            <w:pPr>
              <w:spacing w:after="0" w:line="240" w:lineRule="auto"/>
              <w:jc w:val="right"/>
              <w:rPr>
                <w:color w:val="000000"/>
                <w:sz w:val="20"/>
                <w:szCs w:val="20"/>
              </w:rPr>
            </w:pPr>
          </w:p>
        </w:tc>
        <w:tc>
          <w:tcPr>
            <w:tcW w:w="1152" w:type="dxa"/>
            <w:tcBorders>
              <w:left w:val="nil"/>
              <w:right w:val="nil"/>
            </w:tcBorders>
            <w:noWrap/>
            <w:vAlign w:val="center"/>
          </w:tcPr>
          <w:p w14:paraId="1B4871FC" w14:textId="77777777" w:rsidR="00A13DC2" w:rsidRPr="00D9593D" w:rsidRDefault="00A13DC2" w:rsidP="00A13DC2">
            <w:pPr>
              <w:spacing w:after="0" w:line="240" w:lineRule="auto"/>
              <w:jc w:val="right"/>
              <w:rPr>
                <w:rFonts w:eastAsia="Times New Roman"/>
                <w:color w:val="000000"/>
                <w:kern w:val="0"/>
                <w:sz w:val="20"/>
                <w:szCs w:val="20"/>
                <w14:ligatures w14:val="none"/>
              </w:rPr>
            </w:pPr>
          </w:p>
        </w:tc>
        <w:tc>
          <w:tcPr>
            <w:tcW w:w="1113" w:type="dxa"/>
            <w:tcBorders>
              <w:left w:val="nil"/>
              <w:right w:val="nil"/>
            </w:tcBorders>
            <w:noWrap/>
            <w:vAlign w:val="center"/>
          </w:tcPr>
          <w:p w14:paraId="4549A3CB" w14:textId="77777777" w:rsidR="00A13DC2" w:rsidRPr="00D9593D" w:rsidRDefault="00A13DC2" w:rsidP="00A13DC2">
            <w:pPr>
              <w:spacing w:after="0" w:line="240" w:lineRule="auto"/>
              <w:jc w:val="right"/>
              <w:rPr>
                <w:rFonts w:eastAsia="Times New Roman"/>
                <w:color w:val="000000"/>
                <w:kern w:val="0"/>
                <w:sz w:val="20"/>
                <w:szCs w:val="20"/>
                <w14:ligatures w14:val="none"/>
              </w:rPr>
            </w:pPr>
          </w:p>
        </w:tc>
        <w:tc>
          <w:tcPr>
            <w:tcW w:w="2138" w:type="dxa"/>
            <w:tcBorders>
              <w:top w:val="nil"/>
              <w:left w:val="nil"/>
              <w:bottom w:val="nil"/>
              <w:right w:val="nil"/>
            </w:tcBorders>
            <w:noWrap/>
            <w:vAlign w:val="center"/>
          </w:tcPr>
          <w:p w14:paraId="351D7505" w14:textId="77777777" w:rsidR="00A13DC2" w:rsidRPr="00D9593D" w:rsidRDefault="00A13DC2" w:rsidP="00A13DC2">
            <w:pPr>
              <w:spacing w:after="0" w:line="240" w:lineRule="auto"/>
              <w:jc w:val="right"/>
              <w:rPr>
                <w:color w:val="000000"/>
                <w:sz w:val="20"/>
                <w:szCs w:val="20"/>
              </w:rPr>
            </w:pPr>
          </w:p>
        </w:tc>
      </w:tr>
      <w:tr w:rsidR="00A13DC2" w:rsidRPr="00D9593D" w14:paraId="1434052F" w14:textId="77777777" w:rsidTr="00A13DC2">
        <w:trPr>
          <w:trHeight w:val="320"/>
        </w:trPr>
        <w:tc>
          <w:tcPr>
            <w:tcW w:w="1397" w:type="dxa"/>
            <w:vMerge/>
            <w:tcBorders>
              <w:left w:val="nil"/>
              <w:bottom w:val="single" w:sz="4" w:space="0" w:color="auto"/>
              <w:right w:val="nil"/>
            </w:tcBorders>
            <w:noWrap/>
            <w:vAlign w:val="center"/>
          </w:tcPr>
          <w:p w14:paraId="2F1855B1" w14:textId="77777777" w:rsidR="00A13DC2" w:rsidRPr="00452304" w:rsidRDefault="00A13DC2" w:rsidP="00A13DC2">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539C360D" w14:textId="1BF0A269" w:rsidR="00A13DC2" w:rsidRPr="00355693" w:rsidRDefault="00A13DC2" w:rsidP="00A13DC2">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026" w:type="dxa"/>
            <w:tcBorders>
              <w:top w:val="nil"/>
              <w:left w:val="nil"/>
              <w:bottom w:val="single" w:sz="4" w:space="0" w:color="auto"/>
              <w:right w:val="nil"/>
            </w:tcBorders>
            <w:noWrap/>
            <w:vAlign w:val="center"/>
          </w:tcPr>
          <w:p w14:paraId="2AD266E4" w14:textId="77777777" w:rsidR="00A13DC2" w:rsidRPr="00D9593D" w:rsidRDefault="00A13DC2" w:rsidP="00A13DC2">
            <w:pPr>
              <w:spacing w:after="0" w:line="240" w:lineRule="auto"/>
              <w:jc w:val="right"/>
              <w:rPr>
                <w:color w:val="000000"/>
                <w:sz w:val="20"/>
                <w:szCs w:val="20"/>
              </w:rPr>
            </w:pPr>
          </w:p>
        </w:tc>
        <w:tc>
          <w:tcPr>
            <w:tcW w:w="1152" w:type="dxa"/>
            <w:tcBorders>
              <w:left w:val="nil"/>
              <w:bottom w:val="single" w:sz="4" w:space="0" w:color="auto"/>
              <w:right w:val="nil"/>
            </w:tcBorders>
            <w:noWrap/>
            <w:vAlign w:val="center"/>
          </w:tcPr>
          <w:p w14:paraId="64C20E52" w14:textId="77777777" w:rsidR="00A13DC2" w:rsidRPr="00D9593D" w:rsidRDefault="00A13DC2" w:rsidP="00A13DC2">
            <w:pPr>
              <w:spacing w:after="0" w:line="240" w:lineRule="auto"/>
              <w:jc w:val="right"/>
              <w:rPr>
                <w:rFonts w:eastAsia="Times New Roman"/>
                <w:color w:val="000000"/>
                <w:kern w:val="0"/>
                <w:sz w:val="20"/>
                <w:szCs w:val="20"/>
                <w14:ligatures w14:val="none"/>
              </w:rPr>
            </w:pPr>
          </w:p>
        </w:tc>
        <w:tc>
          <w:tcPr>
            <w:tcW w:w="1113" w:type="dxa"/>
            <w:tcBorders>
              <w:left w:val="nil"/>
              <w:bottom w:val="single" w:sz="4" w:space="0" w:color="auto"/>
              <w:right w:val="nil"/>
            </w:tcBorders>
            <w:noWrap/>
            <w:vAlign w:val="center"/>
          </w:tcPr>
          <w:p w14:paraId="03AC434C" w14:textId="77777777" w:rsidR="00A13DC2" w:rsidRPr="00D9593D" w:rsidRDefault="00A13DC2" w:rsidP="00A13DC2">
            <w:pPr>
              <w:spacing w:after="0" w:line="240" w:lineRule="auto"/>
              <w:jc w:val="right"/>
              <w:rPr>
                <w:rFonts w:eastAsia="Times New Roman"/>
                <w:color w:val="000000"/>
                <w:kern w:val="0"/>
                <w:sz w:val="20"/>
                <w:szCs w:val="20"/>
                <w14:ligatures w14:val="none"/>
              </w:rPr>
            </w:pPr>
          </w:p>
        </w:tc>
        <w:tc>
          <w:tcPr>
            <w:tcW w:w="2138" w:type="dxa"/>
            <w:tcBorders>
              <w:top w:val="nil"/>
              <w:left w:val="nil"/>
              <w:bottom w:val="single" w:sz="4" w:space="0" w:color="auto"/>
              <w:right w:val="nil"/>
            </w:tcBorders>
            <w:noWrap/>
            <w:vAlign w:val="center"/>
          </w:tcPr>
          <w:p w14:paraId="029E767B" w14:textId="77777777" w:rsidR="00A13DC2" w:rsidRPr="00D9593D" w:rsidRDefault="00A13DC2" w:rsidP="00A13DC2">
            <w:pPr>
              <w:spacing w:after="0" w:line="240" w:lineRule="auto"/>
              <w:jc w:val="right"/>
              <w:rPr>
                <w:color w:val="000000"/>
                <w:sz w:val="20"/>
                <w:szCs w:val="20"/>
              </w:rPr>
            </w:pPr>
          </w:p>
        </w:tc>
      </w:tr>
      <w:tr w:rsidR="00A13DC2" w:rsidRPr="00D9593D" w14:paraId="2B7D55E5" w14:textId="77777777" w:rsidTr="00A13DC2">
        <w:trPr>
          <w:trHeight w:val="320"/>
        </w:trPr>
        <w:tc>
          <w:tcPr>
            <w:tcW w:w="1397" w:type="dxa"/>
            <w:vMerge w:val="restart"/>
            <w:tcBorders>
              <w:top w:val="single" w:sz="4" w:space="0" w:color="auto"/>
              <w:left w:val="nil"/>
              <w:right w:val="nil"/>
            </w:tcBorders>
            <w:noWrap/>
            <w:vAlign w:val="center"/>
          </w:tcPr>
          <w:p w14:paraId="2AB78DE8" w14:textId="394BE9D6" w:rsidR="00A13DC2" w:rsidRPr="00A13DC2" w:rsidRDefault="00A13DC2" w:rsidP="00A13DC2">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Belowground biomass</w:t>
            </w:r>
          </w:p>
        </w:tc>
        <w:tc>
          <w:tcPr>
            <w:tcW w:w="1454" w:type="dxa"/>
            <w:tcBorders>
              <w:top w:val="single" w:sz="4" w:space="0" w:color="auto"/>
              <w:left w:val="nil"/>
              <w:bottom w:val="nil"/>
              <w:right w:val="nil"/>
            </w:tcBorders>
            <w:noWrap/>
            <w:vAlign w:val="center"/>
          </w:tcPr>
          <w:p w14:paraId="5ECBBFBE" w14:textId="19A947C6" w:rsidR="00A13DC2" w:rsidRPr="00355693" w:rsidRDefault="00A13DC2" w:rsidP="00A13DC2">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026" w:type="dxa"/>
            <w:tcBorders>
              <w:top w:val="single" w:sz="4" w:space="0" w:color="auto"/>
              <w:left w:val="nil"/>
              <w:bottom w:val="nil"/>
              <w:right w:val="nil"/>
            </w:tcBorders>
            <w:noWrap/>
            <w:vAlign w:val="center"/>
          </w:tcPr>
          <w:p w14:paraId="4987BA48" w14:textId="77777777" w:rsidR="00A13DC2" w:rsidRPr="00D9593D" w:rsidRDefault="00A13DC2" w:rsidP="00A13DC2">
            <w:pPr>
              <w:spacing w:after="0" w:line="240" w:lineRule="auto"/>
              <w:jc w:val="right"/>
              <w:rPr>
                <w:color w:val="000000"/>
                <w:sz w:val="20"/>
                <w:szCs w:val="20"/>
              </w:rPr>
            </w:pPr>
          </w:p>
        </w:tc>
        <w:tc>
          <w:tcPr>
            <w:tcW w:w="1152" w:type="dxa"/>
            <w:tcBorders>
              <w:top w:val="single" w:sz="4" w:space="0" w:color="auto"/>
              <w:left w:val="nil"/>
              <w:right w:val="nil"/>
            </w:tcBorders>
            <w:noWrap/>
            <w:vAlign w:val="center"/>
          </w:tcPr>
          <w:p w14:paraId="77024953" w14:textId="77777777" w:rsidR="00A13DC2" w:rsidRPr="00D9593D" w:rsidRDefault="00A13DC2" w:rsidP="00A13DC2">
            <w:pPr>
              <w:spacing w:after="0" w:line="240" w:lineRule="auto"/>
              <w:jc w:val="right"/>
              <w:rPr>
                <w:rFonts w:eastAsia="Times New Roman"/>
                <w:color w:val="000000"/>
                <w:kern w:val="0"/>
                <w:sz w:val="20"/>
                <w:szCs w:val="20"/>
                <w14:ligatures w14:val="none"/>
              </w:rPr>
            </w:pPr>
          </w:p>
        </w:tc>
        <w:tc>
          <w:tcPr>
            <w:tcW w:w="1113" w:type="dxa"/>
            <w:tcBorders>
              <w:top w:val="single" w:sz="4" w:space="0" w:color="auto"/>
              <w:left w:val="nil"/>
              <w:right w:val="nil"/>
            </w:tcBorders>
            <w:noWrap/>
            <w:vAlign w:val="center"/>
          </w:tcPr>
          <w:p w14:paraId="2DC3E7F2" w14:textId="77777777" w:rsidR="00A13DC2" w:rsidRPr="00D9593D" w:rsidRDefault="00A13DC2" w:rsidP="00A13DC2">
            <w:pPr>
              <w:spacing w:after="0" w:line="240" w:lineRule="auto"/>
              <w:jc w:val="right"/>
              <w:rPr>
                <w:rFonts w:eastAsia="Times New Roman"/>
                <w:color w:val="000000"/>
                <w:kern w:val="0"/>
                <w:sz w:val="20"/>
                <w:szCs w:val="20"/>
                <w14:ligatures w14:val="none"/>
              </w:rPr>
            </w:pPr>
          </w:p>
        </w:tc>
        <w:tc>
          <w:tcPr>
            <w:tcW w:w="2138" w:type="dxa"/>
            <w:tcBorders>
              <w:top w:val="single" w:sz="4" w:space="0" w:color="auto"/>
              <w:left w:val="nil"/>
              <w:bottom w:val="nil"/>
              <w:right w:val="nil"/>
            </w:tcBorders>
            <w:noWrap/>
            <w:vAlign w:val="center"/>
          </w:tcPr>
          <w:p w14:paraId="4FA5ECE1" w14:textId="77777777" w:rsidR="00A13DC2" w:rsidRPr="00D9593D" w:rsidRDefault="00A13DC2" w:rsidP="00A13DC2">
            <w:pPr>
              <w:spacing w:after="0" w:line="240" w:lineRule="auto"/>
              <w:jc w:val="right"/>
              <w:rPr>
                <w:color w:val="000000"/>
                <w:sz w:val="20"/>
                <w:szCs w:val="20"/>
              </w:rPr>
            </w:pPr>
          </w:p>
        </w:tc>
      </w:tr>
      <w:tr w:rsidR="00A13DC2" w:rsidRPr="00D9593D" w14:paraId="14785F43" w14:textId="77777777" w:rsidTr="00A13DC2">
        <w:trPr>
          <w:trHeight w:val="320"/>
        </w:trPr>
        <w:tc>
          <w:tcPr>
            <w:tcW w:w="1397" w:type="dxa"/>
            <w:vMerge/>
            <w:tcBorders>
              <w:left w:val="nil"/>
              <w:right w:val="nil"/>
            </w:tcBorders>
            <w:noWrap/>
            <w:vAlign w:val="center"/>
          </w:tcPr>
          <w:p w14:paraId="02550A16" w14:textId="77777777" w:rsidR="00A13DC2" w:rsidRPr="00452304" w:rsidRDefault="00A13DC2" w:rsidP="00A13DC2">
            <w:pPr>
              <w:spacing w:after="0" w:line="240" w:lineRule="auto"/>
              <w:rPr>
                <w:rFonts w:eastAsia="Times New Roman"/>
                <w:color w:val="000000"/>
                <w:kern w:val="0"/>
                <w:sz w:val="20"/>
                <w:szCs w:val="20"/>
                <w14:ligatures w14:val="none"/>
              </w:rPr>
            </w:pPr>
          </w:p>
        </w:tc>
        <w:tc>
          <w:tcPr>
            <w:tcW w:w="1454" w:type="dxa"/>
            <w:tcBorders>
              <w:top w:val="nil"/>
              <w:left w:val="nil"/>
              <w:bottom w:val="nil"/>
              <w:right w:val="nil"/>
            </w:tcBorders>
            <w:noWrap/>
            <w:vAlign w:val="center"/>
          </w:tcPr>
          <w:p w14:paraId="1370A3F2" w14:textId="0E332F34" w:rsidR="00A13DC2" w:rsidRPr="00355693" w:rsidRDefault="00A13DC2" w:rsidP="00A13DC2">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026" w:type="dxa"/>
            <w:tcBorders>
              <w:top w:val="nil"/>
              <w:left w:val="nil"/>
              <w:bottom w:val="nil"/>
              <w:right w:val="nil"/>
            </w:tcBorders>
            <w:noWrap/>
            <w:vAlign w:val="center"/>
          </w:tcPr>
          <w:p w14:paraId="634E2600" w14:textId="77777777" w:rsidR="00A13DC2" w:rsidRPr="00D9593D" w:rsidRDefault="00A13DC2" w:rsidP="00A13DC2">
            <w:pPr>
              <w:spacing w:after="0" w:line="240" w:lineRule="auto"/>
              <w:jc w:val="right"/>
              <w:rPr>
                <w:color w:val="000000"/>
                <w:sz w:val="20"/>
                <w:szCs w:val="20"/>
              </w:rPr>
            </w:pPr>
          </w:p>
        </w:tc>
        <w:tc>
          <w:tcPr>
            <w:tcW w:w="1152" w:type="dxa"/>
            <w:tcBorders>
              <w:left w:val="nil"/>
              <w:right w:val="nil"/>
            </w:tcBorders>
            <w:noWrap/>
            <w:vAlign w:val="center"/>
          </w:tcPr>
          <w:p w14:paraId="4814A97D" w14:textId="77777777" w:rsidR="00A13DC2" w:rsidRPr="00D9593D" w:rsidRDefault="00A13DC2" w:rsidP="00A13DC2">
            <w:pPr>
              <w:spacing w:after="0" w:line="240" w:lineRule="auto"/>
              <w:jc w:val="right"/>
              <w:rPr>
                <w:rFonts w:eastAsia="Times New Roman"/>
                <w:color w:val="000000"/>
                <w:kern w:val="0"/>
                <w:sz w:val="20"/>
                <w:szCs w:val="20"/>
                <w14:ligatures w14:val="none"/>
              </w:rPr>
            </w:pPr>
          </w:p>
        </w:tc>
        <w:tc>
          <w:tcPr>
            <w:tcW w:w="1113" w:type="dxa"/>
            <w:tcBorders>
              <w:left w:val="nil"/>
              <w:right w:val="nil"/>
            </w:tcBorders>
            <w:noWrap/>
            <w:vAlign w:val="center"/>
          </w:tcPr>
          <w:p w14:paraId="5BB6F1EE" w14:textId="77777777" w:rsidR="00A13DC2" w:rsidRPr="00D9593D" w:rsidRDefault="00A13DC2" w:rsidP="00A13DC2">
            <w:pPr>
              <w:spacing w:after="0" w:line="240" w:lineRule="auto"/>
              <w:jc w:val="right"/>
              <w:rPr>
                <w:rFonts w:eastAsia="Times New Roman"/>
                <w:color w:val="000000"/>
                <w:kern w:val="0"/>
                <w:sz w:val="20"/>
                <w:szCs w:val="20"/>
                <w14:ligatures w14:val="none"/>
              </w:rPr>
            </w:pPr>
          </w:p>
        </w:tc>
        <w:tc>
          <w:tcPr>
            <w:tcW w:w="2138" w:type="dxa"/>
            <w:tcBorders>
              <w:top w:val="nil"/>
              <w:left w:val="nil"/>
              <w:bottom w:val="nil"/>
              <w:right w:val="nil"/>
            </w:tcBorders>
            <w:noWrap/>
            <w:vAlign w:val="center"/>
          </w:tcPr>
          <w:p w14:paraId="146C2948" w14:textId="77777777" w:rsidR="00A13DC2" w:rsidRPr="00D9593D" w:rsidRDefault="00A13DC2" w:rsidP="00A13DC2">
            <w:pPr>
              <w:spacing w:after="0" w:line="240" w:lineRule="auto"/>
              <w:jc w:val="right"/>
              <w:rPr>
                <w:color w:val="000000"/>
                <w:sz w:val="20"/>
                <w:szCs w:val="20"/>
              </w:rPr>
            </w:pPr>
          </w:p>
        </w:tc>
      </w:tr>
      <w:tr w:rsidR="00A13DC2" w:rsidRPr="00D9593D" w14:paraId="3F81BD07" w14:textId="77777777" w:rsidTr="00A13DC2">
        <w:trPr>
          <w:trHeight w:val="320"/>
        </w:trPr>
        <w:tc>
          <w:tcPr>
            <w:tcW w:w="1397" w:type="dxa"/>
            <w:vMerge/>
            <w:tcBorders>
              <w:left w:val="nil"/>
              <w:bottom w:val="single" w:sz="4" w:space="0" w:color="auto"/>
              <w:right w:val="nil"/>
            </w:tcBorders>
            <w:noWrap/>
            <w:vAlign w:val="center"/>
          </w:tcPr>
          <w:p w14:paraId="68EB5857" w14:textId="77777777" w:rsidR="00A13DC2" w:rsidRPr="00452304" w:rsidRDefault="00A13DC2" w:rsidP="00A13DC2">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27A8FAFE" w14:textId="5CA6A12D" w:rsidR="00A13DC2" w:rsidRPr="00355693" w:rsidRDefault="00A13DC2" w:rsidP="00A13DC2">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026" w:type="dxa"/>
            <w:tcBorders>
              <w:top w:val="nil"/>
              <w:left w:val="nil"/>
              <w:bottom w:val="single" w:sz="4" w:space="0" w:color="auto"/>
              <w:right w:val="nil"/>
            </w:tcBorders>
            <w:noWrap/>
            <w:vAlign w:val="center"/>
          </w:tcPr>
          <w:p w14:paraId="18B19FA4" w14:textId="77777777" w:rsidR="00A13DC2" w:rsidRPr="00D9593D" w:rsidRDefault="00A13DC2" w:rsidP="00A13DC2">
            <w:pPr>
              <w:spacing w:after="0" w:line="240" w:lineRule="auto"/>
              <w:jc w:val="right"/>
              <w:rPr>
                <w:color w:val="000000"/>
                <w:sz w:val="20"/>
                <w:szCs w:val="20"/>
              </w:rPr>
            </w:pPr>
          </w:p>
        </w:tc>
        <w:tc>
          <w:tcPr>
            <w:tcW w:w="1152" w:type="dxa"/>
            <w:tcBorders>
              <w:left w:val="nil"/>
              <w:bottom w:val="single" w:sz="4" w:space="0" w:color="auto"/>
              <w:right w:val="nil"/>
            </w:tcBorders>
            <w:noWrap/>
            <w:vAlign w:val="center"/>
          </w:tcPr>
          <w:p w14:paraId="71462759" w14:textId="77777777" w:rsidR="00A13DC2" w:rsidRPr="00D9593D" w:rsidRDefault="00A13DC2" w:rsidP="00A13DC2">
            <w:pPr>
              <w:spacing w:after="0" w:line="240" w:lineRule="auto"/>
              <w:jc w:val="right"/>
              <w:rPr>
                <w:rFonts w:eastAsia="Times New Roman"/>
                <w:color w:val="000000"/>
                <w:kern w:val="0"/>
                <w:sz w:val="20"/>
                <w:szCs w:val="20"/>
                <w14:ligatures w14:val="none"/>
              </w:rPr>
            </w:pPr>
          </w:p>
        </w:tc>
        <w:tc>
          <w:tcPr>
            <w:tcW w:w="1113" w:type="dxa"/>
            <w:tcBorders>
              <w:left w:val="nil"/>
              <w:bottom w:val="single" w:sz="4" w:space="0" w:color="auto"/>
              <w:right w:val="nil"/>
            </w:tcBorders>
            <w:noWrap/>
            <w:vAlign w:val="center"/>
          </w:tcPr>
          <w:p w14:paraId="2B607A31" w14:textId="77777777" w:rsidR="00A13DC2" w:rsidRPr="00D9593D" w:rsidRDefault="00A13DC2" w:rsidP="00A13DC2">
            <w:pPr>
              <w:spacing w:after="0" w:line="240" w:lineRule="auto"/>
              <w:jc w:val="right"/>
              <w:rPr>
                <w:rFonts w:eastAsia="Times New Roman"/>
                <w:color w:val="000000"/>
                <w:kern w:val="0"/>
                <w:sz w:val="20"/>
                <w:szCs w:val="20"/>
                <w14:ligatures w14:val="none"/>
              </w:rPr>
            </w:pPr>
          </w:p>
        </w:tc>
        <w:tc>
          <w:tcPr>
            <w:tcW w:w="2138" w:type="dxa"/>
            <w:tcBorders>
              <w:top w:val="nil"/>
              <w:left w:val="nil"/>
              <w:bottom w:val="single" w:sz="4" w:space="0" w:color="auto"/>
              <w:right w:val="nil"/>
            </w:tcBorders>
            <w:noWrap/>
            <w:vAlign w:val="center"/>
          </w:tcPr>
          <w:p w14:paraId="2F3C8331" w14:textId="77777777" w:rsidR="00A13DC2" w:rsidRPr="00D9593D" w:rsidRDefault="00A13DC2" w:rsidP="00A13DC2">
            <w:pPr>
              <w:spacing w:after="0" w:line="240" w:lineRule="auto"/>
              <w:jc w:val="right"/>
              <w:rPr>
                <w:color w:val="000000"/>
                <w:sz w:val="20"/>
                <w:szCs w:val="20"/>
              </w:rPr>
            </w:pPr>
          </w:p>
        </w:tc>
      </w:tr>
      <w:tr w:rsidR="00A13DC2" w:rsidRPr="00D9593D" w14:paraId="40056BA6" w14:textId="77777777" w:rsidTr="00A13DC2">
        <w:trPr>
          <w:trHeight w:val="320"/>
        </w:trPr>
        <w:tc>
          <w:tcPr>
            <w:tcW w:w="1397" w:type="dxa"/>
            <w:vMerge w:val="restart"/>
            <w:tcBorders>
              <w:top w:val="single" w:sz="4" w:space="0" w:color="auto"/>
              <w:left w:val="nil"/>
              <w:right w:val="nil"/>
            </w:tcBorders>
            <w:noWrap/>
            <w:vAlign w:val="center"/>
          </w:tcPr>
          <w:p w14:paraId="6F3D814B" w14:textId="03800A98" w:rsidR="00A13DC2" w:rsidRPr="00A13DC2" w:rsidRDefault="00A13DC2" w:rsidP="00A13DC2">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Root mass fraction</w:t>
            </w:r>
          </w:p>
        </w:tc>
        <w:tc>
          <w:tcPr>
            <w:tcW w:w="1454" w:type="dxa"/>
            <w:tcBorders>
              <w:top w:val="single" w:sz="4" w:space="0" w:color="auto"/>
              <w:left w:val="nil"/>
              <w:bottom w:val="nil"/>
              <w:right w:val="nil"/>
            </w:tcBorders>
            <w:noWrap/>
            <w:vAlign w:val="center"/>
          </w:tcPr>
          <w:p w14:paraId="25960C97" w14:textId="137987D6" w:rsidR="00A13DC2" w:rsidRPr="00355693" w:rsidRDefault="00A13DC2" w:rsidP="00A13DC2">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026" w:type="dxa"/>
            <w:tcBorders>
              <w:top w:val="single" w:sz="4" w:space="0" w:color="auto"/>
              <w:left w:val="nil"/>
              <w:bottom w:val="nil"/>
              <w:right w:val="nil"/>
            </w:tcBorders>
            <w:noWrap/>
            <w:vAlign w:val="center"/>
          </w:tcPr>
          <w:p w14:paraId="086DB761" w14:textId="77777777" w:rsidR="00A13DC2" w:rsidRPr="00D9593D" w:rsidRDefault="00A13DC2" w:rsidP="00A13DC2">
            <w:pPr>
              <w:spacing w:after="0" w:line="240" w:lineRule="auto"/>
              <w:jc w:val="right"/>
              <w:rPr>
                <w:color w:val="000000"/>
                <w:sz w:val="20"/>
                <w:szCs w:val="20"/>
              </w:rPr>
            </w:pPr>
          </w:p>
        </w:tc>
        <w:tc>
          <w:tcPr>
            <w:tcW w:w="1152" w:type="dxa"/>
            <w:tcBorders>
              <w:top w:val="single" w:sz="4" w:space="0" w:color="auto"/>
              <w:left w:val="nil"/>
              <w:right w:val="nil"/>
            </w:tcBorders>
            <w:noWrap/>
            <w:vAlign w:val="center"/>
          </w:tcPr>
          <w:p w14:paraId="7420B264" w14:textId="77777777" w:rsidR="00A13DC2" w:rsidRPr="00D9593D" w:rsidRDefault="00A13DC2" w:rsidP="00A13DC2">
            <w:pPr>
              <w:spacing w:after="0" w:line="240" w:lineRule="auto"/>
              <w:jc w:val="right"/>
              <w:rPr>
                <w:rFonts w:eastAsia="Times New Roman"/>
                <w:color w:val="000000"/>
                <w:kern w:val="0"/>
                <w:sz w:val="20"/>
                <w:szCs w:val="20"/>
                <w14:ligatures w14:val="none"/>
              </w:rPr>
            </w:pPr>
          </w:p>
        </w:tc>
        <w:tc>
          <w:tcPr>
            <w:tcW w:w="1113" w:type="dxa"/>
            <w:tcBorders>
              <w:top w:val="single" w:sz="4" w:space="0" w:color="auto"/>
              <w:left w:val="nil"/>
              <w:right w:val="nil"/>
            </w:tcBorders>
            <w:noWrap/>
            <w:vAlign w:val="center"/>
          </w:tcPr>
          <w:p w14:paraId="2568A256" w14:textId="77777777" w:rsidR="00A13DC2" w:rsidRPr="00D9593D" w:rsidRDefault="00A13DC2" w:rsidP="00A13DC2">
            <w:pPr>
              <w:spacing w:after="0" w:line="240" w:lineRule="auto"/>
              <w:jc w:val="right"/>
              <w:rPr>
                <w:rFonts w:eastAsia="Times New Roman"/>
                <w:color w:val="000000"/>
                <w:kern w:val="0"/>
                <w:sz w:val="20"/>
                <w:szCs w:val="20"/>
                <w14:ligatures w14:val="none"/>
              </w:rPr>
            </w:pPr>
          </w:p>
        </w:tc>
        <w:tc>
          <w:tcPr>
            <w:tcW w:w="2138" w:type="dxa"/>
            <w:tcBorders>
              <w:top w:val="single" w:sz="4" w:space="0" w:color="auto"/>
              <w:left w:val="nil"/>
              <w:bottom w:val="nil"/>
              <w:right w:val="nil"/>
            </w:tcBorders>
            <w:noWrap/>
            <w:vAlign w:val="center"/>
          </w:tcPr>
          <w:p w14:paraId="3A288865" w14:textId="77777777" w:rsidR="00A13DC2" w:rsidRPr="00D9593D" w:rsidRDefault="00A13DC2" w:rsidP="00A13DC2">
            <w:pPr>
              <w:spacing w:after="0" w:line="240" w:lineRule="auto"/>
              <w:jc w:val="right"/>
              <w:rPr>
                <w:color w:val="000000"/>
                <w:sz w:val="20"/>
                <w:szCs w:val="20"/>
              </w:rPr>
            </w:pPr>
          </w:p>
        </w:tc>
      </w:tr>
      <w:tr w:rsidR="00A13DC2" w:rsidRPr="00D9593D" w14:paraId="2B389042" w14:textId="77777777" w:rsidTr="00A13DC2">
        <w:trPr>
          <w:trHeight w:val="320"/>
        </w:trPr>
        <w:tc>
          <w:tcPr>
            <w:tcW w:w="1397" w:type="dxa"/>
            <w:vMerge/>
            <w:tcBorders>
              <w:left w:val="nil"/>
              <w:right w:val="nil"/>
            </w:tcBorders>
            <w:noWrap/>
            <w:vAlign w:val="center"/>
          </w:tcPr>
          <w:p w14:paraId="2AFF9ACB" w14:textId="77777777" w:rsidR="00A13DC2" w:rsidRPr="00452304" w:rsidRDefault="00A13DC2" w:rsidP="00A13DC2">
            <w:pPr>
              <w:spacing w:after="0" w:line="240" w:lineRule="auto"/>
              <w:rPr>
                <w:rFonts w:eastAsia="Times New Roman"/>
                <w:color w:val="000000"/>
                <w:kern w:val="0"/>
                <w:sz w:val="20"/>
                <w:szCs w:val="20"/>
                <w14:ligatures w14:val="none"/>
              </w:rPr>
            </w:pPr>
          </w:p>
        </w:tc>
        <w:tc>
          <w:tcPr>
            <w:tcW w:w="1454" w:type="dxa"/>
            <w:tcBorders>
              <w:top w:val="nil"/>
              <w:left w:val="nil"/>
              <w:bottom w:val="nil"/>
              <w:right w:val="nil"/>
            </w:tcBorders>
            <w:noWrap/>
            <w:vAlign w:val="center"/>
          </w:tcPr>
          <w:p w14:paraId="2AE22F45" w14:textId="385CCA73" w:rsidR="00A13DC2" w:rsidRPr="00355693" w:rsidRDefault="00A13DC2" w:rsidP="00A13DC2">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026" w:type="dxa"/>
            <w:tcBorders>
              <w:top w:val="nil"/>
              <w:left w:val="nil"/>
              <w:bottom w:val="nil"/>
              <w:right w:val="nil"/>
            </w:tcBorders>
            <w:noWrap/>
            <w:vAlign w:val="center"/>
          </w:tcPr>
          <w:p w14:paraId="423C3585" w14:textId="77777777" w:rsidR="00A13DC2" w:rsidRPr="00D9593D" w:rsidRDefault="00A13DC2" w:rsidP="00A13DC2">
            <w:pPr>
              <w:spacing w:after="0" w:line="240" w:lineRule="auto"/>
              <w:jc w:val="right"/>
              <w:rPr>
                <w:color w:val="000000"/>
                <w:sz w:val="20"/>
                <w:szCs w:val="20"/>
              </w:rPr>
            </w:pPr>
          </w:p>
        </w:tc>
        <w:tc>
          <w:tcPr>
            <w:tcW w:w="1152" w:type="dxa"/>
            <w:tcBorders>
              <w:left w:val="nil"/>
              <w:right w:val="nil"/>
            </w:tcBorders>
            <w:noWrap/>
            <w:vAlign w:val="center"/>
          </w:tcPr>
          <w:p w14:paraId="1ADE05C9" w14:textId="77777777" w:rsidR="00A13DC2" w:rsidRPr="00D9593D" w:rsidRDefault="00A13DC2" w:rsidP="00A13DC2">
            <w:pPr>
              <w:spacing w:after="0" w:line="240" w:lineRule="auto"/>
              <w:jc w:val="right"/>
              <w:rPr>
                <w:rFonts w:eastAsia="Times New Roman"/>
                <w:color w:val="000000"/>
                <w:kern w:val="0"/>
                <w:sz w:val="20"/>
                <w:szCs w:val="20"/>
                <w14:ligatures w14:val="none"/>
              </w:rPr>
            </w:pPr>
          </w:p>
        </w:tc>
        <w:tc>
          <w:tcPr>
            <w:tcW w:w="1113" w:type="dxa"/>
            <w:tcBorders>
              <w:left w:val="nil"/>
              <w:right w:val="nil"/>
            </w:tcBorders>
            <w:noWrap/>
            <w:vAlign w:val="center"/>
          </w:tcPr>
          <w:p w14:paraId="5290BB06" w14:textId="77777777" w:rsidR="00A13DC2" w:rsidRPr="00D9593D" w:rsidRDefault="00A13DC2" w:rsidP="00A13DC2">
            <w:pPr>
              <w:spacing w:after="0" w:line="240" w:lineRule="auto"/>
              <w:jc w:val="right"/>
              <w:rPr>
                <w:rFonts w:eastAsia="Times New Roman"/>
                <w:color w:val="000000"/>
                <w:kern w:val="0"/>
                <w:sz w:val="20"/>
                <w:szCs w:val="20"/>
                <w14:ligatures w14:val="none"/>
              </w:rPr>
            </w:pPr>
          </w:p>
        </w:tc>
        <w:tc>
          <w:tcPr>
            <w:tcW w:w="2138" w:type="dxa"/>
            <w:tcBorders>
              <w:top w:val="nil"/>
              <w:left w:val="nil"/>
              <w:bottom w:val="nil"/>
              <w:right w:val="nil"/>
            </w:tcBorders>
            <w:noWrap/>
            <w:vAlign w:val="center"/>
          </w:tcPr>
          <w:p w14:paraId="1563A834" w14:textId="77777777" w:rsidR="00A13DC2" w:rsidRPr="00D9593D" w:rsidRDefault="00A13DC2" w:rsidP="00A13DC2">
            <w:pPr>
              <w:spacing w:after="0" w:line="240" w:lineRule="auto"/>
              <w:jc w:val="right"/>
              <w:rPr>
                <w:color w:val="000000"/>
                <w:sz w:val="20"/>
                <w:szCs w:val="20"/>
              </w:rPr>
            </w:pPr>
          </w:p>
        </w:tc>
      </w:tr>
      <w:tr w:rsidR="00A13DC2" w:rsidRPr="00D9593D" w14:paraId="481F5EF7" w14:textId="77777777" w:rsidTr="00A13DC2">
        <w:trPr>
          <w:trHeight w:val="320"/>
        </w:trPr>
        <w:tc>
          <w:tcPr>
            <w:tcW w:w="1397" w:type="dxa"/>
            <w:vMerge/>
            <w:tcBorders>
              <w:left w:val="nil"/>
              <w:bottom w:val="single" w:sz="4" w:space="0" w:color="auto"/>
              <w:right w:val="nil"/>
            </w:tcBorders>
            <w:noWrap/>
            <w:vAlign w:val="center"/>
          </w:tcPr>
          <w:p w14:paraId="340304C0" w14:textId="77777777" w:rsidR="00A13DC2" w:rsidRPr="00452304" w:rsidRDefault="00A13DC2" w:rsidP="00A13DC2">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72DA0C3E" w14:textId="5ACF6FF9" w:rsidR="00A13DC2" w:rsidRPr="00355693" w:rsidRDefault="00A13DC2" w:rsidP="00A13DC2">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026" w:type="dxa"/>
            <w:tcBorders>
              <w:top w:val="nil"/>
              <w:left w:val="nil"/>
              <w:bottom w:val="single" w:sz="4" w:space="0" w:color="auto"/>
              <w:right w:val="nil"/>
            </w:tcBorders>
            <w:noWrap/>
            <w:vAlign w:val="center"/>
          </w:tcPr>
          <w:p w14:paraId="3214A634" w14:textId="77777777" w:rsidR="00A13DC2" w:rsidRPr="00D9593D" w:rsidRDefault="00A13DC2" w:rsidP="00A13DC2">
            <w:pPr>
              <w:spacing w:after="0" w:line="240" w:lineRule="auto"/>
              <w:jc w:val="right"/>
              <w:rPr>
                <w:color w:val="000000"/>
                <w:sz w:val="20"/>
                <w:szCs w:val="20"/>
              </w:rPr>
            </w:pPr>
          </w:p>
        </w:tc>
        <w:tc>
          <w:tcPr>
            <w:tcW w:w="1152" w:type="dxa"/>
            <w:tcBorders>
              <w:left w:val="nil"/>
              <w:bottom w:val="single" w:sz="4" w:space="0" w:color="auto"/>
              <w:right w:val="nil"/>
            </w:tcBorders>
            <w:noWrap/>
            <w:vAlign w:val="center"/>
          </w:tcPr>
          <w:p w14:paraId="5D38E025" w14:textId="77777777" w:rsidR="00A13DC2" w:rsidRPr="00D9593D" w:rsidRDefault="00A13DC2" w:rsidP="00A13DC2">
            <w:pPr>
              <w:spacing w:after="0" w:line="240" w:lineRule="auto"/>
              <w:jc w:val="right"/>
              <w:rPr>
                <w:rFonts w:eastAsia="Times New Roman"/>
                <w:color w:val="000000"/>
                <w:kern w:val="0"/>
                <w:sz w:val="20"/>
                <w:szCs w:val="20"/>
                <w14:ligatures w14:val="none"/>
              </w:rPr>
            </w:pPr>
          </w:p>
        </w:tc>
        <w:tc>
          <w:tcPr>
            <w:tcW w:w="1113" w:type="dxa"/>
            <w:tcBorders>
              <w:left w:val="nil"/>
              <w:bottom w:val="single" w:sz="4" w:space="0" w:color="auto"/>
              <w:right w:val="nil"/>
            </w:tcBorders>
            <w:noWrap/>
            <w:vAlign w:val="center"/>
          </w:tcPr>
          <w:p w14:paraId="69FBE1AD" w14:textId="77777777" w:rsidR="00A13DC2" w:rsidRPr="00D9593D" w:rsidRDefault="00A13DC2" w:rsidP="00A13DC2">
            <w:pPr>
              <w:spacing w:after="0" w:line="240" w:lineRule="auto"/>
              <w:jc w:val="right"/>
              <w:rPr>
                <w:rFonts w:eastAsia="Times New Roman"/>
                <w:color w:val="000000"/>
                <w:kern w:val="0"/>
                <w:sz w:val="20"/>
                <w:szCs w:val="20"/>
                <w14:ligatures w14:val="none"/>
              </w:rPr>
            </w:pPr>
          </w:p>
        </w:tc>
        <w:tc>
          <w:tcPr>
            <w:tcW w:w="2138" w:type="dxa"/>
            <w:tcBorders>
              <w:top w:val="nil"/>
              <w:left w:val="nil"/>
              <w:bottom w:val="single" w:sz="4" w:space="0" w:color="auto"/>
              <w:right w:val="nil"/>
            </w:tcBorders>
            <w:noWrap/>
            <w:vAlign w:val="center"/>
          </w:tcPr>
          <w:p w14:paraId="7F0D9BCF" w14:textId="77777777" w:rsidR="00A13DC2" w:rsidRPr="00D9593D" w:rsidRDefault="00A13DC2" w:rsidP="00A13DC2">
            <w:pPr>
              <w:spacing w:after="0" w:line="240" w:lineRule="auto"/>
              <w:jc w:val="right"/>
              <w:rPr>
                <w:color w:val="000000"/>
                <w:sz w:val="20"/>
                <w:szCs w:val="20"/>
              </w:rPr>
            </w:pPr>
          </w:p>
        </w:tc>
      </w:tr>
      <w:tr w:rsidR="00A13DC2" w:rsidRPr="00D9593D" w14:paraId="79B02102" w14:textId="77777777" w:rsidTr="00A13DC2">
        <w:trPr>
          <w:trHeight w:val="320"/>
        </w:trPr>
        <w:tc>
          <w:tcPr>
            <w:tcW w:w="1397" w:type="dxa"/>
            <w:vMerge w:val="restart"/>
            <w:tcBorders>
              <w:top w:val="single" w:sz="4" w:space="0" w:color="auto"/>
              <w:left w:val="nil"/>
              <w:right w:val="nil"/>
            </w:tcBorders>
            <w:noWrap/>
            <w:vAlign w:val="center"/>
          </w:tcPr>
          <w:p w14:paraId="768B12DA" w14:textId="1383D90F" w:rsidR="00A13DC2" w:rsidRPr="00A13DC2" w:rsidRDefault="00A13DC2" w:rsidP="00A13DC2">
            <w:pPr>
              <w:spacing w:after="0" w:line="240" w:lineRule="auto"/>
              <w:rPr>
                <w:rFonts w:eastAsia="Times New Roman"/>
                <w:i/>
                <w:iCs/>
                <w:color w:val="000000"/>
                <w:kern w:val="0"/>
                <w:sz w:val="20"/>
                <w:szCs w:val="20"/>
                <w14:ligatures w14:val="none"/>
              </w:rPr>
            </w:pPr>
            <w:proofErr w:type="spellStart"/>
            <w:proofErr w:type="gramStart"/>
            <w:r>
              <w:rPr>
                <w:rFonts w:eastAsia="Times New Roman"/>
                <w:i/>
                <w:iCs/>
                <w:color w:val="000000"/>
                <w:kern w:val="0"/>
                <w:sz w:val="20"/>
                <w:szCs w:val="20"/>
                <w14:ligatures w14:val="none"/>
              </w:rPr>
              <w:t>Root:shoot</w:t>
            </w:r>
            <w:proofErr w:type="spellEnd"/>
            <w:proofErr w:type="gramEnd"/>
          </w:p>
        </w:tc>
        <w:tc>
          <w:tcPr>
            <w:tcW w:w="1454" w:type="dxa"/>
            <w:tcBorders>
              <w:top w:val="single" w:sz="4" w:space="0" w:color="auto"/>
              <w:left w:val="nil"/>
              <w:bottom w:val="nil"/>
              <w:right w:val="nil"/>
            </w:tcBorders>
            <w:noWrap/>
            <w:vAlign w:val="center"/>
          </w:tcPr>
          <w:p w14:paraId="505F2F54" w14:textId="73281454" w:rsidR="00A13DC2" w:rsidRPr="00355693" w:rsidRDefault="00A13DC2" w:rsidP="00A13DC2">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026" w:type="dxa"/>
            <w:tcBorders>
              <w:top w:val="single" w:sz="4" w:space="0" w:color="auto"/>
              <w:left w:val="nil"/>
              <w:bottom w:val="nil"/>
              <w:right w:val="nil"/>
            </w:tcBorders>
            <w:noWrap/>
            <w:vAlign w:val="center"/>
          </w:tcPr>
          <w:p w14:paraId="6EA78633" w14:textId="77777777" w:rsidR="00A13DC2" w:rsidRPr="00D9593D" w:rsidRDefault="00A13DC2" w:rsidP="00A13DC2">
            <w:pPr>
              <w:spacing w:after="0" w:line="240" w:lineRule="auto"/>
              <w:jc w:val="right"/>
              <w:rPr>
                <w:color w:val="000000"/>
                <w:sz w:val="20"/>
                <w:szCs w:val="20"/>
              </w:rPr>
            </w:pPr>
          </w:p>
        </w:tc>
        <w:tc>
          <w:tcPr>
            <w:tcW w:w="1152" w:type="dxa"/>
            <w:tcBorders>
              <w:top w:val="single" w:sz="4" w:space="0" w:color="auto"/>
              <w:left w:val="nil"/>
              <w:right w:val="nil"/>
            </w:tcBorders>
            <w:noWrap/>
            <w:vAlign w:val="center"/>
          </w:tcPr>
          <w:p w14:paraId="2BD446D1" w14:textId="77777777" w:rsidR="00A13DC2" w:rsidRPr="00D9593D" w:rsidRDefault="00A13DC2" w:rsidP="00A13DC2">
            <w:pPr>
              <w:spacing w:after="0" w:line="240" w:lineRule="auto"/>
              <w:jc w:val="right"/>
              <w:rPr>
                <w:rFonts w:eastAsia="Times New Roman"/>
                <w:color w:val="000000"/>
                <w:kern w:val="0"/>
                <w:sz w:val="20"/>
                <w:szCs w:val="20"/>
                <w14:ligatures w14:val="none"/>
              </w:rPr>
            </w:pPr>
          </w:p>
        </w:tc>
        <w:tc>
          <w:tcPr>
            <w:tcW w:w="1113" w:type="dxa"/>
            <w:tcBorders>
              <w:top w:val="single" w:sz="4" w:space="0" w:color="auto"/>
              <w:left w:val="nil"/>
              <w:right w:val="nil"/>
            </w:tcBorders>
            <w:noWrap/>
            <w:vAlign w:val="center"/>
          </w:tcPr>
          <w:p w14:paraId="09AD962C" w14:textId="77777777" w:rsidR="00A13DC2" w:rsidRPr="00D9593D" w:rsidRDefault="00A13DC2" w:rsidP="00A13DC2">
            <w:pPr>
              <w:spacing w:after="0" w:line="240" w:lineRule="auto"/>
              <w:jc w:val="right"/>
              <w:rPr>
                <w:rFonts w:eastAsia="Times New Roman"/>
                <w:color w:val="000000"/>
                <w:kern w:val="0"/>
                <w:sz w:val="20"/>
                <w:szCs w:val="20"/>
                <w14:ligatures w14:val="none"/>
              </w:rPr>
            </w:pPr>
          </w:p>
        </w:tc>
        <w:tc>
          <w:tcPr>
            <w:tcW w:w="2138" w:type="dxa"/>
            <w:tcBorders>
              <w:top w:val="single" w:sz="4" w:space="0" w:color="auto"/>
              <w:left w:val="nil"/>
              <w:bottom w:val="nil"/>
              <w:right w:val="nil"/>
            </w:tcBorders>
            <w:noWrap/>
            <w:vAlign w:val="center"/>
          </w:tcPr>
          <w:p w14:paraId="6366CC15" w14:textId="77777777" w:rsidR="00A13DC2" w:rsidRPr="00D9593D" w:rsidRDefault="00A13DC2" w:rsidP="00A13DC2">
            <w:pPr>
              <w:spacing w:after="0" w:line="240" w:lineRule="auto"/>
              <w:jc w:val="right"/>
              <w:rPr>
                <w:color w:val="000000"/>
                <w:sz w:val="20"/>
                <w:szCs w:val="20"/>
              </w:rPr>
            </w:pPr>
          </w:p>
        </w:tc>
      </w:tr>
      <w:tr w:rsidR="00A13DC2" w:rsidRPr="00D9593D" w14:paraId="5B0549ED" w14:textId="77777777" w:rsidTr="00A13DC2">
        <w:trPr>
          <w:trHeight w:val="320"/>
        </w:trPr>
        <w:tc>
          <w:tcPr>
            <w:tcW w:w="1397" w:type="dxa"/>
            <w:vMerge/>
            <w:tcBorders>
              <w:left w:val="nil"/>
              <w:right w:val="nil"/>
            </w:tcBorders>
            <w:noWrap/>
            <w:vAlign w:val="center"/>
          </w:tcPr>
          <w:p w14:paraId="74EF52B1" w14:textId="77777777" w:rsidR="00A13DC2" w:rsidRPr="00452304" w:rsidRDefault="00A13DC2" w:rsidP="00A13DC2">
            <w:pPr>
              <w:spacing w:after="0" w:line="240" w:lineRule="auto"/>
              <w:rPr>
                <w:rFonts w:eastAsia="Times New Roman"/>
                <w:color w:val="000000"/>
                <w:kern w:val="0"/>
                <w:sz w:val="20"/>
                <w:szCs w:val="20"/>
                <w14:ligatures w14:val="none"/>
              </w:rPr>
            </w:pPr>
          </w:p>
        </w:tc>
        <w:tc>
          <w:tcPr>
            <w:tcW w:w="1454" w:type="dxa"/>
            <w:tcBorders>
              <w:top w:val="nil"/>
              <w:left w:val="nil"/>
              <w:bottom w:val="nil"/>
              <w:right w:val="nil"/>
            </w:tcBorders>
            <w:noWrap/>
            <w:vAlign w:val="center"/>
          </w:tcPr>
          <w:p w14:paraId="1C445201" w14:textId="63A0DE03" w:rsidR="00A13DC2" w:rsidRPr="00355693" w:rsidRDefault="00A13DC2" w:rsidP="00A13DC2">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026" w:type="dxa"/>
            <w:tcBorders>
              <w:top w:val="nil"/>
              <w:left w:val="nil"/>
              <w:bottom w:val="nil"/>
              <w:right w:val="nil"/>
            </w:tcBorders>
            <w:noWrap/>
            <w:vAlign w:val="center"/>
          </w:tcPr>
          <w:p w14:paraId="040AB407" w14:textId="77777777" w:rsidR="00A13DC2" w:rsidRPr="00D9593D" w:rsidRDefault="00A13DC2" w:rsidP="00A13DC2">
            <w:pPr>
              <w:spacing w:after="0" w:line="240" w:lineRule="auto"/>
              <w:jc w:val="right"/>
              <w:rPr>
                <w:color w:val="000000"/>
                <w:sz w:val="20"/>
                <w:szCs w:val="20"/>
              </w:rPr>
            </w:pPr>
          </w:p>
        </w:tc>
        <w:tc>
          <w:tcPr>
            <w:tcW w:w="1152" w:type="dxa"/>
            <w:tcBorders>
              <w:left w:val="nil"/>
              <w:right w:val="nil"/>
            </w:tcBorders>
            <w:noWrap/>
            <w:vAlign w:val="center"/>
          </w:tcPr>
          <w:p w14:paraId="29A924D8" w14:textId="77777777" w:rsidR="00A13DC2" w:rsidRPr="00D9593D" w:rsidRDefault="00A13DC2" w:rsidP="00A13DC2">
            <w:pPr>
              <w:spacing w:after="0" w:line="240" w:lineRule="auto"/>
              <w:jc w:val="right"/>
              <w:rPr>
                <w:rFonts w:eastAsia="Times New Roman"/>
                <w:color w:val="000000"/>
                <w:kern w:val="0"/>
                <w:sz w:val="20"/>
                <w:szCs w:val="20"/>
                <w14:ligatures w14:val="none"/>
              </w:rPr>
            </w:pPr>
          </w:p>
        </w:tc>
        <w:tc>
          <w:tcPr>
            <w:tcW w:w="1113" w:type="dxa"/>
            <w:tcBorders>
              <w:left w:val="nil"/>
              <w:right w:val="nil"/>
            </w:tcBorders>
            <w:noWrap/>
            <w:vAlign w:val="center"/>
          </w:tcPr>
          <w:p w14:paraId="58F74411" w14:textId="77777777" w:rsidR="00A13DC2" w:rsidRPr="00D9593D" w:rsidRDefault="00A13DC2" w:rsidP="00A13DC2">
            <w:pPr>
              <w:spacing w:after="0" w:line="240" w:lineRule="auto"/>
              <w:jc w:val="right"/>
              <w:rPr>
                <w:rFonts w:eastAsia="Times New Roman"/>
                <w:color w:val="000000"/>
                <w:kern w:val="0"/>
                <w:sz w:val="20"/>
                <w:szCs w:val="20"/>
                <w14:ligatures w14:val="none"/>
              </w:rPr>
            </w:pPr>
          </w:p>
        </w:tc>
        <w:tc>
          <w:tcPr>
            <w:tcW w:w="2138" w:type="dxa"/>
            <w:tcBorders>
              <w:top w:val="nil"/>
              <w:left w:val="nil"/>
              <w:bottom w:val="nil"/>
              <w:right w:val="nil"/>
            </w:tcBorders>
            <w:noWrap/>
            <w:vAlign w:val="center"/>
          </w:tcPr>
          <w:p w14:paraId="20FB1299" w14:textId="77777777" w:rsidR="00A13DC2" w:rsidRPr="00D9593D" w:rsidRDefault="00A13DC2" w:rsidP="00A13DC2">
            <w:pPr>
              <w:spacing w:after="0" w:line="240" w:lineRule="auto"/>
              <w:jc w:val="right"/>
              <w:rPr>
                <w:color w:val="000000"/>
                <w:sz w:val="20"/>
                <w:szCs w:val="20"/>
              </w:rPr>
            </w:pPr>
          </w:p>
        </w:tc>
      </w:tr>
      <w:tr w:rsidR="00A13DC2" w:rsidRPr="00D9593D" w14:paraId="626B6B01" w14:textId="77777777" w:rsidTr="00A13DC2">
        <w:trPr>
          <w:trHeight w:val="320"/>
        </w:trPr>
        <w:tc>
          <w:tcPr>
            <w:tcW w:w="1397" w:type="dxa"/>
            <w:vMerge/>
            <w:tcBorders>
              <w:left w:val="nil"/>
              <w:bottom w:val="single" w:sz="4" w:space="0" w:color="auto"/>
              <w:right w:val="nil"/>
            </w:tcBorders>
            <w:noWrap/>
            <w:vAlign w:val="center"/>
          </w:tcPr>
          <w:p w14:paraId="06A2E250" w14:textId="77777777" w:rsidR="00A13DC2" w:rsidRPr="00452304" w:rsidRDefault="00A13DC2" w:rsidP="00A13DC2">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31D0C150" w14:textId="2D7210E7" w:rsidR="00A13DC2" w:rsidRPr="00355693" w:rsidRDefault="00A13DC2" w:rsidP="00A13DC2">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026" w:type="dxa"/>
            <w:tcBorders>
              <w:top w:val="nil"/>
              <w:left w:val="nil"/>
              <w:bottom w:val="single" w:sz="4" w:space="0" w:color="auto"/>
              <w:right w:val="nil"/>
            </w:tcBorders>
            <w:noWrap/>
            <w:vAlign w:val="center"/>
          </w:tcPr>
          <w:p w14:paraId="3094F5BB" w14:textId="77777777" w:rsidR="00A13DC2" w:rsidRPr="00D9593D" w:rsidRDefault="00A13DC2" w:rsidP="00A13DC2">
            <w:pPr>
              <w:spacing w:after="0" w:line="240" w:lineRule="auto"/>
              <w:jc w:val="right"/>
              <w:rPr>
                <w:color w:val="000000"/>
                <w:sz w:val="20"/>
                <w:szCs w:val="20"/>
              </w:rPr>
            </w:pPr>
          </w:p>
        </w:tc>
        <w:tc>
          <w:tcPr>
            <w:tcW w:w="1152" w:type="dxa"/>
            <w:tcBorders>
              <w:left w:val="nil"/>
              <w:bottom w:val="single" w:sz="4" w:space="0" w:color="auto"/>
              <w:right w:val="nil"/>
            </w:tcBorders>
            <w:noWrap/>
            <w:vAlign w:val="center"/>
          </w:tcPr>
          <w:p w14:paraId="5DA3C772" w14:textId="77777777" w:rsidR="00A13DC2" w:rsidRPr="00D9593D" w:rsidRDefault="00A13DC2" w:rsidP="00A13DC2">
            <w:pPr>
              <w:spacing w:after="0" w:line="240" w:lineRule="auto"/>
              <w:jc w:val="right"/>
              <w:rPr>
                <w:rFonts w:eastAsia="Times New Roman"/>
                <w:color w:val="000000"/>
                <w:kern w:val="0"/>
                <w:sz w:val="20"/>
                <w:szCs w:val="20"/>
                <w14:ligatures w14:val="none"/>
              </w:rPr>
            </w:pPr>
          </w:p>
        </w:tc>
        <w:tc>
          <w:tcPr>
            <w:tcW w:w="1113" w:type="dxa"/>
            <w:tcBorders>
              <w:left w:val="nil"/>
              <w:bottom w:val="single" w:sz="4" w:space="0" w:color="auto"/>
              <w:right w:val="nil"/>
            </w:tcBorders>
            <w:noWrap/>
            <w:vAlign w:val="center"/>
          </w:tcPr>
          <w:p w14:paraId="6F274950" w14:textId="77777777" w:rsidR="00A13DC2" w:rsidRPr="00D9593D" w:rsidRDefault="00A13DC2" w:rsidP="00A13DC2">
            <w:pPr>
              <w:spacing w:after="0" w:line="240" w:lineRule="auto"/>
              <w:jc w:val="right"/>
              <w:rPr>
                <w:rFonts w:eastAsia="Times New Roman"/>
                <w:color w:val="000000"/>
                <w:kern w:val="0"/>
                <w:sz w:val="20"/>
                <w:szCs w:val="20"/>
                <w14:ligatures w14:val="none"/>
              </w:rPr>
            </w:pPr>
          </w:p>
        </w:tc>
        <w:tc>
          <w:tcPr>
            <w:tcW w:w="2138" w:type="dxa"/>
            <w:tcBorders>
              <w:top w:val="nil"/>
              <w:left w:val="nil"/>
              <w:bottom w:val="single" w:sz="4" w:space="0" w:color="auto"/>
              <w:right w:val="nil"/>
            </w:tcBorders>
            <w:noWrap/>
            <w:vAlign w:val="center"/>
          </w:tcPr>
          <w:p w14:paraId="5134674A" w14:textId="77777777" w:rsidR="00A13DC2" w:rsidRPr="00D9593D" w:rsidRDefault="00A13DC2" w:rsidP="00A13DC2">
            <w:pPr>
              <w:spacing w:after="0" w:line="240" w:lineRule="auto"/>
              <w:jc w:val="right"/>
              <w:rPr>
                <w:color w:val="000000"/>
                <w:sz w:val="20"/>
                <w:szCs w:val="20"/>
              </w:rPr>
            </w:pPr>
          </w:p>
        </w:tc>
      </w:tr>
    </w:tbl>
    <w:p w14:paraId="2F43ECB8" w14:textId="77777777" w:rsidR="00A13DC2" w:rsidRPr="00A13DC2" w:rsidRDefault="00A13DC2" w:rsidP="00A13DC2">
      <w:pPr>
        <w:rPr>
          <w:iCs/>
        </w:rPr>
      </w:pPr>
    </w:p>
    <w:p w14:paraId="73EED855" w14:textId="77777777" w:rsidR="00A13DC2" w:rsidRDefault="00A13DC2" w:rsidP="00A13DC2">
      <w:pPr>
        <w:rPr>
          <w:b/>
          <w:bCs/>
          <w:iCs/>
        </w:rPr>
      </w:pPr>
    </w:p>
    <w:p w14:paraId="5EEF8A9D" w14:textId="0D986D3F" w:rsidR="00A13DC2" w:rsidRDefault="00A13DC2" w:rsidP="00A13DC2">
      <w:pPr>
        <w:rPr>
          <w:iCs/>
        </w:rPr>
      </w:pPr>
      <w:r>
        <w:rPr>
          <w:b/>
          <w:bCs/>
          <w:iCs/>
        </w:rPr>
        <w:t>Table S</w:t>
      </w:r>
      <w:r>
        <w:rPr>
          <w:b/>
          <w:bCs/>
          <w:iCs/>
        </w:rPr>
        <w:t>16</w:t>
      </w:r>
      <w:r>
        <w:rPr>
          <w:iCs/>
        </w:rPr>
        <w:t xml:space="preserve"> N</w:t>
      </w:r>
      <w:r>
        <w:rPr>
          <w:iCs/>
          <w:vertAlign w:val="subscript"/>
        </w:rPr>
        <w:t>2</w:t>
      </w:r>
      <w:r>
        <w:rPr>
          <w:iCs/>
        </w:rPr>
        <w:t xml:space="preserve">-fixer moderator effects on </w:t>
      </w:r>
      <w:r>
        <w:rPr>
          <w:iCs/>
        </w:rPr>
        <w:t>interaction effect sizes</w:t>
      </w:r>
    </w:p>
    <w:p w14:paraId="196E0350" w14:textId="77777777" w:rsidR="00A13DC2" w:rsidRDefault="00A13DC2" w:rsidP="00A13DC2">
      <w:pPr>
        <w:rPr>
          <w:iCs/>
        </w:rPr>
      </w:pPr>
    </w:p>
    <w:p w14:paraId="78E05A3C" w14:textId="44CC7D23" w:rsidR="00A13DC2" w:rsidRDefault="00A13DC2" w:rsidP="00A13DC2">
      <w:pPr>
        <w:rPr>
          <w:iCs/>
        </w:rPr>
      </w:pPr>
      <w:r>
        <w:rPr>
          <w:b/>
          <w:bCs/>
          <w:iCs/>
        </w:rPr>
        <w:t>Table S1</w:t>
      </w:r>
      <w:r>
        <w:rPr>
          <w:b/>
          <w:bCs/>
          <w:iCs/>
        </w:rPr>
        <w:t>7</w:t>
      </w:r>
      <w:r>
        <w:rPr>
          <w:iCs/>
        </w:rPr>
        <w:t xml:space="preserve"> Mycorrhizal acquisition strategy </w:t>
      </w:r>
      <w:r>
        <w:rPr>
          <w:iCs/>
        </w:rPr>
        <w:t xml:space="preserve">moderator </w:t>
      </w:r>
      <w:r>
        <w:rPr>
          <w:iCs/>
        </w:rPr>
        <w:t>effects on interaction effect sizes</w:t>
      </w:r>
    </w:p>
    <w:p w14:paraId="0932B1EC" w14:textId="77777777" w:rsidR="00A13DC2" w:rsidRDefault="00A13DC2" w:rsidP="00A13DC2">
      <w:pPr>
        <w:rPr>
          <w:iCs/>
        </w:rPr>
      </w:pPr>
    </w:p>
    <w:p w14:paraId="67AB891C" w14:textId="5FABDB4D" w:rsidR="00A13DC2" w:rsidRDefault="00A13DC2" w:rsidP="00A13DC2">
      <w:pPr>
        <w:rPr>
          <w:iCs/>
        </w:rPr>
      </w:pPr>
      <w:r>
        <w:rPr>
          <w:b/>
          <w:bCs/>
          <w:iCs/>
        </w:rPr>
        <w:t>Table S1</w:t>
      </w:r>
      <w:r>
        <w:rPr>
          <w:b/>
          <w:bCs/>
          <w:iCs/>
        </w:rPr>
        <w:t xml:space="preserve">8 </w:t>
      </w:r>
      <w:r>
        <w:rPr>
          <w:iCs/>
        </w:rPr>
        <w:t>Photosynthetic pathway</w:t>
      </w:r>
      <w:r>
        <w:rPr>
          <w:iCs/>
        </w:rPr>
        <w:t xml:space="preserve"> moderator effects on interaction effect sizes</w:t>
      </w:r>
    </w:p>
    <w:p w14:paraId="57418259" w14:textId="77777777" w:rsidR="00A13DC2" w:rsidRDefault="00A13DC2" w:rsidP="009D19EF">
      <w:pPr>
        <w:rPr>
          <w:iCs/>
        </w:rPr>
      </w:pPr>
    </w:p>
    <w:p w14:paraId="360E556A" w14:textId="77777777" w:rsidR="00A13DC2" w:rsidRDefault="00A13DC2" w:rsidP="009D19EF">
      <w:pPr>
        <w:rPr>
          <w:iCs/>
        </w:rPr>
      </w:pPr>
    </w:p>
    <w:p w14:paraId="5C1079A6" w14:textId="7F614DA3" w:rsidR="009D19EF" w:rsidRDefault="009465D9" w:rsidP="009D19EF">
      <w:pPr>
        <w:rPr>
          <w:iCs/>
        </w:rPr>
      </w:pPr>
      <w:r>
        <w:rPr>
          <w:b/>
          <w:bCs/>
          <w:iCs/>
        </w:rPr>
        <w:t>References</w:t>
      </w:r>
    </w:p>
    <w:sdt>
      <w:sdtPr>
        <w:rPr>
          <w:iCs/>
          <w:color w:val="000000"/>
        </w:rPr>
        <w:tag w:val="MENDELEY_BIBLIOGRAPHY"/>
        <w:id w:val="-1068502708"/>
        <w:placeholder>
          <w:docPart w:val="DefaultPlaceholder_-1854013440"/>
        </w:placeholder>
      </w:sdtPr>
      <w:sdtContent>
        <w:p w14:paraId="0DBACBB5" w14:textId="77777777" w:rsidR="00E807B5" w:rsidRDefault="00E807B5">
          <w:pPr>
            <w:autoSpaceDE w:val="0"/>
            <w:autoSpaceDN w:val="0"/>
            <w:ind w:hanging="480"/>
            <w:divId w:val="1849099775"/>
            <w:rPr>
              <w:rFonts w:eastAsia="Times New Roman"/>
              <w:kern w:val="0"/>
              <w14:ligatures w14:val="none"/>
            </w:rPr>
          </w:pPr>
          <w:r>
            <w:rPr>
              <w:rFonts w:eastAsia="Times New Roman"/>
            </w:rPr>
            <w:t xml:space="preserve">Aerts, R., De </w:t>
          </w:r>
          <w:proofErr w:type="spellStart"/>
          <w:r>
            <w:rPr>
              <w:rFonts w:eastAsia="Times New Roman"/>
            </w:rPr>
            <w:t>Caluwe</w:t>
          </w:r>
          <w:proofErr w:type="spellEnd"/>
          <w:r>
            <w:rPr>
              <w:rFonts w:eastAsia="Times New Roman"/>
            </w:rPr>
            <w:t xml:space="preserve">, H., &amp; Beltman, B. (2003). Is the relation between nutrient supply and biodiversity co-determined by the type of nutrient limitation? </w:t>
          </w:r>
          <w:r>
            <w:rPr>
              <w:rFonts w:eastAsia="Times New Roman"/>
              <w:i/>
              <w:iCs/>
            </w:rPr>
            <w:t>Oikos</w:t>
          </w:r>
          <w:r>
            <w:rPr>
              <w:rFonts w:eastAsia="Times New Roman"/>
            </w:rPr>
            <w:t xml:space="preserve">, </w:t>
          </w:r>
          <w:r>
            <w:rPr>
              <w:rFonts w:eastAsia="Times New Roman"/>
              <w:i/>
              <w:iCs/>
            </w:rPr>
            <w:t>101</w:t>
          </w:r>
          <w:r>
            <w:rPr>
              <w:rFonts w:eastAsia="Times New Roman"/>
            </w:rPr>
            <w:t>(3), 489–498. https://doi.org/10.1034/j.1600-0706.2003.12223.x</w:t>
          </w:r>
        </w:p>
        <w:p w14:paraId="52258E42" w14:textId="77777777" w:rsidR="00E807B5" w:rsidRDefault="00E807B5">
          <w:pPr>
            <w:autoSpaceDE w:val="0"/>
            <w:autoSpaceDN w:val="0"/>
            <w:ind w:hanging="480"/>
            <w:divId w:val="384329216"/>
            <w:rPr>
              <w:rFonts w:eastAsia="Times New Roman"/>
            </w:rPr>
          </w:pPr>
          <w:r>
            <w:rPr>
              <w:rFonts w:eastAsia="Times New Roman"/>
            </w:rPr>
            <w:t xml:space="preserve">Arens, S. J. T., Sullivan, P. F., &amp; Welker, J. M. (2008). Nonlinear responses to nitrogen and strong interactions with nitrogen and phosphorus additions drastically alter the structure and function of a high arctic ecosystem. </w:t>
          </w:r>
          <w:r>
            <w:rPr>
              <w:rFonts w:eastAsia="Times New Roman"/>
              <w:i/>
              <w:iCs/>
            </w:rPr>
            <w:t xml:space="preserve">Journal of Geophysical Research: </w:t>
          </w:r>
          <w:proofErr w:type="spellStart"/>
          <w:r>
            <w:rPr>
              <w:rFonts w:eastAsia="Times New Roman"/>
              <w:i/>
              <w:iCs/>
            </w:rPr>
            <w:t>Biogeosciences</w:t>
          </w:r>
          <w:proofErr w:type="spellEnd"/>
          <w:r>
            <w:rPr>
              <w:rFonts w:eastAsia="Times New Roman"/>
            </w:rPr>
            <w:t xml:space="preserve">, </w:t>
          </w:r>
          <w:r>
            <w:rPr>
              <w:rFonts w:eastAsia="Times New Roman"/>
              <w:i/>
              <w:iCs/>
            </w:rPr>
            <w:t>113</w:t>
          </w:r>
          <w:r>
            <w:rPr>
              <w:rFonts w:eastAsia="Times New Roman"/>
            </w:rPr>
            <w:t>(3), 1–10. https://doi.org/10.1029/2007JG000508</w:t>
          </w:r>
        </w:p>
        <w:p w14:paraId="05CF59F7" w14:textId="77777777" w:rsidR="00E807B5" w:rsidRDefault="00E807B5">
          <w:pPr>
            <w:autoSpaceDE w:val="0"/>
            <w:autoSpaceDN w:val="0"/>
            <w:ind w:hanging="480"/>
            <w:divId w:val="820737818"/>
            <w:rPr>
              <w:rFonts w:eastAsia="Times New Roman"/>
            </w:rPr>
          </w:pPr>
          <w:r>
            <w:rPr>
              <w:rFonts w:eastAsia="Times New Roman"/>
            </w:rPr>
            <w:t xml:space="preserve">Augustine, D. J., McNaughton, S. J., &amp; Frank, D. A. (2003). </w:t>
          </w:r>
          <w:proofErr w:type="gramStart"/>
          <w:r>
            <w:rPr>
              <w:rFonts w:eastAsia="Times New Roman"/>
            </w:rPr>
            <w:t>Feedbacks</w:t>
          </w:r>
          <w:proofErr w:type="gramEnd"/>
          <w:r>
            <w:rPr>
              <w:rFonts w:eastAsia="Times New Roman"/>
            </w:rPr>
            <w:t xml:space="preserve"> between soil nutrients and large herbivores in a managed savanna ecosystem. </w:t>
          </w:r>
          <w:r>
            <w:rPr>
              <w:rFonts w:eastAsia="Times New Roman"/>
              <w:i/>
              <w:iCs/>
            </w:rPr>
            <w:t>Ecological Applications</w:t>
          </w:r>
          <w:r>
            <w:rPr>
              <w:rFonts w:eastAsia="Times New Roman"/>
            </w:rPr>
            <w:t xml:space="preserve">, </w:t>
          </w:r>
          <w:r>
            <w:rPr>
              <w:rFonts w:eastAsia="Times New Roman"/>
              <w:i/>
              <w:iCs/>
            </w:rPr>
            <w:t>13</w:t>
          </w:r>
          <w:r>
            <w:rPr>
              <w:rFonts w:eastAsia="Times New Roman"/>
            </w:rPr>
            <w:t>(5), 1325–1337. https://doi.org/10.1890/02-5283</w:t>
          </w:r>
        </w:p>
        <w:p w14:paraId="7EBAFFFD" w14:textId="77777777" w:rsidR="00E807B5" w:rsidRDefault="00E807B5">
          <w:pPr>
            <w:autoSpaceDE w:val="0"/>
            <w:autoSpaceDN w:val="0"/>
            <w:ind w:hanging="480"/>
            <w:divId w:val="294532086"/>
            <w:rPr>
              <w:rFonts w:eastAsia="Times New Roman"/>
            </w:rPr>
          </w:pPr>
          <w:r>
            <w:rPr>
              <w:rFonts w:eastAsia="Times New Roman"/>
            </w:rPr>
            <w:t xml:space="preserve">Aydin, I., &amp; Uzun, F. (2005). Nitrogen and phosphorus fertilization of rangelands affects yield, forage quality and the botanical composition. </w:t>
          </w:r>
          <w:r>
            <w:rPr>
              <w:rFonts w:eastAsia="Times New Roman"/>
              <w:i/>
              <w:iCs/>
            </w:rPr>
            <w:t>European Journal of Agronomy</w:t>
          </w:r>
          <w:r>
            <w:rPr>
              <w:rFonts w:eastAsia="Times New Roman"/>
            </w:rPr>
            <w:t xml:space="preserve">, </w:t>
          </w:r>
          <w:r>
            <w:rPr>
              <w:rFonts w:eastAsia="Times New Roman"/>
              <w:i/>
              <w:iCs/>
            </w:rPr>
            <w:t>23</w:t>
          </w:r>
          <w:r>
            <w:rPr>
              <w:rFonts w:eastAsia="Times New Roman"/>
            </w:rPr>
            <w:t>(1), 8–14. https://doi.org/10.1016/j.eja.2004.08.001</w:t>
          </w:r>
        </w:p>
        <w:p w14:paraId="66FB9401" w14:textId="77777777" w:rsidR="00E807B5" w:rsidRDefault="00E807B5">
          <w:pPr>
            <w:autoSpaceDE w:val="0"/>
            <w:autoSpaceDN w:val="0"/>
            <w:ind w:hanging="480"/>
            <w:divId w:val="1583679744"/>
            <w:rPr>
              <w:rFonts w:eastAsia="Times New Roman"/>
            </w:rPr>
          </w:pPr>
          <w:r>
            <w:rPr>
              <w:rFonts w:eastAsia="Times New Roman"/>
            </w:rPr>
            <w:t xml:space="preserve">Bennett, L. T., &amp; Adams, M. A. (2001). Response of a perennial grassland to nitrogen and phosphorus additions in sub-tropical, semi-arid Australia. </w:t>
          </w:r>
          <w:r>
            <w:rPr>
              <w:rFonts w:eastAsia="Times New Roman"/>
              <w:i/>
              <w:iCs/>
            </w:rPr>
            <w:t>Journal of Arid Environments</w:t>
          </w:r>
          <w:r>
            <w:rPr>
              <w:rFonts w:eastAsia="Times New Roman"/>
            </w:rPr>
            <w:t xml:space="preserve">, </w:t>
          </w:r>
          <w:r>
            <w:rPr>
              <w:rFonts w:eastAsia="Times New Roman"/>
              <w:i/>
              <w:iCs/>
            </w:rPr>
            <w:t>48</w:t>
          </w:r>
          <w:r>
            <w:rPr>
              <w:rFonts w:eastAsia="Times New Roman"/>
            </w:rPr>
            <w:t>(3), 289–308. https://doi.org/10.1006/jare.2000.0759</w:t>
          </w:r>
        </w:p>
        <w:p w14:paraId="5C69D762" w14:textId="77777777" w:rsidR="00E807B5" w:rsidRDefault="00E807B5">
          <w:pPr>
            <w:autoSpaceDE w:val="0"/>
            <w:autoSpaceDN w:val="0"/>
            <w:ind w:hanging="480"/>
            <w:divId w:val="405347215"/>
            <w:rPr>
              <w:rFonts w:eastAsia="Times New Roman"/>
            </w:rPr>
          </w:pPr>
          <w:r>
            <w:rPr>
              <w:rFonts w:eastAsia="Times New Roman"/>
            </w:rPr>
            <w:t xml:space="preserve">Blanke, V., Bassin, S., Volk, M., &amp; Fuhrer, J. (2012). Nitrogen deposition effects on subalpine grassland: The role of nutrient limitations and changes in mycorrhizal abundance. </w:t>
          </w:r>
          <w:r>
            <w:rPr>
              <w:rFonts w:eastAsia="Times New Roman"/>
              <w:i/>
              <w:iCs/>
            </w:rPr>
            <w:t xml:space="preserve">Acta </w:t>
          </w:r>
          <w:proofErr w:type="spellStart"/>
          <w:r>
            <w:rPr>
              <w:rFonts w:eastAsia="Times New Roman"/>
              <w:i/>
              <w:iCs/>
            </w:rPr>
            <w:t>Oecologica</w:t>
          </w:r>
          <w:proofErr w:type="spellEnd"/>
          <w:r>
            <w:rPr>
              <w:rFonts w:eastAsia="Times New Roman"/>
            </w:rPr>
            <w:t xml:space="preserve">, </w:t>
          </w:r>
          <w:r>
            <w:rPr>
              <w:rFonts w:eastAsia="Times New Roman"/>
              <w:i/>
              <w:iCs/>
            </w:rPr>
            <w:t>45</w:t>
          </w:r>
          <w:r>
            <w:rPr>
              <w:rFonts w:eastAsia="Times New Roman"/>
            </w:rPr>
            <w:t>, 57–65. https://doi.org/10.1016/j.actao.2012.09.002</w:t>
          </w:r>
        </w:p>
        <w:p w14:paraId="6378AF74" w14:textId="77777777" w:rsidR="00E807B5" w:rsidRDefault="00E807B5">
          <w:pPr>
            <w:autoSpaceDE w:val="0"/>
            <w:autoSpaceDN w:val="0"/>
            <w:ind w:hanging="480"/>
            <w:divId w:val="2027443510"/>
            <w:rPr>
              <w:rFonts w:eastAsia="Times New Roman"/>
            </w:rPr>
          </w:pPr>
          <w:r>
            <w:rPr>
              <w:rFonts w:eastAsia="Times New Roman"/>
            </w:rPr>
            <w:t xml:space="preserve">Boeye, D., Verhagen, B., Van </w:t>
          </w:r>
          <w:proofErr w:type="spellStart"/>
          <w:r>
            <w:rPr>
              <w:rFonts w:eastAsia="Times New Roman"/>
            </w:rPr>
            <w:t>Haesebroeck</w:t>
          </w:r>
          <w:proofErr w:type="spellEnd"/>
          <w:r>
            <w:rPr>
              <w:rFonts w:eastAsia="Times New Roman"/>
            </w:rPr>
            <w:t xml:space="preserve">, V., &amp; Verheyen, R. F. (1997). Nutrient limitation in species‐rich lowland fens. </w:t>
          </w:r>
          <w:r>
            <w:rPr>
              <w:rFonts w:eastAsia="Times New Roman"/>
              <w:i/>
              <w:iCs/>
            </w:rPr>
            <w:t>Journal of Vegetation Science</w:t>
          </w:r>
          <w:r>
            <w:rPr>
              <w:rFonts w:eastAsia="Times New Roman"/>
            </w:rPr>
            <w:t xml:space="preserve">, </w:t>
          </w:r>
          <w:r>
            <w:rPr>
              <w:rFonts w:eastAsia="Times New Roman"/>
              <w:i/>
              <w:iCs/>
            </w:rPr>
            <w:t>8</w:t>
          </w:r>
          <w:r>
            <w:rPr>
              <w:rFonts w:eastAsia="Times New Roman"/>
            </w:rPr>
            <w:t>(3), 415–424. https://doi.org/10.2307/3237333</w:t>
          </w:r>
        </w:p>
        <w:p w14:paraId="27EFE1B7" w14:textId="77777777" w:rsidR="00E807B5" w:rsidRDefault="00E807B5">
          <w:pPr>
            <w:autoSpaceDE w:val="0"/>
            <w:autoSpaceDN w:val="0"/>
            <w:ind w:hanging="480"/>
            <w:divId w:val="400444826"/>
            <w:rPr>
              <w:rFonts w:eastAsia="Times New Roman"/>
            </w:rPr>
          </w:pPr>
          <w:r>
            <w:rPr>
              <w:rFonts w:eastAsia="Times New Roman"/>
            </w:rPr>
            <w:t xml:space="preserve">Borer, E. T., Seabloom, E. W., Mitchell, C. E., &amp; Cronin, J. P. (2014). Multiple nutrients and herbivores interact to govern diversity, productivity, composition, and infection in a successional grassland. </w:t>
          </w:r>
          <w:r>
            <w:rPr>
              <w:rFonts w:eastAsia="Times New Roman"/>
              <w:i/>
              <w:iCs/>
            </w:rPr>
            <w:t>Oikos</w:t>
          </w:r>
          <w:r>
            <w:rPr>
              <w:rFonts w:eastAsia="Times New Roman"/>
            </w:rPr>
            <w:t xml:space="preserve">, </w:t>
          </w:r>
          <w:r>
            <w:rPr>
              <w:rFonts w:eastAsia="Times New Roman"/>
              <w:i/>
              <w:iCs/>
            </w:rPr>
            <w:t>123</w:t>
          </w:r>
          <w:r>
            <w:rPr>
              <w:rFonts w:eastAsia="Times New Roman"/>
            </w:rPr>
            <w:t>(2), 214–224. https://doi.org/10.1111/j.1600-0706.2013.00680.x</w:t>
          </w:r>
        </w:p>
        <w:p w14:paraId="38B2E486" w14:textId="77777777" w:rsidR="00E807B5" w:rsidRDefault="00E807B5">
          <w:pPr>
            <w:autoSpaceDE w:val="0"/>
            <w:autoSpaceDN w:val="0"/>
            <w:ind w:hanging="480"/>
            <w:divId w:val="1816290542"/>
            <w:rPr>
              <w:rFonts w:eastAsia="Times New Roman"/>
            </w:rPr>
          </w:pPr>
          <w:r>
            <w:rPr>
              <w:rFonts w:eastAsia="Times New Roman"/>
            </w:rPr>
            <w:lastRenderedPageBreak/>
            <w:t xml:space="preserve">Bowman, W. D., </w:t>
          </w:r>
          <w:proofErr w:type="spellStart"/>
          <w:r>
            <w:rPr>
              <w:rFonts w:eastAsia="Times New Roman"/>
            </w:rPr>
            <w:t>Theodose</w:t>
          </w:r>
          <w:proofErr w:type="spellEnd"/>
          <w:r>
            <w:rPr>
              <w:rFonts w:eastAsia="Times New Roman"/>
            </w:rPr>
            <w:t xml:space="preserve">, T. A., Schardt, J. C., &amp; Conant, R. T. (1993). Constraints of Nutrient Availability on Primary Production in Two Alpine Tundra Communities. </w:t>
          </w:r>
          <w:r>
            <w:rPr>
              <w:rFonts w:eastAsia="Times New Roman"/>
              <w:i/>
              <w:iCs/>
            </w:rPr>
            <w:t>Ecology</w:t>
          </w:r>
          <w:r>
            <w:rPr>
              <w:rFonts w:eastAsia="Times New Roman"/>
            </w:rPr>
            <w:t xml:space="preserve">, </w:t>
          </w:r>
          <w:r>
            <w:rPr>
              <w:rFonts w:eastAsia="Times New Roman"/>
              <w:i/>
              <w:iCs/>
            </w:rPr>
            <w:t>74</w:t>
          </w:r>
          <w:r>
            <w:rPr>
              <w:rFonts w:eastAsia="Times New Roman"/>
            </w:rPr>
            <w:t>(7), 2085–2097. https://doi.org/10.2307/1940854</w:t>
          </w:r>
        </w:p>
        <w:p w14:paraId="41F5C79D" w14:textId="77777777" w:rsidR="00E807B5" w:rsidRDefault="00E807B5">
          <w:pPr>
            <w:autoSpaceDE w:val="0"/>
            <w:autoSpaceDN w:val="0"/>
            <w:ind w:hanging="480"/>
            <w:divId w:val="555505282"/>
            <w:rPr>
              <w:rFonts w:eastAsia="Times New Roman"/>
            </w:rPr>
          </w:pPr>
          <w:r>
            <w:rPr>
              <w:rFonts w:eastAsia="Times New Roman"/>
            </w:rPr>
            <w:t xml:space="preserve">Bown, H. E., Watt, M. S., Clinton, P. W., Mason, E. G., &amp; Richardson, B. (2007). </w:t>
          </w:r>
          <w:proofErr w:type="spellStart"/>
          <w:r>
            <w:rPr>
              <w:rFonts w:eastAsia="Times New Roman"/>
            </w:rPr>
            <w:t>Partititioning</w:t>
          </w:r>
          <w:proofErr w:type="spellEnd"/>
          <w:r>
            <w:rPr>
              <w:rFonts w:eastAsia="Times New Roman"/>
            </w:rPr>
            <w:t xml:space="preserve"> concurrent influences of nitrogen and phosphorus supply on photosynthetic model parameters of Pinus radiata. </w:t>
          </w:r>
          <w:r>
            <w:rPr>
              <w:rFonts w:eastAsia="Times New Roman"/>
              <w:i/>
              <w:iCs/>
            </w:rPr>
            <w:t>Tree Physiology</w:t>
          </w:r>
          <w:r>
            <w:rPr>
              <w:rFonts w:eastAsia="Times New Roman"/>
            </w:rPr>
            <w:t xml:space="preserve">, </w:t>
          </w:r>
          <w:r>
            <w:rPr>
              <w:rFonts w:eastAsia="Times New Roman"/>
              <w:i/>
              <w:iCs/>
            </w:rPr>
            <w:t>27</w:t>
          </w:r>
          <w:r>
            <w:rPr>
              <w:rFonts w:eastAsia="Times New Roman"/>
            </w:rPr>
            <w:t>(3), 335–344. https://doi.org/10.1093/treephys/27.3.335</w:t>
          </w:r>
        </w:p>
        <w:p w14:paraId="0CF7B133" w14:textId="77777777" w:rsidR="00E807B5" w:rsidRDefault="00E807B5">
          <w:pPr>
            <w:autoSpaceDE w:val="0"/>
            <w:autoSpaceDN w:val="0"/>
            <w:ind w:hanging="480"/>
            <w:divId w:val="68500080"/>
            <w:rPr>
              <w:rFonts w:eastAsia="Times New Roman"/>
            </w:rPr>
          </w:pPr>
          <w:proofErr w:type="spellStart"/>
          <w:r>
            <w:rPr>
              <w:rFonts w:eastAsia="Times New Roman"/>
            </w:rPr>
            <w:t>Cárate-Tandalla</w:t>
          </w:r>
          <w:proofErr w:type="spellEnd"/>
          <w:r>
            <w:rPr>
              <w:rFonts w:eastAsia="Times New Roman"/>
            </w:rPr>
            <w:t xml:space="preserve">, D., Camenzind, T., Leuschner, C., &amp; Homeier, J. (2018). Contrasting species responses to continued nitrogen and phosphorus addition in tropical montane forest tree seedlings. </w:t>
          </w:r>
          <w:proofErr w:type="spellStart"/>
          <w:r>
            <w:rPr>
              <w:rFonts w:eastAsia="Times New Roman"/>
              <w:i/>
              <w:iCs/>
            </w:rPr>
            <w:t>Biotropica</w:t>
          </w:r>
          <w:proofErr w:type="spellEnd"/>
          <w:r>
            <w:rPr>
              <w:rFonts w:eastAsia="Times New Roman"/>
            </w:rPr>
            <w:t xml:space="preserve">, </w:t>
          </w:r>
          <w:r>
            <w:rPr>
              <w:rFonts w:eastAsia="Times New Roman"/>
              <w:i/>
              <w:iCs/>
            </w:rPr>
            <w:t>50</w:t>
          </w:r>
          <w:r>
            <w:rPr>
              <w:rFonts w:eastAsia="Times New Roman"/>
            </w:rPr>
            <w:t>(2), 234–245. https://doi.org/10.1111/btp.12518</w:t>
          </w:r>
        </w:p>
        <w:p w14:paraId="155598DE" w14:textId="77777777" w:rsidR="00E807B5" w:rsidRDefault="00E807B5">
          <w:pPr>
            <w:autoSpaceDE w:val="0"/>
            <w:autoSpaceDN w:val="0"/>
            <w:ind w:hanging="480"/>
            <w:divId w:val="1236821742"/>
            <w:rPr>
              <w:rFonts w:eastAsia="Times New Roman"/>
            </w:rPr>
          </w:pPr>
          <w:r>
            <w:rPr>
              <w:rFonts w:eastAsia="Times New Roman"/>
            </w:rPr>
            <w:t xml:space="preserve">Carswell, F. E., Whitehead, D., Rogers, G. N. D., &amp; </w:t>
          </w:r>
          <w:proofErr w:type="spellStart"/>
          <w:r>
            <w:rPr>
              <w:rFonts w:eastAsia="Times New Roman"/>
            </w:rPr>
            <w:t>Mcseveny</w:t>
          </w:r>
          <w:proofErr w:type="spellEnd"/>
          <w:r>
            <w:rPr>
              <w:rFonts w:eastAsia="Times New Roman"/>
            </w:rPr>
            <w:t xml:space="preserve">, T. M. (2005). Plasticity in photosynthetic response to nutrient supply of seedlings from a mixed conifer-angiosperm forest. </w:t>
          </w:r>
          <w:r>
            <w:rPr>
              <w:rFonts w:eastAsia="Times New Roman"/>
              <w:i/>
              <w:iCs/>
            </w:rPr>
            <w:t>Austral Ecology</w:t>
          </w:r>
          <w:r>
            <w:rPr>
              <w:rFonts w:eastAsia="Times New Roman"/>
            </w:rPr>
            <w:t xml:space="preserve">, </w:t>
          </w:r>
          <w:r>
            <w:rPr>
              <w:rFonts w:eastAsia="Times New Roman"/>
              <w:i/>
              <w:iCs/>
            </w:rPr>
            <w:t>30</w:t>
          </w:r>
          <w:r>
            <w:rPr>
              <w:rFonts w:eastAsia="Times New Roman"/>
            </w:rPr>
            <w:t>(4), 426–434. https://doi.org/10.1111/j.1442-9993.2005.01486.x</w:t>
          </w:r>
        </w:p>
        <w:p w14:paraId="0FD63DFD" w14:textId="77777777" w:rsidR="00E807B5" w:rsidRDefault="00E807B5">
          <w:pPr>
            <w:autoSpaceDE w:val="0"/>
            <w:autoSpaceDN w:val="0"/>
            <w:ind w:hanging="480"/>
            <w:divId w:val="1326086161"/>
            <w:rPr>
              <w:rFonts w:eastAsia="Times New Roman"/>
            </w:rPr>
          </w:pPr>
          <w:r>
            <w:rPr>
              <w:rFonts w:eastAsia="Times New Roman"/>
            </w:rPr>
            <w:t xml:space="preserve">Chen, Z. F., Xiong, P. F., Zhou, J. J., Lai, S. B., Jian C.X., Wang, Z., &amp; Xu, B. C. (2020). Photosynthesis and nutrient-use efficiency in response to N and P addition in three dominant grassland species on the semiarid Loess Plateau. </w:t>
          </w:r>
          <w:proofErr w:type="spellStart"/>
          <w:r>
            <w:rPr>
              <w:rFonts w:eastAsia="Times New Roman"/>
              <w:i/>
              <w:iCs/>
            </w:rPr>
            <w:t>Photosynthetica</w:t>
          </w:r>
          <w:proofErr w:type="spellEnd"/>
          <w:r>
            <w:rPr>
              <w:rFonts w:eastAsia="Times New Roman"/>
            </w:rPr>
            <w:t xml:space="preserve">, </w:t>
          </w:r>
          <w:r>
            <w:rPr>
              <w:rFonts w:eastAsia="Times New Roman"/>
              <w:i/>
              <w:iCs/>
            </w:rPr>
            <w:t>58</w:t>
          </w:r>
          <w:r>
            <w:rPr>
              <w:rFonts w:eastAsia="Times New Roman"/>
            </w:rPr>
            <w:t>(4), 1028–1039. https://doi.org/10.32615/ps.2020.056</w:t>
          </w:r>
        </w:p>
        <w:p w14:paraId="2914D560" w14:textId="77777777" w:rsidR="00E807B5" w:rsidRDefault="00E807B5">
          <w:pPr>
            <w:autoSpaceDE w:val="0"/>
            <w:autoSpaceDN w:val="0"/>
            <w:ind w:hanging="480"/>
            <w:divId w:val="1669745631"/>
            <w:rPr>
              <w:rFonts w:eastAsia="Times New Roman"/>
            </w:rPr>
          </w:pPr>
          <w:r>
            <w:rPr>
              <w:rFonts w:eastAsia="Times New Roman"/>
            </w:rPr>
            <w:t xml:space="preserve">Cleland, E. E., Lind, E. M., DeCrappeo, N. M., DeLorenze, E., Wilkins, R. A., Adler, P. B., Bakker, J. D., Brown, C. S., Davies, K. F., Esch, E., </w:t>
          </w:r>
          <w:proofErr w:type="spellStart"/>
          <w:r>
            <w:rPr>
              <w:rFonts w:eastAsia="Times New Roman"/>
            </w:rPr>
            <w:t>Firn</w:t>
          </w:r>
          <w:proofErr w:type="spellEnd"/>
          <w:r>
            <w:rPr>
              <w:rFonts w:eastAsia="Times New Roman"/>
            </w:rPr>
            <w:t xml:space="preserve">, J., </w:t>
          </w:r>
          <w:proofErr w:type="spellStart"/>
          <w:r>
            <w:rPr>
              <w:rFonts w:eastAsia="Times New Roman"/>
            </w:rPr>
            <w:t>Gressard</w:t>
          </w:r>
          <w:proofErr w:type="spellEnd"/>
          <w:r>
            <w:rPr>
              <w:rFonts w:eastAsia="Times New Roman"/>
            </w:rPr>
            <w:t xml:space="preserve">, S., Gruner, D. S., Hagenah, N., Harpole, W. S., </w:t>
          </w:r>
          <w:proofErr w:type="spellStart"/>
          <w:r>
            <w:rPr>
              <w:rFonts w:eastAsia="Times New Roman"/>
            </w:rPr>
            <w:t>Hautier</w:t>
          </w:r>
          <w:proofErr w:type="spellEnd"/>
          <w:r>
            <w:rPr>
              <w:rFonts w:eastAsia="Times New Roman"/>
            </w:rPr>
            <w:t xml:space="preserve">, Y., Hobbie, S. E., </w:t>
          </w:r>
          <w:proofErr w:type="spellStart"/>
          <w:r>
            <w:rPr>
              <w:rFonts w:eastAsia="Times New Roman"/>
            </w:rPr>
            <w:t>Hofmockel</w:t>
          </w:r>
          <w:proofErr w:type="spellEnd"/>
          <w:r>
            <w:rPr>
              <w:rFonts w:eastAsia="Times New Roman"/>
            </w:rPr>
            <w:t xml:space="preserve">, K. S., Kirkman, K., … Seabloom, E. W. (2019). Belowground Biomass Response to Nutrient Enrichment Depends on Light Limitation Across Globally Distributed Grasslands. </w:t>
          </w:r>
          <w:r>
            <w:rPr>
              <w:rFonts w:eastAsia="Times New Roman"/>
              <w:i/>
              <w:iCs/>
            </w:rPr>
            <w:t>Ecosystems</w:t>
          </w:r>
          <w:r>
            <w:rPr>
              <w:rFonts w:eastAsia="Times New Roman"/>
            </w:rPr>
            <w:t xml:space="preserve">, </w:t>
          </w:r>
          <w:r>
            <w:rPr>
              <w:rFonts w:eastAsia="Times New Roman"/>
              <w:i/>
              <w:iCs/>
            </w:rPr>
            <w:t>22</w:t>
          </w:r>
          <w:r>
            <w:rPr>
              <w:rFonts w:eastAsia="Times New Roman"/>
            </w:rPr>
            <w:t>(7), 1466–1477. https://doi.org/10.1007/s10021-019-00350-4</w:t>
          </w:r>
        </w:p>
        <w:p w14:paraId="1F4A7BC6" w14:textId="77777777" w:rsidR="00E807B5" w:rsidRDefault="00E807B5">
          <w:pPr>
            <w:autoSpaceDE w:val="0"/>
            <w:autoSpaceDN w:val="0"/>
            <w:ind w:hanging="480"/>
            <w:divId w:val="2136175914"/>
            <w:rPr>
              <w:rFonts w:eastAsia="Times New Roman"/>
            </w:rPr>
          </w:pPr>
          <w:r>
            <w:rPr>
              <w:rFonts w:eastAsia="Times New Roman"/>
            </w:rPr>
            <w:t xml:space="preserve">Craft, C. B., </w:t>
          </w:r>
          <w:proofErr w:type="spellStart"/>
          <w:r>
            <w:rPr>
              <w:rFonts w:eastAsia="Times New Roman"/>
            </w:rPr>
            <w:t>Vymazal</w:t>
          </w:r>
          <w:proofErr w:type="spellEnd"/>
          <w:r>
            <w:rPr>
              <w:rFonts w:eastAsia="Times New Roman"/>
            </w:rPr>
            <w:t xml:space="preserve">, J., &amp; Richardson, C. J. (1995). Response of everglades plant communities to nitrogen and phosphorus additions. </w:t>
          </w:r>
          <w:r>
            <w:rPr>
              <w:rFonts w:eastAsia="Times New Roman"/>
              <w:i/>
              <w:iCs/>
            </w:rPr>
            <w:t>Wetlands</w:t>
          </w:r>
          <w:r>
            <w:rPr>
              <w:rFonts w:eastAsia="Times New Roman"/>
            </w:rPr>
            <w:t xml:space="preserve">, </w:t>
          </w:r>
          <w:r>
            <w:rPr>
              <w:rFonts w:eastAsia="Times New Roman"/>
              <w:i/>
              <w:iCs/>
            </w:rPr>
            <w:t>15</w:t>
          </w:r>
          <w:r>
            <w:rPr>
              <w:rFonts w:eastAsia="Times New Roman"/>
            </w:rPr>
            <w:t>(3), 258–271. https://doi.org/10.1007/BF03160706</w:t>
          </w:r>
        </w:p>
        <w:p w14:paraId="077B21BE" w14:textId="77777777" w:rsidR="00E807B5" w:rsidRDefault="00E807B5">
          <w:pPr>
            <w:autoSpaceDE w:val="0"/>
            <w:autoSpaceDN w:val="0"/>
            <w:ind w:hanging="480"/>
            <w:divId w:val="1073166179"/>
            <w:rPr>
              <w:rFonts w:eastAsia="Times New Roman"/>
            </w:rPr>
          </w:pPr>
          <w:r>
            <w:rPr>
              <w:rFonts w:eastAsia="Times New Roman"/>
            </w:rPr>
            <w:t xml:space="preserve">Craine, J. M., Morrow, C., &amp; Stock, W. D. (2008). Nutrient concentration ratios and co-limitation in South African grasslands. </w:t>
          </w:r>
          <w:r>
            <w:rPr>
              <w:rFonts w:eastAsia="Times New Roman"/>
              <w:i/>
              <w:iCs/>
            </w:rPr>
            <w:t>New Phytologist</w:t>
          </w:r>
          <w:r>
            <w:rPr>
              <w:rFonts w:eastAsia="Times New Roman"/>
            </w:rPr>
            <w:t xml:space="preserve">, </w:t>
          </w:r>
          <w:r>
            <w:rPr>
              <w:rFonts w:eastAsia="Times New Roman"/>
              <w:i/>
              <w:iCs/>
            </w:rPr>
            <w:t>179</w:t>
          </w:r>
          <w:r>
            <w:rPr>
              <w:rFonts w:eastAsia="Times New Roman"/>
            </w:rPr>
            <w:t>(3), 829–836. https://doi.org/10.1111/j.1469-8137.2008.02513.x</w:t>
          </w:r>
        </w:p>
        <w:p w14:paraId="19CA1C17" w14:textId="77777777" w:rsidR="00E807B5" w:rsidRDefault="00E807B5">
          <w:pPr>
            <w:autoSpaceDE w:val="0"/>
            <w:autoSpaceDN w:val="0"/>
            <w:ind w:hanging="480"/>
            <w:divId w:val="402415327"/>
            <w:rPr>
              <w:rFonts w:eastAsia="Times New Roman"/>
            </w:rPr>
          </w:pPr>
          <w:r>
            <w:rPr>
              <w:rFonts w:eastAsia="Times New Roman"/>
            </w:rPr>
            <w:t xml:space="preserve">Crous, K. Y., O’Sullivan, O. S., Zaragoza-Castells, J., Bloomfield, K. J., Negrini, A. C. A., Meir, P., Turnbull, M. H., Griffin, K. L., &amp; Atkin, O. K. (2017). Nitrogen and phosphorus availabilities interact to modulate leaf trait scaling relationships across six plant functional types in a controlled-environment study. </w:t>
          </w:r>
          <w:r>
            <w:rPr>
              <w:rFonts w:eastAsia="Times New Roman"/>
              <w:i/>
              <w:iCs/>
            </w:rPr>
            <w:t>New Phytologist</w:t>
          </w:r>
          <w:r>
            <w:rPr>
              <w:rFonts w:eastAsia="Times New Roman"/>
            </w:rPr>
            <w:t xml:space="preserve">, </w:t>
          </w:r>
          <w:r>
            <w:rPr>
              <w:rFonts w:eastAsia="Times New Roman"/>
              <w:i/>
              <w:iCs/>
            </w:rPr>
            <w:t>215</w:t>
          </w:r>
          <w:r>
            <w:rPr>
              <w:rFonts w:eastAsia="Times New Roman"/>
            </w:rPr>
            <w:t>(3), 992–1008. https://doi.org/10.1111/nph.14591</w:t>
          </w:r>
        </w:p>
        <w:p w14:paraId="79A45C51" w14:textId="77777777" w:rsidR="00E807B5" w:rsidRDefault="00E807B5">
          <w:pPr>
            <w:autoSpaceDE w:val="0"/>
            <w:autoSpaceDN w:val="0"/>
            <w:ind w:hanging="480"/>
            <w:divId w:val="898977061"/>
            <w:rPr>
              <w:rFonts w:eastAsia="Times New Roman"/>
            </w:rPr>
          </w:pPr>
          <w:r>
            <w:rPr>
              <w:rFonts w:eastAsia="Times New Roman"/>
            </w:rPr>
            <w:t xml:space="preserve">Cunha, J. P. B. F., Pimenta, J. A., </w:t>
          </w:r>
          <w:proofErr w:type="spellStart"/>
          <w:r>
            <w:rPr>
              <w:rFonts w:eastAsia="Times New Roman"/>
            </w:rPr>
            <w:t>Torezan</w:t>
          </w:r>
          <w:proofErr w:type="spellEnd"/>
          <w:r>
            <w:rPr>
              <w:rFonts w:eastAsia="Times New Roman"/>
            </w:rPr>
            <w:t xml:space="preserve">, J. M. D., de Oliveira, H. C., &amp; </w:t>
          </w:r>
          <w:proofErr w:type="spellStart"/>
          <w:r>
            <w:rPr>
              <w:rFonts w:eastAsia="Times New Roman"/>
            </w:rPr>
            <w:t>Stolf</w:t>
          </w:r>
          <w:proofErr w:type="spellEnd"/>
          <w:r>
            <w:rPr>
              <w:rFonts w:eastAsia="Times New Roman"/>
            </w:rPr>
            <w:t xml:space="preserve">-Moreira, R. (2024). Growth and physiological responses of Atlantic Forest tree seedlings to nitrogen and </w:t>
          </w:r>
          <w:r>
            <w:rPr>
              <w:rFonts w:eastAsia="Times New Roman"/>
            </w:rPr>
            <w:lastRenderedPageBreak/>
            <w:t xml:space="preserve">phosphorus addition. </w:t>
          </w:r>
          <w:r>
            <w:rPr>
              <w:rFonts w:eastAsia="Times New Roman"/>
              <w:i/>
              <w:iCs/>
            </w:rPr>
            <w:t>Trees - Structure and Function</w:t>
          </w:r>
          <w:r>
            <w:rPr>
              <w:rFonts w:eastAsia="Times New Roman"/>
            </w:rPr>
            <w:t xml:space="preserve">, </w:t>
          </w:r>
          <w:r>
            <w:rPr>
              <w:rFonts w:eastAsia="Times New Roman"/>
              <w:i/>
              <w:iCs/>
            </w:rPr>
            <w:t>38</w:t>
          </w:r>
          <w:r>
            <w:rPr>
              <w:rFonts w:eastAsia="Times New Roman"/>
            </w:rPr>
            <w:t>(4), 903–913. https://doi.org/10.1007/s00468-024-02523-8</w:t>
          </w:r>
        </w:p>
        <w:p w14:paraId="317697F2" w14:textId="77777777" w:rsidR="00E807B5" w:rsidRDefault="00E807B5">
          <w:pPr>
            <w:autoSpaceDE w:val="0"/>
            <w:autoSpaceDN w:val="0"/>
            <w:ind w:hanging="480"/>
            <w:divId w:val="521210736"/>
            <w:rPr>
              <w:rFonts w:eastAsia="Times New Roman"/>
            </w:rPr>
          </w:pPr>
          <w:r>
            <w:rPr>
              <w:rFonts w:eastAsia="Times New Roman"/>
            </w:rPr>
            <w:t xml:space="preserve">D’Antonio, C. M., &amp; Mack, M. C. (2006). Nutrient limitation in a fire-derived, nitrogen-rich Hawaiian grassland. </w:t>
          </w:r>
          <w:proofErr w:type="spellStart"/>
          <w:r>
            <w:rPr>
              <w:rFonts w:eastAsia="Times New Roman"/>
              <w:i/>
              <w:iCs/>
            </w:rPr>
            <w:t>Biotropica</w:t>
          </w:r>
          <w:proofErr w:type="spellEnd"/>
          <w:r>
            <w:rPr>
              <w:rFonts w:eastAsia="Times New Roman"/>
            </w:rPr>
            <w:t xml:space="preserve">, </w:t>
          </w:r>
          <w:r>
            <w:rPr>
              <w:rFonts w:eastAsia="Times New Roman"/>
              <w:i/>
              <w:iCs/>
            </w:rPr>
            <w:t>38</w:t>
          </w:r>
          <w:r>
            <w:rPr>
              <w:rFonts w:eastAsia="Times New Roman"/>
            </w:rPr>
            <w:t>(4), 458–467. https://doi.org/10.1111/j.1744-7429.2006.00170.x</w:t>
          </w:r>
        </w:p>
        <w:p w14:paraId="2DAFF6CE" w14:textId="77777777" w:rsidR="00E807B5" w:rsidRDefault="00E807B5">
          <w:pPr>
            <w:autoSpaceDE w:val="0"/>
            <w:autoSpaceDN w:val="0"/>
            <w:ind w:hanging="480"/>
            <w:divId w:val="401178311"/>
            <w:rPr>
              <w:rFonts w:eastAsia="Times New Roman"/>
            </w:rPr>
          </w:pPr>
          <w:r>
            <w:rPr>
              <w:rFonts w:eastAsia="Times New Roman"/>
            </w:rPr>
            <w:t xml:space="preserve">Davidson, E. A., Reis De Carvalho, C. J., Vieira, I. C. G., Figueiredo, R. D. O., Moutinho, P., Ishida, F. Y., Dos Santos, M. T. P., Guerrero, J. B., Kalif, K., &amp; </w:t>
          </w:r>
          <w:proofErr w:type="spellStart"/>
          <w:r>
            <w:rPr>
              <w:rFonts w:eastAsia="Times New Roman"/>
            </w:rPr>
            <w:t>Sabá</w:t>
          </w:r>
          <w:proofErr w:type="spellEnd"/>
          <w:r>
            <w:rPr>
              <w:rFonts w:eastAsia="Times New Roman"/>
            </w:rPr>
            <w:t xml:space="preserve">, R. T. (2004). Nitrogen and phosphorus limitation of biomass growth in a tropical secondary forest. </w:t>
          </w:r>
          <w:r>
            <w:rPr>
              <w:rFonts w:eastAsia="Times New Roman"/>
              <w:i/>
              <w:iCs/>
            </w:rPr>
            <w:t>Ecological Applications</w:t>
          </w:r>
          <w:r>
            <w:rPr>
              <w:rFonts w:eastAsia="Times New Roman"/>
            </w:rPr>
            <w:t xml:space="preserve">, </w:t>
          </w:r>
          <w:r>
            <w:rPr>
              <w:rFonts w:eastAsia="Times New Roman"/>
              <w:i/>
              <w:iCs/>
            </w:rPr>
            <w:t>14</w:t>
          </w:r>
          <w:r>
            <w:rPr>
              <w:rFonts w:eastAsia="Times New Roman"/>
            </w:rPr>
            <w:t>(4 SUPPL.), 150–163. https://doi.org/10.1890/01-6006</w:t>
          </w:r>
        </w:p>
        <w:p w14:paraId="529C1926" w14:textId="77777777" w:rsidR="00E807B5" w:rsidRDefault="00E807B5">
          <w:pPr>
            <w:autoSpaceDE w:val="0"/>
            <w:autoSpaceDN w:val="0"/>
            <w:ind w:hanging="480"/>
            <w:divId w:val="1565526783"/>
            <w:rPr>
              <w:rFonts w:eastAsia="Times New Roman"/>
            </w:rPr>
          </w:pPr>
          <w:r>
            <w:rPr>
              <w:rFonts w:eastAsia="Times New Roman"/>
            </w:rPr>
            <w:t xml:space="preserve">Dong, J., Cui, X., Wang, S., Wang, F., Pang, Z., Xu, N., Zhao, G., &amp; Wang, S. (2016). Changes in biomass and quality of alpine steppe in response to N &amp; P fertilization in the Tibetan Plateau. </w:t>
          </w:r>
          <w:proofErr w:type="spellStart"/>
          <w:r>
            <w:rPr>
              <w:rFonts w:eastAsia="Times New Roman"/>
              <w:i/>
              <w:iCs/>
            </w:rPr>
            <w:t>PLoS</w:t>
          </w:r>
          <w:proofErr w:type="spellEnd"/>
          <w:r>
            <w:rPr>
              <w:rFonts w:eastAsia="Times New Roman"/>
              <w:i/>
              <w:iCs/>
            </w:rPr>
            <w:t xml:space="preserve"> ONE</w:t>
          </w:r>
          <w:r>
            <w:rPr>
              <w:rFonts w:eastAsia="Times New Roman"/>
            </w:rPr>
            <w:t xml:space="preserve">, </w:t>
          </w:r>
          <w:r>
            <w:rPr>
              <w:rFonts w:eastAsia="Times New Roman"/>
              <w:i/>
              <w:iCs/>
            </w:rPr>
            <w:t>11</w:t>
          </w:r>
          <w:r>
            <w:rPr>
              <w:rFonts w:eastAsia="Times New Roman"/>
            </w:rPr>
            <w:t>(5), 1–14. https://doi.org/10.1371/journal.pone.0156146</w:t>
          </w:r>
        </w:p>
        <w:p w14:paraId="497D9840" w14:textId="77777777" w:rsidR="00E807B5" w:rsidRDefault="00E807B5">
          <w:pPr>
            <w:autoSpaceDE w:val="0"/>
            <w:autoSpaceDN w:val="0"/>
            <w:ind w:hanging="480"/>
            <w:divId w:val="1313480997"/>
            <w:rPr>
              <w:rFonts w:eastAsia="Times New Roman"/>
            </w:rPr>
          </w:pPr>
          <w:r>
            <w:rPr>
              <w:rFonts w:eastAsia="Times New Roman"/>
            </w:rPr>
            <w:t xml:space="preserve">Eller, F., Jensen, K., &amp; Reisdorff, C. (2017). Nighttime stomatal conductance differs with nutrient availability in two temperate floodplain tree species. </w:t>
          </w:r>
          <w:r>
            <w:rPr>
              <w:rFonts w:eastAsia="Times New Roman"/>
              <w:i/>
              <w:iCs/>
            </w:rPr>
            <w:t>Tree Physiology</w:t>
          </w:r>
          <w:r>
            <w:rPr>
              <w:rFonts w:eastAsia="Times New Roman"/>
            </w:rPr>
            <w:t xml:space="preserve">, </w:t>
          </w:r>
          <w:r>
            <w:rPr>
              <w:rFonts w:eastAsia="Times New Roman"/>
              <w:i/>
              <w:iCs/>
            </w:rPr>
            <w:t>37</w:t>
          </w:r>
          <w:r>
            <w:rPr>
              <w:rFonts w:eastAsia="Times New Roman"/>
            </w:rPr>
            <w:t>(4), 428–440. https://doi.org/10.1093/treephys/tpw113</w:t>
          </w:r>
        </w:p>
        <w:p w14:paraId="7246BA18" w14:textId="77777777" w:rsidR="00E807B5" w:rsidRDefault="00E807B5">
          <w:pPr>
            <w:autoSpaceDE w:val="0"/>
            <w:autoSpaceDN w:val="0"/>
            <w:ind w:hanging="480"/>
            <w:divId w:val="804547063"/>
            <w:rPr>
              <w:rFonts w:eastAsia="Times New Roman"/>
            </w:rPr>
          </w:pPr>
          <w:r>
            <w:rPr>
              <w:rFonts w:eastAsia="Times New Roman"/>
            </w:rPr>
            <w:t xml:space="preserve">Falk, K., Friedrich, U., von </w:t>
          </w:r>
          <w:proofErr w:type="spellStart"/>
          <w:r>
            <w:rPr>
              <w:rFonts w:eastAsia="Times New Roman"/>
            </w:rPr>
            <w:t>Oheimb</w:t>
          </w:r>
          <w:proofErr w:type="spellEnd"/>
          <w:r>
            <w:rPr>
              <w:rFonts w:eastAsia="Times New Roman"/>
            </w:rPr>
            <w:t xml:space="preserve">, G., Mischke, K., Merkle, K., Meyer, H., &amp; </w:t>
          </w:r>
          <w:proofErr w:type="spellStart"/>
          <w:r>
            <w:rPr>
              <w:rFonts w:eastAsia="Times New Roman"/>
            </w:rPr>
            <w:t>Härdtle</w:t>
          </w:r>
          <w:proofErr w:type="spellEnd"/>
          <w:r>
            <w:rPr>
              <w:rFonts w:eastAsia="Times New Roman"/>
            </w:rPr>
            <w:t xml:space="preserve">, W. (2010). Molinia caerulea responses to N and P </w:t>
          </w:r>
          <w:proofErr w:type="spellStart"/>
          <w:r>
            <w:rPr>
              <w:rFonts w:eastAsia="Times New Roman"/>
            </w:rPr>
            <w:t>fertilisation</w:t>
          </w:r>
          <w:proofErr w:type="spellEnd"/>
          <w:r>
            <w:rPr>
              <w:rFonts w:eastAsia="Times New Roman"/>
            </w:rPr>
            <w:t xml:space="preserve"> in a dry heathland ecosystem (NW-Germany). </w:t>
          </w:r>
          <w:r>
            <w:rPr>
              <w:rFonts w:eastAsia="Times New Roman"/>
              <w:i/>
              <w:iCs/>
            </w:rPr>
            <w:t>Plant Ecology</w:t>
          </w:r>
          <w:r>
            <w:rPr>
              <w:rFonts w:eastAsia="Times New Roman"/>
            </w:rPr>
            <w:t xml:space="preserve">, </w:t>
          </w:r>
          <w:r>
            <w:rPr>
              <w:rFonts w:eastAsia="Times New Roman"/>
              <w:i/>
              <w:iCs/>
            </w:rPr>
            <w:t>209</w:t>
          </w:r>
          <w:r>
            <w:rPr>
              <w:rFonts w:eastAsia="Times New Roman"/>
            </w:rPr>
            <w:t>(1), 47–56. https://doi.org/10.1007/s11258-010-9720-2</w:t>
          </w:r>
        </w:p>
        <w:p w14:paraId="1E5E2BAC" w14:textId="77777777" w:rsidR="00E807B5" w:rsidRDefault="00E807B5">
          <w:pPr>
            <w:autoSpaceDE w:val="0"/>
            <w:autoSpaceDN w:val="0"/>
            <w:ind w:hanging="480"/>
            <w:divId w:val="1460798479"/>
            <w:rPr>
              <w:rFonts w:eastAsia="Times New Roman"/>
            </w:rPr>
          </w:pPr>
          <w:proofErr w:type="spellStart"/>
          <w:r>
            <w:rPr>
              <w:rFonts w:eastAsia="Times New Roman"/>
            </w:rPr>
            <w:t>Firn</w:t>
          </w:r>
          <w:proofErr w:type="spellEnd"/>
          <w:r>
            <w:rPr>
              <w:rFonts w:eastAsia="Times New Roman"/>
            </w:rPr>
            <w:t xml:space="preserve">, J., McGree, J. M., Harvey, E., Flores-Moreno, H., Schütz, M., Buckley, Y. M., Borer, E. T., Seabloom, E. W., La Pierre, K. J., MacDougall, A. M., Prober, S. M., Stevens, C. J., Sullivan, L. L., Porter, E., Ladouceur, E., Allen, C., </w:t>
          </w:r>
          <w:proofErr w:type="spellStart"/>
          <w:r>
            <w:rPr>
              <w:rFonts w:eastAsia="Times New Roman"/>
            </w:rPr>
            <w:t>Moromizato</w:t>
          </w:r>
          <w:proofErr w:type="spellEnd"/>
          <w:r>
            <w:rPr>
              <w:rFonts w:eastAsia="Times New Roman"/>
            </w:rPr>
            <w:t xml:space="preserve">, K. H., Morgan, J. W., Harpole, W. S., … Risch, A. C. (2019). Leaf nutrients, not specific leaf area, are consistent indicators of elevated nutrient inputs. </w:t>
          </w:r>
          <w:r>
            <w:rPr>
              <w:rFonts w:eastAsia="Times New Roman"/>
              <w:i/>
              <w:iCs/>
            </w:rPr>
            <w:t>Nature Ecology &amp; Evolution</w:t>
          </w:r>
          <w:r>
            <w:rPr>
              <w:rFonts w:eastAsia="Times New Roman"/>
            </w:rPr>
            <w:t xml:space="preserve">, </w:t>
          </w:r>
          <w:r>
            <w:rPr>
              <w:rFonts w:eastAsia="Times New Roman"/>
              <w:i/>
              <w:iCs/>
            </w:rPr>
            <w:t>3</w:t>
          </w:r>
          <w:r>
            <w:rPr>
              <w:rFonts w:eastAsia="Times New Roman"/>
            </w:rPr>
            <w:t>(3), 400–406. https://doi.org/10.1038/s41559-018-0790-1</w:t>
          </w:r>
        </w:p>
        <w:p w14:paraId="1DBE3031" w14:textId="77777777" w:rsidR="00E807B5" w:rsidRDefault="00E807B5">
          <w:pPr>
            <w:autoSpaceDE w:val="0"/>
            <w:autoSpaceDN w:val="0"/>
            <w:ind w:hanging="480"/>
            <w:divId w:val="1859196483"/>
            <w:rPr>
              <w:rFonts w:eastAsia="Times New Roman"/>
            </w:rPr>
          </w:pPr>
          <w:r>
            <w:rPr>
              <w:rFonts w:eastAsia="Times New Roman"/>
            </w:rPr>
            <w:t xml:space="preserve">Fisher, J. B., Malhi, Y., Torres, I. C., Metcalfe, D. B., van de Weg, M. J., Meir, P., Silva-Espejo, J. E., &amp; </w:t>
          </w:r>
          <w:proofErr w:type="spellStart"/>
          <w:r>
            <w:rPr>
              <w:rFonts w:eastAsia="Times New Roman"/>
            </w:rPr>
            <w:t>Huasco</w:t>
          </w:r>
          <w:proofErr w:type="spellEnd"/>
          <w:r>
            <w:rPr>
              <w:rFonts w:eastAsia="Times New Roman"/>
            </w:rPr>
            <w:t xml:space="preserve">, W. H. (2013). Nutrient limitation in rainforests and cloud forests along a 3,000-m elevation gradient in the Peruvian Andes. </w:t>
          </w:r>
          <w:proofErr w:type="spellStart"/>
          <w:r>
            <w:rPr>
              <w:rFonts w:eastAsia="Times New Roman"/>
              <w:i/>
              <w:iCs/>
            </w:rPr>
            <w:t>Oecologia</w:t>
          </w:r>
          <w:proofErr w:type="spellEnd"/>
          <w:r>
            <w:rPr>
              <w:rFonts w:eastAsia="Times New Roman"/>
            </w:rPr>
            <w:t xml:space="preserve">, </w:t>
          </w:r>
          <w:r>
            <w:rPr>
              <w:rFonts w:eastAsia="Times New Roman"/>
              <w:i/>
              <w:iCs/>
            </w:rPr>
            <w:t>172</w:t>
          </w:r>
          <w:r>
            <w:rPr>
              <w:rFonts w:eastAsia="Times New Roman"/>
            </w:rPr>
            <w:t>(3), 889–902. https://doi.org/10.1007/s00442-012-2522-6</w:t>
          </w:r>
        </w:p>
        <w:p w14:paraId="244B7EF3" w14:textId="77777777" w:rsidR="00E807B5" w:rsidRDefault="00E807B5">
          <w:pPr>
            <w:autoSpaceDE w:val="0"/>
            <w:autoSpaceDN w:val="0"/>
            <w:ind w:hanging="480"/>
            <w:divId w:val="29653276"/>
            <w:rPr>
              <w:rFonts w:eastAsia="Times New Roman"/>
            </w:rPr>
          </w:pPr>
          <w:r>
            <w:rPr>
              <w:rFonts w:eastAsia="Times New Roman"/>
            </w:rPr>
            <w:t xml:space="preserve">Fornara, D. A., Banin, L., &amp; Crawley, M. J. (2013). Multi-nutrient vs. nitrogen-only effects on carbon sequestration in grassland soils. </w:t>
          </w:r>
          <w:r>
            <w:rPr>
              <w:rFonts w:eastAsia="Times New Roman"/>
              <w:i/>
              <w:iCs/>
            </w:rPr>
            <w:t>Global Change Biology</w:t>
          </w:r>
          <w:r>
            <w:rPr>
              <w:rFonts w:eastAsia="Times New Roman"/>
            </w:rPr>
            <w:t xml:space="preserve">, </w:t>
          </w:r>
          <w:r>
            <w:rPr>
              <w:rFonts w:eastAsia="Times New Roman"/>
              <w:i/>
              <w:iCs/>
            </w:rPr>
            <w:t>19</w:t>
          </w:r>
          <w:r>
            <w:rPr>
              <w:rFonts w:eastAsia="Times New Roman"/>
            </w:rPr>
            <w:t>(12), 3848–3857. https://doi.org/10.1111/gcb.12323</w:t>
          </w:r>
        </w:p>
        <w:p w14:paraId="7F51FE20" w14:textId="77777777" w:rsidR="00E807B5" w:rsidRDefault="00E807B5">
          <w:pPr>
            <w:autoSpaceDE w:val="0"/>
            <w:autoSpaceDN w:val="0"/>
            <w:ind w:hanging="480"/>
            <w:divId w:val="1471247294"/>
            <w:rPr>
              <w:rFonts w:eastAsia="Times New Roman"/>
            </w:rPr>
          </w:pPr>
          <w:r>
            <w:rPr>
              <w:rFonts w:eastAsia="Times New Roman"/>
            </w:rPr>
            <w:t xml:space="preserve">Friedrich, U., von </w:t>
          </w:r>
          <w:proofErr w:type="spellStart"/>
          <w:r>
            <w:rPr>
              <w:rFonts w:eastAsia="Times New Roman"/>
            </w:rPr>
            <w:t>Oheimb</w:t>
          </w:r>
          <w:proofErr w:type="spellEnd"/>
          <w:r>
            <w:rPr>
              <w:rFonts w:eastAsia="Times New Roman"/>
            </w:rPr>
            <w:t xml:space="preserve">, G., Kriebitzsch, W. U., </w:t>
          </w:r>
          <w:proofErr w:type="spellStart"/>
          <w:r>
            <w:rPr>
              <w:rFonts w:eastAsia="Times New Roman"/>
            </w:rPr>
            <w:t>Schleßelmann</w:t>
          </w:r>
          <w:proofErr w:type="spellEnd"/>
          <w:r>
            <w:rPr>
              <w:rFonts w:eastAsia="Times New Roman"/>
            </w:rPr>
            <w:t xml:space="preserve">, K., Weber, M. S., &amp; </w:t>
          </w:r>
          <w:proofErr w:type="spellStart"/>
          <w:r>
            <w:rPr>
              <w:rFonts w:eastAsia="Times New Roman"/>
            </w:rPr>
            <w:t>Härdtle</w:t>
          </w:r>
          <w:proofErr w:type="spellEnd"/>
          <w:r>
            <w:rPr>
              <w:rFonts w:eastAsia="Times New Roman"/>
            </w:rPr>
            <w:t xml:space="preserve">, W. (2012). Nitrogen deposition increases susceptibility to drought - experimental evidence with the perennial grass Molinia caerulea (L.) Moench. </w:t>
          </w:r>
          <w:r>
            <w:rPr>
              <w:rFonts w:eastAsia="Times New Roman"/>
              <w:i/>
              <w:iCs/>
            </w:rPr>
            <w:t>Plant and Soil</w:t>
          </w:r>
          <w:r>
            <w:rPr>
              <w:rFonts w:eastAsia="Times New Roman"/>
            </w:rPr>
            <w:t xml:space="preserve">, </w:t>
          </w:r>
          <w:r>
            <w:rPr>
              <w:rFonts w:eastAsia="Times New Roman"/>
              <w:i/>
              <w:iCs/>
            </w:rPr>
            <w:t>353</w:t>
          </w:r>
          <w:r>
            <w:rPr>
              <w:rFonts w:eastAsia="Times New Roman"/>
            </w:rPr>
            <w:t>(1–2), 59–71. https://doi.org/10.1007/s11104-011-1008-3</w:t>
          </w:r>
        </w:p>
        <w:p w14:paraId="078F0744" w14:textId="77777777" w:rsidR="00E807B5" w:rsidRDefault="00E807B5">
          <w:pPr>
            <w:autoSpaceDE w:val="0"/>
            <w:autoSpaceDN w:val="0"/>
            <w:ind w:hanging="480"/>
            <w:divId w:val="794909157"/>
            <w:rPr>
              <w:rFonts w:eastAsia="Times New Roman"/>
            </w:rPr>
          </w:pPr>
          <w:r>
            <w:rPr>
              <w:rFonts w:eastAsia="Times New Roman"/>
            </w:rPr>
            <w:lastRenderedPageBreak/>
            <w:t xml:space="preserve">Frost, J. W., Schleicher, T., &amp; Craft, C. (2009). Effects of nitrogen and phosphorus additions on primary production and invertebrate densities in a Georgia (USA) tidal freshwater Marsh. </w:t>
          </w:r>
          <w:r>
            <w:rPr>
              <w:rFonts w:eastAsia="Times New Roman"/>
              <w:i/>
              <w:iCs/>
            </w:rPr>
            <w:t>Wetlands</w:t>
          </w:r>
          <w:r>
            <w:rPr>
              <w:rFonts w:eastAsia="Times New Roman"/>
            </w:rPr>
            <w:t xml:space="preserve">, </w:t>
          </w:r>
          <w:r>
            <w:rPr>
              <w:rFonts w:eastAsia="Times New Roman"/>
              <w:i/>
              <w:iCs/>
            </w:rPr>
            <w:t>29</w:t>
          </w:r>
          <w:r>
            <w:rPr>
              <w:rFonts w:eastAsia="Times New Roman"/>
            </w:rPr>
            <w:t>(1), 196–203. https://doi.org/10.1672/07-79.1</w:t>
          </w:r>
        </w:p>
        <w:p w14:paraId="151675ED" w14:textId="77777777" w:rsidR="00E807B5" w:rsidRDefault="00E807B5">
          <w:pPr>
            <w:autoSpaceDE w:val="0"/>
            <w:autoSpaceDN w:val="0"/>
            <w:ind w:hanging="480"/>
            <w:divId w:val="1960261005"/>
            <w:rPr>
              <w:rFonts w:eastAsia="Times New Roman"/>
            </w:rPr>
          </w:pPr>
          <w:r>
            <w:rPr>
              <w:rFonts w:eastAsia="Times New Roman"/>
            </w:rPr>
            <w:t xml:space="preserve">Gough, L., &amp; Hobbie, S. E. (2003). Responses of moist non-acidic arctic tundra to altered environment: Productivity, biomass, and species richness. </w:t>
          </w:r>
          <w:r>
            <w:rPr>
              <w:rFonts w:eastAsia="Times New Roman"/>
              <w:i/>
              <w:iCs/>
            </w:rPr>
            <w:t>Oikos</w:t>
          </w:r>
          <w:r>
            <w:rPr>
              <w:rFonts w:eastAsia="Times New Roman"/>
            </w:rPr>
            <w:t xml:space="preserve">, </w:t>
          </w:r>
          <w:r>
            <w:rPr>
              <w:rFonts w:eastAsia="Times New Roman"/>
              <w:i/>
              <w:iCs/>
            </w:rPr>
            <w:t>103</w:t>
          </w:r>
          <w:r>
            <w:rPr>
              <w:rFonts w:eastAsia="Times New Roman"/>
            </w:rPr>
            <w:t>(1), 204–216. https://doi.org/10.1034/j.1600-0706.2003.12363.x</w:t>
          </w:r>
        </w:p>
        <w:p w14:paraId="19B6BDBF" w14:textId="77777777" w:rsidR="00E807B5" w:rsidRDefault="00E807B5">
          <w:pPr>
            <w:autoSpaceDE w:val="0"/>
            <w:autoSpaceDN w:val="0"/>
            <w:ind w:hanging="480"/>
            <w:divId w:val="2013486082"/>
            <w:rPr>
              <w:rFonts w:eastAsia="Times New Roman"/>
            </w:rPr>
          </w:pPr>
          <w:proofErr w:type="spellStart"/>
          <w:r>
            <w:rPr>
              <w:rFonts w:eastAsia="Times New Roman"/>
            </w:rPr>
            <w:t>Güsewell</w:t>
          </w:r>
          <w:proofErr w:type="spellEnd"/>
          <w:r>
            <w:rPr>
              <w:rFonts w:eastAsia="Times New Roman"/>
            </w:rPr>
            <w:t xml:space="preserve">, S., Koerselman, W., &amp; Verhoeven, J. T. A. (2002). Time-dependent effects of fertilization on plant biomass in floating fens. </w:t>
          </w:r>
          <w:r>
            <w:rPr>
              <w:rFonts w:eastAsia="Times New Roman"/>
              <w:i/>
              <w:iCs/>
            </w:rPr>
            <w:t>Journal of Vegetation Science</w:t>
          </w:r>
          <w:r>
            <w:rPr>
              <w:rFonts w:eastAsia="Times New Roman"/>
            </w:rPr>
            <w:t xml:space="preserve">, </w:t>
          </w:r>
          <w:r>
            <w:rPr>
              <w:rFonts w:eastAsia="Times New Roman"/>
              <w:i/>
              <w:iCs/>
            </w:rPr>
            <w:t>13</w:t>
          </w:r>
          <w:r>
            <w:rPr>
              <w:rFonts w:eastAsia="Times New Roman"/>
            </w:rPr>
            <w:t>(5), 705–718. https://doi.org/10.1111/j.1654-1103.2002.tb02098.x</w:t>
          </w:r>
        </w:p>
        <w:p w14:paraId="129A0827" w14:textId="77777777" w:rsidR="00E807B5" w:rsidRDefault="00E807B5">
          <w:pPr>
            <w:autoSpaceDE w:val="0"/>
            <w:autoSpaceDN w:val="0"/>
            <w:ind w:hanging="480"/>
            <w:divId w:val="1707099663"/>
            <w:rPr>
              <w:rFonts w:eastAsia="Times New Roman"/>
            </w:rPr>
          </w:pPr>
          <w:proofErr w:type="spellStart"/>
          <w:r>
            <w:rPr>
              <w:rFonts w:eastAsia="Times New Roman"/>
            </w:rPr>
            <w:t>Güsewell</w:t>
          </w:r>
          <w:proofErr w:type="spellEnd"/>
          <w:r>
            <w:rPr>
              <w:rFonts w:eastAsia="Times New Roman"/>
            </w:rPr>
            <w:t xml:space="preserve">, S., Koerselman, W., &amp; Verhoeven, J. T. A. (2003). Biomass N:P ratios as indicators of nutrient limitation for plant populations in wetlands. </w:t>
          </w:r>
          <w:r>
            <w:rPr>
              <w:rFonts w:eastAsia="Times New Roman"/>
              <w:i/>
              <w:iCs/>
            </w:rPr>
            <w:t>Ecological Applications</w:t>
          </w:r>
          <w:r>
            <w:rPr>
              <w:rFonts w:eastAsia="Times New Roman"/>
            </w:rPr>
            <w:t xml:space="preserve">, </w:t>
          </w:r>
          <w:r>
            <w:rPr>
              <w:rFonts w:eastAsia="Times New Roman"/>
              <w:i/>
              <w:iCs/>
            </w:rPr>
            <w:t>13</w:t>
          </w:r>
          <w:r>
            <w:rPr>
              <w:rFonts w:eastAsia="Times New Roman"/>
            </w:rPr>
            <w:t>(2), 372–384. https://doi.org/10.1890/1051-0761(2003)013[</w:t>
          </w:r>
          <w:proofErr w:type="gramStart"/>
          <w:r>
            <w:rPr>
              <w:rFonts w:eastAsia="Times New Roman"/>
            </w:rPr>
            <w:t>0372:BNRAIO</w:t>
          </w:r>
          <w:proofErr w:type="gramEnd"/>
          <w:r>
            <w:rPr>
              <w:rFonts w:eastAsia="Times New Roman"/>
            </w:rPr>
            <w:t>]2.0.CO;2</w:t>
          </w:r>
        </w:p>
        <w:p w14:paraId="3A3789C0" w14:textId="77777777" w:rsidR="00E807B5" w:rsidRDefault="00E807B5">
          <w:pPr>
            <w:autoSpaceDE w:val="0"/>
            <w:autoSpaceDN w:val="0"/>
            <w:ind w:hanging="480"/>
            <w:divId w:val="1651867027"/>
            <w:rPr>
              <w:rFonts w:eastAsia="Times New Roman"/>
            </w:rPr>
          </w:pPr>
          <w:r>
            <w:rPr>
              <w:rFonts w:eastAsia="Times New Roman"/>
            </w:rPr>
            <w:t xml:space="preserve">Haag, R. W. (1974). Nutrient limitations to plant production in two tundra communities. </w:t>
          </w:r>
          <w:r>
            <w:rPr>
              <w:rFonts w:eastAsia="Times New Roman"/>
              <w:i/>
              <w:iCs/>
            </w:rPr>
            <w:t>Canadian Journal of Botany</w:t>
          </w:r>
          <w:r>
            <w:rPr>
              <w:rFonts w:eastAsia="Times New Roman"/>
            </w:rPr>
            <w:t xml:space="preserve">, </w:t>
          </w:r>
          <w:r>
            <w:rPr>
              <w:rFonts w:eastAsia="Times New Roman"/>
              <w:i/>
              <w:iCs/>
            </w:rPr>
            <w:t>52</w:t>
          </w:r>
          <w:r>
            <w:rPr>
              <w:rFonts w:eastAsia="Times New Roman"/>
            </w:rPr>
            <w:t>(1), 103–116.</w:t>
          </w:r>
        </w:p>
        <w:p w14:paraId="7FAC4C75" w14:textId="77777777" w:rsidR="00E807B5" w:rsidRDefault="00E807B5">
          <w:pPr>
            <w:autoSpaceDE w:val="0"/>
            <w:autoSpaceDN w:val="0"/>
            <w:ind w:hanging="480"/>
            <w:divId w:val="980303363"/>
            <w:rPr>
              <w:rFonts w:eastAsia="Times New Roman"/>
            </w:rPr>
          </w:pPr>
          <w:r>
            <w:rPr>
              <w:rFonts w:eastAsia="Times New Roman"/>
            </w:rPr>
            <w:t xml:space="preserve">Han, X., Tsunekawa, A., Tsubo, M., &amp; Li, S. (2011). Aboveground biomass response to increasing nitrogen deposition on grassland on the northern Loess Plateau of China. </w:t>
          </w:r>
          <w:r>
            <w:rPr>
              <w:rFonts w:eastAsia="Times New Roman"/>
              <w:i/>
              <w:iCs/>
            </w:rPr>
            <w:t xml:space="preserve">Acta </w:t>
          </w:r>
          <w:proofErr w:type="spellStart"/>
          <w:r>
            <w:rPr>
              <w:rFonts w:eastAsia="Times New Roman"/>
              <w:i/>
              <w:iCs/>
            </w:rPr>
            <w:t>Agriculturae</w:t>
          </w:r>
          <w:proofErr w:type="spellEnd"/>
          <w:r>
            <w:rPr>
              <w:rFonts w:eastAsia="Times New Roman"/>
              <w:i/>
              <w:iCs/>
            </w:rPr>
            <w:t xml:space="preserve"> Scandinavica Section B: Soil and Plant Science</w:t>
          </w:r>
          <w:r>
            <w:rPr>
              <w:rFonts w:eastAsia="Times New Roman"/>
            </w:rPr>
            <w:t xml:space="preserve">, </w:t>
          </w:r>
          <w:r>
            <w:rPr>
              <w:rFonts w:eastAsia="Times New Roman"/>
              <w:i/>
              <w:iCs/>
            </w:rPr>
            <w:t>61</w:t>
          </w:r>
          <w:r>
            <w:rPr>
              <w:rFonts w:eastAsia="Times New Roman"/>
            </w:rPr>
            <w:t>(2), 112–121. https://doi.org/10.1080/09064710903544201</w:t>
          </w:r>
        </w:p>
        <w:p w14:paraId="0FFE302C" w14:textId="77777777" w:rsidR="00E807B5" w:rsidRDefault="00E807B5">
          <w:pPr>
            <w:autoSpaceDE w:val="0"/>
            <w:autoSpaceDN w:val="0"/>
            <w:ind w:hanging="480"/>
            <w:divId w:val="764616712"/>
            <w:rPr>
              <w:rFonts w:eastAsia="Times New Roman"/>
            </w:rPr>
          </w:pPr>
          <w:r>
            <w:rPr>
              <w:rFonts w:eastAsia="Times New Roman"/>
            </w:rPr>
            <w:t xml:space="preserve">Harrington, R. A., Fownes, J. H., &amp; </w:t>
          </w:r>
          <w:proofErr w:type="spellStart"/>
          <w:r>
            <w:rPr>
              <w:rFonts w:eastAsia="Times New Roman"/>
            </w:rPr>
            <w:t>Vitousek</w:t>
          </w:r>
          <w:proofErr w:type="spellEnd"/>
          <w:r>
            <w:rPr>
              <w:rFonts w:eastAsia="Times New Roman"/>
            </w:rPr>
            <w:t xml:space="preserve">, P. M. (2001). Production and resource use efficiencies in N- and P-limited tropical forests: A comparison of responses to long-term fertilization. </w:t>
          </w:r>
          <w:r>
            <w:rPr>
              <w:rFonts w:eastAsia="Times New Roman"/>
              <w:i/>
              <w:iCs/>
            </w:rPr>
            <w:t>Ecosystems</w:t>
          </w:r>
          <w:r>
            <w:rPr>
              <w:rFonts w:eastAsia="Times New Roman"/>
            </w:rPr>
            <w:t xml:space="preserve">, </w:t>
          </w:r>
          <w:r>
            <w:rPr>
              <w:rFonts w:eastAsia="Times New Roman"/>
              <w:i/>
              <w:iCs/>
            </w:rPr>
            <w:t>4</w:t>
          </w:r>
          <w:r>
            <w:rPr>
              <w:rFonts w:eastAsia="Times New Roman"/>
            </w:rPr>
            <w:t>(7), 646–657. https://doi.org/10.1007/s10021-001-0034-z</w:t>
          </w:r>
        </w:p>
        <w:p w14:paraId="258AD1A4" w14:textId="77777777" w:rsidR="00E807B5" w:rsidRDefault="00E807B5">
          <w:pPr>
            <w:autoSpaceDE w:val="0"/>
            <w:autoSpaceDN w:val="0"/>
            <w:ind w:hanging="480"/>
            <w:divId w:val="85350922"/>
            <w:rPr>
              <w:rFonts w:eastAsia="Times New Roman"/>
            </w:rPr>
          </w:pPr>
          <w:proofErr w:type="spellStart"/>
          <w:r>
            <w:rPr>
              <w:rFonts w:eastAsia="Times New Roman"/>
            </w:rPr>
            <w:t>Haubensak</w:t>
          </w:r>
          <w:proofErr w:type="spellEnd"/>
          <w:r>
            <w:rPr>
              <w:rFonts w:eastAsia="Times New Roman"/>
            </w:rPr>
            <w:t xml:space="preserve">, K. A., &amp; D’Antonio, C. M. (2011). The importance of nitrogen-fixation for an invader of a coastal California grassland. </w:t>
          </w:r>
          <w:r>
            <w:rPr>
              <w:rFonts w:eastAsia="Times New Roman"/>
              <w:i/>
              <w:iCs/>
            </w:rPr>
            <w:t>Biological Invasions</w:t>
          </w:r>
          <w:r>
            <w:rPr>
              <w:rFonts w:eastAsia="Times New Roman"/>
            </w:rPr>
            <w:t xml:space="preserve">, </w:t>
          </w:r>
          <w:r>
            <w:rPr>
              <w:rFonts w:eastAsia="Times New Roman"/>
              <w:i/>
              <w:iCs/>
            </w:rPr>
            <w:t>13</w:t>
          </w:r>
          <w:r>
            <w:rPr>
              <w:rFonts w:eastAsia="Times New Roman"/>
            </w:rPr>
            <w:t>(6), 1275–1282. https://doi.org/10.1007/s10530-010-9904-7</w:t>
          </w:r>
        </w:p>
        <w:p w14:paraId="59994942" w14:textId="77777777" w:rsidR="00E807B5" w:rsidRDefault="00E807B5">
          <w:pPr>
            <w:autoSpaceDE w:val="0"/>
            <w:autoSpaceDN w:val="0"/>
            <w:ind w:hanging="480"/>
            <w:divId w:val="1718779617"/>
            <w:rPr>
              <w:rFonts w:eastAsia="Times New Roman"/>
            </w:rPr>
          </w:pPr>
          <w:r>
            <w:rPr>
              <w:rFonts w:eastAsia="Times New Roman"/>
            </w:rPr>
            <w:t xml:space="preserve">He, D., Xiang, X., He, J. S., Wang, C., Cao, G., Adams, J., &amp; Chu, H. (2016). Composition of the soil fungal community is more sensitive to phosphorus than nitrogen addition in the alpine meadow on the Qinghai-Tibetan Plateau. </w:t>
          </w:r>
          <w:r>
            <w:rPr>
              <w:rFonts w:eastAsia="Times New Roman"/>
              <w:i/>
              <w:iCs/>
            </w:rPr>
            <w:t>Biology and Fertility of Soils</w:t>
          </w:r>
          <w:r>
            <w:rPr>
              <w:rFonts w:eastAsia="Times New Roman"/>
            </w:rPr>
            <w:t xml:space="preserve">, </w:t>
          </w:r>
          <w:r>
            <w:rPr>
              <w:rFonts w:eastAsia="Times New Roman"/>
              <w:i/>
              <w:iCs/>
            </w:rPr>
            <w:t>52</w:t>
          </w:r>
          <w:r>
            <w:rPr>
              <w:rFonts w:eastAsia="Times New Roman"/>
            </w:rPr>
            <w:t>(8), 1059–1072. https://doi.org/10.1007/s00374-016-1142-4</w:t>
          </w:r>
        </w:p>
        <w:p w14:paraId="689C4A28" w14:textId="77777777" w:rsidR="00E807B5" w:rsidRDefault="00E807B5">
          <w:pPr>
            <w:autoSpaceDE w:val="0"/>
            <w:autoSpaceDN w:val="0"/>
            <w:ind w:hanging="480"/>
            <w:divId w:val="227568978"/>
            <w:rPr>
              <w:rFonts w:eastAsia="Times New Roman"/>
            </w:rPr>
          </w:pPr>
          <w:r>
            <w:rPr>
              <w:rFonts w:eastAsia="Times New Roman"/>
            </w:rPr>
            <w:t xml:space="preserve">Herbert, D. A., &amp; Fownes, J. H. (1995). Phosphorus limitation of forest leaf area and net primary production on a highly weathered soil. </w:t>
          </w:r>
          <w:r>
            <w:rPr>
              <w:rFonts w:eastAsia="Times New Roman"/>
              <w:i/>
              <w:iCs/>
            </w:rPr>
            <w:t>Biogeochemistry</w:t>
          </w:r>
          <w:r>
            <w:rPr>
              <w:rFonts w:eastAsia="Times New Roman"/>
            </w:rPr>
            <w:t xml:space="preserve">, </w:t>
          </w:r>
          <w:r>
            <w:rPr>
              <w:rFonts w:eastAsia="Times New Roman"/>
              <w:i/>
              <w:iCs/>
            </w:rPr>
            <w:t>29</w:t>
          </w:r>
          <w:r>
            <w:rPr>
              <w:rFonts w:eastAsia="Times New Roman"/>
            </w:rPr>
            <w:t>(3), 223–235. https://doi.org/10.1007/BF02186049</w:t>
          </w:r>
        </w:p>
        <w:p w14:paraId="4ED5D0EC" w14:textId="77777777" w:rsidR="00E807B5" w:rsidRDefault="00E807B5">
          <w:pPr>
            <w:autoSpaceDE w:val="0"/>
            <w:autoSpaceDN w:val="0"/>
            <w:ind w:hanging="480"/>
            <w:divId w:val="106193416"/>
            <w:rPr>
              <w:rFonts w:eastAsia="Times New Roman"/>
            </w:rPr>
          </w:pPr>
          <w:r>
            <w:rPr>
              <w:rFonts w:eastAsia="Times New Roman"/>
            </w:rPr>
            <w:t xml:space="preserve">Hersch-Green, E. I., Fay, P. A., Hass, H. B., &amp; Smith, N. G. (2024). Mechanistic insights into plant community responses to environmental variables: genome size, cellular nutrient investments, and metabolic tradeoffs. </w:t>
          </w:r>
          <w:r>
            <w:rPr>
              <w:rFonts w:eastAsia="Times New Roman"/>
              <w:i/>
              <w:iCs/>
            </w:rPr>
            <w:t>New Phytologist</w:t>
          </w:r>
          <w:r>
            <w:rPr>
              <w:rFonts w:eastAsia="Times New Roman"/>
            </w:rPr>
            <w:t>. https://doi.org/10.1111/nph.20374</w:t>
          </w:r>
        </w:p>
        <w:p w14:paraId="7BBCD941" w14:textId="77777777" w:rsidR="00E807B5" w:rsidRDefault="00E807B5">
          <w:pPr>
            <w:autoSpaceDE w:val="0"/>
            <w:autoSpaceDN w:val="0"/>
            <w:ind w:hanging="480"/>
            <w:divId w:val="1383597254"/>
            <w:rPr>
              <w:rFonts w:eastAsia="Times New Roman"/>
            </w:rPr>
          </w:pPr>
          <w:r>
            <w:rPr>
              <w:rFonts w:eastAsia="Times New Roman"/>
            </w:rPr>
            <w:lastRenderedPageBreak/>
            <w:t xml:space="preserve">Huff, L. M., Potts, D. L., &amp; </w:t>
          </w:r>
          <w:proofErr w:type="spellStart"/>
          <w:r>
            <w:rPr>
              <w:rFonts w:eastAsia="Times New Roman"/>
            </w:rPr>
            <w:t>Hamerlynck</w:t>
          </w:r>
          <w:proofErr w:type="spellEnd"/>
          <w:r>
            <w:rPr>
              <w:rFonts w:eastAsia="Times New Roman"/>
            </w:rPr>
            <w:t xml:space="preserve">, E. P. (2015). Ecosystem CO 2 Exchange in Response to Nitrogen and Phosphorus Addition in a Restored, Temperate Grassland. </w:t>
          </w:r>
          <w:r>
            <w:rPr>
              <w:rFonts w:eastAsia="Times New Roman"/>
              <w:i/>
              <w:iCs/>
            </w:rPr>
            <w:t>The American Midland Naturalist</w:t>
          </w:r>
          <w:r>
            <w:rPr>
              <w:rFonts w:eastAsia="Times New Roman"/>
            </w:rPr>
            <w:t xml:space="preserve">, </w:t>
          </w:r>
          <w:r>
            <w:rPr>
              <w:rFonts w:eastAsia="Times New Roman"/>
              <w:i/>
              <w:iCs/>
            </w:rPr>
            <w:t>173</w:t>
          </w:r>
          <w:r>
            <w:rPr>
              <w:rFonts w:eastAsia="Times New Roman"/>
            </w:rPr>
            <w:t>(1), 73–87. https://doi.org/10.1674/0003-0031-173.1.73</w:t>
          </w:r>
        </w:p>
        <w:p w14:paraId="16E7858E" w14:textId="77777777" w:rsidR="00E807B5" w:rsidRDefault="00E807B5">
          <w:pPr>
            <w:autoSpaceDE w:val="0"/>
            <w:autoSpaceDN w:val="0"/>
            <w:ind w:hanging="480"/>
            <w:divId w:val="1846633464"/>
            <w:rPr>
              <w:rFonts w:eastAsia="Times New Roman"/>
            </w:rPr>
          </w:pPr>
          <w:r>
            <w:rPr>
              <w:rFonts w:eastAsia="Times New Roman"/>
            </w:rPr>
            <w:t xml:space="preserve">Iversen, C. M., Bridgham, S. D., &amp; Kellogg, L. E. (2010). Scaling plant nitrogen </w:t>
          </w:r>
          <w:proofErr w:type="gramStart"/>
          <w:r>
            <w:rPr>
              <w:rFonts w:eastAsia="Times New Roman"/>
            </w:rPr>
            <w:t>use</w:t>
          </w:r>
          <w:proofErr w:type="gramEnd"/>
          <w:r>
            <w:rPr>
              <w:rFonts w:eastAsia="Times New Roman"/>
            </w:rPr>
            <w:t xml:space="preserve"> and uptake efficiencies in response to nutrient addition in peatlands. </w:t>
          </w:r>
          <w:r>
            <w:rPr>
              <w:rFonts w:eastAsia="Times New Roman"/>
              <w:i/>
              <w:iCs/>
            </w:rPr>
            <w:t>Ecology</w:t>
          </w:r>
          <w:r>
            <w:rPr>
              <w:rFonts w:eastAsia="Times New Roman"/>
            </w:rPr>
            <w:t xml:space="preserve">, </w:t>
          </w:r>
          <w:r>
            <w:rPr>
              <w:rFonts w:eastAsia="Times New Roman"/>
              <w:i/>
              <w:iCs/>
            </w:rPr>
            <w:t>91</w:t>
          </w:r>
          <w:r>
            <w:rPr>
              <w:rFonts w:eastAsia="Times New Roman"/>
            </w:rPr>
            <w:t>(3), 693–707. https://doi.org/10.1890/09-0064.1</w:t>
          </w:r>
        </w:p>
        <w:p w14:paraId="4AFB647D" w14:textId="77777777" w:rsidR="00E807B5" w:rsidRDefault="00E807B5">
          <w:pPr>
            <w:autoSpaceDE w:val="0"/>
            <w:autoSpaceDN w:val="0"/>
            <w:ind w:hanging="480"/>
            <w:divId w:val="1094014059"/>
            <w:rPr>
              <w:rFonts w:eastAsia="Times New Roman"/>
            </w:rPr>
          </w:pPr>
          <w:r>
            <w:rPr>
              <w:rFonts w:eastAsia="Times New Roman"/>
            </w:rPr>
            <w:t xml:space="preserve">Jing, X., Yang, X., Ren, F., Zhou, H., Zhu, B., &amp; He, J. S. (2016). Neutral effect of nitrogen addition and negative effect of phosphorus addition on topsoil extracellular enzymatic activities in an alpine grassland ecosystem. </w:t>
          </w:r>
          <w:r>
            <w:rPr>
              <w:rFonts w:eastAsia="Times New Roman"/>
              <w:i/>
              <w:iCs/>
            </w:rPr>
            <w:t>Applied Soil Ecology</w:t>
          </w:r>
          <w:r>
            <w:rPr>
              <w:rFonts w:eastAsia="Times New Roman"/>
            </w:rPr>
            <w:t xml:space="preserve">, </w:t>
          </w:r>
          <w:r>
            <w:rPr>
              <w:rFonts w:eastAsia="Times New Roman"/>
              <w:i/>
              <w:iCs/>
            </w:rPr>
            <w:t>107</w:t>
          </w:r>
          <w:r>
            <w:rPr>
              <w:rFonts w:eastAsia="Times New Roman"/>
            </w:rPr>
            <w:t>, 205–213. https://doi.org/10.1016/j.apsoil.2016.06.004</w:t>
          </w:r>
        </w:p>
        <w:p w14:paraId="294AE953" w14:textId="77777777" w:rsidR="00E807B5" w:rsidRDefault="00E807B5">
          <w:pPr>
            <w:autoSpaceDE w:val="0"/>
            <w:autoSpaceDN w:val="0"/>
            <w:ind w:hanging="480"/>
            <w:divId w:val="1333872068"/>
            <w:rPr>
              <w:rFonts w:eastAsia="Times New Roman"/>
            </w:rPr>
          </w:pPr>
          <w:r>
            <w:rPr>
              <w:rFonts w:eastAsia="Times New Roman"/>
            </w:rPr>
            <w:t xml:space="preserve">Ket, W. A., Schubauer-Berigan, J. P., &amp; Craft, C. B. (2011). Effects of five years of nitrogen and phosphorus additions on a </w:t>
          </w:r>
          <w:proofErr w:type="spellStart"/>
          <w:r>
            <w:rPr>
              <w:rFonts w:eastAsia="Times New Roman"/>
            </w:rPr>
            <w:t>Zizaniopsis</w:t>
          </w:r>
          <w:proofErr w:type="spellEnd"/>
          <w:r>
            <w:rPr>
              <w:rFonts w:eastAsia="Times New Roman"/>
            </w:rPr>
            <w:t xml:space="preserve"> </w:t>
          </w:r>
          <w:proofErr w:type="spellStart"/>
          <w:r>
            <w:rPr>
              <w:rFonts w:eastAsia="Times New Roman"/>
            </w:rPr>
            <w:t>miliacea</w:t>
          </w:r>
          <w:proofErr w:type="spellEnd"/>
          <w:r>
            <w:rPr>
              <w:rFonts w:eastAsia="Times New Roman"/>
            </w:rPr>
            <w:t xml:space="preserve"> tidal freshwater marsh. </w:t>
          </w:r>
          <w:r>
            <w:rPr>
              <w:rFonts w:eastAsia="Times New Roman"/>
              <w:i/>
              <w:iCs/>
            </w:rPr>
            <w:t>Aquatic Botany</w:t>
          </w:r>
          <w:r>
            <w:rPr>
              <w:rFonts w:eastAsia="Times New Roman"/>
            </w:rPr>
            <w:t xml:space="preserve">, </w:t>
          </w:r>
          <w:r>
            <w:rPr>
              <w:rFonts w:eastAsia="Times New Roman"/>
              <w:i/>
              <w:iCs/>
            </w:rPr>
            <w:t>95</w:t>
          </w:r>
          <w:r>
            <w:rPr>
              <w:rFonts w:eastAsia="Times New Roman"/>
            </w:rPr>
            <w:t>(1), 17–23. https://doi.org/10.1016/j.aquabot.2011.03.003</w:t>
          </w:r>
        </w:p>
        <w:p w14:paraId="39E5EDCB" w14:textId="77777777" w:rsidR="00E807B5" w:rsidRDefault="00E807B5">
          <w:pPr>
            <w:autoSpaceDE w:val="0"/>
            <w:autoSpaceDN w:val="0"/>
            <w:ind w:hanging="480"/>
            <w:divId w:val="1409688858"/>
            <w:rPr>
              <w:rFonts w:eastAsia="Times New Roman"/>
            </w:rPr>
          </w:pPr>
          <w:r>
            <w:rPr>
              <w:rFonts w:eastAsia="Times New Roman"/>
            </w:rPr>
            <w:t xml:space="preserve">Lawrence, D. (2001). Nitrogen and phosphorus enhance growth and luxury consumption of four secondary forest tree species in Borneo. </w:t>
          </w:r>
          <w:r>
            <w:rPr>
              <w:rFonts w:eastAsia="Times New Roman"/>
              <w:i/>
              <w:iCs/>
            </w:rPr>
            <w:t>Journal of Tropical Ecology</w:t>
          </w:r>
          <w:r>
            <w:rPr>
              <w:rFonts w:eastAsia="Times New Roman"/>
            </w:rPr>
            <w:t xml:space="preserve">, </w:t>
          </w:r>
          <w:r>
            <w:rPr>
              <w:rFonts w:eastAsia="Times New Roman"/>
              <w:i/>
              <w:iCs/>
            </w:rPr>
            <w:t>17</w:t>
          </w:r>
          <w:r>
            <w:rPr>
              <w:rFonts w:eastAsia="Times New Roman"/>
            </w:rPr>
            <w:t>(6), 859–869. https://doi.org/10.1017/S0266467401001638</w:t>
          </w:r>
        </w:p>
        <w:p w14:paraId="44E05A04" w14:textId="77777777" w:rsidR="00E807B5" w:rsidRDefault="00E807B5">
          <w:pPr>
            <w:autoSpaceDE w:val="0"/>
            <w:autoSpaceDN w:val="0"/>
            <w:ind w:hanging="480"/>
            <w:divId w:val="932321358"/>
            <w:rPr>
              <w:rFonts w:eastAsia="Times New Roman"/>
            </w:rPr>
          </w:pPr>
          <w:r>
            <w:rPr>
              <w:rFonts w:eastAsia="Times New Roman"/>
            </w:rPr>
            <w:t xml:space="preserve">Li, J. H., Yang, Y. J., Li, B. W., Li, W. J., Wang, G., &amp; Knops, J. M. H. (2014). Effects of nitrogen and phosphorus fertilization on soil carbon fractions in alpine meadows on the Qinghai-Tibetan Plateau. </w:t>
          </w:r>
          <w:proofErr w:type="spellStart"/>
          <w:r>
            <w:rPr>
              <w:rFonts w:eastAsia="Times New Roman"/>
              <w:i/>
              <w:iCs/>
            </w:rPr>
            <w:t>PLoS</w:t>
          </w:r>
          <w:proofErr w:type="spellEnd"/>
          <w:r>
            <w:rPr>
              <w:rFonts w:eastAsia="Times New Roman"/>
              <w:i/>
              <w:iCs/>
            </w:rPr>
            <w:t xml:space="preserve"> ONE</w:t>
          </w:r>
          <w:r>
            <w:rPr>
              <w:rFonts w:eastAsia="Times New Roman"/>
            </w:rPr>
            <w:t xml:space="preserve">, </w:t>
          </w:r>
          <w:r>
            <w:rPr>
              <w:rFonts w:eastAsia="Times New Roman"/>
              <w:i/>
              <w:iCs/>
            </w:rPr>
            <w:t>9</w:t>
          </w:r>
          <w:r>
            <w:rPr>
              <w:rFonts w:eastAsia="Times New Roman"/>
            </w:rPr>
            <w:t>(7). https://doi.org/10.1371/journal.pone.0103266</w:t>
          </w:r>
        </w:p>
        <w:p w14:paraId="6DEA1A0D" w14:textId="77777777" w:rsidR="00E807B5" w:rsidRDefault="00E807B5">
          <w:pPr>
            <w:autoSpaceDE w:val="0"/>
            <w:autoSpaceDN w:val="0"/>
            <w:ind w:hanging="480"/>
            <w:divId w:val="904027732"/>
            <w:rPr>
              <w:rFonts w:eastAsia="Times New Roman"/>
            </w:rPr>
          </w:pPr>
          <w:r>
            <w:rPr>
              <w:rFonts w:eastAsia="Times New Roman"/>
            </w:rPr>
            <w:t xml:space="preserve">Li, L. J., Zeng, D. H., Yu, Z. Y., Fan, Z. P., Mao, R., &amp; Peri, P. L. (2011). Foliar N/P ratio and nutrient limitation to vegetation growth on </w:t>
          </w:r>
          <w:proofErr w:type="spellStart"/>
          <w:r>
            <w:rPr>
              <w:rFonts w:eastAsia="Times New Roman"/>
            </w:rPr>
            <w:t>Keerqin</w:t>
          </w:r>
          <w:proofErr w:type="spellEnd"/>
          <w:r>
            <w:rPr>
              <w:rFonts w:eastAsia="Times New Roman"/>
            </w:rPr>
            <w:t xml:space="preserve"> sandy grassland of North-east China. </w:t>
          </w:r>
          <w:r>
            <w:rPr>
              <w:rFonts w:eastAsia="Times New Roman"/>
              <w:i/>
              <w:iCs/>
            </w:rPr>
            <w:t>Grass and Forage Science</w:t>
          </w:r>
          <w:r>
            <w:rPr>
              <w:rFonts w:eastAsia="Times New Roman"/>
            </w:rPr>
            <w:t xml:space="preserve">, </w:t>
          </w:r>
          <w:r>
            <w:rPr>
              <w:rFonts w:eastAsia="Times New Roman"/>
              <w:i/>
              <w:iCs/>
            </w:rPr>
            <w:t>66</w:t>
          </w:r>
          <w:r>
            <w:rPr>
              <w:rFonts w:eastAsia="Times New Roman"/>
            </w:rPr>
            <w:t>(2), 237–242. https://doi.org/10.1111/j.1365-2494.2011.00781.x</w:t>
          </w:r>
        </w:p>
        <w:p w14:paraId="48F65351" w14:textId="77777777" w:rsidR="00E807B5" w:rsidRDefault="00E807B5">
          <w:pPr>
            <w:autoSpaceDE w:val="0"/>
            <w:autoSpaceDN w:val="0"/>
            <w:ind w:hanging="480"/>
            <w:divId w:val="1213345653"/>
            <w:rPr>
              <w:rFonts w:eastAsia="Times New Roman"/>
            </w:rPr>
          </w:pPr>
          <w:r>
            <w:rPr>
              <w:rFonts w:eastAsia="Times New Roman"/>
            </w:rPr>
            <w:t xml:space="preserve">Ludwig, F., de Kroon, H., Prins, H. H. T., &amp; </w:t>
          </w:r>
          <w:proofErr w:type="spellStart"/>
          <w:r>
            <w:rPr>
              <w:rFonts w:eastAsia="Times New Roman"/>
            </w:rPr>
            <w:t>Berendse</w:t>
          </w:r>
          <w:proofErr w:type="spellEnd"/>
          <w:r>
            <w:rPr>
              <w:rFonts w:eastAsia="Times New Roman"/>
            </w:rPr>
            <w:t xml:space="preserve">, F. (2001). Effects of nutrients and shade on tree‐grass interactions in an East African savanna. </w:t>
          </w:r>
          <w:r>
            <w:rPr>
              <w:rFonts w:eastAsia="Times New Roman"/>
              <w:i/>
              <w:iCs/>
            </w:rPr>
            <w:t>Journal of Vegetation Science</w:t>
          </w:r>
          <w:r>
            <w:rPr>
              <w:rFonts w:eastAsia="Times New Roman"/>
            </w:rPr>
            <w:t xml:space="preserve">, </w:t>
          </w:r>
          <w:r>
            <w:rPr>
              <w:rFonts w:eastAsia="Times New Roman"/>
              <w:i/>
              <w:iCs/>
            </w:rPr>
            <w:t>12</w:t>
          </w:r>
          <w:r>
            <w:rPr>
              <w:rFonts w:eastAsia="Times New Roman"/>
            </w:rPr>
            <w:t>(4), 579–588. https://doi.org/10.2307/3237009</w:t>
          </w:r>
        </w:p>
        <w:p w14:paraId="2CE7282A" w14:textId="77777777" w:rsidR="00E807B5" w:rsidRDefault="00E807B5">
          <w:pPr>
            <w:autoSpaceDE w:val="0"/>
            <w:autoSpaceDN w:val="0"/>
            <w:ind w:hanging="480"/>
            <w:divId w:val="1200584300"/>
            <w:rPr>
              <w:rFonts w:eastAsia="Times New Roman"/>
            </w:rPr>
          </w:pPr>
          <w:r>
            <w:rPr>
              <w:rFonts w:eastAsia="Times New Roman"/>
            </w:rPr>
            <w:t xml:space="preserve">Lund, M., Christensen, T. R., Mastepanov, M., Lindroth, A., &amp; Ström, L. (2009). Effects of N and P fertilization on the greenhouse gas exchange in two northern peatlands with contrasting N deposition rates. </w:t>
          </w:r>
          <w:proofErr w:type="spellStart"/>
          <w:r>
            <w:rPr>
              <w:rFonts w:eastAsia="Times New Roman"/>
              <w:i/>
              <w:iCs/>
            </w:rPr>
            <w:t>Biogeosciences</w:t>
          </w:r>
          <w:proofErr w:type="spellEnd"/>
          <w:r>
            <w:rPr>
              <w:rFonts w:eastAsia="Times New Roman"/>
            </w:rPr>
            <w:t xml:space="preserve">, </w:t>
          </w:r>
          <w:r>
            <w:rPr>
              <w:rFonts w:eastAsia="Times New Roman"/>
              <w:i/>
              <w:iCs/>
            </w:rPr>
            <w:t>6</w:t>
          </w:r>
          <w:r>
            <w:rPr>
              <w:rFonts w:eastAsia="Times New Roman"/>
            </w:rPr>
            <w:t>(10), 2135–2144. https://doi.org/10.5194/bg-6-2135-2009</w:t>
          </w:r>
        </w:p>
        <w:p w14:paraId="3AFC8FA7" w14:textId="77777777" w:rsidR="00E807B5" w:rsidRDefault="00E807B5">
          <w:pPr>
            <w:autoSpaceDE w:val="0"/>
            <w:autoSpaceDN w:val="0"/>
            <w:ind w:hanging="480"/>
            <w:divId w:val="386807115"/>
            <w:rPr>
              <w:rFonts w:eastAsia="Times New Roman"/>
            </w:rPr>
          </w:pPr>
          <w:r>
            <w:rPr>
              <w:rFonts w:eastAsia="Times New Roman"/>
            </w:rPr>
            <w:t xml:space="preserve">Mayor, J. R., Wright, S. J., &amp; Turner, B. L. (2014). Species-specific responses of foliar nutrients to long-term nitrogen and phosphorus additions in a lowland tropical forest. </w:t>
          </w:r>
          <w:r>
            <w:rPr>
              <w:rFonts w:eastAsia="Times New Roman"/>
              <w:i/>
              <w:iCs/>
            </w:rPr>
            <w:t>Journal of Ecology</w:t>
          </w:r>
          <w:r>
            <w:rPr>
              <w:rFonts w:eastAsia="Times New Roman"/>
            </w:rPr>
            <w:t xml:space="preserve">, </w:t>
          </w:r>
          <w:r>
            <w:rPr>
              <w:rFonts w:eastAsia="Times New Roman"/>
              <w:i/>
              <w:iCs/>
            </w:rPr>
            <w:t>102</w:t>
          </w:r>
          <w:r>
            <w:rPr>
              <w:rFonts w:eastAsia="Times New Roman"/>
            </w:rPr>
            <w:t>(1), 36–44. https://doi.org/10.1111/1365-2745.12190</w:t>
          </w:r>
        </w:p>
        <w:p w14:paraId="061FBC95" w14:textId="77777777" w:rsidR="00E807B5" w:rsidRDefault="00E807B5">
          <w:pPr>
            <w:autoSpaceDE w:val="0"/>
            <w:autoSpaceDN w:val="0"/>
            <w:ind w:hanging="480"/>
            <w:divId w:val="1844392563"/>
            <w:rPr>
              <w:rFonts w:eastAsia="Times New Roman"/>
            </w:rPr>
          </w:pPr>
          <w:r>
            <w:rPr>
              <w:rFonts w:eastAsia="Times New Roman"/>
            </w:rPr>
            <w:lastRenderedPageBreak/>
            <w:t xml:space="preserve">McMaster, G. S., Jow, W. M., &amp; Kummerow, J. (1982). Response of </w:t>
          </w:r>
          <w:proofErr w:type="spellStart"/>
          <w:r>
            <w:rPr>
              <w:rFonts w:eastAsia="Times New Roman"/>
            </w:rPr>
            <w:t>Adenostoma</w:t>
          </w:r>
          <w:proofErr w:type="spellEnd"/>
          <w:r>
            <w:rPr>
              <w:rFonts w:eastAsia="Times New Roman"/>
            </w:rPr>
            <w:t xml:space="preserve"> </w:t>
          </w:r>
          <w:proofErr w:type="spellStart"/>
          <w:r>
            <w:rPr>
              <w:rFonts w:eastAsia="Times New Roman"/>
            </w:rPr>
            <w:t>Fasciculatum</w:t>
          </w:r>
          <w:proofErr w:type="spellEnd"/>
          <w:r>
            <w:rPr>
              <w:rFonts w:eastAsia="Times New Roman"/>
            </w:rPr>
            <w:t xml:space="preserve"> and Ceanothus </w:t>
          </w:r>
          <w:proofErr w:type="spellStart"/>
          <w:r>
            <w:rPr>
              <w:rFonts w:eastAsia="Times New Roman"/>
            </w:rPr>
            <w:t>Greggii</w:t>
          </w:r>
          <w:proofErr w:type="spellEnd"/>
          <w:r>
            <w:rPr>
              <w:rFonts w:eastAsia="Times New Roman"/>
            </w:rPr>
            <w:t xml:space="preserve"> Chaparral to Nutrient Additions. </w:t>
          </w:r>
          <w:r>
            <w:rPr>
              <w:rFonts w:eastAsia="Times New Roman"/>
              <w:i/>
              <w:iCs/>
            </w:rPr>
            <w:t>The Journal of Ecology</w:t>
          </w:r>
          <w:r>
            <w:rPr>
              <w:rFonts w:eastAsia="Times New Roman"/>
            </w:rPr>
            <w:t xml:space="preserve">, </w:t>
          </w:r>
          <w:r>
            <w:rPr>
              <w:rFonts w:eastAsia="Times New Roman"/>
              <w:i/>
              <w:iCs/>
            </w:rPr>
            <w:t>70</w:t>
          </w:r>
          <w:r>
            <w:rPr>
              <w:rFonts w:eastAsia="Times New Roman"/>
            </w:rPr>
            <w:t>(3), 745. https://doi.org/10.2307/2260102</w:t>
          </w:r>
        </w:p>
        <w:p w14:paraId="0A925B7A" w14:textId="77777777" w:rsidR="00E807B5" w:rsidRDefault="00E807B5">
          <w:pPr>
            <w:autoSpaceDE w:val="0"/>
            <w:autoSpaceDN w:val="0"/>
            <w:ind w:hanging="480"/>
            <w:divId w:val="283925830"/>
            <w:rPr>
              <w:rFonts w:eastAsia="Times New Roman"/>
            </w:rPr>
          </w:pPr>
          <w:r>
            <w:rPr>
              <w:rFonts w:eastAsia="Times New Roman"/>
            </w:rPr>
            <w:t xml:space="preserve">Mo, Q., Li, Z., Sayer, E. J., Lambers, H., Li, Y., Zou, B., Tang, J., Heskel, M., Ding, Y., &amp; Wang, F. (2019). Foliar phosphorus fractions reveal how tropical plants maintain photosynthetic rates despite low soil phosphorus availability. </w:t>
          </w:r>
          <w:r>
            <w:rPr>
              <w:rFonts w:eastAsia="Times New Roman"/>
              <w:i/>
              <w:iCs/>
            </w:rPr>
            <w:t>Functional Ecology</w:t>
          </w:r>
          <w:r>
            <w:rPr>
              <w:rFonts w:eastAsia="Times New Roman"/>
            </w:rPr>
            <w:t xml:space="preserve">, </w:t>
          </w:r>
          <w:r>
            <w:rPr>
              <w:rFonts w:eastAsia="Times New Roman"/>
              <w:i/>
              <w:iCs/>
            </w:rPr>
            <w:t>33</w:t>
          </w:r>
          <w:r>
            <w:rPr>
              <w:rFonts w:eastAsia="Times New Roman"/>
            </w:rPr>
            <w:t>(3), 503–513. https://doi.org/10.1111/1365-2435.13252</w:t>
          </w:r>
        </w:p>
        <w:p w14:paraId="2BCC0567" w14:textId="77777777" w:rsidR="00E807B5" w:rsidRDefault="00E807B5">
          <w:pPr>
            <w:autoSpaceDE w:val="0"/>
            <w:autoSpaceDN w:val="0"/>
            <w:ind w:hanging="480"/>
            <w:divId w:val="1989239386"/>
            <w:rPr>
              <w:rFonts w:eastAsia="Times New Roman"/>
            </w:rPr>
          </w:pPr>
          <w:r>
            <w:rPr>
              <w:rFonts w:eastAsia="Times New Roman"/>
            </w:rPr>
            <w:t xml:space="preserve">Mo, Q., Wang, W., Lambers, H., Chen, Y., Yu, S., Wu, C., Fan, Y., Zhou, Q., Li, Z., &amp; Wang, F. (2021). Response of foliar mineral nutrients to long-term nitrogen and phosphorus addition in a tropical forest. </w:t>
          </w:r>
          <w:r>
            <w:rPr>
              <w:rFonts w:eastAsia="Times New Roman"/>
              <w:i/>
              <w:iCs/>
            </w:rPr>
            <w:t>Functional Ecology</w:t>
          </w:r>
          <w:r>
            <w:rPr>
              <w:rFonts w:eastAsia="Times New Roman"/>
            </w:rPr>
            <w:t xml:space="preserve">, </w:t>
          </w:r>
          <w:r>
            <w:rPr>
              <w:rFonts w:eastAsia="Times New Roman"/>
              <w:i/>
              <w:iCs/>
            </w:rPr>
            <w:t>35</w:t>
          </w:r>
          <w:r>
            <w:rPr>
              <w:rFonts w:eastAsia="Times New Roman"/>
            </w:rPr>
            <w:t>(10), 2329–2341. https://doi.org/10.1111/1365-2435.13896</w:t>
          </w:r>
        </w:p>
        <w:p w14:paraId="4CF80F18" w14:textId="77777777" w:rsidR="00E807B5" w:rsidRDefault="00E807B5">
          <w:pPr>
            <w:autoSpaceDE w:val="0"/>
            <w:autoSpaceDN w:val="0"/>
            <w:ind w:hanging="480"/>
            <w:divId w:val="1168136180"/>
            <w:rPr>
              <w:rFonts w:eastAsia="Times New Roman"/>
            </w:rPr>
          </w:pPr>
          <w:r>
            <w:rPr>
              <w:rFonts w:eastAsia="Times New Roman"/>
            </w:rPr>
            <w:t xml:space="preserve">Ngai, J. T., &amp; Jefferies, R. L. (2004). Nutrient limitation of plant growth and forage quality in Arctic coastal marshes. </w:t>
          </w:r>
          <w:r>
            <w:rPr>
              <w:rFonts w:eastAsia="Times New Roman"/>
              <w:i/>
              <w:iCs/>
            </w:rPr>
            <w:t>Journal of Ecology</w:t>
          </w:r>
          <w:r>
            <w:rPr>
              <w:rFonts w:eastAsia="Times New Roman"/>
            </w:rPr>
            <w:t xml:space="preserve">, </w:t>
          </w:r>
          <w:r>
            <w:rPr>
              <w:rFonts w:eastAsia="Times New Roman"/>
              <w:i/>
              <w:iCs/>
            </w:rPr>
            <w:t>92</w:t>
          </w:r>
          <w:r>
            <w:rPr>
              <w:rFonts w:eastAsia="Times New Roman"/>
            </w:rPr>
            <w:t>(6), 1001–1010. https://doi.org/10.1111/j.0022-0477.2004.00926.x</w:t>
          </w:r>
        </w:p>
        <w:p w14:paraId="6367DAEB" w14:textId="77777777" w:rsidR="00E807B5" w:rsidRDefault="00E807B5">
          <w:pPr>
            <w:autoSpaceDE w:val="0"/>
            <w:autoSpaceDN w:val="0"/>
            <w:ind w:hanging="480"/>
            <w:divId w:val="1276592784"/>
            <w:rPr>
              <w:rFonts w:eastAsia="Times New Roman"/>
            </w:rPr>
          </w:pPr>
          <w:r>
            <w:rPr>
              <w:rFonts w:eastAsia="Times New Roman"/>
            </w:rPr>
            <w:t xml:space="preserve">Ngatia, L. W., Turner, B. L., Njoka, J. T., Young, T. P., &amp; Reddy, K. R. (2015). The effects of herbivory and nutrients on plant biomass and carbon storage in </w:t>
          </w:r>
          <w:proofErr w:type="spellStart"/>
          <w:r>
            <w:rPr>
              <w:rFonts w:eastAsia="Times New Roman"/>
            </w:rPr>
            <w:t>Vertisols</w:t>
          </w:r>
          <w:proofErr w:type="spellEnd"/>
          <w:r>
            <w:rPr>
              <w:rFonts w:eastAsia="Times New Roman"/>
            </w:rPr>
            <w:t xml:space="preserve"> of an East African savanna. </w:t>
          </w:r>
          <w:r>
            <w:rPr>
              <w:rFonts w:eastAsia="Times New Roman"/>
              <w:i/>
              <w:iCs/>
            </w:rPr>
            <w:t>Agriculture, Ecosystems and Environment</w:t>
          </w:r>
          <w:r>
            <w:rPr>
              <w:rFonts w:eastAsia="Times New Roman"/>
            </w:rPr>
            <w:t xml:space="preserve">, </w:t>
          </w:r>
          <w:r>
            <w:rPr>
              <w:rFonts w:eastAsia="Times New Roman"/>
              <w:i/>
              <w:iCs/>
            </w:rPr>
            <w:t>208</w:t>
          </w:r>
          <w:r>
            <w:rPr>
              <w:rFonts w:eastAsia="Times New Roman"/>
            </w:rPr>
            <w:t>, 55–63. https://doi.org/10.1016/j.agee.2015.04.025</w:t>
          </w:r>
        </w:p>
        <w:p w14:paraId="224642FD" w14:textId="77777777" w:rsidR="00E807B5" w:rsidRDefault="00E807B5">
          <w:pPr>
            <w:autoSpaceDE w:val="0"/>
            <w:autoSpaceDN w:val="0"/>
            <w:ind w:hanging="480"/>
            <w:divId w:val="324821660"/>
            <w:rPr>
              <w:rFonts w:eastAsia="Times New Roman"/>
            </w:rPr>
          </w:pPr>
          <w:r>
            <w:rPr>
              <w:rFonts w:eastAsia="Times New Roman"/>
            </w:rPr>
            <w:t xml:space="preserve">Nielsen, P. L., Andresen, L. C., Michelsen, A., Schmidt, I. K., &amp; Kongstad, J. (2009). Seasonal variations and effects of nutrient applications on N and P and microbial biomass under two temperate heathland plants. </w:t>
          </w:r>
          <w:r>
            <w:rPr>
              <w:rFonts w:eastAsia="Times New Roman"/>
              <w:i/>
              <w:iCs/>
            </w:rPr>
            <w:t>Applied Soil Ecology</w:t>
          </w:r>
          <w:r>
            <w:rPr>
              <w:rFonts w:eastAsia="Times New Roman"/>
            </w:rPr>
            <w:t xml:space="preserve">, </w:t>
          </w:r>
          <w:r>
            <w:rPr>
              <w:rFonts w:eastAsia="Times New Roman"/>
              <w:i/>
              <w:iCs/>
            </w:rPr>
            <w:t>42</w:t>
          </w:r>
          <w:r>
            <w:rPr>
              <w:rFonts w:eastAsia="Times New Roman"/>
            </w:rPr>
            <w:t>(3), 279–287. https://doi.org/10.1016/j.apsoil.2009.05.006</w:t>
          </w:r>
        </w:p>
        <w:p w14:paraId="7C84A0AC" w14:textId="77777777" w:rsidR="00E807B5" w:rsidRDefault="00E807B5">
          <w:pPr>
            <w:autoSpaceDE w:val="0"/>
            <w:autoSpaceDN w:val="0"/>
            <w:ind w:hanging="480"/>
            <w:divId w:val="699622307"/>
            <w:rPr>
              <w:rFonts w:eastAsia="Times New Roman"/>
            </w:rPr>
          </w:pPr>
          <w:r>
            <w:rPr>
              <w:rFonts w:eastAsia="Times New Roman"/>
            </w:rPr>
            <w:t xml:space="preserve">O’Halloran, L. R., Shugart, H. H., Wang, L., Caylor, K. K., Ringrose, S., &amp; </w:t>
          </w:r>
          <w:proofErr w:type="spellStart"/>
          <w:r>
            <w:rPr>
              <w:rFonts w:eastAsia="Times New Roman"/>
            </w:rPr>
            <w:t>Kgope</w:t>
          </w:r>
          <w:proofErr w:type="spellEnd"/>
          <w:r>
            <w:rPr>
              <w:rFonts w:eastAsia="Times New Roman"/>
            </w:rPr>
            <w:t xml:space="preserve">, B. (2010). Nutrient limitations on aboveground grass production in four savanna types along the Kalahari Transect. </w:t>
          </w:r>
          <w:r>
            <w:rPr>
              <w:rFonts w:eastAsia="Times New Roman"/>
              <w:i/>
              <w:iCs/>
            </w:rPr>
            <w:t>Journal of Arid Environments</w:t>
          </w:r>
          <w:r>
            <w:rPr>
              <w:rFonts w:eastAsia="Times New Roman"/>
            </w:rPr>
            <w:t xml:space="preserve">, </w:t>
          </w:r>
          <w:r>
            <w:rPr>
              <w:rFonts w:eastAsia="Times New Roman"/>
              <w:i/>
              <w:iCs/>
            </w:rPr>
            <w:t>74</w:t>
          </w:r>
          <w:r>
            <w:rPr>
              <w:rFonts w:eastAsia="Times New Roman"/>
            </w:rPr>
            <w:t>(2), 284–290. https://doi.org/10.1016/j.jaridenv.2009.08.012</w:t>
          </w:r>
        </w:p>
        <w:p w14:paraId="0714F29B" w14:textId="77777777" w:rsidR="00E807B5" w:rsidRDefault="00E807B5">
          <w:pPr>
            <w:autoSpaceDE w:val="0"/>
            <w:autoSpaceDN w:val="0"/>
            <w:ind w:hanging="480"/>
            <w:divId w:val="463081984"/>
            <w:rPr>
              <w:rFonts w:eastAsia="Times New Roman"/>
            </w:rPr>
          </w:pPr>
          <w:r>
            <w:rPr>
              <w:rFonts w:eastAsia="Times New Roman"/>
            </w:rPr>
            <w:t xml:space="preserve">Øien, D. I. (2004). Nutrient limitation in boreal rich-fen vegetation: A fertilization experiment. </w:t>
          </w:r>
          <w:r>
            <w:rPr>
              <w:rFonts w:eastAsia="Times New Roman"/>
              <w:i/>
              <w:iCs/>
            </w:rPr>
            <w:t>Applied Vegetation Science</w:t>
          </w:r>
          <w:r>
            <w:rPr>
              <w:rFonts w:eastAsia="Times New Roman"/>
            </w:rPr>
            <w:t xml:space="preserve">, </w:t>
          </w:r>
          <w:r>
            <w:rPr>
              <w:rFonts w:eastAsia="Times New Roman"/>
              <w:i/>
              <w:iCs/>
            </w:rPr>
            <w:t>7</w:t>
          </w:r>
          <w:r>
            <w:rPr>
              <w:rFonts w:eastAsia="Times New Roman"/>
            </w:rPr>
            <w:t>(1), 119–132. https://doi.org/10.1111/j.1654-109X.2004.tb00602.x</w:t>
          </w:r>
        </w:p>
        <w:p w14:paraId="49ABCB0C" w14:textId="77777777" w:rsidR="00E807B5" w:rsidRDefault="00E807B5">
          <w:pPr>
            <w:autoSpaceDE w:val="0"/>
            <w:autoSpaceDN w:val="0"/>
            <w:ind w:hanging="480"/>
            <w:divId w:val="831800295"/>
            <w:rPr>
              <w:rFonts w:eastAsia="Times New Roman"/>
            </w:rPr>
          </w:pPr>
          <w:proofErr w:type="spellStart"/>
          <w:r>
            <w:rPr>
              <w:rFonts w:eastAsia="Times New Roman"/>
            </w:rPr>
            <w:t>Prystupa</w:t>
          </w:r>
          <w:proofErr w:type="spellEnd"/>
          <w:r>
            <w:rPr>
              <w:rFonts w:eastAsia="Times New Roman"/>
            </w:rPr>
            <w:t xml:space="preserve">, P., Savin, R., &amp; </w:t>
          </w:r>
          <w:proofErr w:type="spellStart"/>
          <w:r>
            <w:rPr>
              <w:rFonts w:eastAsia="Times New Roman"/>
            </w:rPr>
            <w:t>Slafer</w:t>
          </w:r>
          <w:proofErr w:type="spellEnd"/>
          <w:r>
            <w:rPr>
              <w:rFonts w:eastAsia="Times New Roman"/>
            </w:rPr>
            <w:t xml:space="preserve">, G. A. (2004). Grain number and its relationship with dry matter, N and P in the spikes at heading in response to N x P fertilization in barley. </w:t>
          </w:r>
          <w:r>
            <w:rPr>
              <w:rFonts w:eastAsia="Times New Roman"/>
              <w:i/>
              <w:iCs/>
            </w:rPr>
            <w:t>Field Crops Research</w:t>
          </w:r>
          <w:r>
            <w:rPr>
              <w:rFonts w:eastAsia="Times New Roman"/>
            </w:rPr>
            <w:t xml:space="preserve">, </w:t>
          </w:r>
          <w:r>
            <w:rPr>
              <w:rFonts w:eastAsia="Times New Roman"/>
              <w:i/>
              <w:iCs/>
            </w:rPr>
            <w:t>90</w:t>
          </w:r>
          <w:r>
            <w:rPr>
              <w:rFonts w:eastAsia="Times New Roman"/>
            </w:rPr>
            <w:t>(2–3), 245–254. https://doi.org/10.1016/j.fcr.2004.03.001</w:t>
          </w:r>
        </w:p>
        <w:p w14:paraId="5E9961AD" w14:textId="77777777" w:rsidR="00E807B5" w:rsidRDefault="00E807B5">
          <w:pPr>
            <w:autoSpaceDE w:val="0"/>
            <w:autoSpaceDN w:val="0"/>
            <w:ind w:hanging="480"/>
            <w:divId w:val="537815651"/>
            <w:rPr>
              <w:rFonts w:eastAsia="Times New Roman"/>
            </w:rPr>
          </w:pPr>
          <w:proofErr w:type="spellStart"/>
          <w:r>
            <w:rPr>
              <w:rFonts w:eastAsia="Times New Roman"/>
            </w:rPr>
            <w:t>Rejmánková</w:t>
          </w:r>
          <w:proofErr w:type="spellEnd"/>
          <w:r>
            <w:rPr>
              <w:rFonts w:eastAsia="Times New Roman"/>
            </w:rPr>
            <w:t xml:space="preserve">, E., </w:t>
          </w:r>
          <w:proofErr w:type="spellStart"/>
          <w:r>
            <w:rPr>
              <w:rFonts w:eastAsia="Times New Roman"/>
            </w:rPr>
            <w:t>MacEk</w:t>
          </w:r>
          <w:proofErr w:type="spellEnd"/>
          <w:r>
            <w:rPr>
              <w:rFonts w:eastAsia="Times New Roman"/>
            </w:rPr>
            <w:t xml:space="preserve">, P., &amp; Epps, K. (2008). Wetland ecosystem changes after three years of phosphorus addition. </w:t>
          </w:r>
          <w:r>
            <w:rPr>
              <w:rFonts w:eastAsia="Times New Roman"/>
              <w:i/>
              <w:iCs/>
            </w:rPr>
            <w:t>Wetlands</w:t>
          </w:r>
          <w:r>
            <w:rPr>
              <w:rFonts w:eastAsia="Times New Roman"/>
            </w:rPr>
            <w:t xml:space="preserve">, </w:t>
          </w:r>
          <w:r>
            <w:rPr>
              <w:rFonts w:eastAsia="Times New Roman"/>
              <w:i/>
              <w:iCs/>
            </w:rPr>
            <w:t>28</w:t>
          </w:r>
          <w:r>
            <w:rPr>
              <w:rFonts w:eastAsia="Times New Roman"/>
            </w:rPr>
            <w:t>(4), 914–927. https://doi.org/10.1672/07-150.1</w:t>
          </w:r>
        </w:p>
        <w:p w14:paraId="3D450D47" w14:textId="77777777" w:rsidR="00E807B5" w:rsidRDefault="00E807B5">
          <w:pPr>
            <w:autoSpaceDE w:val="0"/>
            <w:autoSpaceDN w:val="0"/>
            <w:ind w:hanging="480"/>
            <w:divId w:val="1923448743"/>
            <w:rPr>
              <w:rFonts w:eastAsia="Times New Roman"/>
            </w:rPr>
          </w:pPr>
          <w:r>
            <w:rPr>
              <w:rFonts w:eastAsia="Times New Roman"/>
            </w:rPr>
            <w:lastRenderedPageBreak/>
            <w:t xml:space="preserve">Ren, Z., Li, Q., Chu, C., Zhao, L., Zhang, J., </w:t>
          </w:r>
          <w:proofErr w:type="spellStart"/>
          <w:r>
            <w:rPr>
              <w:rFonts w:eastAsia="Times New Roman"/>
            </w:rPr>
            <w:t>Dexiecuo</w:t>
          </w:r>
          <w:proofErr w:type="spellEnd"/>
          <w:r>
            <w:rPr>
              <w:rFonts w:eastAsia="Times New Roman"/>
            </w:rPr>
            <w:t xml:space="preserve"> Ai, Yang, Y., &amp; Wang, G. (2010). Effects of resource additions on species richness and ANPP in an alpine meadow community. </w:t>
          </w:r>
          <w:r>
            <w:rPr>
              <w:rFonts w:eastAsia="Times New Roman"/>
              <w:i/>
              <w:iCs/>
            </w:rPr>
            <w:t>Journal of Plant Ecology</w:t>
          </w:r>
          <w:r>
            <w:rPr>
              <w:rFonts w:eastAsia="Times New Roman"/>
            </w:rPr>
            <w:t xml:space="preserve">, </w:t>
          </w:r>
          <w:r>
            <w:rPr>
              <w:rFonts w:eastAsia="Times New Roman"/>
              <w:i/>
              <w:iCs/>
            </w:rPr>
            <w:t>3</w:t>
          </w:r>
          <w:r>
            <w:rPr>
              <w:rFonts w:eastAsia="Times New Roman"/>
            </w:rPr>
            <w:t>(1), 25–31. https://doi.org/10.1093/jpe/rtp034</w:t>
          </w:r>
        </w:p>
        <w:p w14:paraId="1D1B380F" w14:textId="77777777" w:rsidR="00E807B5" w:rsidRDefault="00E807B5">
          <w:pPr>
            <w:autoSpaceDE w:val="0"/>
            <w:autoSpaceDN w:val="0"/>
            <w:ind w:hanging="480"/>
            <w:divId w:val="1071661916"/>
            <w:rPr>
              <w:rFonts w:eastAsia="Times New Roman"/>
            </w:rPr>
          </w:pPr>
          <w:r>
            <w:rPr>
              <w:rFonts w:eastAsia="Times New Roman"/>
            </w:rPr>
            <w:t xml:space="preserve">Ries, L. P., &amp; Shugart, H. H. (2008). Nutrient limitations on understory grass productivity and carbon assimilation in an African woodland savanna. </w:t>
          </w:r>
          <w:r>
            <w:rPr>
              <w:rFonts w:eastAsia="Times New Roman"/>
              <w:i/>
              <w:iCs/>
            </w:rPr>
            <w:t>Journal of Arid Environments</w:t>
          </w:r>
          <w:r>
            <w:rPr>
              <w:rFonts w:eastAsia="Times New Roman"/>
            </w:rPr>
            <w:t xml:space="preserve">, </w:t>
          </w:r>
          <w:r>
            <w:rPr>
              <w:rFonts w:eastAsia="Times New Roman"/>
              <w:i/>
              <w:iCs/>
            </w:rPr>
            <w:t>72</w:t>
          </w:r>
          <w:r>
            <w:rPr>
              <w:rFonts w:eastAsia="Times New Roman"/>
            </w:rPr>
            <w:t>(8), 1423–1430. https://doi.org/10.1016/j.jaridenv.2008.02.013</w:t>
          </w:r>
        </w:p>
        <w:p w14:paraId="38425411" w14:textId="77777777" w:rsidR="00E807B5" w:rsidRDefault="00E807B5">
          <w:pPr>
            <w:autoSpaceDE w:val="0"/>
            <w:autoSpaceDN w:val="0"/>
            <w:ind w:hanging="480"/>
            <w:divId w:val="1097095552"/>
            <w:rPr>
              <w:rFonts w:eastAsia="Times New Roman"/>
            </w:rPr>
          </w:pPr>
          <w:r>
            <w:rPr>
              <w:rFonts w:eastAsia="Times New Roman"/>
            </w:rPr>
            <w:t xml:space="preserve">Scott, J. T., Lambie, S. M., Stevenson, B. A., Schipper, L. A., Parfitt, R. L., &amp; McGill, A. C. (2015). Carbon and nitrogen leaching under high and low phosphate fertility pasture with increasing nitrogen inputs. </w:t>
          </w:r>
          <w:r>
            <w:rPr>
              <w:rFonts w:eastAsia="Times New Roman"/>
              <w:i/>
              <w:iCs/>
            </w:rPr>
            <w:t>Agriculture, Ecosystems and Environment</w:t>
          </w:r>
          <w:r>
            <w:rPr>
              <w:rFonts w:eastAsia="Times New Roman"/>
            </w:rPr>
            <w:t xml:space="preserve">, </w:t>
          </w:r>
          <w:r>
            <w:rPr>
              <w:rFonts w:eastAsia="Times New Roman"/>
              <w:i/>
              <w:iCs/>
            </w:rPr>
            <w:t>202</w:t>
          </w:r>
          <w:r>
            <w:rPr>
              <w:rFonts w:eastAsia="Times New Roman"/>
            </w:rPr>
            <w:t>, 139–147. https://doi.org/10.1016/j.agee.2014.12.021</w:t>
          </w:r>
        </w:p>
        <w:p w14:paraId="639FE7FD" w14:textId="77777777" w:rsidR="00E807B5" w:rsidRDefault="00E807B5">
          <w:pPr>
            <w:autoSpaceDE w:val="0"/>
            <w:autoSpaceDN w:val="0"/>
            <w:ind w:hanging="480"/>
            <w:divId w:val="111411256"/>
            <w:rPr>
              <w:rFonts w:eastAsia="Times New Roman"/>
            </w:rPr>
          </w:pPr>
          <w:r>
            <w:rPr>
              <w:rFonts w:eastAsia="Times New Roman"/>
            </w:rPr>
            <w:t xml:space="preserve">Shaver, G. R., Johnson, L. C., Cades, D. H., Murray, G., </w:t>
          </w:r>
          <w:proofErr w:type="spellStart"/>
          <w:r>
            <w:rPr>
              <w:rFonts w:eastAsia="Times New Roman"/>
            </w:rPr>
            <w:t>Laundre</w:t>
          </w:r>
          <w:proofErr w:type="spellEnd"/>
          <w:r>
            <w:rPr>
              <w:rFonts w:eastAsia="Times New Roman"/>
            </w:rPr>
            <w:t xml:space="preserve">, J. A., Rastetter, E. B., </w:t>
          </w:r>
          <w:proofErr w:type="spellStart"/>
          <w:r>
            <w:rPr>
              <w:rFonts w:eastAsia="Times New Roman"/>
            </w:rPr>
            <w:t>Nadelhoffer</w:t>
          </w:r>
          <w:proofErr w:type="spellEnd"/>
          <w:r>
            <w:rPr>
              <w:rFonts w:eastAsia="Times New Roman"/>
            </w:rPr>
            <w:t xml:space="preserve">, K. J., &amp; Giblin, A. E. (1998). Biomass and CO2 flux in wet sedge </w:t>
          </w:r>
          <w:proofErr w:type="spellStart"/>
          <w:r>
            <w:rPr>
              <w:rFonts w:eastAsia="Times New Roman"/>
            </w:rPr>
            <w:t>tundras</w:t>
          </w:r>
          <w:proofErr w:type="spellEnd"/>
          <w:r>
            <w:rPr>
              <w:rFonts w:eastAsia="Times New Roman"/>
            </w:rPr>
            <w:t xml:space="preserve">: Responses to nutrients, temperature, and light. </w:t>
          </w:r>
          <w:r>
            <w:rPr>
              <w:rFonts w:eastAsia="Times New Roman"/>
              <w:i/>
              <w:iCs/>
            </w:rPr>
            <w:t>Ecological Monographs</w:t>
          </w:r>
          <w:r>
            <w:rPr>
              <w:rFonts w:eastAsia="Times New Roman"/>
            </w:rPr>
            <w:t xml:space="preserve">, </w:t>
          </w:r>
          <w:r>
            <w:rPr>
              <w:rFonts w:eastAsia="Times New Roman"/>
              <w:i/>
              <w:iCs/>
            </w:rPr>
            <w:t>68</w:t>
          </w:r>
          <w:r>
            <w:rPr>
              <w:rFonts w:eastAsia="Times New Roman"/>
            </w:rPr>
            <w:t>(1), 75–97. https://doi.org/10.1890/0012-9615(1998)068[</w:t>
          </w:r>
          <w:proofErr w:type="gramStart"/>
          <w:r>
            <w:rPr>
              <w:rFonts w:eastAsia="Times New Roman"/>
            </w:rPr>
            <w:t>0075:bacfiw</w:t>
          </w:r>
          <w:proofErr w:type="gramEnd"/>
          <w:r>
            <w:rPr>
              <w:rFonts w:eastAsia="Times New Roman"/>
            </w:rPr>
            <w:t>]2.0.co;2</w:t>
          </w:r>
        </w:p>
        <w:p w14:paraId="0893D09F" w14:textId="77777777" w:rsidR="00E807B5" w:rsidRDefault="00E807B5">
          <w:pPr>
            <w:autoSpaceDE w:val="0"/>
            <w:autoSpaceDN w:val="0"/>
            <w:ind w:hanging="480"/>
            <w:divId w:val="644433746"/>
            <w:rPr>
              <w:rFonts w:eastAsia="Times New Roman"/>
            </w:rPr>
          </w:pPr>
          <w:proofErr w:type="spellStart"/>
          <w:r>
            <w:rPr>
              <w:rFonts w:eastAsia="Times New Roman"/>
            </w:rPr>
            <w:t>Soudzilovskaia</w:t>
          </w:r>
          <w:proofErr w:type="spellEnd"/>
          <w:r>
            <w:rPr>
              <w:rFonts w:eastAsia="Times New Roman"/>
            </w:rPr>
            <w:t xml:space="preserve">, N. A., Onipchenko, V. G., Cornelissen, J. H. C., &amp; Aerts, R. (2005). Biomass production, N:P ratio and nutrient limitation in a Caucasian alpine tundra plant community. </w:t>
          </w:r>
          <w:r>
            <w:rPr>
              <w:rFonts w:eastAsia="Times New Roman"/>
              <w:i/>
              <w:iCs/>
            </w:rPr>
            <w:t>Journal of Vegetation Science</w:t>
          </w:r>
          <w:r>
            <w:rPr>
              <w:rFonts w:eastAsia="Times New Roman"/>
            </w:rPr>
            <w:t xml:space="preserve">, </w:t>
          </w:r>
          <w:r>
            <w:rPr>
              <w:rFonts w:eastAsia="Times New Roman"/>
              <w:i/>
              <w:iCs/>
            </w:rPr>
            <w:t>16</w:t>
          </w:r>
          <w:r>
            <w:rPr>
              <w:rFonts w:eastAsia="Times New Roman"/>
            </w:rPr>
            <w:t>(4), 399–406. https://doi.org/10.1111/j.1654-1103.2005.tb02379.x</w:t>
          </w:r>
        </w:p>
        <w:p w14:paraId="29B712F8" w14:textId="77777777" w:rsidR="00E807B5" w:rsidRDefault="00E807B5">
          <w:pPr>
            <w:autoSpaceDE w:val="0"/>
            <w:autoSpaceDN w:val="0"/>
            <w:ind w:hanging="480"/>
            <w:divId w:val="660809707"/>
            <w:rPr>
              <w:rFonts w:eastAsia="Times New Roman"/>
            </w:rPr>
          </w:pPr>
          <w:r>
            <w:rPr>
              <w:rFonts w:eastAsia="Times New Roman"/>
            </w:rPr>
            <w:t xml:space="preserve">Sun, Y., Wang, X., Ma, C., &amp; Zhang, Q. (2022). Effects of Nitrogen and Phosphorus Addition on Agronomic Characters, Photosynthetic Performance and Anatomical Structure of Alfalfa in Northern Xinjiang, China. </w:t>
          </w:r>
          <w:r>
            <w:rPr>
              <w:rFonts w:eastAsia="Times New Roman"/>
              <w:i/>
              <w:iCs/>
            </w:rPr>
            <w:t>Agronomy</w:t>
          </w:r>
          <w:r>
            <w:rPr>
              <w:rFonts w:eastAsia="Times New Roman"/>
            </w:rPr>
            <w:t xml:space="preserve">, </w:t>
          </w:r>
          <w:r>
            <w:rPr>
              <w:rFonts w:eastAsia="Times New Roman"/>
              <w:i/>
              <w:iCs/>
            </w:rPr>
            <w:t>12</w:t>
          </w:r>
          <w:r>
            <w:rPr>
              <w:rFonts w:eastAsia="Times New Roman"/>
            </w:rPr>
            <w:t>(7), 1613. https://doi.org/10.3390/agronomy12071613</w:t>
          </w:r>
        </w:p>
        <w:p w14:paraId="6F5F7833" w14:textId="77777777" w:rsidR="00E807B5" w:rsidRDefault="00E807B5">
          <w:pPr>
            <w:autoSpaceDE w:val="0"/>
            <w:autoSpaceDN w:val="0"/>
            <w:ind w:hanging="480"/>
            <w:divId w:val="1662810035"/>
            <w:rPr>
              <w:rFonts w:eastAsia="Times New Roman"/>
            </w:rPr>
          </w:pPr>
          <w:r>
            <w:rPr>
              <w:rFonts w:eastAsia="Times New Roman"/>
            </w:rPr>
            <w:t xml:space="preserve">Tischer, A., </w:t>
          </w:r>
          <w:proofErr w:type="spellStart"/>
          <w:r>
            <w:rPr>
              <w:rFonts w:eastAsia="Times New Roman"/>
            </w:rPr>
            <w:t>Werisch</w:t>
          </w:r>
          <w:proofErr w:type="spellEnd"/>
          <w:r>
            <w:rPr>
              <w:rFonts w:eastAsia="Times New Roman"/>
            </w:rPr>
            <w:t xml:space="preserve">, M., </w:t>
          </w:r>
          <w:proofErr w:type="spellStart"/>
          <w:r>
            <w:rPr>
              <w:rFonts w:eastAsia="Times New Roman"/>
            </w:rPr>
            <w:t>Döbbelin</w:t>
          </w:r>
          <w:proofErr w:type="spellEnd"/>
          <w:r>
            <w:rPr>
              <w:rFonts w:eastAsia="Times New Roman"/>
            </w:rPr>
            <w:t xml:space="preserve">, F., Camenzind, T., </w:t>
          </w:r>
          <w:proofErr w:type="spellStart"/>
          <w:r>
            <w:rPr>
              <w:rFonts w:eastAsia="Times New Roman"/>
            </w:rPr>
            <w:t>Rillig</w:t>
          </w:r>
          <w:proofErr w:type="spellEnd"/>
          <w:r>
            <w:rPr>
              <w:rFonts w:eastAsia="Times New Roman"/>
            </w:rPr>
            <w:t xml:space="preserve">, M. C., Potthast, K., &amp; Hamer, U. (2015). Above- and belowground linkages of a nitrogen and phosphorus co-limited tropical mountain pasture system – responses to nutrient enrichment. </w:t>
          </w:r>
          <w:r>
            <w:rPr>
              <w:rFonts w:eastAsia="Times New Roman"/>
              <w:i/>
              <w:iCs/>
            </w:rPr>
            <w:t>Plant and Soil</w:t>
          </w:r>
          <w:r>
            <w:rPr>
              <w:rFonts w:eastAsia="Times New Roman"/>
            </w:rPr>
            <w:t xml:space="preserve">, </w:t>
          </w:r>
          <w:r>
            <w:rPr>
              <w:rFonts w:eastAsia="Times New Roman"/>
              <w:i/>
              <w:iCs/>
            </w:rPr>
            <w:t>391</w:t>
          </w:r>
          <w:r>
            <w:rPr>
              <w:rFonts w:eastAsia="Times New Roman"/>
            </w:rPr>
            <w:t>(1–2), 333–352. https://doi.org/10.1007/s11104-015-2431-7</w:t>
          </w:r>
        </w:p>
        <w:p w14:paraId="3C934100" w14:textId="77777777" w:rsidR="00E807B5" w:rsidRDefault="00E807B5">
          <w:pPr>
            <w:autoSpaceDE w:val="0"/>
            <w:autoSpaceDN w:val="0"/>
            <w:ind w:hanging="480"/>
            <w:divId w:val="1580599382"/>
            <w:rPr>
              <w:rFonts w:eastAsia="Times New Roman"/>
            </w:rPr>
          </w:pPr>
          <w:r>
            <w:rPr>
              <w:rFonts w:eastAsia="Times New Roman"/>
            </w:rPr>
            <w:t xml:space="preserve">van Cleve, K., &amp; Oliver, L. K. (1982). Growth response of postfire quaking aspen </w:t>
          </w:r>
          <w:proofErr w:type="gramStart"/>
          <w:r>
            <w:rPr>
              <w:rFonts w:eastAsia="Times New Roman"/>
            </w:rPr>
            <w:t>( Populus</w:t>
          </w:r>
          <w:proofErr w:type="gramEnd"/>
          <w:r>
            <w:rPr>
              <w:rFonts w:eastAsia="Times New Roman"/>
            </w:rPr>
            <w:t xml:space="preserve"> tremuloides </w:t>
          </w:r>
          <w:proofErr w:type="spellStart"/>
          <w:r>
            <w:rPr>
              <w:rFonts w:eastAsia="Times New Roman"/>
            </w:rPr>
            <w:t>Michx</w:t>
          </w:r>
          <w:proofErr w:type="spellEnd"/>
          <w:r>
            <w:rPr>
              <w:rFonts w:eastAsia="Times New Roman"/>
            </w:rPr>
            <w:t xml:space="preserve">.) to N, P, and K fertilization. </w:t>
          </w:r>
          <w:r>
            <w:rPr>
              <w:rFonts w:eastAsia="Times New Roman"/>
              <w:i/>
              <w:iCs/>
            </w:rPr>
            <w:t>Canadian Journal of Forest Research</w:t>
          </w:r>
          <w:r>
            <w:rPr>
              <w:rFonts w:eastAsia="Times New Roman"/>
            </w:rPr>
            <w:t xml:space="preserve">, </w:t>
          </w:r>
          <w:r>
            <w:rPr>
              <w:rFonts w:eastAsia="Times New Roman"/>
              <w:i/>
              <w:iCs/>
            </w:rPr>
            <w:t>12</w:t>
          </w:r>
          <w:r>
            <w:rPr>
              <w:rFonts w:eastAsia="Times New Roman"/>
            </w:rPr>
            <w:t>(2), 160–165. https://doi.org/10.1139/x82-024</w:t>
          </w:r>
        </w:p>
        <w:p w14:paraId="78317C3B" w14:textId="77777777" w:rsidR="00E807B5" w:rsidRDefault="00E807B5">
          <w:pPr>
            <w:autoSpaceDE w:val="0"/>
            <w:autoSpaceDN w:val="0"/>
            <w:ind w:hanging="480"/>
            <w:divId w:val="687096317"/>
            <w:rPr>
              <w:rFonts w:eastAsia="Times New Roman"/>
            </w:rPr>
          </w:pPr>
          <w:r>
            <w:rPr>
              <w:rFonts w:eastAsia="Times New Roman"/>
            </w:rPr>
            <w:t xml:space="preserve">van der Hoek, D., van Mierlo, A. J. E. M., &amp; van Groenendael, J. M. (2004). Nutrient limitation and nutrient-driven shifts in plant species composition in a species-rich fen meadow. </w:t>
          </w:r>
          <w:r>
            <w:rPr>
              <w:rFonts w:eastAsia="Times New Roman"/>
              <w:i/>
              <w:iCs/>
            </w:rPr>
            <w:t>Journal of Vegetation Science</w:t>
          </w:r>
          <w:r>
            <w:rPr>
              <w:rFonts w:eastAsia="Times New Roman"/>
            </w:rPr>
            <w:t xml:space="preserve">, </w:t>
          </w:r>
          <w:r>
            <w:rPr>
              <w:rFonts w:eastAsia="Times New Roman"/>
              <w:i/>
              <w:iCs/>
            </w:rPr>
            <w:t>15</w:t>
          </w:r>
          <w:r>
            <w:rPr>
              <w:rFonts w:eastAsia="Times New Roman"/>
            </w:rPr>
            <w:t>(3), 389–396. https://doi.org/10.1111/j.1654-1103.2004.tb02276.x</w:t>
          </w:r>
        </w:p>
        <w:p w14:paraId="1D77DE78" w14:textId="77777777" w:rsidR="00E807B5" w:rsidRDefault="00E807B5">
          <w:pPr>
            <w:autoSpaceDE w:val="0"/>
            <w:autoSpaceDN w:val="0"/>
            <w:ind w:hanging="480"/>
            <w:divId w:val="917059589"/>
            <w:rPr>
              <w:rFonts w:eastAsia="Times New Roman"/>
            </w:rPr>
          </w:pPr>
          <w:r>
            <w:rPr>
              <w:rFonts w:eastAsia="Times New Roman"/>
            </w:rPr>
            <w:t xml:space="preserve">van der Waal, C., De Kroon, H., </w:t>
          </w:r>
          <w:proofErr w:type="spellStart"/>
          <w:r>
            <w:rPr>
              <w:rFonts w:eastAsia="Times New Roman"/>
            </w:rPr>
            <w:t>Heitkönig</w:t>
          </w:r>
          <w:proofErr w:type="spellEnd"/>
          <w:r>
            <w:rPr>
              <w:rFonts w:eastAsia="Times New Roman"/>
            </w:rPr>
            <w:t xml:space="preserve">, I. M. A., Skidmore, A. K., Van Langevelde, F., De Boer, W. F., </w:t>
          </w:r>
          <w:proofErr w:type="spellStart"/>
          <w:r>
            <w:rPr>
              <w:rFonts w:eastAsia="Times New Roman"/>
            </w:rPr>
            <w:t>Slotow</w:t>
          </w:r>
          <w:proofErr w:type="spellEnd"/>
          <w:r>
            <w:rPr>
              <w:rFonts w:eastAsia="Times New Roman"/>
            </w:rPr>
            <w:t xml:space="preserve">, R., Grant, R. C., Peel, M. P. S., Kohi, E. M., De Knegt, H. J., &amp; Prins, H. H. T. (2011). Scale of nutrient patchiness mediates resource partitioning between trees </w:t>
          </w:r>
          <w:r>
            <w:rPr>
              <w:rFonts w:eastAsia="Times New Roman"/>
            </w:rPr>
            <w:lastRenderedPageBreak/>
            <w:t xml:space="preserve">and grasses in a semi-arid savanna. </w:t>
          </w:r>
          <w:r>
            <w:rPr>
              <w:rFonts w:eastAsia="Times New Roman"/>
              <w:i/>
              <w:iCs/>
            </w:rPr>
            <w:t>Journal of Ecology</w:t>
          </w:r>
          <w:r>
            <w:rPr>
              <w:rFonts w:eastAsia="Times New Roman"/>
            </w:rPr>
            <w:t xml:space="preserve">, </w:t>
          </w:r>
          <w:r>
            <w:rPr>
              <w:rFonts w:eastAsia="Times New Roman"/>
              <w:i/>
              <w:iCs/>
            </w:rPr>
            <w:t>99</w:t>
          </w:r>
          <w:r>
            <w:rPr>
              <w:rFonts w:eastAsia="Times New Roman"/>
            </w:rPr>
            <w:t>(5), 1124–1133. https://doi.org/10.1111/j.1365-2745.2011.01832.x</w:t>
          </w:r>
        </w:p>
        <w:p w14:paraId="1A9E5ED0" w14:textId="77777777" w:rsidR="00E807B5" w:rsidRDefault="00E807B5">
          <w:pPr>
            <w:autoSpaceDE w:val="0"/>
            <w:autoSpaceDN w:val="0"/>
            <w:ind w:hanging="480"/>
            <w:divId w:val="396706948"/>
            <w:rPr>
              <w:rFonts w:eastAsia="Times New Roman"/>
            </w:rPr>
          </w:pPr>
          <w:r>
            <w:rPr>
              <w:rFonts w:eastAsia="Times New Roman"/>
            </w:rPr>
            <w:t xml:space="preserve">van Duren, I. C., Boeye, D., &amp; </w:t>
          </w:r>
          <w:proofErr w:type="spellStart"/>
          <w:r>
            <w:rPr>
              <w:rFonts w:eastAsia="Times New Roman"/>
            </w:rPr>
            <w:t>Grootjans</w:t>
          </w:r>
          <w:proofErr w:type="spellEnd"/>
          <w:r>
            <w:rPr>
              <w:rFonts w:eastAsia="Times New Roman"/>
            </w:rPr>
            <w:t xml:space="preserve">, A. P. (1997). Nutrient limitations in an extant and drained poor fen: Implications for restoration. </w:t>
          </w:r>
          <w:r>
            <w:rPr>
              <w:rFonts w:eastAsia="Times New Roman"/>
              <w:i/>
              <w:iCs/>
            </w:rPr>
            <w:t>Plant Ecology</w:t>
          </w:r>
          <w:r>
            <w:rPr>
              <w:rFonts w:eastAsia="Times New Roman"/>
            </w:rPr>
            <w:t xml:space="preserve">, </w:t>
          </w:r>
          <w:r>
            <w:rPr>
              <w:rFonts w:eastAsia="Times New Roman"/>
              <w:i/>
              <w:iCs/>
            </w:rPr>
            <w:t>133</w:t>
          </w:r>
          <w:r>
            <w:rPr>
              <w:rFonts w:eastAsia="Times New Roman"/>
            </w:rPr>
            <w:t>(1), 91–100. https://doi.org/10.1023/A:1009728007279</w:t>
          </w:r>
        </w:p>
        <w:p w14:paraId="48A81466" w14:textId="77777777" w:rsidR="00E807B5" w:rsidRDefault="00E807B5">
          <w:pPr>
            <w:autoSpaceDE w:val="0"/>
            <w:autoSpaceDN w:val="0"/>
            <w:ind w:hanging="480"/>
            <w:divId w:val="78059821"/>
            <w:rPr>
              <w:rFonts w:eastAsia="Times New Roman"/>
            </w:rPr>
          </w:pPr>
          <w:r>
            <w:rPr>
              <w:rFonts w:eastAsia="Times New Roman"/>
            </w:rPr>
            <w:t xml:space="preserve">van Duren, I. C., </w:t>
          </w:r>
          <w:proofErr w:type="spellStart"/>
          <w:r>
            <w:rPr>
              <w:rFonts w:eastAsia="Times New Roman"/>
            </w:rPr>
            <w:t>Pegtel</w:t>
          </w:r>
          <w:proofErr w:type="spellEnd"/>
          <w:r>
            <w:rPr>
              <w:rFonts w:eastAsia="Times New Roman"/>
            </w:rPr>
            <w:t xml:space="preserve">, D. M., Aerts, B. A., &amp; </w:t>
          </w:r>
          <w:proofErr w:type="spellStart"/>
          <w:r>
            <w:rPr>
              <w:rFonts w:eastAsia="Times New Roman"/>
            </w:rPr>
            <w:t>Inberg</w:t>
          </w:r>
          <w:proofErr w:type="spellEnd"/>
          <w:r>
            <w:rPr>
              <w:rFonts w:eastAsia="Times New Roman"/>
            </w:rPr>
            <w:t xml:space="preserve">, J. A. (1997). Nutrient supply in undrained and drained </w:t>
          </w:r>
          <w:proofErr w:type="spellStart"/>
          <w:r>
            <w:rPr>
              <w:rFonts w:eastAsia="Times New Roman"/>
            </w:rPr>
            <w:t>Calthion</w:t>
          </w:r>
          <w:proofErr w:type="spellEnd"/>
          <w:r>
            <w:rPr>
              <w:rFonts w:eastAsia="Times New Roman"/>
            </w:rPr>
            <w:t xml:space="preserve"> meadows. </w:t>
          </w:r>
          <w:r>
            <w:rPr>
              <w:rFonts w:eastAsia="Times New Roman"/>
              <w:i/>
              <w:iCs/>
            </w:rPr>
            <w:t>Journal of Vegetation Science</w:t>
          </w:r>
          <w:r>
            <w:rPr>
              <w:rFonts w:eastAsia="Times New Roman"/>
            </w:rPr>
            <w:t xml:space="preserve">, </w:t>
          </w:r>
          <w:r>
            <w:rPr>
              <w:rFonts w:eastAsia="Times New Roman"/>
              <w:i/>
              <w:iCs/>
            </w:rPr>
            <w:t>8</w:t>
          </w:r>
          <w:r>
            <w:rPr>
              <w:rFonts w:eastAsia="Times New Roman"/>
            </w:rPr>
            <w:t>(6), 829–838. https://doi.org/10.2307/3237027</w:t>
          </w:r>
        </w:p>
        <w:p w14:paraId="732367CA" w14:textId="77777777" w:rsidR="00E807B5" w:rsidRDefault="00E807B5">
          <w:pPr>
            <w:autoSpaceDE w:val="0"/>
            <w:autoSpaceDN w:val="0"/>
            <w:ind w:hanging="480"/>
            <w:divId w:val="1974360255"/>
            <w:rPr>
              <w:rFonts w:eastAsia="Times New Roman"/>
            </w:rPr>
          </w:pPr>
          <w:r>
            <w:rPr>
              <w:rFonts w:eastAsia="Times New Roman"/>
            </w:rPr>
            <w:t xml:space="preserve">van Wijnen, H. J., &amp; Bakker, J. P. (1999). Nitrogen and phosphorus limitation in a coastal barrier salt marsh: The implications for vegetation succession. </w:t>
          </w:r>
          <w:r>
            <w:rPr>
              <w:rFonts w:eastAsia="Times New Roman"/>
              <w:i/>
              <w:iCs/>
            </w:rPr>
            <w:t>Journal of Ecology</w:t>
          </w:r>
          <w:r>
            <w:rPr>
              <w:rFonts w:eastAsia="Times New Roman"/>
            </w:rPr>
            <w:t xml:space="preserve">, </w:t>
          </w:r>
          <w:r>
            <w:rPr>
              <w:rFonts w:eastAsia="Times New Roman"/>
              <w:i/>
              <w:iCs/>
            </w:rPr>
            <w:t>87</w:t>
          </w:r>
          <w:r>
            <w:rPr>
              <w:rFonts w:eastAsia="Times New Roman"/>
            </w:rPr>
            <w:t>(2), 265–272. https://doi.org/10.1046/j.1365-2745.1999.00349.x</w:t>
          </w:r>
        </w:p>
        <w:p w14:paraId="3051AF50" w14:textId="77777777" w:rsidR="00E807B5" w:rsidRDefault="00E807B5">
          <w:pPr>
            <w:autoSpaceDE w:val="0"/>
            <w:autoSpaceDN w:val="0"/>
            <w:ind w:hanging="480"/>
            <w:divId w:val="2073042550"/>
            <w:rPr>
              <w:rFonts w:eastAsia="Times New Roman"/>
            </w:rPr>
          </w:pPr>
          <w:r>
            <w:rPr>
              <w:rFonts w:eastAsia="Times New Roman"/>
            </w:rPr>
            <w:t xml:space="preserve">Verlinden, M. S., Ven, A., Verbruggen, E., Janssens, I. A., Wallander, H., &amp; Vicca, S. (2018). Favorable effect of mycorrhizae on biomass production efficiency exceeds their carbon cost in a fertilization experiment. </w:t>
          </w:r>
          <w:r>
            <w:rPr>
              <w:rFonts w:eastAsia="Times New Roman"/>
              <w:i/>
              <w:iCs/>
            </w:rPr>
            <w:t>Ecology</w:t>
          </w:r>
          <w:r>
            <w:rPr>
              <w:rFonts w:eastAsia="Times New Roman"/>
            </w:rPr>
            <w:t xml:space="preserve">, </w:t>
          </w:r>
          <w:r>
            <w:rPr>
              <w:rFonts w:eastAsia="Times New Roman"/>
              <w:i/>
              <w:iCs/>
            </w:rPr>
            <w:t>99</w:t>
          </w:r>
          <w:r>
            <w:rPr>
              <w:rFonts w:eastAsia="Times New Roman"/>
            </w:rPr>
            <w:t>(11), 2525–2534. https://doi.org/10.1002/ecy.2502</w:t>
          </w:r>
        </w:p>
        <w:p w14:paraId="48BF5E5D" w14:textId="77777777" w:rsidR="00E807B5" w:rsidRDefault="00E807B5">
          <w:pPr>
            <w:autoSpaceDE w:val="0"/>
            <w:autoSpaceDN w:val="0"/>
            <w:ind w:hanging="480"/>
            <w:divId w:val="237253160"/>
            <w:rPr>
              <w:rFonts w:eastAsia="Times New Roman"/>
            </w:rPr>
          </w:pPr>
          <w:proofErr w:type="spellStart"/>
          <w:r>
            <w:rPr>
              <w:rFonts w:eastAsia="Times New Roman"/>
            </w:rPr>
            <w:t>Verryckt</w:t>
          </w:r>
          <w:proofErr w:type="spellEnd"/>
          <w:r>
            <w:rPr>
              <w:rFonts w:eastAsia="Times New Roman"/>
            </w:rPr>
            <w:t xml:space="preserve">, L. T., Vicca, S., Van </w:t>
          </w:r>
          <w:proofErr w:type="spellStart"/>
          <w:r>
            <w:rPr>
              <w:rFonts w:eastAsia="Times New Roman"/>
            </w:rPr>
            <w:t>Langenhove</w:t>
          </w:r>
          <w:proofErr w:type="spellEnd"/>
          <w:r>
            <w:rPr>
              <w:rFonts w:eastAsia="Times New Roman"/>
            </w:rPr>
            <w:t xml:space="preserve">, L., Stahl, C., Asensio, D., Urbina, I., Ogaya, R., </w:t>
          </w:r>
          <w:proofErr w:type="spellStart"/>
          <w:r>
            <w:rPr>
              <w:rFonts w:eastAsia="Times New Roman"/>
            </w:rPr>
            <w:t>Llusià</w:t>
          </w:r>
          <w:proofErr w:type="spellEnd"/>
          <w:r>
            <w:rPr>
              <w:rFonts w:eastAsia="Times New Roman"/>
            </w:rPr>
            <w:t xml:space="preserve">, J., Grau, O., Peguero, G., Gargallo-Garriga, A., Courtois, E. A., </w:t>
          </w:r>
          <w:proofErr w:type="spellStart"/>
          <w:r>
            <w:rPr>
              <w:rFonts w:eastAsia="Times New Roman"/>
            </w:rPr>
            <w:t>Margalef</w:t>
          </w:r>
          <w:proofErr w:type="spellEnd"/>
          <w:r>
            <w:rPr>
              <w:rFonts w:eastAsia="Times New Roman"/>
            </w:rPr>
            <w:t xml:space="preserve">, O., Portillo-Estrada, M., Ciais, P., </w:t>
          </w:r>
          <w:proofErr w:type="spellStart"/>
          <w:r>
            <w:rPr>
              <w:rFonts w:eastAsia="Times New Roman"/>
            </w:rPr>
            <w:t>Obersteiner</w:t>
          </w:r>
          <w:proofErr w:type="spellEnd"/>
          <w:r>
            <w:rPr>
              <w:rFonts w:eastAsia="Times New Roman"/>
            </w:rPr>
            <w:t xml:space="preserve">, M., </w:t>
          </w:r>
          <w:proofErr w:type="spellStart"/>
          <w:r>
            <w:rPr>
              <w:rFonts w:eastAsia="Times New Roman"/>
            </w:rPr>
            <w:t>Fuchslueger</w:t>
          </w:r>
          <w:proofErr w:type="spellEnd"/>
          <w:r>
            <w:rPr>
              <w:rFonts w:eastAsia="Times New Roman"/>
            </w:rPr>
            <w:t>, L., Lugli, L. F., Fernandez-</w:t>
          </w:r>
          <w:proofErr w:type="spellStart"/>
          <w:r>
            <w:rPr>
              <w:rFonts w:eastAsia="Times New Roman"/>
            </w:rPr>
            <w:t>Garberí</w:t>
          </w:r>
          <w:proofErr w:type="spellEnd"/>
          <w:r>
            <w:rPr>
              <w:rFonts w:eastAsia="Times New Roman"/>
            </w:rPr>
            <w:t xml:space="preserve">, P. R., … Janssens, I. A. (2022). Vertical profiles of leaf photosynthesis and leaf traits and soil nutrients in two tropical rainforests in French Guiana before and after a 3-year nitrogen and phosphorus addition experiment. </w:t>
          </w:r>
          <w:r>
            <w:rPr>
              <w:rFonts w:eastAsia="Times New Roman"/>
              <w:i/>
              <w:iCs/>
            </w:rPr>
            <w:t>Earth System Science Data</w:t>
          </w:r>
          <w:r>
            <w:rPr>
              <w:rFonts w:eastAsia="Times New Roman"/>
            </w:rPr>
            <w:t xml:space="preserve">, </w:t>
          </w:r>
          <w:r>
            <w:rPr>
              <w:rFonts w:eastAsia="Times New Roman"/>
              <w:i/>
              <w:iCs/>
            </w:rPr>
            <w:t>14</w:t>
          </w:r>
          <w:r>
            <w:rPr>
              <w:rFonts w:eastAsia="Times New Roman"/>
            </w:rPr>
            <w:t>(1), 5–18. https://doi.org/10.5194/essd-14-5-2022</w:t>
          </w:r>
        </w:p>
        <w:p w14:paraId="7093E881" w14:textId="77777777" w:rsidR="00E807B5" w:rsidRDefault="00E807B5">
          <w:pPr>
            <w:autoSpaceDE w:val="0"/>
            <w:autoSpaceDN w:val="0"/>
            <w:ind w:hanging="480"/>
            <w:divId w:val="1564372471"/>
            <w:rPr>
              <w:rFonts w:eastAsia="Times New Roman"/>
            </w:rPr>
          </w:pPr>
          <w:r>
            <w:rPr>
              <w:rFonts w:eastAsia="Times New Roman"/>
            </w:rPr>
            <w:t xml:space="preserve">Wang, D., Ling, T., Wang, P., Jing, P., Fan, J., Wang, H., &amp; Zhang, Y. (2018). Effects of 8-year nitrogen and phosphorus treatments on the </w:t>
          </w:r>
          <w:proofErr w:type="spellStart"/>
          <w:r>
            <w:rPr>
              <w:rFonts w:eastAsia="Times New Roman"/>
            </w:rPr>
            <w:t>ecophysiological</w:t>
          </w:r>
          <w:proofErr w:type="spellEnd"/>
          <w:r>
            <w:rPr>
              <w:rFonts w:eastAsia="Times New Roman"/>
            </w:rPr>
            <w:t xml:space="preserve"> traits of two key species on </w:t>
          </w:r>
          <w:proofErr w:type="spellStart"/>
          <w:r>
            <w:rPr>
              <w:rFonts w:eastAsia="Times New Roman"/>
            </w:rPr>
            <w:t>tibetan</w:t>
          </w:r>
          <w:proofErr w:type="spellEnd"/>
          <w:r>
            <w:rPr>
              <w:rFonts w:eastAsia="Times New Roman"/>
            </w:rPr>
            <w:t xml:space="preserve"> plateau. </w:t>
          </w:r>
          <w:r>
            <w:rPr>
              <w:rFonts w:eastAsia="Times New Roman"/>
              <w:i/>
              <w:iCs/>
            </w:rPr>
            <w:t>Frontiers in Plant Science</w:t>
          </w:r>
          <w:r>
            <w:rPr>
              <w:rFonts w:eastAsia="Times New Roman"/>
            </w:rPr>
            <w:t xml:space="preserve">, </w:t>
          </w:r>
          <w:r>
            <w:rPr>
              <w:rFonts w:eastAsia="Times New Roman"/>
              <w:i/>
              <w:iCs/>
            </w:rPr>
            <w:t>9</w:t>
          </w:r>
          <w:r>
            <w:rPr>
              <w:rFonts w:eastAsia="Times New Roman"/>
            </w:rPr>
            <w:t>(September), 1–12. https://doi.org/10.3389/fpls.2018.01290</w:t>
          </w:r>
        </w:p>
        <w:p w14:paraId="754B8B14" w14:textId="77777777" w:rsidR="00E807B5" w:rsidRDefault="00E807B5">
          <w:pPr>
            <w:autoSpaceDE w:val="0"/>
            <w:autoSpaceDN w:val="0"/>
            <w:ind w:hanging="480"/>
            <w:divId w:val="557058117"/>
            <w:rPr>
              <w:rFonts w:eastAsia="Times New Roman"/>
            </w:rPr>
          </w:pPr>
          <w:r>
            <w:rPr>
              <w:rFonts w:eastAsia="Times New Roman"/>
            </w:rPr>
            <w:t xml:space="preserve">Wang, F. C., Fang, X. M., Wang, G. G., Mao, R., Lin, X. F., Wang, H., &amp; Chen, F. S. (2019). Effects of nutrient addition on foliar phosphorus fractions and their resorption in different-aged leaves of Chinese fir in subtropical China. </w:t>
          </w:r>
          <w:r>
            <w:rPr>
              <w:rFonts w:eastAsia="Times New Roman"/>
              <w:i/>
              <w:iCs/>
            </w:rPr>
            <w:t>Plant and Soil</w:t>
          </w:r>
          <w:r>
            <w:rPr>
              <w:rFonts w:eastAsia="Times New Roman"/>
            </w:rPr>
            <w:t xml:space="preserve">, </w:t>
          </w:r>
          <w:r>
            <w:rPr>
              <w:rFonts w:eastAsia="Times New Roman"/>
              <w:i/>
              <w:iCs/>
            </w:rPr>
            <w:t>443</w:t>
          </w:r>
          <w:r>
            <w:rPr>
              <w:rFonts w:eastAsia="Times New Roman"/>
            </w:rPr>
            <w:t>(1–2), 41–54. https://doi.org/10.1007/s11104-019-04221-8</w:t>
          </w:r>
        </w:p>
        <w:p w14:paraId="6E2385F5" w14:textId="77777777" w:rsidR="00E807B5" w:rsidRDefault="00E807B5">
          <w:pPr>
            <w:autoSpaceDE w:val="0"/>
            <w:autoSpaceDN w:val="0"/>
            <w:ind w:hanging="480"/>
            <w:divId w:val="1985961363"/>
            <w:rPr>
              <w:rFonts w:eastAsia="Times New Roman"/>
            </w:rPr>
          </w:pPr>
          <w:r>
            <w:rPr>
              <w:rFonts w:eastAsia="Times New Roman"/>
            </w:rPr>
            <w:t xml:space="preserve">Wang, Q., Zhang, W., Sun, T., Chen, L., Pang, X., Wang, Y., &amp; Xiao, F. (2017). N and P fertilization reduced soil autotrophic and heterotrophic respiration in a young </w:t>
          </w:r>
          <w:proofErr w:type="spellStart"/>
          <w:r>
            <w:rPr>
              <w:rFonts w:eastAsia="Times New Roman"/>
            </w:rPr>
            <w:t>Cunninghamia</w:t>
          </w:r>
          <w:proofErr w:type="spellEnd"/>
          <w:r>
            <w:rPr>
              <w:rFonts w:eastAsia="Times New Roman"/>
            </w:rPr>
            <w:t xml:space="preserve"> lanceolata forest. </w:t>
          </w:r>
          <w:r>
            <w:rPr>
              <w:rFonts w:eastAsia="Times New Roman"/>
              <w:i/>
              <w:iCs/>
            </w:rPr>
            <w:t>Agricultural and Forest Meteorology</w:t>
          </w:r>
          <w:r>
            <w:rPr>
              <w:rFonts w:eastAsia="Times New Roman"/>
            </w:rPr>
            <w:t xml:space="preserve">, </w:t>
          </w:r>
          <w:r>
            <w:rPr>
              <w:rFonts w:eastAsia="Times New Roman"/>
              <w:i/>
              <w:iCs/>
            </w:rPr>
            <w:t>232</w:t>
          </w:r>
          <w:r>
            <w:rPr>
              <w:rFonts w:eastAsia="Times New Roman"/>
            </w:rPr>
            <w:t>, 66–73. https://doi.org/10.1016/j.agrformet.2016.08.007</w:t>
          </w:r>
        </w:p>
        <w:p w14:paraId="63D70668" w14:textId="77777777" w:rsidR="00E807B5" w:rsidRDefault="00E807B5">
          <w:pPr>
            <w:autoSpaceDE w:val="0"/>
            <w:autoSpaceDN w:val="0"/>
            <w:ind w:hanging="480"/>
            <w:divId w:val="501509304"/>
            <w:rPr>
              <w:rFonts w:eastAsia="Times New Roman"/>
            </w:rPr>
          </w:pPr>
          <w:r>
            <w:rPr>
              <w:rFonts w:eastAsia="Times New Roman"/>
            </w:rPr>
            <w:t xml:space="preserve">Warren, C. R., &amp; Adams, M. A. (2002). Phosphorus affects growth and partitioning of nitrogen to Rubisco in Pinus pinaster. </w:t>
          </w:r>
          <w:r>
            <w:rPr>
              <w:rFonts w:eastAsia="Times New Roman"/>
              <w:i/>
              <w:iCs/>
            </w:rPr>
            <w:t>Tree Physiology</w:t>
          </w:r>
          <w:r>
            <w:rPr>
              <w:rFonts w:eastAsia="Times New Roman"/>
            </w:rPr>
            <w:t xml:space="preserve">, </w:t>
          </w:r>
          <w:r>
            <w:rPr>
              <w:rFonts w:eastAsia="Times New Roman"/>
              <w:i/>
              <w:iCs/>
            </w:rPr>
            <w:t>22</w:t>
          </w:r>
          <w:r>
            <w:rPr>
              <w:rFonts w:eastAsia="Times New Roman"/>
            </w:rPr>
            <w:t>(1), 11–19. https://doi.org/10.1093/treephys/22.1.11</w:t>
          </w:r>
        </w:p>
        <w:p w14:paraId="4B1DAE1B" w14:textId="77777777" w:rsidR="00E807B5" w:rsidRDefault="00E807B5">
          <w:pPr>
            <w:autoSpaceDE w:val="0"/>
            <w:autoSpaceDN w:val="0"/>
            <w:ind w:hanging="480"/>
            <w:divId w:val="209877006"/>
            <w:rPr>
              <w:rFonts w:eastAsia="Times New Roman"/>
            </w:rPr>
          </w:pPr>
          <w:r>
            <w:rPr>
              <w:rFonts w:eastAsia="Times New Roman"/>
            </w:rPr>
            <w:lastRenderedPageBreak/>
            <w:t xml:space="preserve">Wigand, C., Thursby, G. B., McKinney, R. A., &amp; Santos, A. F. (2004). Response of Spartina patens to dissolved inorganic nutrient additions in the field. </w:t>
          </w:r>
          <w:r>
            <w:rPr>
              <w:rFonts w:eastAsia="Times New Roman"/>
              <w:i/>
              <w:iCs/>
            </w:rPr>
            <w:t>Journal of Coastal Research</w:t>
          </w:r>
          <w:r>
            <w:rPr>
              <w:rFonts w:eastAsia="Times New Roman"/>
            </w:rPr>
            <w:t xml:space="preserve">, </w:t>
          </w:r>
          <w:r>
            <w:rPr>
              <w:rFonts w:eastAsia="Times New Roman"/>
              <w:i/>
              <w:iCs/>
            </w:rPr>
            <w:t>20</w:t>
          </w:r>
          <w:r>
            <w:rPr>
              <w:rFonts w:eastAsia="Times New Roman"/>
            </w:rPr>
            <w:t>(SPEC. ISS. 45), 134–149. https://doi.org/10.2112/si45-134.1</w:t>
          </w:r>
        </w:p>
        <w:p w14:paraId="4CAD11FB" w14:textId="77777777" w:rsidR="00E807B5" w:rsidRDefault="00E807B5">
          <w:pPr>
            <w:autoSpaceDE w:val="0"/>
            <w:autoSpaceDN w:val="0"/>
            <w:ind w:hanging="480"/>
            <w:divId w:val="968971493"/>
            <w:rPr>
              <w:rFonts w:eastAsia="Times New Roman"/>
            </w:rPr>
          </w:pPr>
          <w:r>
            <w:rPr>
              <w:rFonts w:eastAsia="Times New Roman"/>
            </w:rPr>
            <w:t xml:space="preserve">Wright, S. J., </w:t>
          </w:r>
          <w:proofErr w:type="spellStart"/>
          <w:r>
            <w:rPr>
              <w:rFonts w:eastAsia="Times New Roman"/>
            </w:rPr>
            <w:t>Yavitt</w:t>
          </w:r>
          <w:proofErr w:type="spellEnd"/>
          <w:r>
            <w:rPr>
              <w:rFonts w:eastAsia="Times New Roman"/>
            </w:rPr>
            <w:t xml:space="preserve">, J. B., Wurzburger, N., Turner, B. L., Tanner, E. V. J., Sayer, E. J., Santiago, L. S., Kaspari, M., Hedin, L. O., Harms, K. E., Garcia, M. N., &amp; Corre, M. D. (2011). Potassium, phosphorus, or nitrogen limit root allocation, tree growth, or litter production in a lowland tropical forest. </w:t>
          </w:r>
          <w:r>
            <w:rPr>
              <w:rFonts w:eastAsia="Times New Roman"/>
              <w:i/>
              <w:iCs/>
            </w:rPr>
            <w:t>Ecology</w:t>
          </w:r>
          <w:r>
            <w:rPr>
              <w:rFonts w:eastAsia="Times New Roman"/>
            </w:rPr>
            <w:t xml:space="preserve">, </w:t>
          </w:r>
          <w:r>
            <w:rPr>
              <w:rFonts w:eastAsia="Times New Roman"/>
              <w:i/>
              <w:iCs/>
            </w:rPr>
            <w:t>92</w:t>
          </w:r>
          <w:r>
            <w:rPr>
              <w:rFonts w:eastAsia="Times New Roman"/>
            </w:rPr>
            <w:t>(8), 1616–1625. https://doi.org/10.1890/10-1558.1</w:t>
          </w:r>
        </w:p>
        <w:p w14:paraId="2697B1A9" w14:textId="77777777" w:rsidR="00E807B5" w:rsidRDefault="00E807B5">
          <w:pPr>
            <w:autoSpaceDE w:val="0"/>
            <w:autoSpaceDN w:val="0"/>
            <w:ind w:hanging="480"/>
            <w:divId w:val="1486121125"/>
            <w:rPr>
              <w:rFonts w:eastAsia="Times New Roman"/>
            </w:rPr>
          </w:pPr>
          <w:r>
            <w:rPr>
              <w:rFonts w:eastAsia="Times New Roman"/>
            </w:rPr>
            <w:t xml:space="preserve">Yang, X., Ren, F., Zhou, H., &amp; He, J. S. (2014). Responses of plant community biomass to nitrogen and phosphorus additions in an alpine meadow on the Qinghai-Xizang Plateau. </w:t>
          </w:r>
          <w:r>
            <w:rPr>
              <w:rFonts w:eastAsia="Times New Roman"/>
              <w:i/>
              <w:iCs/>
            </w:rPr>
            <w:t>Chinese Journal of Plant Ecology</w:t>
          </w:r>
          <w:r>
            <w:rPr>
              <w:rFonts w:eastAsia="Times New Roman"/>
            </w:rPr>
            <w:t xml:space="preserve">, </w:t>
          </w:r>
          <w:r>
            <w:rPr>
              <w:rFonts w:eastAsia="Times New Roman"/>
              <w:i/>
              <w:iCs/>
            </w:rPr>
            <w:t>38</w:t>
          </w:r>
          <w:r>
            <w:rPr>
              <w:rFonts w:eastAsia="Times New Roman"/>
            </w:rPr>
            <w:t>(2), 159–166. https://doi.org/10.3724/sp.j.1258.2014.00014</w:t>
          </w:r>
        </w:p>
        <w:p w14:paraId="24877451" w14:textId="77777777" w:rsidR="00E807B5" w:rsidRDefault="00E807B5">
          <w:pPr>
            <w:autoSpaceDE w:val="0"/>
            <w:autoSpaceDN w:val="0"/>
            <w:ind w:hanging="480"/>
            <w:divId w:val="764768983"/>
            <w:rPr>
              <w:rFonts w:eastAsia="Times New Roman"/>
            </w:rPr>
          </w:pPr>
          <w:r>
            <w:rPr>
              <w:rFonts w:eastAsia="Times New Roman"/>
            </w:rPr>
            <w:t xml:space="preserve">Ye, X., Bu, W., Hu, X., Liu, B., Liang, K., &amp; Chen, F. (2023). Species divergence in seedling leaf traits and tree growth response to nitrogen and phosphorus additions in an evergreen broadleaved forest of subtropical China. </w:t>
          </w:r>
          <w:r>
            <w:rPr>
              <w:rFonts w:eastAsia="Times New Roman"/>
              <w:i/>
              <w:iCs/>
            </w:rPr>
            <w:t>Journal of Forestry Research</w:t>
          </w:r>
          <w:r>
            <w:rPr>
              <w:rFonts w:eastAsia="Times New Roman"/>
            </w:rPr>
            <w:t xml:space="preserve">, </w:t>
          </w:r>
          <w:r>
            <w:rPr>
              <w:rFonts w:eastAsia="Times New Roman"/>
              <w:i/>
              <w:iCs/>
            </w:rPr>
            <w:t>34</w:t>
          </w:r>
          <w:r>
            <w:rPr>
              <w:rFonts w:eastAsia="Times New Roman"/>
            </w:rPr>
            <w:t>(1), 137–150. https://doi.org/10.1007/s11676-021-01437-2</w:t>
          </w:r>
        </w:p>
        <w:p w14:paraId="7B860BAF" w14:textId="77777777" w:rsidR="00E807B5" w:rsidRDefault="00E807B5">
          <w:pPr>
            <w:autoSpaceDE w:val="0"/>
            <w:autoSpaceDN w:val="0"/>
            <w:ind w:hanging="480"/>
            <w:divId w:val="337392288"/>
            <w:rPr>
              <w:rFonts w:eastAsia="Times New Roman"/>
            </w:rPr>
          </w:pPr>
          <w:r>
            <w:rPr>
              <w:rFonts w:eastAsia="Times New Roman"/>
            </w:rPr>
            <w:t>Ye, X., Wang, F., Hu, X., Lin, Y., Sun, R., Liang, X., &amp; Chen, F. (2022). Experimental Approach Alters N and P Addition Effects on Leaf Traits and Growth Rate of Subtropical Schima superba (</w:t>
          </w:r>
          <w:proofErr w:type="spellStart"/>
          <w:r>
            <w:rPr>
              <w:rFonts w:eastAsia="Times New Roman"/>
            </w:rPr>
            <w:t>Reinw</w:t>
          </w:r>
          <w:proofErr w:type="spellEnd"/>
          <w:r>
            <w:rPr>
              <w:rFonts w:eastAsia="Times New Roman"/>
            </w:rPr>
            <w:t xml:space="preserve">. </w:t>
          </w:r>
          <w:proofErr w:type="spellStart"/>
          <w:r>
            <w:rPr>
              <w:rFonts w:eastAsia="Times New Roman"/>
            </w:rPr>
            <w:t>ex Blume</w:t>
          </w:r>
          <w:proofErr w:type="spellEnd"/>
          <w:r>
            <w:rPr>
              <w:rFonts w:eastAsia="Times New Roman"/>
            </w:rPr>
            <w:t xml:space="preserve">) Seedlings. </w:t>
          </w:r>
          <w:r>
            <w:rPr>
              <w:rFonts w:eastAsia="Times New Roman"/>
              <w:i/>
              <w:iCs/>
            </w:rPr>
            <w:t>Forests</w:t>
          </w:r>
          <w:r>
            <w:rPr>
              <w:rFonts w:eastAsia="Times New Roman"/>
            </w:rPr>
            <w:t xml:space="preserve">, </w:t>
          </w:r>
          <w:r>
            <w:rPr>
              <w:rFonts w:eastAsia="Times New Roman"/>
              <w:i/>
              <w:iCs/>
            </w:rPr>
            <w:t>13</w:t>
          </w:r>
          <w:r>
            <w:rPr>
              <w:rFonts w:eastAsia="Times New Roman"/>
            </w:rPr>
            <w:t>(2), 141. https://doi.org/10.3390/f13020141</w:t>
          </w:r>
        </w:p>
        <w:p w14:paraId="607B249F" w14:textId="77777777" w:rsidR="00E807B5" w:rsidRDefault="00E807B5">
          <w:pPr>
            <w:autoSpaceDE w:val="0"/>
            <w:autoSpaceDN w:val="0"/>
            <w:ind w:hanging="480"/>
            <w:divId w:val="1512985124"/>
            <w:rPr>
              <w:rFonts w:eastAsia="Times New Roman"/>
            </w:rPr>
          </w:pPr>
          <w:r>
            <w:rPr>
              <w:rFonts w:eastAsia="Times New Roman"/>
            </w:rPr>
            <w:t xml:space="preserve">Yu, L., Song, X. L., Zhao, J. N., Wang, H., Bai, L., &amp; Yang, D. L. (2015). Responses of plant diversity and primary productivity to nutrient addition in a Stipa </w:t>
          </w:r>
          <w:proofErr w:type="spellStart"/>
          <w:r>
            <w:rPr>
              <w:rFonts w:eastAsia="Times New Roman"/>
            </w:rPr>
            <w:t>baicalensis</w:t>
          </w:r>
          <w:proofErr w:type="spellEnd"/>
          <w:r>
            <w:rPr>
              <w:rFonts w:eastAsia="Times New Roman"/>
            </w:rPr>
            <w:t xml:space="preserve"> grassland, China. </w:t>
          </w:r>
          <w:r>
            <w:rPr>
              <w:rFonts w:eastAsia="Times New Roman"/>
              <w:i/>
              <w:iCs/>
            </w:rPr>
            <w:t>Journal of Integrative Agriculture</w:t>
          </w:r>
          <w:r>
            <w:rPr>
              <w:rFonts w:eastAsia="Times New Roman"/>
            </w:rPr>
            <w:t xml:space="preserve">, </w:t>
          </w:r>
          <w:r>
            <w:rPr>
              <w:rFonts w:eastAsia="Times New Roman"/>
              <w:i/>
              <w:iCs/>
            </w:rPr>
            <w:t>14</w:t>
          </w:r>
          <w:r>
            <w:rPr>
              <w:rFonts w:eastAsia="Times New Roman"/>
            </w:rPr>
            <w:t>(10), 2099–2108. https://doi.org/10.1016/S2095-3119(14)61001-7</w:t>
          </w:r>
        </w:p>
        <w:p w14:paraId="6F38BEC0" w14:textId="77777777" w:rsidR="00E807B5" w:rsidRDefault="00E807B5">
          <w:pPr>
            <w:autoSpaceDE w:val="0"/>
            <w:autoSpaceDN w:val="0"/>
            <w:ind w:hanging="480"/>
            <w:divId w:val="299307537"/>
            <w:rPr>
              <w:rFonts w:eastAsia="Times New Roman"/>
            </w:rPr>
          </w:pPr>
          <w:r>
            <w:rPr>
              <w:rFonts w:eastAsia="Times New Roman"/>
            </w:rPr>
            <w:t xml:space="preserve">Yu, Q., Ni, X., Cheng, X., Ma, S., Tian, D., Zhu, B., Zhu, J., Ji, C., Tang, Z., &amp; Fang, J. (2022). Foliar phosphorus allocation and photosynthesis reveal plants’ adaptative strategies to phosphorus limitation in tropical forests at different successional stages. </w:t>
          </w:r>
          <w:r>
            <w:rPr>
              <w:rFonts w:eastAsia="Times New Roman"/>
              <w:i/>
              <w:iCs/>
            </w:rPr>
            <w:t>Science of the Total Environment</w:t>
          </w:r>
          <w:r>
            <w:rPr>
              <w:rFonts w:eastAsia="Times New Roman"/>
            </w:rPr>
            <w:t xml:space="preserve">, </w:t>
          </w:r>
          <w:r>
            <w:rPr>
              <w:rFonts w:eastAsia="Times New Roman"/>
              <w:i/>
              <w:iCs/>
            </w:rPr>
            <w:t>846</w:t>
          </w:r>
          <w:r>
            <w:rPr>
              <w:rFonts w:eastAsia="Times New Roman"/>
            </w:rPr>
            <w:t>(May), 157456. https://doi.org/10.1016/j.scitotenv.2022.157456</w:t>
          </w:r>
        </w:p>
        <w:p w14:paraId="6EFAC787" w14:textId="77777777" w:rsidR="00E807B5" w:rsidRDefault="00E807B5">
          <w:pPr>
            <w:autoSpaceDE w:val="0"/>
            <w:autoSpaceDN w:val="0"/>
            <w:ind w:hanging="480"/>
            <w:divId w:val="1730573097"/>
            <w:rPr>
              <w:rFonts w:eastAsia="Times New Roman"/>
            </w:rPr>
          </w:pPr>
          <w:r>
            <w:rPr>
              <w:rFonts w:eastAsia="Times New Roman"/>
            </w:rPr>
            <w:t xml:space="preserve">Yu, Z. Y., Zeng, D. H., Jiang, F. Q., &amp; Zhao, Q. (2009). Responses of biomass to the addition of water, nitrogen and phosphorus in </w:t>
          </w:r>
          <w:proofErr w:type="spellStart"/>
          <w:r>
            <w:rPr>
              <w:rFonts w:eastAsia="Times New Roman"/>
            </w:rPr>
            <w:t>Keerqin</w:t>
          </w:r>
          <w:proofErr w:type="spellEnd"/>
          <w:r>
            <w:rPr>
              <w:rFonts w:eastAsia="Times New Roman"/>
            </w:rPr>
            <w:t xml:space="preserve"> sandy grassland, Inner Mongolia, China. </w:t>
          </w:r>
          <w:r>
            <w:rPr>
              <w:rFonts w:eastAsia="Times New Roman"/>
              <w:i/>
              <w:iCs/>
            </w:rPr>
            <w:t>Journal of Forestry Research</w:t>
          </w:r>
          <w:r>
            <w:rPr>
              <w:rFonts w:eastAsia="Times New Roman"/>
            </w:rPr>
            <w:t xml:space="preserve">, </w:t>
          </w:r>
          <w:r>
            <w:rPr>
              <w:rFonts w:eastAsia="Times New Roman"/>
              <w:i/>
              <w:iCs/>
            </w:rPr>
            <w:t>20</w:t>
          </w:r>
          <w:r>
            <w:rPr>
              <w:rFonts w:eastAsia="Times New Roman"/>
            </w:rPr>
            <w:t>(1), 23–26. https://doi.org/10.1007/s11676-009-0004-4</w:t>
          </w:r>
        </w:p>
        <w:p w14:paraId="25C588F2" w14:textId="77777777" w:rsidR="00E807B5" w:rsidRDefault="00E807B5">
          <w:pPr>
            <w:autoSpaceDE w:val="0"/>
            <w:autoSpaceDN w:val="0"/>
            <w:ind w:hanging="480"/>
            <w:divId w:val="10185589"/>
            <w:rPr>
              <w:rFonts w:eastAsia="Times New Roman"/>
            </w:rPr>
          </w:pPr>
          <w:r>
            <w:rPr>
              <w:rFonts w:eastAsia="Times New Roman"/>
            </w:rPr>
            <w:t xml:space="preserve">Zeng, W., &amp; Wang, W. (2015). Combination of nitrogen and phosphorus fertilization enhance ecosystem carbon sequestration in a nitrogen-limited temperate plantation of Northern China. </w:t>
          </w:r>
          <w:r>
            <w:rPr>
              <w:rFonts w:eastAsia="Times New Roman"/>
              <w:i/>
              <w:iCs/>
            </w:rPr>
            <w:t>Forest Ecology and Management</w:t>
          </w:r>
          <w:r>
            <w:rPr>
              <w:rFonts w:eastAsia="Times New Roman"/>
            </w:rPr>
            <w:t xml:space="preserve">, </w:t>
          </w:r>
          <w:r>
            <w:rPr>
              <w:rFonts w:eastAsia="Times New Roman"/>
              <w:i/>
              <w:iCs/>
            </w:rPr>
            <w:t>341</w:t>
          </w:r>
          <w:r>
            <w:rPr>
              <w:rFonts w:eastAsia="Times New Roman"/>
            </w:rPr>
            <w:t>, 59–66. https://doi.org/10.1016/j.foreco.2015.01.004</w:t>
          </w:r>
        </w:p>
        <w:p w14:paraId="54413019" w14:textId="26236BFB" w:rsidR="009465D9" w:rsidRPr="009465D9" w:rsidRDefault="00E807B5" w:rsidP="009D19EF">
          <w:pPr>
            <w:rPr>
              <w:iCs/>
            </w:rPr>
          </w:pPr>
          <w:r>
            <w:rPr>
              <w:rFonts w:eastAsia="Times New Roman"/>
            </w:rPr>
            <w:t> </w:t>
          </w:r>
        </w:p>
      </w:sdtContent>
    </w:sdt>
    <w:sectPr w:rsidR="009465D9" w:rsidRPr="009465D9" w:rsidSect="00A66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474"/>
    <w:rsid w:val="00005242"/>
    <w:rsid w:val="0002261D"/>
    <w:rsid w:val="00044063"/>
    <w:rsid w:val="00073FD0"/>
    <w:rsid w:val="00080852"/>
    <w:rsid w:val="001138B7"/>
    <w:rsid w:val="001475DC"/>
    <w:rsid w:val="00162C4E"/>
    <w:rsid w:val="001811D9"/>
    <w:rsid w:val="00194474"/>
    <w:rsid w:val="00197342"/>
    <w:rsid w:val="001A23CA"/>
    <w:rsid w:val="001A72B5"/>
    <w:rsid w:val="001D4027"/>
    <w:rsid w:val="001D7CFF"/>
    <w:rsid w:val="00243F53"/>
    <w:rsid w:val="002875D0"/>
    <w:rsid w:val="00292722"/>
    <w:rsid w:val="002A257F"/>
    <w:rsid w:val="002B0173"/>
    <w:rsid w:val="002E2864"/>
    <w:rsid w:val="0032041E"/>
    <w:rsid w:val="00355693"/>
    <w:rsid w:val="00374137"/>
    <w:rsid w:val="00375165"/>
    <w:rsid w:val="003A37E3"/>
    <w:rsid w:val="00452304"/>
    <w:rsid w:val="00462F71"/>
    <w:rsid w:val="00474373"/>
    <w:rsid w:val="004D5FBC"/>
    <w:rsid w:val="005060DD"/>
    <w:rsid w:val="00527288"/>
    <w:rsid w:val="00572A79"/>
    <w:rsid w:val="0058086D"/>
    <w:rsid w:val="00581754"/>
    <w:rsid w:val="005C540B"/>
    <w:rsid w:val="005E2591"/>
    <w:rsid w:val="005E42F0"/>
    <w:rsid w:val="00620CAA"/>
    <w:rsid w:val="006602D9"/>
    <w:rsid w:val="006A54CA"/>
    <w:rsid w:val="006B3F81"/>
    <w:rsid w:val="00711C46"/>
    <w:rsid w:val="0074160B"/>
    <w:rsid w:val="00762466"/>
    <w:rsid w:val="00805216"/>
    <w:rsid w:val="00843EE9"/>
    <w:rsid w:val="008825E3"/>
    <w:rsid w:val="00884E1E"/>
    <w:rsid w:val="008A0891"/>
    <w:rsid w:val="008A48CF"/>
    <w:rsid w:val="008B6C18"/>
    <w:rsid w:val="008B7FCB"/>
    <w:rsid w:val="008C50CD"/>
    <w:rsid w:val="008D14B0"/>
    <w:rsid w:val="008D7F03"/>
    <w:rsid w:val="00943EC7"/>
    <w:rsid w:val="009465D9"/>
    <w:rsid w:val="00946F53"/>
    <w:rsid w:val="009520B2"/>
    <w:rsid w:val="009D19EF"/>
    <w:rsid w:val="009E5FB6"/>
    <w:rsid w:val="00A13DC2"/>
    <w:rsid w:val="00A204F7"/>
    <w:rsid w:val="00A210F6"/>
    <w:rsid w:val="00A22B61"/>
    <w:rsid w:val="00A35D5A"/>
    <w:rsid w:val="00A45A8E"/>
    <w:rsid w:val="00A52A32"/>
    <w:rsid w:val="00A56843"/>
    <w:rsid w:val="00A66153"/>
    <w:rsid w:val="00A80236"/>
    <w:rsid w:val="00A86CC2"/>
    <w:rsid w:val="00AB1E84"/>
    <w:rsid w:val="00AD1BC7"/>
    <w:rsid w:val="00AF37C5"/>
    <w:rsid w:val="00B03EE2"/>
    <w:rsid w:val="00B24360"/>
    <w:rsid w:val="00B7167A"/>
    <w:rsid w:val="00B72AF6"/>
    <w:rsid w:val="00B86CEE"/>
    <w:rsid w:val="00BE0821"/>
    <w:rsid w:val="00BF77D1"/>
    <w:rsid w:val="00C0360D"/>
    <w:rsid w:val="00C15C33"/>
    <w:rsid w:val="00C24147"/>
    <w:rsid w:val="00C31920"/>
    <w:rsid w:val="00C5108C"/>
    <w:rsid w:val="00C954CC"/>
    <w:rsid w:val="00CE67E9"/>
    <w:rsid w:val="00CF35B0"/>
    <w:rsid w:val="00CF3885"/>
    <w:rsid w:val="00D12150"/>
    <w:rsid w:val="00D52EF1"/>
    <w:rsid w:val="00D73409"/>
    <w:rsid w:val="00D9593D"/>
    <w:rsid w:val="00E51A8B"/>
    <w:rsid w:val="00E5579B"/>
    <w:rsid w:val="00E63F10"/>
    <w:rsid w:val="00E807B5"/>
    <w:rsid w:val="00E84017"/>
    <w:rsid w:val="00E86E34"/>
    <w:rsid w:val="00EA2123"/>
    <w:rsid w:val="00EB14B7"/>
    <w:rsid w:val="00EC1D99"/>
    <w:rsid w:val="00EC21FB"/>
    <w:rsid w:val="00ED272B"/>
    <w:rsid w:val="00ED72A2"/>
    <w:rsid w:val="00F1070D"/>
    <w:rsid w:val="00F76832"/>
    <w:rsid w:val="00FA6302"/>
    <w:rsid w:val="00FB5014"/>
    <w:rsid w:val="00FB5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139A13"/>
  <w15:chartTrackingRefBased/>
  <w15:docId w15:val="{A3681754-C17B-1343-98CB-B2A86C37F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44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44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447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447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9447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9447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9447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9447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9447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4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44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447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447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9447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9447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9447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9447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9447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944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4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447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447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94474"/>
    <w:pPr>
      <w:spacing w:before="160"/>
      <w:jc w:val="center"/>
    </w:pPr>
    <w:rPr>
      <w:i/>
      <w:iCs/>
      <w:color w:val="404040" w:themeColor="text1" w:themeTint="BF"/>
    </w:rPr>
  </w:style>
  <w:style w:type="character" w:customStyle="1" w:styleId="QuoteChar">
    <w:name w:val="Quote Char"/>
    <w:basedOn w:val="DefaultParagraphFont"/>
    <w:link w:val="Quote"/>
    <w:uiPriority w:val="29"/>
    <w:rsid w:val="00194474"/>
    <w:rPr>
      <w:i/>
      <w:iCs/>
      <w:color w:val="404040" w:themeColor="text1" w:themeTint="BF"/>
    </w:rPr>
  </w:style>
  <w:style w:type="paragraph" w:styleId="ListParagraph">
    <w:name w:val="List Paragraph"/>
    <w:basedOn w:val="Normal"/>
    <w:uiPriority w:val="34"/>
    <w:qFormat/>
    <w:rsid w:val="00194474"/>
    <w:pPr>
      <w:ind w:left="720"/>
      <w:contextualSpacing/>
    </w:pPr>
  </w:style>
  <w:style w:type="character" w:styleId="IntenseEmphasis">
    <w:name w:val="Intense Emphasis"/>
    <w:basedOn w:val="DefaultParagraphFont"/>
    <w:uiPriority w:val="21"/>
    <w:qFormat/>
    <w:rsid w:val="00194474"/>
    <w:rPr>
      <w:i/>
      <w:iCs/>
      <w:color w:val="0F4761" w:themeColor="accent1" w:themeShade="BF"/>
    </w:rPr>
  </w:style>
  <w:style w:type="paragraph" w:styleId="IntenseQuote">
    <w:name w:val="Intense Quote"/>
    <w:basedOn w:val="Normal"/>
    <w:next w:val="Normal"/>
    <w:link w:val="IntenseQuoteChar"/>
    <w:uiPriority w:val="30"/>
    <w:qFormat/>
    <w:rsid w:val="001944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4474"/>
    <w:rPr>
      <w:i/>
      <w:iCs/>
      <w:color w:val="0F4761" w:themeColor="accent1" w:themeShade="BF"/>
    </w:rPr>
  </w:style>
  <w:style w:type="character" w:styleId="IntenseReference">
    <w:name w:val="Intense Reference"/>
    <w:basedOn w:val="DefaultParagraphFont"/>
    <w:uiPriority w:val="32"/>
    <w:qFormat/>
    <w:rsid w:val="00194474"/>
    <w:rPr>
      <w:b/>
      <w:bCs/>
      <w:smallCaps/>
      <w:color w:val="0F4761" w:themeColor="accent1" w:themeShade="BF"/>
      <w:spacing w:val="5"/>
    </w:rPr>
  </w:style>
  <w:style w:type="table" w:styleId="TableGrid">
    <w:name w:val="Table Grid"/>
    <w:basedOn w:val="TableNormal"/>
    <w:uiPriority w:val="39"/>
    <w:rsid w:val="00A52A32"/>
    <w:pPr>
      <w:spacing w:after="0" w:line="240" w:lineRule="auto"/>
    </w:pPr>
    <w:rPr>
      <w:bCs/>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1070D"/>
    <w:rPr>
      <w:color w:val="666666"/>
    </w:rPr>
  </w:style>
  <w:style w:type="character" w:styleId="CommentReference">
    <w:name w:val="annotation reference"/>
    <w:basedOn w:val="DefaultParagraphFont"/>
    <w:uiPriority w:val="99"/>
    <w:semiHidden/>
    <w:unhideWhenUsed/>
    <w:rsid w:val="008D7F03"/>
    <w:rPr>
      <w:sz w:val="16"/>
      <w:szCs w:val="16"/>
    </w:rPr>
  </w:style>
  <w:style w:type="paragraph" w:styleId="CommentText">
    <w:name w:val="annotation text"/>
    <w:basedOn w:val="Normal"/>
    <w:link w:val="CommentTextChar"/>
    <w:uiPriority w:val="99"/>
    <w:semiHidden/>
    <w:unhideWhenUsed/>
    <w:rsid w:val="008D7F03"/>
    <w:pPr>
      <w:spacing w:line="240" w:lineRule="auto"/>
    </w:pPr>
    <w:rPr>
      <w:sz w:val="20"/>
      <w:szCs w:val="20"/>
    </w:rPr>
  </w:style>
  <w:style w:type="character" w:customStyle="1" w:styleId="CommentTextChar">
    <w:name w:val="Comment Text Char"/>
    <w:basedOn w:val="DefaultParagraphFont"/>
    <w:link w:val="CommentText"/>
    <w:uiPriority w:val="99"/>
    <w:semiHidden/>
    <w:rsid w:val="008D7F03"/>
    <w:rPr>
      <w:sz w:val="20"/>
      <w:szCs w:val="20"/>
    </w:rPr>
  </w:style>
  <w:style w:type="paragraph" w:styleId="CommentSubject">
    <w:name w:val="annotation subject"/>
    <w:basedOn w:val="CommentText"/>
    <w:next w:val="CommentText"/>
    <w:link w:val="CommentSubjectChar"/>
    <w:uiPriority w:val="99"/>
    <w:semiHidden/>
    <w:unhideWhenUsed/>
    <w:rsid w:val="008D7F03"/>
    <w:rPr>
      <w:b/>
      <w:bCs/>
    </w:rPr>
  </w:style>
  <w:style w:type="character" w:customStyle="1" w:styleId="CommentSubjectChar">
    <w:name w:val="Comment Subject Char"/>
    <w:basedOn w:val="CommentTextChar"/>
    <w:link w:val="CommentSubject"/>
    <w:uiPriority w:val="99"/>
    <w:semiHidden/>
    <w:rsid w:val="008D7F0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747">
      <w:marLeft w:val="0"/>
      <w:marRight w:val="0"/>
      <w:marTop w:val="0"/>
      <w:marBottom w:val="0"/>
      <w:divBdr>
        <w:top w:val="none" w:sz="0" w:space="0" w:color="auto"/>
        <w:left w:val="none" w:sz="0" w:space="0" w:color="auto"/>
        <w:bottom w:val="none" w:sz="0" w:space="0" w:color="auto"/>
        <w:right w:val="none" w:sz="0" w:space="0" w:color="auto"/>
      </w:divBdr>
    </w:div>
    <w:div w:id="10185589">
      <w:marLeft w:val="480"/>
      <w:marRight w:val="0"/>
      <w:marTop w:val="0"/>
      <w:marBottom w:val="0"/>
      <w:divBdr>
        <w:top w:val="none" w:sz="0" w:space="0" w:color="auto"/>
        <w:left w:val="none" w:sz="0" w:space="0" w:color="auto"/>
        <w:bottom w:val="none" w:sz="0" w:space="0" w:color="auto"/>
        <w:right w:val="none" w:sz="0" w:space="0" w:color="auto"/>
      </w:divBdr>
    </w:div>
    <w:div w:id="28190718">
      <w:marLeft w:val="0"/>
      <w:marRight w:val="0"/>
      <w:marTop w:val="0"/>
      <w:marBottom w:val="0"/>
      <w:divBdr>
        <w:top w:val="none" w:sz="0" w:space="0" w:color="auto"/>
        <w:left w:val="none" w:sz="0" w:space="0" w:color="auto"/>
        <w:bottom w:val="none" w:sz="0" w:space="0" w:color="auto"/>
        <w:right w:val="none" w:sz="0" w:space="0" w:color="auto"/>
      </w:divBdr>
    </w:div>
    <w:div w:id="29653276">
      <w:marLeft w:val="480"/>
      <w:marRight w:val="0"/>
      <w:marTop w:val="0"/>
      <w:marBottom w:val="0"/>
      <w:divBdr>
        <w:top w:val="none" w:sz="0" w:space="0" w:color="auto"/>
        <w:left w:val="none" w:sz="0" w:space="0" w:color="auto"/>
        <w:bottom w:val="none" w:sz="0" w:space="0" w:color="auto"/>
        <w:right w:val="none" w:sz="0" w:space="0" w:color="auto"/>
      </w:divBdr>
    </w:div>
    <w:div w:id="41294231">
      <w:marLeft w:val="0"/>
      <w:marRight w:val="0"/>
      <w:marTop w:val="0"/>
      <w:marBottom w:val="0"/>
      <w:divBdr>
        <w:top w:val="none" w:sz="0" w:space="0" w:color="auto"/>
        <w:left w:val="none" w:sz="0" w:space="0" w:color="auto"/>
        <w:bottom w:val="none" w:sz="0" w:space="0" w:color="auto"/>
        <w:right w:val="none" w:sz="0" w:space="0" w:color="auto"/>
      </w:divBdr>
    </w:div>
    <w:div w:id="49160066">
      <w:marLeft w:val="0"/>
      <w:marRight w:val="0"/>
      <w:marTop w:val="0"/>
      <w:marBottom w:val="0"/>
      <w:divBdr>
        <w:top w:val="none" w:sz="0" w:space="0" w:color="auto"/>
        <w:left w:val="none" w:sz="0" w:space="0" w:color="auto"/>
        <w:bottom w:val="none" w:sz="0" w:space="0" w:color="auto"/>
        <w:right w:val="none" w:sz="0" w:space="0" w:color="auto"/>
      </w:divBdr>
    </w:div>
    <w:div w:id="50809628">
      <w:marLeft w:val="0"/>
      <w:marRight w:val="0"/>
      <w:marTop w:val="0"/>
      <w:marBottom w:val="0"/>
      <w:divBdr>
        <w:top w:val="none" w:sz="0" w:space="0" w:color="auto"/>
        <w:left w:val="none" w:sz="0" w:space="0" w:color="auto"/>
        <w:bottom w:val="none" w:sz="0" w:space="0" w:color="auto"/>
        <w:right w:val="none" w:sz="0" w:space="0" w:color="auto"/>
      </w:divBdr>
    </w:div>
    <w:div w:id="60712809">
      <w:marLeft w:val="0"/>
      <w:marRight w:val="0"/>
      <w:marTop w:val="0"/>
      <w:marBottom w:val="0"/>
      <w:divBdr>
        <w:top w:val="none" w:sz="0" w:space="0" w:color="auto"/>
        <w:left w:val="none" w:sz="0" w:space="0" w:color="auto"/>
        <w:bottom w:val="none" w:sz="0" w:space="0" w:color="auto"/>
        <w:right w:val="none" w:sz="0" w:space="0" w:color="auto"/>
      </w:divBdr>
    </w:div>
    <w:div w:id="68500080">
      <w:marLeft w:val="480"/>
      <w:marRight w:val="0"/>
      <w:marTop w:val="0"/>
      <w:marBottom w:val="0"/>
      <w:divBdr>
        <w:top w:val="none" w:sz="0" w:space="0" w:color="auto"/>
        <w:left w:val="none" w:sz="0" w:space="0" w:color="auto"/>
        <w:bottom w:val="none" w:sz="0" w:space="0" w:color="auto"/>
        <w:right w:val="none" w:sz="0" w:space="0" w:color="auto"/>
      </w:divBdr>
    </w:div>
    <w:div w:id="78059821">
      <w:marLeft w:val="480"/>
      <w:marRight w:val="0"/>
      <w:marTop w:val="0"/>
      <w:marBottom w:val="0"/>
      <w:divBdr>
        <w:top w:val="none" w:sz="0" w:space="0" w:color="auto"/>
        <w:left w:val="none" w:sz="0" w:space="0" w:color="auto"/>
        <w:bottom w:val="none" w:sz="0" w:space="0" w:color="auto"/>
        <w:right w:val="none" w:sz="0" w:space="0" w:color="auto"/>
      </w:divBdr>
    </w:div>
    <w:div w:id="85350922">
      <w:marLeft w:val="480"/>
      <w:marRight w:val="0"/>
      <w:marTop w:val="0"/>
      <w:marBottom w:val="0"/>
      <w:divBdr>
        <w:top w:val="none" w:sz="0" w:space="0" w:color="auto"/>
        <w:left w:val="none" w:sz="0" w:space="0" w:color="auto"/>
        <w:bottom w:val="none" w:sz="0" w:space="0" w:color="auto"/>
        <w:right w:val="none" w:sz="0" w:space="0" w:color="auto"/>
      </w:divBdr>
    </w:div>
    <w:div w:id="87582494">
      <w:marLeft w:val="0"/>
      <w:marRight w:val="0"/>
      <w:marTop w:val="0"/>
      <w:marBottom w:val="0"/>
      <w:divBdr>
        <w:top w:val="none" w:sz="0" w:space="0" w:color="auto"/>
        <w:left w:val="none" w:sz="0" w:space="0" w:color="auto"/>
        <w:bottom w:val="none" w:sz="0" w:space="0" w:color="auto"/>
        <w:right w:val="none" w:sz="0" w:space="0" w:color="auto"/>
      </w:divBdr>
    </w:div>
    <w:div w:id="106193416">
      <w:marLeft w:val="480"/>
      <w:marRight w:val="0"/>
      <w:marTop w:val="0"/>
      <w:marBottom w:val="0"/>
      <w:divBdr>
        <w:top w:val="none" w:sz="0" w:space="0" w:color="auto"/>
        <w:left w:val="none" w:sz="0" w:space="0" w:color="auto"/>
        <w:bottom w:val="none" w:sz="0" w:space="0" w:color="auto"/>
        <w:right w:val="none" w:sz="0" w:space="0" w:color="auto"/>
      </w:divBdr>
    </w:div>
    <w:div w:id="109008115">
      <w:marLeft w:val="0"/>
      <w:marRight w:val="0"/>
      <w:marTop w:val="0"/>
      <w:marBottom w:val="0"/>
      <w:divBdr>
        <w:top w:val="none" w:sz="0" w:space="0" w:color="auto"/>
        <w:left w:val="none" w:sz="0" w:space="0" w:color="auto"/>
        <w:bottom w:val="none" w:sz="0" w:space="0" w:color="auto"/>
        <w:right w:val="none" w:sz="0" w:space="0" w:color="auto"/>
      </w:divBdr>
    </w:div>
    <w:div w:id="111411256">
      <w:marLeft w:val="480"/>
      <w:marRight w:val="0"/>
      <w:marTop w:val="0"/>
      <w:marBottom w:val="0"/>
      <w:divBdr>
        <w:top w:val="none" w:sz="0" w:space="0" w:color="auto"/>
        <w:left w:val="none" w:sz="0" w:space="0" w:color="auto"/>
        <w:bottom w:val="none" w:sz="0" w:space="0" w:color="auto"/>
        <w:right w:val="none" w:sz="0" w:space="0" w:color="auto"/>
      </w:divBdr>
    </w:div>
    <w:div w:id="114443855">
      <w:marLeft w:val="0"/>
      <w:marRight w:val="0"/>
      <w:marTop w:val="0"/>
      <w:marBottom w:val="0"/>
      <w:divBdr>
        <w:top w:val="none" w:sz="0" w:space="0" w:color="auto"/>
        <w:left w:val="none" w:sz="0" w:space="0" w:color="auto"/>
        <w:bottom w:val="none" w:sz="0" w:space="0" w:color="auto"/>
        <w:right w:val="none" w:sz="0" w:space="0" w:color="auto"/>
      </w:divBdr>
    </w:div>
    <w:div w:id="125122031">
      <w:marLeft w:val="0"/>
      <w:marRight w:val="0"/>
      <w:marTop w:val="0"/>
      <w:marBottom w:val="0"/>
      <w:divBdr>
        <w:top w:val="none" w:sz="0" w:space="0" w:color="auto"/>
        <w:left w:val="none" w:sz="0" w:space="0" w:color="auto"/>
        <w:bottom w:val="none" w:sz="0" w:space="0" w:color="auto"/>
        <w:right w:val="none" w:sz="0" w:space="0" w:color="auto"/>
      </w:divBdr>
    </w:div>
    <w:div w:id="129519509">
      <w:marLeft w:val="0"/>
      <w:marRight w:val="0"/>
      <w:marTop w:val="0"/>
      <w:marBottom w:val="0"/>
      <w:divBdr>
        <w:top w:val="none" w:sz="0" w:space="0" w:color="auto"/>
        <w:left w:val="none" w:sz="0" w:space="0" w:color="auto"/>
        <w:bottom w:val="none" w:sz="0" w:space="0" w:color="auto"/>
        <w:right w:val="none" w:sz="0" w:space="0" w:color="auto"/>
      </w:divBdr>
    </w:div>
    <w:div w:id="137960951">
      <w:marLeft w:val="0"/>
      <w:marRight w:val="0"/>
      <w:marTop w:val="0"/>
      <w:marBottom w:val="0"/>
      <w:divBdr>
        <w:top w:val="none" w:sz="0" w:space="0" w:color="auto"/>
        <w:left w:val="none" w:sz="0" w:space="0" w:color="auto"/>
        <w:bottom w:val="none" w:sz="0" w:space="0" w:color="auto"/>
        <w:right w:val="none" w:sz="0" w:space="0" w:color="auto"/>
      </w:divBdr>
    </w:div>
    <w:div w:id="145627813">
      <w:marLeft w:val="0"/>
      <w:marRight w:val="0"/>
      <w:marTop w:val="0"/>
      <w:marBottom w:val="0"/>
      <w:divBdr>
        <w:top w:val="none" w:sz="0" w:space="0" w:color="auto"/>
        <w:left w:val="none" w:sz="0" w:space="0" w:color="auto"/>
        <w:bottom w:val="none" w:sz="0" w:space="0" w:color="auto"/>
        <w:right w:val="none" w:sz="0" w:space="0" w:color="auto"/>
      </w:divBdr>
    </w:div>
    <w:div w:id="156726664">
      <w:marLeft w:val="0"/>
      <w:marRight w:val="0"/>
      <w:marTop w:val="0"/>
      <w:marBottom w:val="0"/>
      <w:divBdr>
        <w:top w:val="none" w:sz="0" w:space="0" w:color="auto"/>
        <w:left w:val="none" w:sz="0" w:space="0" w:color="auto"/>
        <w:bottom w:val="none" w:sz="0" w:space="0" w:color="auto"/>
        <w:right w:val="none" w:sz="0" w:space="0" w:color="auto"/>
      </w:divBdr>
    </w:div>
    <w:div w:id="172033711">
      <w:marLeft w:val="0"/>
      <w:marRight w:val="0"/>
      <w:marTop w:val="0"/>
      <w:marBottom w:val="0"/>
      <w:divBdr>
        <w:top w:val="none" w:sz="0" w:space="0" w:color="auto"/>
        <w:left w:val="none" w:sz="0" w:space="0" w:color="auto"/>
        <w:bottom w:val="none" w:sz="0" w:space="0" w:color="auto"/>
        <w:right w:val="none" w:sz="0" w:space="0" w:color="auto"/>
      </w:divBdr>
    </w:div>
    <w:div w:id="180440792">
      <w:marLeft w:val="0"/>
      <w:marRight w:val="0"/>
      <w:marTop w:val="0"/>
      <w:marBottom w:val="0"/>
      <w:divBdr>
        <w:top w:val="none" w:sz="0" w:space="0" w:color="auto"/>
        <w:left w:val="none" w:sz="0" w:space="0" w:color="auto"/>
        <w:bottom w:val="none" w:sz="0" w:space="0" w:color="auto"/>
        <w:right w:val="none" w:sz="0" w:space="0" w:color="auto"/>
      </w:divBdr>
    </w:div>
    <w:div w:id="194123369">
      <w:marLeft w:val="0"/>
      <w:marRight w:val="0"/>
      <w:marTop w:val="0"/>
      <w:marBottom w:val="0"/>
      <w:divBdr>
        <w:top w:val="none" w:sz="0" w:space="0" w:color="auto"/>
        <w:left w:val="none" w:sz="0" w:space="0" w:color="auto"/>
        <w:bottom w:val="none" w:sz="0" w:space="0" w:color="auto"/>
        <w:right w:val="none" w:sz="0" w:space="0" w:color="auto"/>
      </w:divBdr>
    </w:div>
    <w:div w:id="206376269">
      <w:marLeft w:val="0"/>
      <w:marRight w:val="0"/>
      <w:marTop w:val="0"/>
      <w:marBottom w:val="0"/>
      <w:divBdr>
        <w:top w:val="none" w:sz="0" w:space="0" w:color="auto"/>
        <w:left w:val="none" w:sz="0" w:space="0" w:color="auto"/>
        <w:bottom w:val="none" w:sz="0" w:space="0" w:color="auto"/>
        <w:right w:val="none" w:sz="0" w:space="0" w:color="auto"/>
      </w:divBdr>
    </w:div>
    <w:div w:id="209877006">
      <w:marLeft w:val="480"/>
      <w:marRight w:val="0"/>
      <w:marTop w:val="0"/>
      <w:marBottom w:val="0"/>
      <w:divBdr>
        <w:top w:val="none" w:sz="0" w:space="0" w:color="auto"/>
        <w:left w:val="none" w:sz="0" w:space="0" w:color="auto"/>
        <w:bottom w:val="none" w:sz="0" w:space="0" w:color="auto"/>
        <w:right w:val="none" w:sz="0" w:space="0" w:color="auto"/>
      </w:divBdr>
    </w:div>
    <w:div w:id="227568978">
      <w:marLeft w:val="480"/>
      <w:marRight w:val="0"/>
      <w:marTop w:val="0"/>
      <w:marBottom w:val="0"/>
      <w:divBdr>
        <w:top w:val="none" w:sz="0" w:space="0" w:color="auto"/>
        <w:left w:val="none" w:sz="0" w:space="0" w:color="auto"/>
        <w:bottom w:val="none" w:sz="0" w:space="0" w:color="auto"/>
        <w:right w:val="none" w:sz="0" w:space="0" w:color="auto"/>
      </w:divBdr>
    </w:div>
    <w:div w:id="237253160">
      <w:marLeft w:val="480"/>
      <w:marRight w:val="0"/>
      <w:marTop w:val="0"/>
      <w:marBottom w:val="0"/>
      <w:divBdr>
        <w:top w:val="none" w:sz="0" w:space="0" w:color="auto"/>
        <w:left w:val="none" w:sz="0" w:space="0" w:color="auto"/>
        <w:bottom w:val="none" w:sz="0" w:space="0" w:color="auto"/>
        <w:right w:val="none" w:sz="0" w:space="0" w:color="auto"/>
      </w:divBdr>
    </w:div>
    <w:div w:id="238053507">
      <w:marLeft w:val="0"/>
      <w:marRight w:val="0"/>
      <w:marTop w:val="0"/>
      <w:marBottom w:val="0"/>
      <w:divBdr>
        <w:top w:val="none" w:sz="0" w:space="0" w:color="auto"/>
        <w:left w:val="none" w:sz="0" w:space="0" w:color="auto"/>
        <w:bottom w:val="none" w:sz="0" w:space="0" w:color="auto"/>
        <w:right w:val="none" w:sz="0" w:space="0" w:color="auto"/>
      </w:divBdr>
    </w:div>
    <w:div w:id="254289495">
      <w:marLeft w:val="0"/>
      <w:marRight w:val="0"/>
      <w:marTop w:val="0"/>
      <w:marBottom w:val="0"/>
      <w:divBdr>
        <w:top w:val="none" w:sz="0" w:space="0" w:color="auto"/>
        <w:left w:val="none" w:sz="0" w:space="0" w:color="auto"/>
        <w:bottom w:val="none" w:sz="0" w:space="0" w:color="auto"/>
        <w:right w:val="none" w:sz="0" w:space="0" w:color="auto"/>
      </w:divBdr>
    </w:div>
    <w:div w:id="268050396">
      <w:marLeft w:val="0"/>
      <w:marRight w:val="0"/>
      <w:marTop w:val="0"/>
      <w:marBottom w:val="0"/>
      <w:divBdr>
        <w:top w:val="none" w:sz="0" w:space="0" w:color="auto"/>
        <w:left w:val="none" w:sz="0" w:space="0" w:color="auto"/>
        <w:bottom w:val="none" w:sz="0" w:space="0" w:color="auto"/>
        <w:right w:val="none" w:sz="0" w:space="0" w:color="auto"/>
      </w:divBdr>
    </w:div>
    <w:div w:id="277807503">
      <w:marLeft w:val="0"/>
      <w:marRight w:val="0"/>
      <w:marTop w:val="0"/>
      <w:marBottom w:val="0"/>
      <w:divBdr>
        <w:top w:val="none" w:sz="0" w:space="0" w:color="auto"/>
        <w:left w:val="none" w:sz="0" w:space="0" w:color="auto"/>
        <w:bottom w:val="none" w:sz="0" w:space="0" w:color="auto"/>
        <w:right w:val="none" w:sz="0" w:space="0" w:color="auto"/>
      </w:divBdr>
    </w:div>
    <w:div w:id="277879304">
      <w:marLeft w:val="0"/>
      <w:marRight w:val="0"/>
      <w:marTop w:val="0"/>
      <w:marBottom w:val="0"/>
      <w:divBdr>
        <w:top w:val="none" w:sz="0" w:space="0" w:color="auto"/>
        <w:left w:val="none" w:sz="0" w:space="0" w:color="auto"/>
        <w:bottom w:val="none" w:sz="0" w:space="0" w:color="auto"/>
        <w:right w:val="none" w:sz="0" w:space="0" w:color="auto"/>
      </w:divBdr>
    </w:div>
    <w:div w:id="282274187">
      <w:marLeft w:val="0"/>
      <w:marRight w:val="0"/>
      <w:marTop w:val="0"/>
      <w:marBottom w:val="0"/>
      <w:divBdr>
        <w:top w:val="none" w:sz="0" w:space="0" w:color="auto"/>
        <w:left w:val="none" w:sz="0" w:space="0" w:color="auto"/>
        <w:bottom w:val="none" w:sz="0" w:space="0" w:color="auto"/>
        <w:right w:val="none" w:sz="0" w:space="0" w:color="auto"/>
      </w:divBdr>
    </w:div>
    <w:div w:id="283925830">
      <w:marLeft w:val="480"/>
      <w:marRight w:val="0"/>
      <w:marTop w:val="0"/>
      <w:marBottom w:val="0"/>
      <w:divBdr>
        <w:top w:val="none" w:sz="0" w:space="0" w:color="auto"/>
        <w:left w:val="none" w:sz="0" w:space="0" w:color="auto"/>
        <w:bottom w:val="none" w:sz="0" w:space="0" w:color="auto"/>
        <w:right w:val="none" w:sz="0" w:space="0" w:color="auto"/>
      </w:divBdr>
    </w:div>
    <w:div w:id="290523862">
      <w:marLeft w:val="0"/>
      <w:marRight w:val="0"/>
      <w:marTop w:val="0"/>
      <w:marBottom w:val="0"/>
      <w:divBdr>
        <w:top w:val="none" w:sz="0" w:space="0" w:color="auto"/>
        <w:left w:val="none" w:sz="0" w:space="0" w:color="auto"/>
        <w:bottom w:val="none" w:sz="0" w:space="0" w:color="auto"/>
        <w:right w:val="none" w:sz="0" w:space="0" w:color="auto"/>
      </w:divBdr>
    </w:div>
    <w:div w:id="294532086">
      <w:marLeft w:val="480"/>
      <w:marRight w:val="0"/>
      <w:marTop w:val="0"/>
      <w:marBottom w:val="0"/>
      <w:divBdr>
        <w:top w:val="none" w:sz="0" w:space="0" w:color="auto"/>
        <w:left w:val="none" w:sz="0" w:space="0" w:color="auto"/>
        <w:bottom w:val="none" w:sz="0" w:space="0" w:color="auto"/>
        <w:right w:val="none" w:sz="0" w:space="0" w:color="auto"/>
      </w:divBdr>
    </w:div>
    <w:div w:id="296646127">
      <w:marLeft w:val="0"/>
      <w:marRight w:val="0"/>
      <w:marTop w:val="0"/>
      <w:marBottom w:val="0"/>
      <w:divBdr>
        <w:top w:val="none" w:sz="0" w:space="0" w:color="auto"/>
        <w:left w:val="none" w:sz="0" w:space="0" w:color="auto"/>
        <w:bottom w:val="none" w:sz="0" w:space="0" w:color="auto"/>
        <w:right w:val="none" w:sz="0" w:space="0" w:color="auto"/>
      </w:divBdr>
    </w:div>
    <w:div w:id="299307537">
      <w:marLeft w:val="480"/>
      <w:marRight w:val="0"/>
      <w:marTop w:val="0"/>
      <w:marBottom w:val="0"/>
      <w:divBdr>
        <w:top w:val="none" w:sz="0" w:space="0" w:color="auto"/>
        <w:left w:val="none" w:sz="0" w:space="0" w:color="auto"/>
        <w:bottom w:val="none" w:sz="0" w:space="0" w:color="auto"/>
        <w:right w:val="none" w:sz="0" w:space="0" w:color="auto"/>
      </w:divBdr>
    </w:div>
    <w:div w:id="302581864">
      <w:marLeft w:val="0"/>
      <w:marRight w:val="0"/>
      <w:marTop w:val="0"/>
      <w:marBottom w:val="0"/>
      <w:divBdr>
        <w:top w:val="none" w:sz="0" w:space="0" w:color="auto"/>
        <w:left w:val="none" w:sz="0" w:space="0" w:color="auto"/>
        <w:bottom w:val="none" w:sz="0" w:space="0" w:color="auto"/>
        <w:right w:val="none" w:sz="0" w:space="0" w:color="auto"/>
      </w:divBdr>
    </w:div>
    <w:div w:id="310990518">
      <w:marLeft w:val="0"/>
      <w:marRight w:val="0"/>
      <w:marTop w:val="0"/>
      <w:marBottom w:val="0"/>
      <w:divBdr>
        <w:top w:val="none" w:sz="0" w:space="0" w:color="auto"/>
        <w:left w:val="none" w:sz="0" w:space="0" w:color="auto"/>
        <w:bottom w:val="none" w:sz="0" w:space="0" w:color="auto"/>
        <w:right w:val="none" w:sz="0" w:space="0" w:color="auto"/>
      </w:divBdr>
    </w:div>
    <w:div w:id="312367903">
      <w:marLeft w:val="0"/>
      <w:marRight w:val="0"/>
      <w:marTop w:val="0"/>
      <w:marBottom w:val="0"/>
      <w:divBdr>
        <w:top w:val="none" w:sz="0" w:space="0" w:color="auto"/>
        <w:left w:val="none" w:sz="0" w:space="0" w:color="auto"/>
        <w:bottom w:val="none" w:sz="0" w:space="0" w:color="auto"/>
        <w:right w:val="none" w:sz="0" w:space="0" w:color="auto"/>
      </w:divBdr>
    </w:div>
    <w:div w:id="324821660">
      <w:marLeft w:val="480"/>
      <w:marRight w:val="0"/>
      <w:marTop w:val="0"/>
      <w:marBottom w:val="0"/>
      <w:divBdr>
        <w:top w:val="none" w:sz="0" w:space="0" w:color="auto"/>
        <w:left w:val="none" w:sz="0" w:space="0" w:color="auto"/>
        <w:bottom w:val="none" w:sz="0" w:space="0" w:color="auto"/>
        <w:right w:val="none" w:sz="0" w:space="0" w:color="auto"/>
      </w:divBdr>
    </w:div>
    <w:div w:id="327633977">
      <w:marLeft w:val="0"/>
      <w:marRight w:val="0"/>
      <w:marTop w:val="0"/>
      <w:marBottom w:val="0"/>
      <w:divBdr>
        <w:top w:val="none" w:sz="0" w:space="0" w:color="auto"/>
        <w:left w:val="none" w:sz="0" w:space="0" w:color="auto"/>
        <w:bottom w:val="none" w:sz="0" w:space="0" w:color="auto"/>
        <w:right w:val="none" w:sz="0" w:space="0" w:color="auto"/>
      </w:divBdr>
    </w:div>
    <w:div w:id="330448704">
      <w:marLeft w:val="0"/>
      <w:marRight w:val="0"/>
      <w:marTop w:val="0"/>
      <w:marBottom w:val="0"/>
      <w:divBdr>
        <w:top w:val="none" w:sz="0" w:space="0" w:color="auto"/>
        <w:left w:val="none" w:sz="0" w:space="0" w:color="auto"/>
        <w:bottom w:val="none" w:sz="0" w:space="0" w:color="auto"/>
        <w:right w:val="none" w:sz="0" w:space="0" w:color="auto"/>
      </w:divBdr>
    </w:div>
    <w:div w:id="336663873">
      <w:marLeft w:val="0"/>
      <w:marRight w:val="0"/>
      <w:marTop w:val="0"/>
      <w:marBottom w:val="0"/>
      <w:divBdr>
        <w:top w:val="none" w:sz="0" w:space="0" w:color="auto"/>
        <w:left w:val="none" w:sz="0" w:space="0" w:color="auto"/>
        <w:bottom w:val="none" w:sz="0" w:space="0" w:color="auto"/>
        <w:right w:val="none" w:sz="0" w:space="0" w:color="auto"/>
      </w:divBdr>
    </w:div>
    <w:div w:id="337392288">
      <w:marLeft w:val="480"/>
      <w:marRight w:val="0"/>
      <w:marTop w:val="0"/>
      <w:marBottom w:val="0"/>
      <w:divBdr>
        <w:top w:val="none" w:sz="0" w:space="0" w:color="auto"/>
        <w:left w:val="none" w:sz="0" w:space="0" w:color="auto"/>
        <w:bottom w:val="none" w:sz="0" w:space="0" w:color="auto"/>
        <w:right w:val="none" w:sz="0" w:space="0" w:color="auto"/>
      </w:divBdr>
    </w:div>
    <w:div w:id="339434807">
      <w:marLeft w:val="0"/>
      <w:marRight w:val="0"/>
      <w:marTop w:val="0"/>
      <w:marBottom w:val="0"/>
      <w:divBdr>
        <w:top w:val="none" w:sz="0" w:space="0" w:color="auto"/>
        <w:left w:val="none" w:sz="0" w:space="0" w:color="auto"/>
        <w:bottom w:val="none" w:sz="0" w:space="0" w:color="auto"/>
        <w:right w:val="none" w:sz="0" w:space="0" w:color="auto"/>
      </w:divBdr>
    </w:div>
    <w:div w:id="350497868">
      <w:marLeft w:val="0"/>
      <w:marRight w:val="0"/>
      <w:marTop w:val="0"/>
      <w:marBottom w:val="0"/>
      <w:divBdr>
        <w:top w:val="none" w:sz="0" w:space="0" w:color="auto"/>
        <w:left w:val="none" w:sz="0" w:space="0" w:color="auto"/>
        <w:bottom w:val="none" w:sz="0" w:space="0" w:color="auto"/>
        <w:right w:val="none" w:sz="0" w:space="0" w:color="auto"/>
      </w:divBdr>
    </w:div>
    <w:div w:id="372072361">
      <w:marLeft w:val="0"/>
      <w:marRight w:val="0"/>
      <w:marTop w:val="0"/>
      <w:marBottom w:val="0"/>
      <w:divBdr>
        <w:top w:val="none" w:sz="0" w:space="0" w:color="auto"/>
        <w:left w:val="none" w:sz="0" w:space="0" w:color="auto"/>
        <w:bottom w:val="none" w:sz="0" w:space="0" w:color="auto"/>
        <w:right w:val="none" w:sz="0" w:space="0" w:color="auto"/>
      </w:divBdr>
    </w:div>
    <w:div w:id="373773074">
      <w:marLeft w:val="0"/>
      <w:marRight w:val="0"/>
      <w:marTop w:val="0"/>
      <w:marBottom w:val="0"/>
      <w:divBdr>
        <w:top w:val="none" w:sz="0" w:space="0" w:color="auto"/>
        <w:left w:val="none" w:sz="0" w:space="0" w:color="auto"/>
        <w:bottom w:val="none" w:sz="0" w:space="0" w:color="auto"/>
        <w:right w:val="none" w:sz="0" w:space="0" w:color="auto"/>
      </w:divBdr>
    </w:div>
    <w:div w:id="384329216">
      <w:marLeft w:val="480"/>
      <w:marRight w:val="0"/>
      <w:marTop w:val="0"/>
      <w:marBottom w:val="0"/>
      <w:divBdr>
        <w:top w:val="none" w:sz="0" w:space="0" w:color="auto"/>
        <w:left w:val="none" w:sz="0" w:space="0" w:color="auto"/>
        <w:bottom w:val="none" w:sz="0" w:space="0" w:color="auto"/>
        <w:right w:val="none" w:sz="0" w:space="0" w:color="auto"/>
      </w:divBdr>
    </w:div>
    <w:div w:id="386807115">
      <w:marLeft w:val="480"/>
      <w:marRight w:val="0"/>
      <w:marTop w:val="0"/>
      <w:marBottom w:val="0"/>
      <w:divBdr>
        <w:top w:val="none" w:sz="0" w:space="0" w:color="auto"/>
        <w:left w:val="none" w:sz="0" w:space="0" w:color="auto"/>
        <w:bottom w:val="none" w:sz="0" w:space="0" w:color="auto"/>
        <w:right w:val="none" w:sz="0" w:space="0" w:color="auto"/>
      </w:divBdr>
    </w:div>
    <w:div w:id="389422976">
      <w:marLeft w:val="0"/>
      <w:marRight w:val="0"/>
      <w:marTop w:val="0"/>
      <w:marBottom w:val="0"/>
      <w:divBdr>
        <w:top w:val="none" w:sz="0" w:space="0" w:color="auto"/>
        <w:left w:val="none" w:sz="0" w:space="0" w:color="auto"/>
        <w:bottom w:val="none" w:sz="0" w:space="0" w:color="auto"/>
        <w:right w:val="none" w:sz="0" w:space="0" w:color="auto"/>
      </w:divBdr>
    </w:div>
    <w:div w:id="396706948">
      <w:marLeft w:val="480"/>
      <w:marRight w:val="0"/>
      <w:marTop w:val="0"/>
      <w:marBottom w:val="0"/>
      <w:divBdr>
        <w:top w:val="none" w:sz="0" w:space="0" w:color="auto"/>
        <w:left w:val="none" w:sz="0" w:space="0" w:color="auto"/>
        <w:bottom w:val="none" w:sz="0" w:space="0" w:color="auto"/>
        <w:right w:val="none" w:sz="0" w:space="0" w:color="auto"/>
      </w:divBdr>
    </w:div>
    <w:div w:id="400444826">
      <w:marLeft w:val="480"/>
      <w:marRight w:val="0"/>
      <w:marTop w:val="0"/>
      <w:marBottom w:val="0"/>
      <w:divBdr>
        <w:top w:val="none" w:sz="0" w:space="0" w:color="auto"/>
        <w:left w:val="none" w:sz="0" w:space="0" w:color="auto"/>
        <w:bottom w:val="none" w:sz="0" w:space="0" w:color="auto"/>
        <w:right w:val="none" w:sz="0" w:space="0" w:color="auto"/>
      </w:divBdr>
    </w:div>
    <w:div w:id="401178311">
      <w:marLeft w:val="480"/>
      <w:marRight w:val="0"/>
      <w:marTop w:val="0"/>
      <w:marBottom w:val="0"/>
      <w:divBdr>
        <w:top w:val="none" w:sz="0" w:space="0" w:color="auto"/>
        <w:left w:val="none" w:sz="0" w:space="0" w:color="auto"/>
        <w:bottom w:val="none" w:sz="0" w:space="0" w:color="auto"/>
        <w:right w:val="none" w:sz="0" w:space="0" w:color="auto"/>
      </w:divBdr>
    </w:div>
    <w:div w:id="402415327">
      <w:marLeft w:val="480"/>
      <w:marRight w:val="0"/>
      <w:marTop w:val="0"/>
      <w:marBottom w:val="0"/>
      <w:divBdr>
        <w:top w:val="none" w:sz="0" w:space="0" w:color="auto"/>
        <w:left w:val="none" w:sz="0" w:space="0" w:color="auto"/>
        <w:bottom w:val="none" w:sz="0" w:space="0" w:color="auto"/>
        <w:right w:val="none" w:sz="0" w:space="0" w:color="auto"/>
      </w:divBdr>
    </w:div>
    <w:div w:id="405347215">
      <w:marLeft w:val="480"/>
      <w:marRight w:val="0"/>
      <w:marTop w:val="0"/>
      <w:marBottom w:val="0"/>
      <w:divBdr>
        <w:top w:val="none" w:sz="0" w:space="0" w:color="auto"/>
        <w:left w:val="none" w:sz="0" w:space="0" w:color="auto"/>
        <w:bottom w:val="none" w:sz="0" w:space="0" w:color="auto"/>
        <w:right w:val="none" w:sz="0" w:space="0" w:color="auto"/>
      </w:divBdr>
    </w:div>
    <w:div w:id="417946019">
      <w:marLeft w:val="0"/>
      <w:marRight w:val="0"/>
      <w:marTop w:val="0"/>
      <w:marBottom w:val="0"/>
      <w:divBdr>
        <w:top w:val="none" w:sz="0" w:space="0" w:color="auto"/>
        <w:left w:val="none" w:sz="0" w:space="0" w:color="auto"/>
        <w:bottom w:val="none" w:sz="0" w:space="0" w:color="auto"/>
        <w:right w:val="none" w:sz="0" w:space="0" w:color="auto"/>
      </w:divBdr>
    </w:div>
    <w:div w:id="423183931">
      <w:marLeft w:val="0"/>
      <w:marRight w:val="0"/>
      <w:marTop w:val="0"/>
      <w:marBottom w:val="0"/>
      <w:divBdr>
        <w:top w:val="none" w:sz="0" w:space="0" w:color="auto"/>
        <w:left w:val="none" w:sz="0" w:space="0" w:color="auto"/>
        <w:bottom w:val="none" w:sz="0" w:space="0" w:color="auto"/>
        <w:right w:val="none" w:sz="0" w:space="0" w:color="auto"/>
      </w:divBdr>
    </w:div>
    <w:div w:id="423918623">
      <w:marLeft w:val="0"/>
      <w:marRight w:val="0"/>
      <w:marTop w:val="0"/>
      <w:marBottom w:val="0"/>
      <w:divBdr>
        <w:top w:val="none" w:sz="0" w:space="0" w:color="auto"/>
        <w:left w:val="none" w:sz="0" w:space="0" w:color="auto"/>
        <w:bottom w:val="none" w:sz="0" w:space="0" w:color="auto"/>
        <w:right w:val="none" w:sz="0" w:space="0" w:color="auto"/>
      </w:divBdr>
    </w:div>
    <w:div w:id="428699311">
      <w:marLeft w:val="0"/>
      <w:marRight w:val="0"/>
      <w:marTop w:val="0"/>
      <w:marBottom w:val="0"/>
      <w:divBdr>
        <w:top w:val="none" w:sz="0" w:space="0" w:color="auto"/>
        <w:left w:val="none" w:sz="0" w:space="0" w:color="auto"/>
        <w:bottom w:val="none" w:sz="0" w:space="0" w:color="auto"/>
        <w:right w:val="none" w:sz="0" w:space="0" w:color="auto"/>
      </w:divBdr>
    </w:div>
    <w:div w:id="447624603">
      <w:marLeft w:val="0"/>
      <w:marRight w:val="0"/>
      <w:marTop w:val="0"/>
      <w:marBottom w:val="0"/>
      <w:divBdr>
        <w:top w:val="none" w:sz="0" w:space="0" w:color="auto"/>
        <w:left w:val="none" w:sz="0" w:space="0" w:color="auto"/>
        <w:bottom w:val="none" w:sz="0" w:space="0" w:color="auto"/>
        <w:right w:val="none" w:sz="0" w:space="0" w:color="auto"/>
      </w:divBdr>
    </w:div>
    <w:div w:id="453213485">
      <w:marLeft w:val="0"/>
      <w:marRight w:val="0"/>
      <w:marTop w:val="0"/>
      <w:marBottom w:val="0"/>
      <w:divBdr>
        <w:top w:val="none" w:sz="0" w:space="0" w:color="auto"/>
        <w:left w:val="none" w:sz="0" w:space="0" w:color="auto"/>
        <w:bottom w:val="none" w:sz="0" w:space="0" w:color="auto"/>
        <w:right w:val="none" w:sz="0" w:space="0" w:color="auto"/>
      </w:divBdr>
    </w:div>
    <w:div w:id="460924905">
      <w:marLeft w:val="0"/>
      <w:marRight w:val="0"/>
      <w:marTop w:val="0"/>
      <w:marBottom w:val="0"/>
      <w:divBdr>
        <w:top w:val="none" w:sz="0" w:space="0" w:color="auto"/>
        <w:left w:val="none" w:sz="0" w:space="0" w:color="auto"/>
        <w:bottom w:val="none" w:sz="0" w:space="0" w:color="auto"/>
        <w:right w:val="none" w:sz="0" w:space="0" w:color="auto"/>
      </w:divBdr>
    </w:div>
    <w:div w:id="463081984">
      <w:marLeft w:val="480"/>
      <w:marRight w:val="0"/>
      <w:marTop w:val="0"/>
      <w:marBottom w:val="0"/>
      <w:divBdr>
        <w:top w:val="none" w:sz="0" w:space="0" w:color="auto"/>
        <w:left w:val="none" w:sz="0" w:space="0" w:color="auto"/>
        <w:bottom w:val="none" w:sz="0" w:space="0" w:color="auto"/>
        <w:right w:val="none" w:sz="0" w:space="0" w:color="auto"/>
      </w:divBdr>
    </w:div>
    <w:div w:id="478350761">
      <w:marLeft w:val="0"/>
      <w:marRight w:val="0"/>
      <w:marTop w:val="0"/>
      <w:marBottom w:val="0"/>
      <w:divBdr>
        <w:top w:val="none" w:sz="0" w:space="0" w:color="auto"/>
        <w:left w:val="none" w:sz="0" w:space="0" w:color="auto"/>
        <w:bottom w:val="none" w:sz="0" w:space="0" w:color="auto"/>
        <w:right w:val="none" w:sz="0" w:space="0" w:color="auto"/>
      </w:divBdr>
    </w:div>
    <w:div w:id="497505310">
      <w:marLeft w:val="0"/>
      <w:marRight w:val="0"/>
      <w:marTop w:val="0"/>
      <w:marBottom w:val="0"/>
      <w:divBdr>
        <w:top w:val="none" w:sz="0" w:space="0" w:color="auto"/>
        <w:left w:val="none" w:sz="0" w:space="0" w:color="auto"/>
        <w:bottom w:val="none" w:sz="0" w:space="0" w:color="auto"/>
        <w:right w:val="none" w:sz="0" w:space="0" w:color="auto"/>
      </w:divBdr>
    </w:div>
    <w:div w:id="501509304">
      <w:marLeft w:val="480"/>
      <w:marRight w:val="0"/>
      <w:marTop w:val="0"/>
      <w:marBottom w:val="0"/>
      <w:divBdr>
        <w:top w:val="none" w:sz="0" w:space="0" w:color="auto"/>
        <w:left w:val="none" w:sz="0" w:space="0" w:color="auto"/>
        <w:bottom w:val="none" w:sz="0" w:space="0" w:color="auto"/>
        <w:right w:val="none" w:sz="0" w:space="0" w:color="auto"/>
      </w:divBdr>
    </w:div>
    <w:div w:id="505636181">
      <w:marLeft w:val="0"/>
      <w:marRight w:val="0"/>
      <w:marTop w:val="0"/>
      <w:marBottom w:val="0"/>
      <w:divBdr>
        <w:top w:val="none" w:sz="0" w:space="0" w:color="auto"/>
        <w:left w:val="none" w:sz="0" w:space="0" w:color="auto"/>
        <w:bottom w:val="none" w:sz="0" w:space="0" w:color="auto"/>
        <w:right w:val="none" w:sz="0" w:space="0" w:color="auto"/>
      </w:divBdr>
    </w:div>
    <w:div w:id="521210736">
      <w:marLeft w:val="480"/>
      <w:marRight w:val="0"/>
      <w:marTop w:val="0"/>
      <w:marBottom w:val="0"/>
      <w:divBdr>
        <w:top w:val="none" w:sz="0" w:space="0" w:color="auto"/>
        <w:left w:val="none" w:sz="0" w:space="0" w:color="auto"/>
        <w:bottom w:val="none" w:sz="0" w:space="0" w:color="auto"/>
        <w:right w:val="none" w:sz="0" w:space="0" w:color="auto"/>
      </w:divBdr>
    </w:div>
    <w:div w:id="537815651">
      <w:marLeft w:val="480"/>
      <w:marRight w:val="0"/>
      <w:marTop w:val="0"/>
      <w:marBottom w:val="0"/>
      <w:divBdr>
        <w:top w:val="none" w:sz="0" w:space="0" w:color="auto"/>
        <w:left w:val="none" w:sz="0" w:space="0" w:color="auto"/>
        <w:bottom w:val="none" w:sz="0" w:space="0" w:color="auto"/>
        <w:right w:val="none" w:sz="0" w:space="0" w:color="auto"/>
      </w:divBdr>
    </w:div>
    <w:div w:id="546530063">
      <w:marLeft w:val="0"/>
      <w:marRight w:val="0"/>
      <w:marTop w:val="0"/>
      <w:marBottom w:val="0"/>
      <w:divBdr>
        <w:top w:val="none" w:sz="0" w:space="0" w:color="auto"/>
        <w:left w:val="none" w:sz="0" w:space="0" w:color="auto"/>
        <w:bottom w:val="none" w:sz="0" w:space="0" w:color="auto"/>
        <w:right w:val="none" w:sz="0" w:space="0" w:color="auto"/>
      </w:divBdr>
    </w:div>
    <w:div w:id="555505282">
      <w:marLeft w:val="480"/>
      <w:marRight w:val="0"/>
      <w:marTop w:val="0"/>
      <w:marBottom w:val="0"/>
      <w:divBdr>
        <w:top w:val="none" w:sz="0" w:space="0" w:color="auto"/>
        <w:left w:val="none" w:sz="0" w:space="0" w:color="auto"/>
        <w:bottom w:val="none" w:sz="0" w:space="0" w:color="auto"/>
        <w:right w:val="none" w:sz="0" w:space="0" w:color="auto"/>
      </w:divBdr>
    </w:div>
    <w:div w:id="557058117">
      <w:marLeft w:val="480"/>
      <w:marRight w:val="0"/>
      <w:marTop w:val="0"/>
      <w:marBottom w:val="0"/>
      <w:divBdr>
        <w:top w:val="none" w:sz="0" w:space="0" w:color="auto"/>
        <w:left w:val="none" w:sz="0" w:space="0" w:color="auto"/>
        <w:bottom w:val="none" w:sz="0" w:space="0" w:color="auto"/>
        <w:right w:val="none" w:sz="0" w:space="0" w:color="auto"/>
      </w:divBdr>
    </w:div>
    <w:div w:id="559562407">
      <w:marLeft w:val="0"/>
      <w:marRight w:val="0"/>
      <w:marTop w:val="0"/>
      <w:marBottom w:val="0"/>
      <w:divBdr>
        <w:top w:val="none" w:sz="0" w:space="0" w:color="auto"/>
        <w:left w:val="none" w:sz="0" w:space="0" w:color="auto"/>
        <w:bottom w:val="none" w:sz="0" w:space="0" w:color="auto"/>
        <w:right w:val="none" w:sz="0" w:space="0" w:color="auto"/>
      </w:divBdr>
    </w:div>
    <w:div w:id="568150399">
      <w:marLeft w:val="0"/>
      <w:marRight w:val="0"/>
      <w:marTop w:val="0"/>
      <w:marBottom w:val="0"/>
      <w:divBdr>
        <w:top w:val="none" w:sz="0" w:space="0" w:color="auto"/>
        <w:left w:val="none" w:sz="0" w:space="0" w:color="auto"/>
        <w:bottom w:val="none" w:sz="0" w:space="0" w:color="auto"/>
        <w:right w:val="none" w:sz="0" w:space="0" w:color="auto"/>
      </w:divBdr>
    </w:div>
    <w:div w:id="569464505">
      <w:marLeft w:val="0"/>
      <w:marRight w:val="0"/>
      <w:marTop w:val="0"/>
      <w:marBottom w:val="0"/>
      <w:divBdr>
        <w:top w:val="none" w:sz="0" w:space="0" w:color="auto"/>
        <w:left w:val="none" w:sz="0" w:space="0" w:color="auto"/>
        <w:bottom w:val="none" w:sz="0" w:space="0" w:color="auto"/>
        <w:right w:val="none" w:sz="0" w:space="0" w:color="auto"/>
      </w:divBdr>
    </w:div>
    <w:div w:id="576401912">
      <w:marLeft w:val="0"/>
      <w:marRight w:val="0"/>
      <w:marTop w:val="0"/>
      <w:marBottom w:val="0"/>
      <w:divBdr>
        <w:top w:val="none" w:sz="0" w:space="0" w:color="auto"/>
        <w:left w:val="none" w:sz="0" w:space="0" w:color="auto"/>
        <w:bottom w:val="none" w:sz="0" w:space="0" w:color="auto"/>
        <w:right w:val="none" w:sz="0" w:space="0" w:color="auto"/>
      </w:divBdr>
    </w:div>
    <w:div w:id="585460338">
      <w:marLeft w:val="0"/>
      <w:marRight w:val="0"/>
      <w:marTop w:val="0"/>
      <w:marBottom w:val="0"/>
      <w:divBdr>
        <w:top w:val="none" w:sz="0" w:space="0" w:color="auto"/>
        <w:left w:val="none" w:sz="0" w:space="0" w:color="auto"/>
        <w:bottom w:val="none" w:sz="0" w:space="0" w:color="auto"/>
        <w:right w:val="none" w:sz="0" w:space="0" w:color="auto"/>
      </w:divBdr>
    </w:div>
    <w:div w:id="590285562">
      <w:marLeft w:val="0"/>
      <w:marRight w:val="0"/>
      <w:marTop w:val="0"/>
      <w:marBottom w:val="0"/>
      <w:divBdr>
        <w:top w:val="none" w:sz="0" w:space="0" w:color="auto"/>
        <w:left w:val="none" w:sz="0" w:space="0" w:color="auto"/>
        <w:bottom w:val="none" w:sz="0" w:space="0" w:color="auto"/>
        <w:right w:val="none" w:sz="0" w:space="0" w:color="auto"/>
      </w:divBdr>
    </w:div>
    <w:div w:id="601258956">
      <w:marLeft w:val="0"/>
      <w:marRight w:val="0"/>
      <w:marTop w:val="0"/>
      <w:marBottom w:val="0"/>
      <w:divBdr>
        <w:top w:val="none" w:sz="0" w:space="0" w:color="auto"/>
        <w:left w:val="none" w:sz="0" w:space="0" w:color="auto"/>
        <w:bottom w:val="none" w:sz="0" w:space="0" w:color="auto"/>
        <w:right w:val="none" w:sz="0" w:space="0" w:color="auto"/>
      </w:divBdr>
    </w:div>
    <w:div w:id="642663946">
      <w:marLeft w:val="0"/>
      <w:marRight w:val="0"/>
      <w:marTop w:val="0"/>
      <w:marBottom w:val="0"/>
      <w:divBdr>
        <w:top w:val="none" w:sz="0" w:space="0" w:color="auto"/>
        <w:left w:val="none" w:sz="0" w:space="0" w:color="auto"/>
        <w:bottom w:val="none" w:sz="0" w:space="0" w:color="auto"/>
        <w:right w:val="none" w:sz="0" w:space="0" w:color="auto"/>
      </w:divBdr>
    </w:div>
    <w:div w:id="644433746">
      <w:marLeft w:val="480"/>
      <w:marRight w:val="0"/>
      <w:marTop w:val="0"/>
      <w:marBottom w:val="0"/>
      <w:divBdr>
        <w:top w:val="none" w:sz="0" w:space="0" w:color="auto"/>
        <w:left w:val="none" w:sz="0" w:space="0" w:color="auto"/>
        <w:bottom w:val="none" w:sz="0" w:space="0" w:color="auto"/>
        <w:right w:val="none" w:sz="0" w:space="0" w:color="auto"/>
      </w:divBdr>
    </w:div>
    <w:div w:id="644701393">
      <w:marLeft w:val="0"/>
      <w:marRight w:val="0"/>
      <w:marTop w:val="0"/>
      <w:marBottom w:val="0"/>
      <w:divBdr>
        <w:top w:val="none" w:sz="0" w:space="0" w:color="auto"/>
        <w:left w:val="none" w:sz="0" w:space="0" w:color="auto"/>
        <w:bottom w:val="none" w:sz="0" w:space="0" w:color="auto"/>
        <w:right w:val="none" w:sz="0" w:space="0" w:color="auto"/>
      </w:divBdr>
    </w:div>
    <w:div w:id="660350153">
      <w:marLeft w:val="0"/>
      <w:marRight w:val="0"/>
      <w:marTop w:val="0"/>
      <w:marBottom w:val="0"/>
      <w:divBdr>
        <w:top w:val="none" w:sz="0" w:space="0" w:color="auto"/>
        <w:left w:val="none" w:sz="0" w:space="0" w:color="auto"/>
        <w:bottom w:val="none" w:sz="0" w:space="0" w:color="auto"/>
        <w:right w:val="none" w:sz="0" w:space="0" w:color="auto"/>
      </w:divBdr>
    </w:div>
    <w:div w:id="660809707">
      <w:marLeft w:val="480"/>
      <w:marRight w:val="0"/>
      <w:marTop w:val="0"/>
      <w:marBottom w:val="0"/>
      <w:divBdr>
        <w:top w:val="none" w:sz="0" w:space="0" w:color="auto"/>
        <w:left w:val="none" w:sz="0" w:space="0" w:color="auto"/>
        <w:bottom w:val="none" w:sz="0" w:space="0" w:color="auto"/>
        <w:right w:val="none" w:sz="0" w:space="0" w:color="auto"/>
      </w:divBdr>
    </w:div>
    <w:div w:id="661197949">
      <w:marLeft w:val="0"/>
      <w:marRight w:val="0"/>
      <w:marTop w:val="0"/>
      <w:marBottom w:val="0"/>
      <w:divBdr>
        <w:top w:val="none" w:sz="0" w:space="0" w:color="auto"/>
        <w:left w:val="none" w:sz="0" w:space="0" w:color="auto"/>
        <w:bottom w:val="none" w:sz="0" w:space="0" w:color="auto"/>
        <w:right w:val="none" w:sz="0" w:space="0" w:color="auto"/>
      </w:divBdr>
    </w:div>
    <w:div w:id="678502891">
      <w:marLeft w:val="0"/>
      <w:marRight w:val="0"/>
      <w:marTop w:val="0"/>
      <w:marBottom w:val="0"/>
      <w:divBdr>
        <w:top w:val="none" w:sz="0" w:space="0" w:color="auto"/>
        <w:left w:val="none" w:sz="0" w:space="0" w:color="auto"/>
        <w:bottom w:val="none" w:sz="0" w:space="0" w:color="auto"/>
        <w:right w:val="none" w:sz="0" w:space="0" w:color="auto"/>
      </w:divBdr>
    </w:div>
    <w:div w:id="687096317">
      <w:marLeft w:val="480"/>
      <w:marRight w:val="0"/>
      <w:marTop w:val="0"/>
      <w:marBottom w:val="0"/>
      <w:divBdr>
        <w:top w:val="none" w:sz="0" w:space="0" w:color="auto"/>
        <w:left w:val="none" w:sz="0" w:space="0" w:color="auto"/>
        <w:bottom w:val="none" w:sz="0" w:space="0" w:color="auto"/>
        <w:right w:val="none" w:sz="0" w:space="0" w:color="auto"/>
      </w:divBdr>
    </w:div>
    <w:div w:id="689721883">
      <w:marLeft w:val="0"/>
      <w:marRight w:val="0"/>
      <w:marTop w:val="0"/>
      <w:marBottom w:val="0"/>
      <w:divBdr>
        <w:top w:val="none" w:sz="0" w:space="0" w:color="auto"/>
        <w:left w:val="none" w:sz="0" w:space="0" w:color="auto"/>
        <w:bottom w:val="none" w:sz="0" w:space="0" w:color="auto"/>
        <w:right w:val="none" w:sz="0" w:space="0" w:color="auto"/>
      </w:divBdr>
    </w:div>
    <w:div w:id="699282527">
      <w:marLeft w:val="0"/>
      <w:marRight w:val="0"/>
      <w:marTop w:val="0"/>
      <w:marBottom w:val="0"/>
      <w:divBdr>
        <w:top w:val="none" w:sz="0" w:space="0" w:color="auto"/>
        <w:left w:val="none" w:sz="0" w:space="0" w:color="auto"/>
        <w:bottom w:val="none" w:sz="0" w:space="0" w:color="auto"/>
        <w:right w:val="none" w:sz="0" w:space="0" w:color="auto"/>
      </w:divBdr>
    </w:div>
    <w:div w:id="699622307">
      <w:marLeft w:val="480"/>
      <w:marRight w:val="0"/>
      <w:marTop w:val="0"/>
      <w:marBottom w:val="0"/>
      <w:divBdr>
        <w:top w:val="none" w:sz="0" w:space="0" w:color="auto"/>
        <w:left w:val="none" w:sz="0" w:space="0" w:color="auto"/>
        <w:bottom w:val="none" w:sz="0" w:space="0" w:color="auto"/>
        <w:right w:val="none" w:sz="0" w:space="0" w:color="auto"/>
      </w:divBdr>
    </w:div>
    <w:div w:id="734091084">
      <w:marLeft w:val="0"/>
      <w:marRight w:val="0"/>
      <w:marTop w:val="0"/>
      <w:marBottom w:val="0"/>
      <w:divBdr>
        <w:top w:val="none" w:sz="0" w:space="0" w:color="auto"/>
        <w:left w:val="none" w:sz="0" w:space="0" w:color="auto"/>
        <w:bottom w:val="none" w:sz="0" w:space="0" w:color="auto"/>
        <w:right w:val="none" w:sz="0" w:space="0" w:color="auto"/>
      </w:divBdr>
    </w:div>
    <w:div w:id="739448619">
      <w:bodyDiv w:val="1"/>
      <w:marLeft w:val="0"/>
      <w:marRight w:val="0"/>
      <w:marTop w:val="0"/>
      <w:marBottom w:val="0"/>
      <w:divBdr>
        <w:top w:val="none" w:sz="0" w:space="0" w:color="auto"/>
        <w:left w:val="none" w:sz="0" w:space="0" w:color="auto"/>
        <w:bottom w:val="none" w:sz="0" w:space="0" w:color="auto"/>
        <w:right w:val="none" w:sz="0" w:space="0" w:color="auto"/>
      </w:divBdr>
    </w:div>
    <w:div w:id="749734851">
      <w:bodyDiv w:val="1"/>
      <w:marLeft w:val="0"/>
      <w:marRight w:val="0"/>
      <w:marTop w:val="0"/>
      <w:marBottom w:val="0"/>
      <w:divBdr>
        <w:top w:val="none" w:sz="0" w:space="0" w:color="auto"/>
        <w:left w:val="none" w:sz="0" w:space="0" w:color="auto"/>
        <w:bottom w:val="none" w:sz="0" w:space="0" w:color="auto"/>
        <w:right w:val="none" w:sz="0" w:space="0" w:color="auto"/>
      </w:divBdr>
    </w:div>
    <w:div w:id="764616712">
      <w:marLeft w:val="480"/>
      <w:marRight w:val="0"/>
      <w:marTop w:val="0"/>
      <w:marBottom w:val="0"/>
      <w:divBdr>
        <w:top w:val="none" w:sz="0" w:space="0" w:color="auto"/>
        <w:left w:val="none" w:sz="0" w:space="0" w:color="auto"/>
        <w:bottom w:val="none" w:sz="0" w:space="0" w:color="auto"/>
        <w:right w:val="none" w:sz="0" w:space="0" w:color="auto"/>
      </w:divBdr>
    </w:div>
    <w:div w:id="764768983">
      <w:marLeft w:val="480"/>
      <w:marRight w:val="0"/>
      <w:marTop w:val="0"/>
      <w:marBottom w:val="0"/>
      <w:divBdr>
        <w:top w:val="none" w:sz="0" w:space="0" w:color="auto"/>
        <w:left w:val="none" w:sz="0" w:space="0" w:color="auto"/>
        <w:bottom w:val="none" w:sz="0" w:space="0" w:color="auto"/>
        <w:right w:val="none" w:sz="0" w:space="0" w:color="auto"/>
      </w:divBdr>
    </w:div>
    <w:div w:id="794909157">
      <w:marLeft w:val="480"/>
      <w:marRight w:val="0"/>
      <w:marTop w:val="0"/>
      <w:marBottom w:val="0"/>
      <w:divBdr>
        <w:top w:val="none" w:sz="0" w:space="0" w:color="auto"/>
        <w:left w:val="none" w:sz="0" w:space="0" w:color="auto"/>
        <w:bottom w:val="none" w:sz="0" w:space="0" w:color="auto"/>
        <w:right w:val="none" w:sz="0" w:space="0" w:color="auto"/>
      </w:divBdr>
    </w:div>
    <w:div w:id="799108859">
      <w:marLeft w:val="0"/>
      <w:marRight w:val="0"/>
      <w:marTop w:val="0"/>
      <w:marBottom w:val="0"/>
      <w:divBdr>
        <w:top w:val="none" w:sz="0" w:space="0" w:color="auto"/>
        <w:left w:val="none" w:sz="0" w:space="0" w:color="auto"/>
        <w:bottom w:val="none" w:sz="0" w:space="0" w:color="auto"/>
        <w:right w:val="none" w:sz="0" w:space="0" w:color="auto"/>
      </w:divBdr>
    </w:div>
    <w:div w:id="804547063">
      <w:marLeft w:val="480"/>
      <w:marRight w:val="0"/>
      <w:marTop w:val="0"/>
      <w:marBottom w:val="0"/>
      <w:divBdr>
        <w:top w:val="none" w:sz="0" w:space="0" w:color="auto"/>
        <w:left w:val="none" w:sz="0" w:space="0" w:color="auto"/>
        <w:bottom w:val="none" w:sz="0" w:space="0" w:color="auto"/>
        <w:right w:val="none" w:sz="0" w:space="0" w:color="auto"/>
      </w:divBdr>
    </w:div>
    <w:div w:id="809438758">
      <w:marLeft w:val="0"/>
      <w:marRight w:val="0"/>
      <w:marTop w:val="0"/>
      <w:marBottom w:val="0"/>
      <w:divBdr>
        <w:top w:val="none" w:sz="0" w:space="0" w:color="auto"/>
        <w:left w:val="none" w:sz="0" w:space="0" w:color="auto"/>
        <w:bottom w:val="none" w:sz="0" w:space="0" w:color="auto"/>
        <w:right w:val="none" w:sz="0" w:space="0" w:color="auto"/>
      </w:divBdr>
    </w:div>
    <w:div w:id="816528586">
      <w:marLeft w:val="0"/>
      <w:marRight w:val="0"/>
      <w:marTop w:val="0"/>
      <w:marBottom w:val="0"/>
      <w:divBdr>
        <w:top w:val="none" w:sz="0" w:space="0" w:color="auto"/>
        <w:left w:val="none" w:sz="0" w:space="0" w:color="auto"/>
        <w:bottom w:val="none" w:sz="0" w:space="0" w:color="auto"/>
        <w:right w:val="none" w:sz="0" w:space="0" w:color="auto"/>
      </w:divBdr>
    </w:div>
    <w:div w:id="820737818">
      <w:marLeft w:val="480"/>
      <w:marRight w:val="0"/>
      <w:marTop w:val="0"/>
      <w:marBottom w:val="0"/>
      <w:divBdr>
        <w:top w:val="none" w:sz="0" w:space="0" w:color="auto"/>
        <w:left w:val="none" w:sz="0" w:space="0" w:color="auto"/>
        <w:bottom w:val="none" w:sz="0" w:space="0" w:color="auto"/>
        <w:right w:val="none" w:sz="0" w:space="0" w:color="auto"/>
      </w:divBdr>
    </w:div>
    <w:div w:id="826551502">
      <w:marLeft w:val="0"/>
      <w:marRight w:val="0"/>
      <w:marTop w:val="0"/>
      <w:marBottom w:val="0"/>
      <w:divBdr>
        <w:top w:val="none" w:sz="0" w:space="0" w:color="auto"/>
        <w:left w:val="none" w:sz="0" w:space="0" w:color="auto"/>
        <w:bottom w:val="none" w:sz="0" w:space="0" w:color="auto"/>
        <w:right w:val="none" w:sz="0" w:space="0" w:color="auto"/>
      </w:divBdr>
    </w:div>
    <w:div w:id="831800295">
      <w:marLeft w:val="480"/>
      <w:marRight w:val="0"/>
      <w:marTop w:val="0"/>
      <w:marBottom w:val="0"/>
      <w:divBdr>
        <w:top w:val="none" w:sz="0" w:space="0" w:color="auto"/>
        <w:left w:val="none" w:sz="0" w:space="0" w:color="auto"/>
        <w:bottom w:val="none" w:sz="0" w:space="0" w:color="auto"/>
        <w:right w:val="none" w:sz="0" w:space="0" w:color="auto"/>
      </w:divBdr>
    </w:div>
    <w:div w:id="831945314">
      <w:marLeft w:val="0"/>
      <w:marRight w:val="0"/>
      <w:marTop w:val="0"/>
      <w:marBottom w:val="0"/>
      <w:divBdr>
        <w:top w:val="none" w:sz="0" w:space="0" w:color="auto"/>
        <w:left w:val="none" w:sz="0" w:space="0" w:color="auto"/>
        <w:bottom w:val="none" w:sz="0" w:space="0" w:color="auto"/>
        <w:right w:val="none" w:sz="0" w:space="0" w:color="auto"/>
      </w:divBdr>
    </w:div>
    <w:div w:id="836921334">
      <w:marLeft w:val="0"/>
      <w:marRight w:val="0"/>
      <w:marTop w:val="0"/>
      <w:marBottom w:val="0"/>
      <w:divBdr>
        <w:top w:val="none" w:sz="0" w:space="0" w:color="auto"/>
        <w:left w:val="none" w:sz="0" w:space="0" w:color="auto"/>
        <w:bottom w:val="none" w:sz="0" w:space="0" w:color="auto"/>
        <w:right w:val="none" w:sz="0" w:space="0" w:color="auto"/>
      </w:divBdr>
    </w:div>
    <w:div w:id="845364072">
      <w:marLeft w:val="0"/>
      <w:marRight w:val="0"/>
      <w:marTop w:val="0"/>
      <w:marBottom w:val="0"/>
      <w:divBdr>
        <w:top w:val="none" w:sz="0" w:space="0" w:color="auto"/>
        <w:left w:val="none" w:sz="0" w:space="0" w:color="auto"/>
        <w:bottom w:val="none" w:sz="0" w:space="0" w:color="auto"/>
        <w:right w:val="none" w:sz="0" w:space="0" w:color="auto"/>
      </w:divBdr>
    </w:div>
    <w:div w:id="848759452">
      <w:marLeft w:val="0"/>
      <w:marRight w:val="0"/>
      <w:marTop w:val="0"/>
      <w:marBottom w:val="0"/>
      <w:divBdr>
        <w:top w:val="none" w:sz="0" w:space="0" w:color="auto"/>
        <w:left w:val="none" w:sz="0" w:space="0" w:color="auto"/>
        <w:bottom w:val="none" w:sz="0" w:space="0" w:color="auto"/>
        <w:right w:val="none" w:sz="0" w:space="0" w:color="auto"/>
      </w:divBdr>
    </w:div>
    <w:div w:id="898977061">
      <w:marLeft w:val="480"/>
      <w:marRight w:val="0"/>
      <w:marTop w:val="0"/>
      <w:marBottom w:val="0"/>
      <w:divBdr>
        <w:top w:val="none" w:sz="0" w:space="0" w:color="auto"/>
        <w:left w:val="none" w:sz="0" w:space="0" w:color="auto"/>
        <w:bottom w:val="none" w:sz="0" w:space="0" w:color="auto"/>
        <w:right w:val="none" w:sz="0" w:space="0" w:color="auto"/>
      </w:divBdr>
    </w:div>
    <w:div w:id="904027732">
      <w:marLeft w:val="480"/>
      <w:marRight w:val="0"/>
      <w:marTop w:val="0"/>
      <w:marBottom w:val="0"/>
      <w:divBdr>
        <w:top w:val="none" w:sz="0" w:space="0" w:color="auto"/>
        <w:left w:val="none" w:sz="0" w:space="0" w:color="auto"/>
        <w:bottom w:val="none" w:sz="0" w:space="0" w:color="auto"/>
        <w:right w:val="none" w:sz="0" w:space="0" w:color="auto"/>
      </w:divBdr>
    </w:div>
    <w:div w:id="905843812">
      <w:marLeft w:val="0"/>
      <w:marRight w:val="0"/>
      <w:marTop w:val="0"/>
      <w:marBottom w:val="0"/>
      <w:divBdr>
        <w:top w:val="none" w:sz="0" w:space="0" w:color="auto"/>
        <w:left w:val="none" w:sz="0" w:space="0" w:color="auto"/>
        <w:bottom w:val="none" w:sz="0" w:space="0" w:color="auto"/>
        <w:right w:val="none" w:sz="0" w:space="0" w:color="auto"/>
      </w:divBdr>
    </w:div>
    <w:div w:id="908685704">
      <w:marLeft w:val="0"/>
      <w:marRight w:val="0"/>
      <w:marTop w:val="0"/>
      <w:marBottom w:val="0"/>
      <w:divBdr>
        <w:top w:val="none" w:sz="0" w:space="0" w:color="auto"/>
        <w:left w:val="none" w:sz="0" w:space="0" w:color="auto"/>
        <w:bottom w:val="none" w:sz="0" w:space="0" w:color="auto"/>
        <w:right w:val="none" w:sz="0" w:space="0" w:color="auto"/>
      </w:divBdr>
    </w:div>
    <w:div w:id="916746408">
      <w:marLeft w:val="0"/>
      <w:marRight w:val="0"/>
      <w:marTop w:val="0"/>
      <w:marBottom w:val="0"/>
      <w:divBdr>
        <w:top w:val="none" w:sz="0" w:space="0" w:color="auto"/>
        <w:left w:val="none" w:sz="0" w:space="0" w:color="auto"/>
        <w:bottom w:val="none" w:sz="0" w:space="0" w:color="auto"/>
        <w:right w:val="none" w:sz="0" w:space="0" w:color="auto"/>
      </w:divBdr>
    </w:div>
    <w:div w:id="917059589">
      <w:marLeft w:val="480"/>
      <w:marRight w:val="0"/>
      <w:marTop w:val="0"/>
      <w:marBottom w:val="0"/>
      <w:divBdr>
        <w:top w:val="none" w:sz="0" w:space="0" w:color="auto"/>
        <w:left w:val="none" w:sz="0" w:space="0" w:color="auto"/>
        <w:bottom w:val="none" w:sz="0" w:space="0" w:color="auto"/>
        <w:right w:val="none" w:sz="0" w:space="0" w:color="auto"/>
      </w:divBdr>
    </w:div>
    <w:div w:id="919100456">
      <w:marLeft w:val="0"/>
      <w:marRight w:val="0"/>
      <w:marTop w:val="0"/>
      <w:marBottom w:val="0"/>
      <w:divBdr>
        <w:top w:val="none" w:sz="0" w:space="0" w:color="auto"/>
        <w:left w:val="none" w:sz="0" w:space="0" w:color="auto"/>
        <w:bottom w:val="none" w:sz="0" w:space="0" w:color="auto"/>
        <w:right w:val="none" w:sz="0" w:space="0" w:color="auto"/>
      </w:divBdr>
    </w:div>
    <w:div w:id="932321358">
      <w:marLeft w:val="480"/>
      <w:marRight w:val="0"/>
      <w:marTop w:val="0"/>
      <w:marBottom w:val="0"/>
      <w:divBdr>
        <w:top w:val="none" w:sz="0" w:space="0" w:color="auto"/>
        <w:left w:val="none" w:sz="0" w:space="0" w:color="auto"/>
        <w:bottom w:val="none" w:sz="0" w:space="0" w:color="auto"/>
        <w:right w:val="none" w:sz="0" w:space="0" w:color="auto"/>
      </w:divBdr>
    </w:div>
    <w:div w:id="932661397">
      <w:marLeft w:val="0"/>
      <w:marRight w:val="0"/>
      <w:marTop w:val="0"/>
      <w:marBottom w:val="0"/>
      <w:divBdr>
        <w:top w:val="none" w:sz="0" w:space="0" w:color="auto"/>
        <w:left w:val="none" w:sz="0" w:space="0" w:color="auto"/>
        <w:bottom w:val="none" w:sz="0" w:space="0" w:color="auto"/>
        <w:right w:val="none" w:sz="0" w:space="0" w:color="auto"/>
      </w:divBdr>
    </w:div>
    <w:div w:id="946959797">
      <w:marLeft w:val="0"/>
      <w:marRight w:val="0"/>
      <w:marTop w:val="0"/>
      <w:marBottom w:val="0"/>
      <w:divBdr>
        <w:top w:val="none" w:sz="0" w:space="0" w:color="auto"/>
        <w:left w:val="none" w:sz="0" w:space="0" w:color="auto"/>
        <w:bottom w:val="none" w:sz="0" w:space="0" w:color="auto"/>
        <w:right w:val="none" w:sz="0" w:space="0" w:color="auto"/>
      </w:divBdr>
    </w:div>
    <w:div w:id="954143090">
      <w:marLeft w:val="0"/>
      <w:marRight w:val="0"/>
      <w:marTop w:val="0"/>
      <w:marBottom w:val="0"/>
      <w:divBdr>
        <w:top w:val="none" w:sz="0" w:space="0" w:color="auto"/>
        <w:left w:val="none" w:sz="0" w:space="0" w:color="auto"/>
        <w:bottom w:val="none" w:sz="0" w:space="0" w:color="auto"/>
        <w:right w:val="none" w:sz="0" w:space="0" w:color="auto"/>
      </w:divBdr>
    </w:div>
    <w:div w:id="956135715">
      <w:marLeft w:val="0"/>
      <w:marRight w:val="0"/>
      <w:marTop w:val="0"/>
      <w:marBottom w:val="0"/>
      <w:divBdr>
        <w:top w:val="none" w:sz="0" w:space="0" w:color="auto"/>
        <w:left w:val="none" w:sz="0" w:space="0" w:color="auto"/>
        <w:bottom w:val="none" w:sz="0" w:space="0" w:color="auto"/>
        <w:right w:val="none" w:sz="0" w:space="0" w:color="auto"/>
      </w:divBdr>
    </w:div>
    <w:div w:id="962342337">
      <w:marLeft w:val="0"/>
      <w:marRight w:val="0"/>
      <w:marTop w:val="0"/>
      <w:marBottom w:val="0"/>
      <w:divBdr>
        <w:top w:val="none" w:sz="0" w:space="0" w:color="auto"/>
        <w:left w:val="none" w:sz="0" w:space="0" w:color="auto"/>
        <w:bottom w:val="none" w:sz="0" w:space="0" w:color="auto"/>
        <w:right w:val="none" w:sz="0" w:space="0" w:color="auto"/>
      </w:divBdr>
    </w:div>
    <w:div w:id="968971493">
      <w:marLeft w:val="480"/>
      <w:marRight w:val="0"/>
      <w:marTop w:val="0"/>
      <w:marBottom w:val="0"/>
      <w:divBdr>
        <w:top w:val="none" w:sz="0" w:space="0" w:color="auto"/>
        <w:left w:val="none" w:sz="0" w:space="0" w:color="auto"/>
        <w:bottom w:val="none" w:sz="0" w:space="0" w:color="auto"/>
        <w:right w:val="none" w:sz="0" w:space="0" w:color="auto"/>
      </w:divBdr>
    </w:div>
    <w:div w:id="979649290">
      <w:marLeft w:val="0"/>
      <w:marRight w:val="0"/>
      <w:marTop w:val="0"/>
      <w:marBottom w:val="0"/>
      <w:divBdr>
        <w:top w:val="none" w:sz="0" w:space="0" w:color="auto"/>
        <w:left w:val="none" w:sz="0" w:space="0" w:color="auto"/>
        <w:bottom w:val="none" w:sz="0" w:space="0" w:color="auto"/>
        <w:right w:val="none" w:sz="0" w:space="0" w:color="auto"/>
      </w:divBdr>
    </w:div>
    <w:div w:id="980303363">
      <w:marLeft w:val="480"/>
      <w:marRight w:val="0"/>
      <w:marTop w:val="0"/>
      <w:marBottom w:val="0"/>
      <w:divBdr>
        <w:top w:val="none" w:sz="0" w:space="0" w:color="auto"/>
        <w:left w:val="none" w:sz="0" w:space="0" w:color="auto"/>
        <w:bottom w:val="none" w:sz="0" w:space="0" w:color="auto"/>
        <w:right w:val="none" w:sz="0" w:space="0" w:color="auto"/>
      </w:divBdr>
    </w:div>
    <w:div w:id="980382155">
      <w:marLeft w:val="0"/>
      <w:marRight w:val="0"/>
      <w:marTop w:val="0"/>
      <w:marBottom w:val="0"/>
      <w:divBdr>
        <w:top w:val="none" w:sz="0" w:space="0" w:color="auto"/>
        <w:left w:val="none" w:sz="0" w:space="0" w:color="auto"/>
        <w:bottom w:val="none" w:sz="0" w:space="0" w:color="auto"/>
        <w:right w:val="none" w:sz="0" w:space="0" w:color="auto"/>
      </w:divBdr>
    </w:div>
    <w:div w:id="995691740">
      <w:marLeft w:val="0"/>
      <w:marRight w:val="0"/>
      <w:marTop w:val="0"/>
      <w:marBottom w:val="0"/>
      <w:divBdr>
        <w:top w:val="none" w:sz="0" w:space="0" w:color="auto"/>
        <w:left w:val="none" w:sz="0" w:space="0" w:color="auto"/>
        <w:bottom w:val="none" w:sz="0" w:space="0" w:color="auto"/>
        <w:right w:val="none" w:sz="0" w:space="0" w:color="auto"/>
      </w:divBdr>
    </w:div>
    <w:div w:id="1009018307">
      <w:marLeft w:val="0"/>
      <w:marRight w:val="0"/>
      <w:marTop w:val="0"/>
      <w:marBottom w:val="0"/>
      <w:divBdr>
        <w:top w:val="none" w:sz="0" w:space="0" w:color="auto"/>
        <w:left w:val="none" w:sz="0" w:space="0" w:color="auto"/>
        <w:bottom w:val="none" w:sz="0" w:space="0" w:color="auto"/>
        <w:right w:val="none" w:sz="0" w:space="0" w:color="auto"/>
      </w:divBdr>
    </w:div>
    <w:div w:id="1055082493">
      <w:marLeft w:val="0"/>
      <w:marRight w:val="0"/>
      <w:marTop w:val="0"/>
      <w:marBottom w:val="0"/>
      <w:divBdr>
        <w:top w:val="none" w:sz="0" w:space="0" w:color="auto"/>
        <w:left w:val="none" w:sz="0" w:space="0" w:color="auto"/>
        <w:bottom w:val="none" w:sz="0" w:space="0" w:color="auto"/>
        <w:right w:val="none" w:sz="0" w:space="0" w:color="auto"/>
      </w:divBdr>
    </w:div>
    <w:div w:id="1071661916">
      <w:marLeft w:val="480"/>
      <w:marRight w:val="0"/>
      <w:marTop w:val="0"/>
      <w:marBottom w:val="0"/>
      <w:divBdr>
        <w:top w:val="none" w:sz="0" w:space="0" w:color="auto"/>
        <w:left w:val="none" w:sz="0" w:space="0" w:color="auto"/>
        <w:bottom w:val="none" w:sz="0" w:space="0" w:color="auto"/>
        <w:right w:val="none" w:sz="0" w:space="0" w:color="auto"/>
      </w:divBdr>
    </w:div>
    <w:div w:id="1073166179">
      <w:marLeft w:val="480"/>
      <w:marRight w:val="0"/>
      <w:marTop w:val="0"/>
      <w:marBottom w:val="0"/>
      <w:divBdr>
        <w:top w:val="none" w:sz="0" w:space="0" w:color="auto"/>
        <w:left w:val="none" w:sz="0" w:space="0" w:color="auto"/>
        <w:bottom w:val="none" w:sz="0" w:space="0" w:color="auto"/>
        <w:right w:val="none" w:sz="0" w:space="0" w:color="auto"/>
      </w:divBdr>
    </w:div>
    <w:div w:id="1093550631">
      <w:marLeft w:val="0"/>
      <w:marRight w:val="0"/>
      <w:marTop w:val="0"/>
      <w:marBottom w:val="0"/>
      <w:divBdr>
        <w:top w:val="none" w:sz="0" w:space="0" w:color="auto"/>
        <w:left w:val="none" w:sz="0" w:space="0" w:color="auto"/>
        <w:bottom w:val="none" w:sz="0" w:space="0" w:color="auto"/>
        <w:right w:val="none" w:sz="0" w:space="0" w:color="auto"/>
      </w:divBdr>
    </w:div>
    <w:div w:id="1094014059">
      <w:marLeft w:val="480"/>
      <w:marRight w:val="0"/>
      <w:marTop w:val="0"/>
      <w:marBottom w:val="0"/>
      <w:divBdr>
        <w:top w:val="none" w:sz="0" w:space="0" w:color="auto"/>
        <w:left w:val="none" w:sz="0" w:space="0" w:color="auto"/>
        <w:bottom w:val="none" w:sz="0" w:space="0" w:color="auto"/>
        <w:right w:val="none" w:sz="0" w:space="0" w:color="auto"/>
      </w:divBdr>
    </w:div>
    <w:div w:id="1095204351">
      <w:marLeft w:val="0"/>
      <w:marRight w:val="0"/>
      <w:marTop w:val="0"/>
      <w:marBottom w:val="0"/>
      <w:divBdr>
        <w:top w:val="none" w:sz="0" w:space="0" w:color="auto"/>
        <w:left w:val="none" w:sz="0" w:space="0" w:color="auto"/>
        <w:bottom w:val="none" w:sz="0" w:space="0" w:color="auto"/>
        <w:right w:val="none" w:sz="0" w:space="0" w:color="auto"/>
      </w:divBdr>
    </w:div>
    <w:div w:id="1096629648">
      <w:marLeft w:val="0"/>
      <w:marRight w:val="0"/>
      <w:marTop w:val="0"/>
      <w:marBottom w:val="0"/>
      <w:divBdr>
        <w:top w:val="none" w:sz="0" w:space="0" w:color="auto"/>
        <w:left w:val="none" w:sz="0" w:space="0" w:color="auto"/>
        <w:bottom w:val="none" w:sz="0" w:space="0" w:color="auto"/>
        <w:right w:val="none" w:sz="0" w:space="0" w:color="auto"/>
      </w:divBdr>
    </w:div>
    <w:div w:id="1097095552">
      <w:marLeft w:val="480"/>
      <w:marRight w:val="0"/>
      <w:marTop w:val="0"/>
      <w:marBottom w:val="0"/>
      <w:divBdr>
        <w:top w:val="none" w:sz="0" w:space="0" w:color="auto"/>
        <w:left w:val="none" w:sz="0" w:space="0" w:color="auto"/>
        <w:bottom w:val="none" w:sz="0" w:space="0" w:color="auto"/>
        <w:right w:val="none" w:sz="0" w:space="0" w:color="auto"/>
      </w:divBdr>
    </w:div>
    <w:div w:id="1104611764">
      <w:marLeft w:val="0"/>
      <w:marRight w:val="0"/>
      <w:marTop w:val="0"/>
      <w:marBottom w:val="0"/>
      <w:divBdr>
        <w:top w:val="none" w:sz="0" w:space="0" w:color="auto"/>
        <w:left w:val="none" w:sz="0" w:space="0" w:color="auto"/>
        <w:bottom w:val="none" w:sz="0" w:space="0" w:color="auto"/>
        <w:right w:val="none" w:sz="0" w:space="0" w:color="auto"/>
      </w:divBdr>
    </w:div>
    <w:div w:id="1117529312">
      <w:marLeft w:val="0"/>
      <w:marRight w:val="0"/>
      <w:marTop w:val="0"/>
      <w:marBottom w:val="0"/>
      <w:divBdr>
        <w:top w:val="none" w:sz="0" w:space="0" w:color="auto"/>
        <w:left w:val="none" w:sz="0" w:space="0" w:color="auto"/>
        <w:bottom w:val="none" w:sz="0" w:space="0" w:color="auto"/>
        <w:right w:val="none" w:sz="0" w:space="0" w:color="auto"/>
      </w:divBdr>
    </w:div>
    <w:div w:id="1117723058">
      <w:marLeft w:val="0"/>
      <w:marRight w:val="0"/>
      <w:marTop w:val="0"/>
      <w:marBottom w:val="0"/>
      <w:divBdr>
        <w:top w:val="none" w:sz="0" w:space="0" w:color="auto"/>
        <w:left w:val="none" w:sz="0" w:space="0" w:color="auto"/>
        <w:bottom w:val="none" w:sz="0" w:space="0" w:color="auto"/>
        <w:right w:val="none" w:sz="0" w:space="0" w:color="auto"/>
      </w:divBdr>
    </w:div>
    <w:div w:id="1150557060">
      <w:marLeft w:val="0"/>
      <w:marRight w:val="0"/>
      <w:marTop w:val="0"/>
      <w:marBottom w:val="0"/>
      <w:divBdr>
        <w:top w:val="none" w:sz="0" w:space="0" w:color="auto"/>
        <w:left w:val="none" w:sz="0" w:space="0" w:color="auto"/>
        <w:bottom w:val="none" w:sz="0" w:space="0" w:color="auto"/>
        <w:right w:val="none" w:sz="0" w:space="0" w:color="auto"/>
      </w:divBdr>
    </w:div>
    <w:div w:id="1152791494">
      <w:marLeft w:val="0"/>
      <w:marRight w:val="0"/>
      <w:marTop w:val="0"/>
      <w:marBottom w:val="0"/>
      <w:divBdr>
        <w:top w:val="none" w:sz="0" w:space="0" w:color="auto"/>
        <w:left w:val="none" w:sz="0" w:space="0" w:color="auto"/>
        <w:bottom w:val="none" w:sz="0" w:space="0" w:color="auto"/>
        <w:right w:val="none" w:sz="0" w:space="0" w:color="auto"/>
      </w:divBdr>
    </w:div>
    <w:div w:id="1158379547">
      <w:marLeft w:val="0"/>
      <w:marRight w:val="0"/>
      <w:marTop w:val="0"/>
      <w:marBottom w:val="0"/>
      <w:divBdr>
        <w:top w:val="none" w:sz="0" w:space="0" w:color="auto"/>
        <w:left w:val="none" w:sz="0" w:space="0" w:color="auto"/>
        <w:bottom w:val="none" w:sz="0" w:space="0" w:color="auto"/>
        <w:right w:val="none" w:sz="0" w:space="0" w:color="auto"/>
      </w:divBdr>
    </w:div>
    <w:div w:id="1161503006">
      <w:marLeft w:val="0"/>
      <w:marRight w:val="0"/>
      <w:marTop w:val="0"/>
      <w:marBottom w:val="0"/>
      <w:divBdr>
        <w:top w:val="none" w:sz="0" w:space="0" w:color="auto"/>
        <w:left w:val="none" w:sz="0" w:space="0" w:color="auto"/>
        <w:bottom w:val="none" w:sz="0" w:space="0" w:color="auto"/>
        <w:right w:val="none" w:sz="0" w:space="0" w:color="auto"/>
      </w:divBdr>
    </w:div>
    <w:div w:id="1167013509">
      <w:marLeft w:val="0"/>
      <w:marRight w:val="0"/>
      <w:marTop w:val="0"/>
      <w:marBottom w:val="0"/>
      <w:divBdr>
        <w:top w:val="none" w:sz="0" w:space="0" w:color="auto"/>
        <w:left w:val="none" w:sz="0" w:space="0" w:color="auto"/>
        <w:bottom w:val="none" w:sz="0" w:space="0" w:color="auto"/>
        <w:right w:val="none" w:sz="0" w:space="0" w:color="auto"/>
      </w:divBdr>
    </w:div>
    <w:div w:id="1168136180">
      <w:marLeft w:val="480"/>
      <w:marRight w:val="0"/>
      <w:marTop w:val="0"/>
      <w:marBottom w:val="0"/>
      <w:divBdr>
        <w:top w:val="none" w:sz="0" w:space="0" w:color="auto"/>
        <w:left w:val="none" w:sz="0" w:space="0" w:color="auto"/>
        <w:bottom w:val="none" w:sz="0" w:space="0" w:color="auto"/>
        <w:right w:val="none" w:sz="0" w:space="0" w:color="auto"/>
      </w:divBdr>
    </w:div>
    <w:div w:id="1200584300">
      <w:marLeft w:val="480"/>
      <w:marRight w:val="0"/>
      <w:marTop w:val="0"/>
      <w:marBottom w:val="0"/>
      <w:divBdr>
        <w:top w:val="none" w:sz="0" w:space="0" w:color="auto"/>
        <w:left w:val="none" w:sz="0" w:space="0" w:color="auto"/>
        <w:bottom w:val="none" w:sz="0" w:space="0" w:color="auto"/>
        <w:right w:val="none" w:sz="0" w:space="0" w:color="auto"/>
      </w:divBdr>
    </w:div>
    <w:div w:id="1209300140">
      <w:marLeft w:val="0"/>
      <w:marRight w:val="0"/>
      <w:marTop w:val="0"/>
      <w:marBottom w:val="0"/>
      <w:divBdr>
        <w:top w:val="none" w:sz="0" w:space="0" w:color="auto"/>
        <w:left w:val="none" w:sz="0" w:space="0" w:color="auto"/>
        <w:bottom w:val="none" w:sz="0" w:space="0" w:color="auto"/>
        <w:right w:val="none" w:sz="0" w:space="0" w:color="auto"/>
      </w:divBdr>
    </w:div>
    <w:div w:id="1213345653">
      <w:marLeft w:val="480"/>
      <w:marRight w:val="0"/>
      <w:marTop w:val="0"/>
      <w:marBottom w:val="0"/>
      <w:divBdr>
        <w:top w:val="none" w:sz="0" w:space="0" w:color="auto"/>
        <w:left w:val="none" w:sz="0" w:space="0" w:color="auto"/>
        <w:bottom w:val="none" w:sz="0" w:space="0" w:color="auto"/>
        <w:right w:val="none" w:sz="0" w:space="0" w:color="auto"/>
      </w:divBdr>
    </w:div>
    <w:div w:id="1214583547">
      <w:marLeft w:val="0"/>
      <w:marRight w:val="0"/>
      <w:marTop w:val="0"/>
      <w:marBottom w:val="0"/>
      <w:divBdr>
        <w:top w:val="none" w:sz="0" w:space="0" w:color="auto"/>
        <w:left w:val="none" w:sz="0" w:space="0" w:color="auto"/>
        <w:bottom w:val="none" w:sz="0" w:space="0" w:color="auto"/>
        <w:right w:val="none" w:sz="0" w:space="0" w:color="auto"/>
      </w:divBdr>
    </w:div>
    <w:div w:id="1232815910">
      <w:marLeft w:val="0"/>
      <w:marRight w:val="0"/>
      <w:marTop w:val="0"/>
      <w:marBottom w:val="0"/>
      <w:divBdr>
        <w:top w:val="none" w:sz="0" w:space="0" w:color="auto"/>
        <w:left w:val="none" w:sz="0" w:space="0" w:color="auto"/>
        <w:bottom w:val="none" w:sz="0" w:space="0" w:color="auto"/>
        <w:right w:val="none" w:sz="0" w:space="0" w:color="auto"/>
      </w:divBdr>
    </w:div>
    <w:div w:id="1236821742">
      <w:marLeft w:val="480"/>
      <w:marRight w:val="0"/>
      <w:marTop w:val="0"/>
      <w:marBottom w:val="0"/>
      <w:divBdr>
        <w:top w:val="none" w:sz="0" w:space="0" w:color="auto"/>
        <w:left w:val="none" w:sz="0" w:space="0" w:color="auto"/>
        <w:bottom w:val="none" w:sz="0" w:space="0" w:color="auto"/>
        <w:right w:val="none" w:sz="0" w:space="0" w:color="auto"/>
      </w:divBdr>
    </w:div>
    <w:div w:id="1238124707">
      <w:marLeft w:val="0"/>
      <w:marRight w:val="0"/>
      <w:marTop w:val="0"/>
      <w:marBottom w:val="0"/>
      <w:divBdr>
        <w:top w:val="none" w:sz="0" w:space="0" w:color="auto"/>
        <w:left w:val="none" w:sz="0" w:space="0" w:color="auto"/>
        <w:bottom w:val="none" w:sz="0" w:space="0" w:color="auto"/>
        <w:right w:val="none" w:sz="0" w:space="0" w:color="auto"/>
      </w:divBdr>
    </w:div>
    <w:div w:id="1239705790">
      <w:marLeft w:val="0"/>
      <w:marRight w:val="0"/>
      <w:marTop w:val="0"/>
      <w:marBottom w:val="0"/>
      <w:divBdr>
        <w:top w:val="none" w:sz="0" w:space="0" w:color="auto"/>
        <w:left w:val="none" w:sz="0" w:space="0" w:color="auto"/>
        <w:bottom w:val="none" w:sz="0" w:space="0" w:color="auto"/>
        <w:right w:val="none" w:sz="0" w:space="0" w:color="auto"/>
      </w:divBdr>
    </w:div>
    <w:div w:id="1243296271">
      <w:marLeft w:val="0"/>
      <w:marRight w:val="0"/>
      <w:marTop w:val="0"/>
      <w:marBottom w:val="0"/>
      <w:divBdr>
        <w:top w:val="none" w:sz="0" w:space="0" w:color="auto"/>
        <w:left w:val="none" w:sz="0" w:space="0" w:color="auto"/>
        <w:bottom w:val="none" w:sz="0" w:space="0" w:color="auto"/>
        <w:right w:val="none" w:sz="0" w:space="0" w:color="auto"/>
      </w:divBdr>
    </w:div>
    <w:div w:id="1245068763">
      <w:marLeft w:val="0"/>
      <w:marRight w:val="0"/>
      <w:marTop w:val="0"/>
      <w:marBottom w:val="0"/>
      <w:divBdr>
        <w:top w:val="none" w:sz="0" w:space="0" w:color="auto"/>
        <w:left w:val="none" w:sz="0" w:space="0" w:color="auto"/>
        <w:bottom w:val="none" w:sz="0" w:space="0" w:color="auto"/>
        <w:right w:val="none" w:sz="0" w:space="0" w:color="auto"/>
      </w:divBdr>
    </w:div>
    <w:div w:id="1248271722">
      <w:marLeft w:val="0"/>
      <w:marRight w:val="0"/>
      <w:marTop w:val="0"/>
      <w:marBottom w:val="0"/>
      <w:divBdr>
        <w:top w:val="none" w:sz="0" w:space="0" w:color="auto"/>
        <w:left w:val="none" w:sz="0" w:space="0" w:color="auto"/>
        <w:bottom w:val="none" w:sz="0" w:space="0" w:color="auto"/>
        <w:right w:val="none" w:sz="0" w:space="0" w:color="auto"/>
      </w:divBdr>
    </w:div>
    <w:div w:id="1268733400">
      <w:marLeft w:val="0"/>
      <w:marRight w:val="0"/>
      <w:marTop w:val="0"/>
      <w:marBottom w:val="0"/>
      <w:divBdr>
        <w:top w:val="none" w:sz="0" w:space="0" w:color="auto"/>
        <w:left w:val="none" w:sz="0" w:space="0" w:color="auto"/>
        <w:bottom w:val="none" w:sz="0" w:space="0" w:color="auto"/>
        <w:right w:val="none" w:sz="0" w:space="0" w:color="auto"/>
      </w:divBdr>
    </w:div>
    <w:div w:id="1273130347">
      <w:marLeft w:val="0"/>
      <w:marRight w:val="0"/>
      <w:marTop w:val="0"/>
      <w:marBottom w:val="0"/>
      <w:divBdr>
        <w:top w:val="none" w:sz="0" w:space="0" w:color="auto"/>
        <w:left w:val="none" w:sz="0" w:space="0" w:color="auto"/>
        <w:bottom w:val="none" w:sz="0" w:space="0" w:color="auto"/>
        <w:right w:val="none" w:sz="0" w:space="0" w:color="auto"/>
      </w:divBdr>
    </w:div>
    <w:div w:id="1276592784">
      <w:marLeft w:val="480"/>
      <w:marRight w:val="0"/>
      <w:marTop w:val="0"/>
      <w:marBottom w:val="0"/>
      <w:divBdr>
        <w:top w:val="none" w:sz="0" w:space="0" w:color="auto"/>
        <w:left w:val="none" w:sz="0" w:space="0" w:color="auto"/>
        <w:bottom w:val="none" w:sz="0" w:space="0" w:color="auto"/>
        <w:right w:val="none" w:sz="0" w:space="0" w:color="auto"/>
      </w:divBdr>
    </w:div>
    <w:div w:id="1293368832">
      <w:marLeft w:val="0"/>
      <w:marRight w:val="0"/>
      <w:marTop w:val="0"/>
      <w:marBottom w:val="0"/>
      <w:divBdr>
        <w:top w:val="none" w:sz="0" w:space="0" w:color="auto"/>
        <w:left w:val="none" w:sz="0" w:space="0" w:color="auto"/>
        <w:bottom w:val="none" w:sz="0" w:space="0" w:color="auto"/>
        <w:right w:val="none" w:sz="0" w:space="0" w:color="auto"/>
      </w:divBdr>
    </w:div>
    <w:div w:id="1294096341">
      <w:marLeft w:val="0"/>
      <w:marRight w:val="0"/>
      <w:marTop w:val="0"/>
      <w:marBottom w:val="0"/>
      <w:divBdr>
        <w:top w:val="none" w:sz="0" w:space="0" w:color="auto"/>
        <w:left w:val="none" w:sz="0" w:space="0" w:color="auto"/>
        <w:bottom w:val="none" w:sz="0" w:space="0" w:color="auto"/>
        <w:right w:val="none" w:sz="0" w:space="0" w:color="auto"/>
      </w:divBdr>
    </w:div>
    <w:div w:id="1300575809">
      <w:marLeft w:val="0"/>
      <w:marRight w:val="0"/>
      <w:marTop w:val="0"/>
      <w:marBottom w:val="0"/>
      <w:divBdr>
        <w:top w:val="none" w:sz="0" w:space="0" w:color="auto"/>
        <w:left w:val="none" w:sz="0" w:space="0" w:color="auto"/>
        <w:bottom w:val="none" w:sz="0" w:space="0" w:color="auto"/>
        <w:right w:val="none" w:sz="0" w:space="0" w:color="auto"/>
      </w:divBdr>
    </w:div>
    <w:div w:id="1303773277">
      <w:marLeft w:val="0"/>
      <w:marRight w:val="0"/>
      <w:marTop w:val="0"/>
      <w:marBottom w:val="0"/>
      <w:divBdr>
        <w:top w:val="none" w:sz="0" w:space="0" w:color="auto"/>
        <w:left w:val="none" w:sz="0" w:space="0" w:color="auto"/>
        <w:bottom w:val="none" w:sz="0" w:space="0" w:color="auto"/>
        <w:right w:val="none" w:sz="0" w:space="0" w:color="auto"/>
      </w:divBdr>
    </w:div>
    <w:div w:id="1306546456">
      <w:marLeft w:val="0"/>
      <w:marRight w:val="0"/>
      <w:marTop w:val="0"/>
      <w:marBottom w:val="0"/>
      <w:divBdr>
        <w:top w:val="none" w:sz="0" w:space="0" w:color="auto"/>
        <w:left w:val="none" w:sz="0" w:space="0" w:color="auto"/>
        <w:bottom w:val="none" w:sz="0" w:space="0" w:color="auto"/>
        <w:right w:val="none" w:sz="0" w:space="0" w:color="auto"/>
      </w:divBdr>
    </w:div>
    <w:div w:id="1313480997">
      <w:marLeft w:val="480"/>
      <w:marRight w:val="0"/>
      <w:marTop w:val="0"/>
      <w:marBottom w:val="0"/>
      <w:divBdr>
        <w:top w:val="none" w:sz="0" w:space="0" w:color="auto"/>
        <w:left w:val="none" w:sz="0" w:space="0" w:color="auto"/>
        <w:bottom w:val="none" w:sz="0" w:space="0" w:color="auto"/>
        <w:right w:val="none" w:sz="0" w:space="0" w:color="auto"/>
      </w:divBdr>
    </w:div>
    <w:div w:id="1326086161">
      <w:marLeft w:val="480"/>
      <w:marRight w:val="0"/>
      <w:marTop w:val="0"/>
      <w:marBottom w:val="0"/>
      <w:divBdr>
        <w:top w:val="none" w:sz="0" w:space="0" w:color="auto"/>
        <w:left w:val="none" w:sz="0" w:space="0" w:color="auto"/>
        <w:bottom w:val="none" w:sz="0" w:space="0" w:color="auto"/>
        <w:right w:val="none" w:sz="0" w:space="0" w:color="auto"/>
      </w:divBdr>
    </w:div>
    <w:div w:id="1331176447">
      <w:marLeft w:val="0"/>
      <w:marRight w:val="0"/>
      <w:marTop w:val="0"/>
      <w:marBottom w:val="0"/>
      <w:divBdr>
        <w:top w:val="none" w:sz="0" w:space="0" w:color="auto"/>
        <w:left w:val="none" w:sz="0" w:space="0" w:color="auto"/>
        <w:bottom w:val="none" w:sz="0" w:space="0" w:color="auto"/>
        <w:right w:val="none" w:sz="0" w:space="0" w:color="auto"/>
      </w:divBdr>
    </w:div>
    <w:div w:id="1333872068">
      <w:marLeft w:val="480"/>
      <w:marRight w:val="0"/>
      <w:marTop w:val="0"/>
      <w:marBottom w:val="0"/>
      <w:divBdr>
        <w:top w:val="none" w:sz="0" w:space="0" w:color="auto"/>
        <w:left w:val="none" w:sz="0" w:space="0" w:color="auto"/>
        <w:bottom w:val="none" w:sz="0" w:space="0" w:color="auto"/>
        <w:right w:val="none" w:sz="0" w:space="0" w:color="auto"/>
      </w:divBdr>
    </w:div>
    <w:div w:id="1338462219">
      <w:marLeft w:val="0"/>
      <w:marRight w:val="0"/>
      <w:marTop w:val="0"/>
      <w:marBottom w:val="0"/>
      <w:divBdr>
        <w:top w:val="none" w:sz="0" w:space="0" w:color="auto"/>
        <w:left w:val="none" w:sz="0" w:space="0" w:color="auto"/>
        <w:bottom w:val="none" w:sz="0" w:space="0" w:color="auto"/>
        <w:right w:val="none" w:sz="0" w:space="0" w:color="auto"/>
      </w:divBdr>
    </w:div>
    <w:div w:id="1340036323">
      <w:marLeft w:val="0"/>
      <w:marRight w:val="0"/>
      <w:marTop w:val="0"/>
      <w:marBottom w:val="0"/>
      <w:divBdr>
        <w:top w:val="none" w:sz="0" w:space="0" w:color="auto"/>
        <w:left w:val="none" w:sz="0" w:space="0" w:color="auto"/>
        <w:bottom w:val="none" w:sz="0" w:space="0" w:color="auto"/>
        <w:right w:val="none" w:sz="0" w:space="0" w:color="auto"/>
      </w:divBdr>
    </w:div>
    <w:div w:id="1383597254">
      <w:marLeft w:val="480"/>
      <w:marRight w:val="0"/>
      <w:marTop w:val="0"/>
      <w:marBottom w:val="0"/>
      <w:divBdr>
        <w:top w:val="none" w:sz="0" w:space="0" w:color="auto"/>
        <w:left w:val="none" w:sz="0" w:space="0" w:color="auto"/>
        <w:bottom w:val="none" w:sz="0" w:space="0" w:color="auto"/>
        <w:right w:val="none" w:sz="0" w:space="0" w:color="auto"/>
      </w:divBdr>
    </w:div>
    <w:div w:id="1409688858">
      <w:marLeft w:val="480"/>
      <w:marRight w:val="0"/>
      <w:marTop w:val="0"/>
      <w:marBottom w:val="0"/>
      <w:divBdr>
        <w:top w:val="none" w:sz="0" w:space="0" w:color="auto"/>
        <w:left w:val="none" w:sz="0" w:space="0" w:color="auto"/>
        <w:bottom w:val="none" w:sz="0" w:space="0" w:color="auto"/>
        <w:right w:val="none" w:sz="0" w:space="0" w:color="auto"/>
      </w:divBdr>
    </w:div>
    <w:div w:id="1416514682">
      <w:marLeft w:val="0"/>
      <w:marRight w:val="0"/>
      <w:marTop w:val="0"/>
      <w:marBottom w:val="0"/>
      <w:divBdr>
        <w:top w:val="none" w:sz="0" w:space="0" w:color="auto"/>
        <w:left w:val="none" w:sz="0" w:space="0" w:color="auto"/>
        <w:bottom w:val="none" w:sz="0" w:space="0" w:color="auto"/>
        <w:right w:val="none" w:sz="0" w:space="0" w:color="auto"/>
      </w:divBdr>
    </w:div>
    <w:div w:id="1417362028">
      <w:marLeft w:val="0"/>
      <w:marRight w:val="0"/>
      <w:marTop w:val="0"/>
      <w:marBottom w:val="0"/>
      <w:divBdr>
        <w:top w:val="none" w:sz="0" w:space="0" w:color="auto"/>
        <w:left w:val="none" w:sz="0" w:space="0" w:color="auto"/>
        <w:bottom w:val="none" w:sz="0" w:space="0" w:color="auto"/>
        <w:right w:val="none" w:sz="0" w:space="0" w:color="auto"/>
      </w:divBdr>
    </w:div>
    <w:div w:id="1420177831">
      <w:marLeft w:val="0"/>
      <w:marRight w:val="0"/>
      <w:marTop w:val="0"/>
      <w:marBottom w:val="0"/>
      <w:divBdr>
        <w:top w:val="none" w:sz="0" w:space="0" w:color="auto"/>
        <w:left w:val="none" w:sz="0" w:space="0" w:color="auto"/>
        <w:bottom w:val="none" w:sz="0" w:space="0" w:color="auto"/>
        <w:right w:val="none" w:sz="0" w:space="0" w:color="auto"/>
      </w:divBdr>
    </w:div>
    <w:div w:id="1431925527">
      <w:marLeft w:val="0"/>
      <w:marRight w:val="0"/>
      <w:marTop w:val="0"/>
      <w:marBottom w:val="0"/>
      <w:divBdr>
        <w:top w:val="none" w:sz="0" w:space="0" w:color="auto"/>
        <w:left w:val="none" w:sz="0" w:space="0" w:color="auto"/>
        <w:bottom w:val="none" w:sz="0" w:space="0" w:color="auto"/>
        <w:right w:val="none" w:sz="0" w:space="0" w:color="auto"/>
      </w:divBdr>
    </w:div>
    <w:div w:id="1451633783">
      <w:marLeft w:val="0"/>
      <w:marRight w:val="0"/>
      <w:marTop w:val="0"/>
      <w:marBottom w:val="0"/>
      <w:divBdr>
        <w:top w:val="none" w:sz="0" w:space="0" w:color="auto"/>
        <w:left w:val="none" w:sz="0" w:space="0" w:color="auto"/>
        <w:bottom w:val="none" w:sz="0" w:space="0" w:color="auto"/>
        <w:right w:val="none" w:sz="0" w:space="0" w:color="auto"/>
      </w:divBdr>
    </w:div>
    <w:div w:id="1460798479">
      <w:marLeft w:val="480"/>
      <w:marRight w:val="0"/>
      <w:marTop w:val="0"/>
      <w:marBottom w:val="0"/>
      <w:divBdr>
        <w:top w:val="none" w:sz="0" w:space="0" w:color="auto"/>
        <w:left w:val="none" w:sz="0" w:space="0" w:color="auto"/>
        <w:bottom w:val="none" w:sz="0" w:space="0" w:color="auto"/>
        <w:right w:val="none" w:sz="0" w:space="0" w:color="auto"/>
      </w:divBdr>
    </w:div>
    <w:div w:id="1471247294">
      <w:marLeft w:val="480"/>
      <w:marRight w:val="0"/>
      <w:marTop w:val="0"/>
      <w:marBottom w:val="0"/>
      <w:divBdr>
        <w:top w:val="none" w:sz="0" w:space="0" w:color="auto"/>
        <w:left w:val="none" w:sz="0" w:space="0" w:color="auto"/>
        <w:bottom w:val="none" w:sz="0" w:space="0" w:color="auto"/>
        <w:right w:val="none" w:sz="0" w:space="0" w:color="auto"/>
      </w:divBdr>
    </w:div>
    <w:div w:id="1479765360">
      <w:marLeft w:val="0"/>
      <w:marRight w:val="0"/>
      <w:marTop w:val="0"/>
      <w:marBottom w:val="0"/>
      <w:divBdr>
        <w:top w:val="none" w:sz="0" w:space="0" w:color="auto"/>
        <w:left w:val="none" w:sz="0" w:space="0" w:color="auto"/>
        <w:bottom w:val="none" w:sz="0" w:space="0" w:color="auto"/>
        <w:right w:val="none" w:sz="0" w:space="0" w:color="auto"/>
      </w:divBdr>
    </w:div>
    <w:div w:id="1486121125">
      <w:marLeft w:val="480"/>
      <w:marRight w:val="0"/>
      <w:marTop w:val="0"/>
      <w:marBottom w:val="0"/>
      <w:divBdr>
        <w:top w:val="none" w:sz="0" w:space="0" w:color="auto"/>
        <w:left w:val="none" w:sz="0" w:space="0" w:color="auto"/>
        <w:bottom w:val="none" w:sz="0" w:space="0" w:color="auto"/>
        <w:right w:val="none" w:sz="0" w:space="0" w:color="auto"/>
      </w:divBdr>
    </w:div>
    <w:div w:id="1486891425">
      <w:marLeft w:val="0"/>
      <w:marRight w:val="0"/>
      <w:marTop w:val="0"/>
      <w:marBottom w:val="0"/>
      <w:divBdr>
        <w:top w:val="none" w:sz="0" w:space="0" w:color="auto"/>
        <w:left w:val="none" w:sz="0" w:space="0" w:color="auto"/>
        <w:bottom w:val="none" w:sz="0" w:space="0" w:color="auto"/>
        <w:right w:val="none" w:sz="0" w:space="0" w:color="auto"/>
      </w:divBdr>
    </w:div>
    <w:div w:id="1512985124">
      <w:marLeft w:val="480"/>
      <w:marRight w:val="0"/>
      <w:marTop w:val="0"/>
      <w:marBottom w:val="0"/>
      <w:divBdr>
        <w:top w:val="none" w:sz="0" w:space="0" w:color="auto"/>
        <w:left w:val="none" w:sz="0" w:space="0" w:color="auto"/>
        <w:bottom w:val="none" w:sz="0" w:space="0" w:color="auto"/>
        <w:right w:val="none" w:sz="0" w:space="0" w:color="auto"/>
      </w:divBdr>
    </w:div>
    <w:div w:id="1514101224">
      <w:marLeft w:val="0"/>
      <w:marRight w:val="0"/>
      <w:marTop w:val="0"/>
      <w:marBottom w:val="0"/>
      <w:divBdr>
        <w:top w:val="none" w:sz="0" w:space="0" w:color="auto"/>
        <w:left w:val="none" w:sz="0" w:space="0" w:color="auto"/>
        <w:bottom w:val="none" w:sz="0" w:space="0" w:color="auto"/>
        <w:right w:val="none" w:sz="0" w:space="0" w:color="auto"/>
      </w:divBdr>
    </w:div>
    <w:div w:id="1524175002">
      <w:marLeft w:val="0"/>
      <w:marRight w:val="0"/>
      <w:marTop w:val="0"/>
      <w:marBottom w:val="0"/>
      <w:divBdr>
        <w:top w:val="none" w:sz="0" w:space="0" w:color="auto"/>
        <w:left w:val="none" w:sz="0" w:space="0" w:color="auto"/>
        <w:bottom w:val="none" w:sz="0" w:space="0" w:color="auto"/>
        <w:right w:val="none" w:sz="0" w:space="0" w:color="auto"/>
      </w:divBdr>
    </w:div>
    <w:div w:id="1548688547">
      <w:marLeft w:val="0"/>
      <w:marRight w:val="0"/>
      <w:marTop w:val="0"/>
      <w:marBottom w:val="0"/>
      <w:divBdr>
        <w:top w:val="none" w:sz="0" w:space="0" w:color="auto"/>
        <w:left w:val="none" w:sz="0" w:space="0" w:color="auto"/>
        <w:bottom w:val="none" w:sz="0" w:space="0" w:color="auto"/>
        <w:right w:val="none" w:sz="0" w:space="0" w:color="auto"/>
      </w:divBdr>
    </w:div>
    <w:div w:id="1564372471">
      <w:marLeft w:val="480"/>
      <w:marRight w:val="0"/>
      <w:marTop w:val="0"/>
      <w:marBottom w:val="0"/>
      <w:divBdr>
        <w:top w:val="none" w:sz="0" w:space="0" w:color="auto"/>
        <w:left w:val="none" w:sz="0" w:space="0" w:color="auto"/>
        <w:bottom w:val="none" w:sz="0" w:space="0" w:color="auto"/>
        <w:right w:val="none" w:sz="0" w:space="0" w:color="auto"/>
      </w:divBdr>
    </w:div>
    <w:div w:id="1565526783">
      <w:marLeft w:val="480"/>
      <w:marRight w:val="0"/>
      <w:marTop w:val="0"/>
      <w:marBottom w:val="0"/>
      <w:divBdr>
        <w:top w:val="none" w:sz="0" w:space="0" w:color="auto"/>
        <w:left w:val="none" w:sz="0" w:space="0" w:color="auto"/>
        <w:bottom w:val="none" w:sz="0" w:space="0" w:color="auto"/>
        <w:right w:val="none" w:sz="0" w:space="0" w:color="auto"/>
      </w:divBdr>
    </w:div>
    <w:div w:id="1580140544">
      <w:marLeft w:val="0"/>
      <w:marRight w:val="0"/>
      <w:marTop w:val="0"/>
      <w:marBottom w:val="0"/>
      <w:divBdr>
        <w:top w:val="none" w:sz="0" w:space="0" w:color="auto"/>
        <w:left w:val="none" w:sz="0" w:space="0" w:color="auto"/>
        <w:bottom w:val="none" w:sz="0" w:space="0" w:color="auto"/>
        <w:right w:val="none" w:sz="0" w:space="0" w:color="auto"/>
      </w:divBdr>
    </w:div>
    <w:div w:id="1580599382">
      <w:marLeft w:val="480"/>
      <w:marRight w:val="0"/>
      <w:marTop w:val="0"/>
      <w:marBottom w:val="0"/>
      <w:divBdr>
        <w:top w:val="none" w:sz="0" w:space="0" w:color="auto"/>
        <w:left w:val="none" w:sz="0" w:space="0" w:color="auto"/>
        <w:bottom w:val="none" w:sz="0" w:space="0" w:color="auto"/>
        <w:right w:val="none" w:sz="0" w:space="0" w:color="auto"/>
      </w:divBdr>
    </w:div>
    <w:div w:id="1583679744">
      <w:marLeft w:val="480"/>
      <w:marRight w:val="0"/>
      <w:marTop w:val="0"/>
      <w:marBottom w:val="0"/>
      <w:divBdr>
        <w:top w:val="none" w:sz="0" w:space="0" w:color="auto"/>
        <w:left w:val="none" w:sz="0" w:space="0" w:color="auto"/>
        <w:bottom w:val="none" w:sz="0" w:space="0" w:color="auto"/>
        <w:right w:val="none" w:sz="0" w:space="0" w:color="auto"/>
      </w:divBdr>
    </w:div>
    <w:div w:id="1592817112">
      <w:marLeft w:val="0"/>
      <w:marRight w:val="0"/>
      <w:marTop w:val="0"/>
      <w:marBottom w:val="0"/>
      <w:divBdr>
        <w:top w:val="none" w:sz="0" w:space="0" w:color="auto"/>
        <w:left w:val="none" w:sz="0" w:space="0" w:color="auto"/>
        <w:bottom w:val="none" w:sz="0" w:space="0" w:color="auto"/>
        <w:right w:val="none" w:sz="0" w:space="0" w:color="auto"/>
      </w:divBdr>
    </w:div>
    <w:div w:id="1596014350">
      <w:marLeft w:val="0"/>
      <w:marRight w:val="0"/>
      <w:marTop w:val="0"/>
      <w:marBottom w:val="0"/>
      <w:divBdr>
        <w:top w:val="none" w:sz="0" w:space="0" w:color="auto"/>
        <w:left w:val="none" w:sz="0" w:space="0" w:color="auto"/>
        <w:bottom w:val="none" w:sz="0" w:space="0" w:color="auto"/>
        <w:right w:val="none" w:sz="0" w:space="0" w:color="auto"/>
      </w:divBdr>
    </w:div>
    <w:div w:id="1613974253">
      <w:marLeft w:val="0"/>
      <w:marRight w:val="0"/>
      <w:marTop w:val="0"/>
      <w:marBottom w:val="0"/>
      <w:divBdr>
        <w:top w:val="none" w:sz="0" w:space="0" w:color="auto"/>
        <w:left w:val="none" w:sz="0" w:space="0" w:color="auto"/>
        <w:bottom w:val="none" w:sz="0" w:space="0" w:color="auto"/>
        <w:right w:val="none" w:sz="0" w:space="0" w:color="auto"/>
      </w:divBdr>
    </w:div>
    <w:div w:id="1619481453">
      <w:marLeft w:val="0"/>
      <w:marRight w:val="0"/>
      <w:marTop w:val="0"/>
      <w:marBottom w:val="0"/>
      <w:divBdr>
        <w:top w:val="none" w:sz="0" w:space="0" w:color="auto"/>
        <w:left w:val="none" w:sz="0" w:space="0" w:color="auto"/>
        <w:bottom w:val="none" w:sz="0" w:space="0" w:color="auto"/>
        <w:right w:val="none" w:sz="0" w:space="0" w:color="auto"/>
      </w:divBdr>
    </w:div>
    <w:div w:id="1625424118">
      <w:marLeft w:val="0"/>
      <w:marRight w:val="0"/>
      <w:marTop w:val="0"/>
      <w:marBottom w:val="0"/>
      <w:divBdr>
        <w:top w:val="none" w:sz="0" w:space="0" w:color="auto"/>
        <w:left w:val="none" w:sz="0" w:space="0" w:color="auto"/>
        <w:bottom w:val="none" w:sz="0" w:space="0" w:color="auto"/>
        <w:right w:val="none" w:sz="0" w:space="0" w:color="auto"/>
      </w:divBdr>
    </w:div>
    <w:div w:id="1634828040">
      <w:marLeft w:val="0"/>
      <w:marRight w:val="0"/>
      <w:marTop w:val="0"/>
      <w:marBottom w:val="0"/>
      <w:divBdr>
        <w:top w:val="none" w:sz="0" w:space="0" w:color="auto"/>
        <w:left w:val="none" w:sz="0" w:space="0" w:color="auto"/>
        <w:bottom w:val="none" w:sz="0" w:space="0" w:color="auto"/>
        <w:right w:val="none" w:sz="0" w:space="0" w:color="auto"/>
      </w:divBdr>
    </w:div>
    <w:div w:id="1651709946">
      <w:marLeft w:val="0"/>
      <w:marRight w:val="0"/>
      <w:marTop w:val="0"/>
      <w:marBottom w:val="0"/>
      <w:divBdr>
        <w:top w:val="none" w:sz="0" w:space="0" w:color="auto"/>
        <w:left w:val="none" w:sz="0" w:space="0" w:color="auto"/>
        <w:bottom w:val="none" w:sz="0" w:space="0" w:color="auto"/>
        <w:right w:val="none" w:sz="0" w:space="0" w:color="auto"/>
      </w:divBdr>
    </w:div>
    <w:div w:id="1651867027">
      <w:marLeft w:val="480"/>
      <w:marRight w:val="0"/>
      <w:marTop w:val="0"/>
      <w:marBottom w:val="0"/>
      <w:divBdr>
        <w:top w:val="none" w:sz="0" w:space="0" w:color="auto"/>
        <w:left w:val="none" w:sz="0" w:space="0" w:color="auto"/>
        <w:bottom w:val="none" w:sz="0" w:space="0" w:color="auto"/>
        <w:right w:val="none" w:sz="0" w:space="0" w:color="auto"/>
      </w:divBdr>
    </w:div>
    <w:div w:id="1653944225">
      <w:marLeft w:val="0"/>
      <w:marRight w:val="0"/>
      <w:marTop w:val="0"/>
      <w:marBottom w:val="0"/>
      <w:divBdr>
        <w:top w:val="none" w:sz="0" w:space="0" w:color="auto"/>
        <w:left w:val="none" w:sz="0" w:space="0" w:color="auto"/>
        <w:bottom w:val="none" w:sz="0" w:space="0" w:color="auto"/>
        <w:right w:val="none" w:sz="0" w:space="0" w:color="auto"/>
      </w:divBdr>
    </w:div>
    <w:div w:id="1656570160">
      <w:marLeft w:val="0"/>
      <w:marRight w:val="0"/>
      <w:marTop w:val="0"/>
      <w:marBottom w:val="0"/>
      <w:divBdr>
        <w:top w:val="none" w:sz="0" w:space="0" w:color="auto"/>
        <w:left w:val="none" w:sz="0" w:space="0" w:color="auto"/>
        <w:bottom w:val="none" w:sz="0" w:space="0" w:color="auto"/>
        <w:right w:val="none" w:sz="0" w:space="0" w:color="auto"/>
      </w:divBdr>
    </w:div>
    <w:div w:id="1662810035">
      <w:marLeft w:val="480"/>
      <w:marRight w:val="0"/>
      <w:marTop w:val="0"/>
      <w:marBottom w:val="0"/>
      <w:divBdr>
        <w:top w:val="none" w:sz="0" w:space="0" w:color="auto"/>
        <w:left w:val="none" w:sz="0" w:space="0" w:color="auto"/>
        <w:bottom w:val="none" w:sz="0" w:space="0" w:color="auto"/>
        <w:right w:val="none" w:sz="0" w:space="0" w:color="auto"/>
      </w:divBdr>
    </w:div>
    <w:div w:id="1664043494">
      <w:marLeft w:val="0"/>
      <w:marRight w:val="0"/>
      <w:marTop w:val="0"/>
      <w:marBottom w:val="0"/>
      <w:divBdr>
        <w:top w:val="none" w:sz="0" w:space="0" w:color="auto"/>
        <w:left w:val="none" w:sz="0" w:space="0" w:color="auto"/>
        <w:bottom w:val="none" w:sz="0" w:space="0" w:color="auto"/>
        <w:right w:val="none" w:sz="0" w:space="0" w:color="auto"/>
      </w:divBdr>
    </w:div>
    <w:div w:id="1669745631">
      <w:marLeft w:val="480"/>
      <w:marRight w:val="0"/>
      <w:marTop w:val="0"/>
      <w:marBottom w:val="0"/>
      <w:divBdr>
        <w:top w:val="none" w:sz="0" w:space="0" w:color="auto"/>
        <w:left w:val="none" w:sz="0" w:space="0" w:color="auto"/>
        <w:bottom w:val="none" w:sz="0" w:space="0" w:color="auto"/>
        <w:right w:val="none" w:sz="0" w:space="0" w:color="auto"/>
      </w:divBdr>
    </w:div>
    <w:div w:id="1675960011">
      <w:marLeft w:val="0"/>
      <w:marRight w:val="0"/>
      <w:marTop w:val="0"/>
      <w:marBottom w:val="0"/>
      <w:divBdr>
        <w:top w:val="none" w:sz="0" w:space="0" w:color="auto"/>
        <w:left w:val="none" w:sz="0" w:space="0" w:color="auto"/>
        <w:bottom w:val="none" w:sz="0" w:space="0" w:color="auto"/>
        <w:right w:val="none" w:sz="0" w:space="0" w:color="auto"/>
      </w:divBdr>
    </w:div>
    <w:div w:id="1685859292">
      <w:marLeft w:val="0"/>
      <w:marRight w:val="0"/>
      <w:marTop w:val="0"/>
      <w:marBottom w:val="0"/>
      <w:divBdr>
        <w:top w:val="none" w:sz="0" w:space="0" w:color="auto"/>
        <w:left w:val="none" w:sz="0" w:space="0" w:color="auto"/>
        <w:bottom w:val="none" w:sz="0" w:space="0" w:color="auto"/>
        <w:right w:val="none" w:sz="0" w:space="0" w:color="auto"/>
      </w:divBdr>
    </w:div>
    <w:div w:id="1707099663">
      <w:marLeft w:val="480"/>
      <w:marRight w:val="0"/>
      <w:marTop w:val="0"/>
      <w:marBottom w:val="0"/>
      <w:divBdr>
        <w:top w:val="none" w:sz="0" w:space="0" w:color="auto"/>
        <w:left w:val="none" w:sz="0" w:space="0" w:color="auto"/>
        <w:bottom w:val="none" w:sz="0" w:space="0" w:color="auto"/>
        <w:right w:val="none" w:sz="0" w:space="0" w:color="auto"/>
      </w:divBdr>
    </w:div>
    <w:div w:id="1716269880">
      <w:marLeft w:val="0"/>
      <w:marRight w:val="0"/>
      <w:marTop w:val="0"/>
      <w:marBottom w:val="0"/>
      <w:divBdr>
        <w:top w:val="none" w:sz="0" w:space="0" w:color="auto"/>
        <w:left w:val="none" w:sz="0" w:space="0" w:color="auto"/>
        <w:bottom w:val="none" w:sz="0" w:space="0" w:color="auto"/>
        <w:right w:val="none" w:sz="0" w:space="0" w:color="auto"/>
      </w:divBdr>
    </w:div>
    <w:div w:id="1718779617">
      <w:marLeft w:val="480"/>
      <w:marRight w:val="0"/>
      <w:marTop w:val="0"/>
      <w:marBottom w:val="0"/>
      <w:divBdr>
        <w:top w:val="none" w:sz="0" w:space="0" w:color="auto"/>
        <w:left w:val="none" w:sz="0" w:space="0" w:color="auto"/>
        <w:bottom w:val="none" w:sz="0" w:space="0" w:color="auto"/>
        <w:right w:val="none" w:sz="0" w:space="0" w:color="auto"/>
      </w:divBdr>
    </w:div>
    <w:div w:id="1723288221">
      <w:marLeft w:val="0"/>
      <w:marRight w:val="0"/>
      <w:marTop w:val="0"/>
      <w:marBottom w:val="0"/>
      <w:divBdr>
        <w:top w:val="none" w:sz="0" w:space="0" w:color="auto"/>
        <w:left w:val="none" w:sz="0" w:space="0" w:color="auto"/>
        <w:bottom w:val="none" w:sz="0" w:space="0" w:color="auto"/>
        <w:right w:val="none" w:sz="0" w:space="0" w:color="auto"/>
      </w:divBdr>
    </w:div>
    <w:div w:id="1730573097">
      <w:marLeft w:val="480"/>
      <w:marRight w:val="0"/>
      <w:marTop w:val="0"/>
      <w:marBottom w:val="0"/>
      <w:divBdr>
        <w:top w:val="none" w:sz="0" w:space="0" w:color="auto"/>
        <w:left w:val="none" w:sz="0" w:space="0" w:color="auto"/>
        <w:bottom w:val="none" w:sz="0" w:space="0" w:color="auto"/>
        <w:right w:val="none" w:sz="0" w:space="0" w:color="auto"/>
      </w:divBdr>
    </w:div>
    <w:div w:id="1734885324">
      <w:marLeft w:val="0"/>
      <w:marRight w:val="0"/>
      <w:marTop w:val="0"/>
      <w:marBottom w:val="0"/>
      <w:divBdr>
        <w:top w:val="none" w:sz="0" w:space="0" w:color="auto"/>
        <w:left w:val="none" w:sz="0" w:space="0" w:color="auto"/>
        <w:bottom w:val="none" w:sz="0" w:space="0" w:color="auto"/>
        <w:right w:val="none" w:sz="0" w:space="0" w:color="auto"/>
      </w:divBdr>
    </w:div>
    <w:div w:id="1747412935">
      <w:marLeft w:val="0"/>
      <w:marRight w:val="0"/>
      <w:marTop w:val="0"/>
      <w:marBottom w:val="0"/>
      <w:divBdr>
        <w:top w:val="none" w:sz="0" w:space="0" w:color="auto"/>
        <w:left w:val="none" w:sz="0" w:space="0" w:color="auto"/>
        <w:bottom w:val="none" w:sz="0" w:space="0" w:color="auto"/>
        <w:right w:val="none" w:sz="0" w:space="0" w:color="auto"/>
      </w:divBdr>
    </w:div>
    <w:div w:id="1766150361">
      <w:marLeft w:val="0"/>
      <w:marRight w:val="0"/>
      <w:marTop w:val="0"/>
      <w:marBottom w:val="0"/>
      <w:divBdr>
        <w:top w:val="none" w:sz="0" w:space="0" w:color="auto"/>
        <w:left w:val="none" w:sz="0" w:space="0" w:color="auto"/>
        <w:bottom w:val="none" w:sz="0" w:space="0" w:color="auto"/>
        <w:right w:val="none" w:sz="0" w:space="0" w:color="auto"/>
      </w:divBdr>
    </w:div>
    <w:div w:id="1813477299">
      <w:marLeft w:val="0"/>
      <w:marRight w:val="0"/>
      <w:marTop w:val="0"/>
      <w:marBottom w:val="0"/>
      <w:divBdr>
        <w:top w:val="none" w:sz="0" w:space="0" w:color="auto"/>
        <w:left w:val="none" w:sz="0" w:space="0" w:color="auto"/>
        <w:bottom w:val="none" w:sz="0" w:space="0" w:color="auto"/>
        <w:right w:val="none" w:sz="0" w:space="0" w:color="auto"/>
      </w:divBdr>
    </w:div>
    <w:div w:id="1814057607">
      <w:marLeft w:val="0"/>
      <w:marRight w:val="0"/>
      <w:marTop w:val="0"/>
      <w:marBottom w:val="0"/>
      <w:divBdr>
        <w:top w:val="none" w:sz="0" w:space="0" w:color="auto"/>
        <w:left w:val="none" w:sz="0" w:space="0" w:color="auto"/>
        <w:bottom w:val="none" w:sz="0" w:space="0" w:color="auto"/>
        <w:right w:val="none" w:sz="0" w:space="0" w:color="auto"/>
      </w:divBdr>
    </w:div>
    <w:div w:id="1816290542">
      <w:marLeft w:val="480"/>
      <w:marRight w:val="0"/>
      <w:marTop w:val="0"/>
      <w:marBottom w:val="0"/>
      <w:divBdr>
        <w:top w:val="none" w:sz="0" w:space="0" w:color="auto"/>
        <w:left w:val="none" w:sz="0" w:space="0" w:color="auto"/>
        <w:bottom w:val="none" w:sz="0" w:space="0" w:color="auto"/>
        <w:right w:val="none" w:sz="0" w:space="0" w:color="auto"/>
      </w:divBdr>
    </w:div>
    <w:div w:id="1818381382">
      <w:marLeft w:val="0"/>
      <w:marRight w:val="0"/>
      <w:marTop w:val="0"/>
      <w:marBottom w:val="0"/>
      <w:divBdr>
        <w:top w:val="none" w:sz="0" w:space="0" w:color="auto"/>
        <w:left w:val="none" w:sz="0" w:space="0" w:color="auto"/>
        <w:bottom w:val="none" w:sz="0" w:space="0" w:color="auto"/>
        <w:right w:val="none" w:sz="0" w:space="0" w:color="auto"/>
      </w:divBdr>
    </w:div>
    <w:div w:id="1831285955">
      <w:marLeft w:val="0"/>
      <w:marRight w:val="0"/>
      <w:marTop w:val="0"/>
      <w:marBottom w:val="0"/>
      <w:divBdr>
        <w:top w:val="none" w:sz="0" w:space="0" w:color="auto"/>
        <w:left w:val="none" w:sz="0" w:space="0" w:color="auto"/>
        <w:bottom w:val="none" w:sz="0" w:space="0" w:color="auto"/>
        <w:right w:val="none" w:sz="0" w:space="0" w:color="auto"/>
      </w:divBdr>
    </w:div>
    <w:div w:id="1835104597">
      <w:marLeft w:val="0"/>
      <w:marRight w:val="0"/>
      <w:marTop w:val="0"/>
      <w:marBottom w:val="0"/>
      <w:divBdr>
        <w:top w:val="none" w:sz="0" w:space="0" w:color="auto"/>
        <w:left w:val="none" w:sz="0" w:space="0" w:color="auto"/>
        <w:bottom w:val="none" w:sz="0" w:space="0" w:color="auto"/>
        <w:right w:val="none" w:sz="0" w:space="0" w:color="auto"/>
      </w:divBdr>
    </w:div>
    <w:div w:id="1844053012">
      <w:marLeft w:val="0"/>
      <w:marRight w:val="0"/>
      <w:marTop w:val="0"/>
      <w:marBottom w:val="0"/>
      <w:divBdr>
        <w:top w:val="none" w:sz="0" w:space="0" w:color="auto"/>
        <w:left w:val="none" w:sz="0" w:space="0" w:color="auto"/>
        <w:bottom w:val="none" w:sz="0" w:space="0" w:color="auto"/>
        <w:right w:val="none" w:sz="0" w:space="0" w:color="auto"/>
      </w:divBdr>
    </w:div>
    <w:div w:id="1844120803">
      <w:marLeft w:val="0"/>
      <w:marRight w:val="0"/>
      <w:marTop w:val="0"/>
      <w:marBottom w:val="0"/>
      <w:divBdr>
        <w:top w:val="none" w:sz="0" w:space="0" w:color="auto"/>
        <w:left w:val="none" w:sz="0" w:space="0" w:color="auto"/>
        <w:bottom w:val="none" w:sz="0" w:space="0" w:color="auto"/>
        <w:right w:val="none" w:sz="0" w:space="0" w:color="auto"/>
      </w:divBdr>
    </w:div>
    <w:div w:id="1844392563">
      <w:marLeft w:val="480"/>
      <w:marRight w:val="0"/>
      <w:marTop w:val="0"/>
      <w:marBottom w:val="0"/>
      <w:divBdr>
        <w:top w:val="none" w:sz="0" w:space="0" w:color="auto"/>
        <w:left w:val="none" w:sz="0" w:space="0" w:color="auto"/>
        <w:bottom w:val="none" w:sz="0" w:space="0" w:color="auto"/>
        <w:right w:val="none" w:sz="0" w:space="0" w:color="auto"/>
      </w:divBdr>
    </w:div>
    <w:div w:id="1846633464">
      <w:marLeft w:val="480"/>
      <w:marRight w:val="0"/>
      <w:marTop w:val="0"/>
      <w:marBottom w:val="0"/>
      <w:divBdr>
        <w:top w:val="none" w:sz="0" w:space="0" w:color="auto"/>
        <w:left w:val="none" w:sz="0" w:space="0" w:color="auto"/>
        <w:bottom w:val="none" w:sz="0" w:space="0" w:color="auto"/>
        <w:right w:val="none" w:sz="0" w:space="0" w:color="auto"/>
      </w:divBdr>
    </w:div>
    <w:div w:id="1849099775">
      <w:marLeft w:val="480"/>
      <w:marRight w:val="0"/>
      <w:marTop w:val="0"/>
      <w:marBottom w:val="0"/>
      <w:divBdr>
        <w:top w:val="none" w:sz="0" w:space="0" w:color="auto"/>
        <w:left w:val="none" w:sz="0" w:space="0" w:color="auto"/>
        <w:bottom w:val="none" w:sz="0" w:space="0" w:color="auto"/>
        <w:right w:val="none" w:sz="0" w:space="0" w:color="auto"/>
      </w:divBdr>
    </w:div>
    <w:div w:id="1859196483">
      <w:marLeft w:val="480"/>
      <w:marRight w:val="0"/>
      <w:marTop w:val="0"/>
      <w:marBottom w:val="0"/>
      <w:divBdr>
        <w:top w:val="none" w:sz="0" w:space="0" w:color="auto"/>
        <w:left w:val="none" w:sz="0" w:space="0" w:color="auto"/>
        <w:bottom w:val="none" w:sz="0" w:space="0" w:color="auto"/>
        <w:right w:val="none" w:sz="0" w:space="0" w:color="auto"/>
      </w:divBdr>
    </w:div>
    <w:div w:id="1872841469">
      <w:marLeft w:val="0"/>
      <w:marRight w:val="0"/>
      <w:marTop w:val="0"/>
      <w:marBottom w:val="0"/>
      <w:divBdr>
        <w:top w:val="none" w:sz="0" w:space="0" w:color="auto"/>
        <w:left w:val="none" w:sz="0" w:space="0" w:color="auto"/>
        <w:bottom w:val="none" w:sz="0" w:space="0" w:color="auto"/>
        <w:right w:val="none" w:sz="0" w:space="0" w:color="auto"/>
      </w:divBdr>
    </w:div>
    <w:div w:id="1886522314">
      <w:marLeft w:val="0"/>
      <w:marRight w:val="0"/>
      <w:marTop w:val="0"/>
      <w:marBottom w:val="0"/>
      <w:divBdr>
        <w:top w:val="none" w:sz="0" w:space="0" w:color="auto"/>
        <w:left w:val="none" w:sz="0" w:space="0" w:color="auto"/>
        <w:bottom w:val="none" w:sz="0" w:space="0" w:color="auto"/>
        <w:right w:val="none" w:sz="0" w:space="0" w:color="auto"/>
      </w:divBdr>
    </w:div>
    <w:div w:id="1893539923">
      <w:marLeft w:val="0"/>
      <w:marRight w:val="0"/>
      <w:marTop w:val="0"/>
      <w:marBottom w:val="0"/>
      <w:divBdr>
        <w:top w:val="none" w:sz="0" w:space="0" w:color="auto"/>
        <w:left w:val="none" w:sz="0" w:space="0" w:color="auto"/>
        <w:bottom w:val="none" w:sz="0" w:space="0" w:color="auto"/>
        <w:right w:val="none" w:sz="0" w:space="0" w:color="auto"/>
      </w:divBdr>
    </w:div>
    <w:div w:id="1897619986">
      <w:marLeft w:val="0"/>
      <w:marRight w:val="0"/>
      <w:marTop w:val="0"/>
      <w:marBottom w:val="0"/>
      <w:divBdr>
        <w:top w:val="none" w:sz="0" w:space="0" w:color="auto"/>
        <w:left w:val="none" w:sz="0" w:space="0" w:color="auto"/>
        <w:bottom w:val="none" w:sz="0" w:space="0" w:color="auto"/>
        <w:right w:val="none" w:sz="0" w:space="0" w:color="auto"/>
      </w:divBdr>
    </w:div>
    <w:div w:id="1911232110">
      <w:marLeft w:val="0"/>
      <w:marRight w:val="0"/>
      <w:marTop w:val="0"/>
      <w:marBottom w:val="0"/>
      <w:divBdr>
        <w:top w:val="none" w:sz="0" w:space="0" w:color="auto"/>
        <w:left w:val="none" w:sz="0" w:space="0" w:color="auto"/>
        <w:bottom w:val="none" w:sz="0" w:space="0" w:color="auto"/>
        <w:right w:val="none" w:sz="0" w:space="0" w:color="auto"/>
      </w:divBdr>
    </w:div>
    <w:div w:id="1923448743">
      <w:marLeft w:val="480"/>
      <w:marRight w:val="0"/>
      <w:marTop w:val="0"/>
      <w:marBottom w:val="0"/>
      <w:divBdr>
        <w:top w:val="none" w:sz="0" w:space="0" w:color="auto"/>
        <w:left w:val="none" w:sz="0" w:space="0" w:color="auto"/>
        <w:bottom w:val="none" w:sz="0" w:space="0" w:color="auto"/>
        <w:right w:val="none" w:sz="0" w:space="0" w:color="auto"/>
      </w:divBdr>
    </w:div>
    <w:div w:id="1959100178">
      <w:marLeft w:val="0"/>
      <w:marRight w:val="0"/>
      <w:marTop w:val="0"/>
      <w:marBottom w:val="0"/>
      <w:divBdr>
        <w:top w:val="none" w:sz="0" w:space="0" w:color="auto"/>
        <w:left w:val="none" w:sz="0" w:space="0" w:color="auto"/>
        <w:bottom w:val="none" w:sz="0" w:space="0" w:color="auto"/>
        <w:right w:val="none" w:sz="0" w:space="0" w:color="auto"/>
      </w:divBdr>
    </w:div>
    <w:div w:id="1960261005">
      <w:marLeft w:val="480"/>
      <w:marRight w:val="0"/>
      <w:marTop w:val="0"/>
      <w:marBottom w:val="0"/>
      <w:divBdr>
        <w:top w:val="none" w:sz="0" w:space="0" w:color="auto"/>
        <w:left w:val="none" w:sz="0" w:space="0" w:color="auto"/>
        <w:bottom w:val="none" w:sz="0" w:space="0" w:color="auto"/>
        <w:right w:val="none" w:sz="0" w:space="0" w:color="auto"/>
      </w:divBdr>
    </w:div>
    <w:div w:id="1962226781">
      <w:marLeft w:val="0"/>
      <w:marRight w:val="0"/>
      <w:marTop w:val="0"/>
      <w:marBottom w:val="0"/>
      <w:divBdr>
        <w:top w:val="none" w:sz="0" w:space="0" w:color="auto"/>
        <w:left w:val="none" w:sz="0" w:space="0" w:color="auto"/>
        <w:bottom w:val="none" w:sz="0" w:space="0" w:color="auto"/>
        <w:right w:val="none" w:sz="0" w:space="0" w:color="auto"/>
      </w:divBdr>
    </w:div>
    <w:div w:id="1974360255">
      <w:marLeft w:val="480"/>
      <w:marRight w:val="0"/>
      <w:marTop w:val="0"/>
      <w:marBottom w:val="0"/>
      <w:divBdr>
        <w:top w:val="none" w:sz="0" w:space="0" w:color="auto"/>
        <w:left w:val="none" w:sz="0" w:space="0" w:color="auto"/>
        <w:bottom w:val="none" w:sz="0" w:space="0" w:color="auto"/>
        <w:right w:val="none" w:sz="0" w:space="0" w:color="auto"/>
      </w:divBdr>
    </w:div>
    <w:div w:id="1977904866">
      <w:marLeft w:val="0"/>
      <w:marRight w:val="0"/>
      <w:marTop w:val="0"/>
      <w:marBottom w:val="0"/>
      <w:divBdr>
        <w:top w:val="none" w:sz="0" w:space="0" w:color="auto"/>
        <w:left w:val="none" w:sz="0" w:space="0" w:color="auto"/>
        <w:bottom w:val="none" w:sz="0" w:space="0" w:color="auto"/>
        <w:right w:val="none" w:sz="0" w:space="0" w:color="auto"/>
      </w:divBdr>
    </w:div>
    <w:div w:id="1985961363">
      <w:marLeft w:val="480"/>
      <w:marRight w:val="0"/>
      <w:marTop w:val="0"/>
      <w:marBottom w:val="0"/>
      <w:divBdr>
        <w:top w:val="none" w:sz="0" w:space="0" w:color="auto"/>
        <w:left w:val="none" w:sz="0" w:space="0" w:color="auto"/>
        <w:bottom w:val="none" w:sz="0" w:space="0" w:color="auto"/>
        <w:right w:val="none" w:sz="0" w:space="0" w:color="auto"/>
      </w:divBdr>
    </w:div>
    <w:div w:id="1989239386">
      <w:marLeft w:val="480"/>
      <w:marRight w:val="0"/>
      <w:marTop w:val="0"/>
      <w:marBottom w:val="0"/>
      <w:divBdr>
        <w:top w:val="none" w:sz="0" w:space="0" w:color="auto"/>
        <w:left w:val="none" w:sz="0" w:space="0" w:color="auto"/>
        <w:bottom w:val="none" w:sz="0" w:space="0" w:color="auto"/>
        <w:right w:val="none" w:sz="0" w:space="0" w:color="auto"/>
      </w:divBdr>
    </w:div>
    <w:div w:id="1997299003">
      <w:marLeft w:val="0"/>
      <w:marRight w:val="0"/>
      <w:marTop w:val="0"/>
      <w:marBottom w:val="0"/>
      <w:divBdr>
        <w:top w:val="none" w:sz="0" w:space="0" w:color="auto"/>
        <w:left w:val="none" w:sz="0" w:space="0" w:color="auto"/>
        <w:bottom w:val="none" w:sz="0" w:space="0" w:color="auto"/>
        <w:right w:val="none" w:sz="0" w:space="0" w:color="auto"/>
      </w:divBdr>
    </w:div>
    <w:div w:id="2001692409">
      <w:marLeft w:val="0"/>
      <w:marRight w:val="0"/>
      <w:marTop w:val="0"/>
      <w:marBottom w:val="0"/>
      <w:divBdr>
        <w:top w:val="none" w:sz="0" w:space="0" w:color="auto"/>
        <w:left w:val="none" w:sz="0" w:space="0" w:color="auto"/>
        <w:bottom w:val="none" w:sz="0" w:space="0" w:color="auto"/>
        <w:right w:val="none" w:sz="0" w:space="0" w:color="auto"/>
      </w:divBdr>
    </w:div>
    <w:div w:id="2013486082">
      <w:marLeft w:val="480"/>
      <w:marRight w:val="0"/>
      <w:marTop w:val="0"/>
      <w:marBottom w:val="0"/>
      <w:divBdr>
        <w:top w:val="none" w:sz="0" w:space="0" w:color="auto"/>
        <w:left w:val="none" w:sz="0" w:space="0" w:color="auto"/>
        <w:bottom w:val="none" w:sz="0" w:space="0" w:color="auto"/>
        <w:right w:val="none" w:sz="0" w:space="0" w:color="auto"/>
      </w:divBdr>
    </w:div>
    <w:div w:id="2014410148">
      <w:marLeft w:val="0"/>
      <w:marRight w:val="0"/>
      <w:marTop w:val="0"/>
      <w:marBottom w:val="0"/>
      <w:divBdr>
        <w:top w:val="none" w:sz="0" w:space="0" w:color="auto"/>
        <w:left w:val="none" w:sz="0" w:space="0" w:color="auto"/>
        <w:bottom w:val="none" w:sz="0" w:space="0" w:color="auto"/>
        <w:right w:val="none" w:sz="0" w:space="0" w:color="auto"/>
      </w:divBdr>
    </w:div>
    <w:div w:id="2027443510">
      <w:marLeft w:val="480"/>
      <w:marRight w:val="0"/>
      <w:marTop w:val="0"/>
      <w:marBottom w:val="0"/>
      <w:divBdr>
        <w:top w:val="none" w:sz="0" w:space="0" w:color="auto"/>
        <w:left w:val="none" w:sz="0" w:space="0" w:color="auto"/>
        <w:bottom w:val="none" w:sz="0" w:space="0" w:color="auto"/>
        <w:right w:val="none" w:sz="0" w:space="0" w:color="auto"/>
      </w:divBdr>
    </w:div>
    <w:div w:id="2039701488">
      <w:marLeft w:val="0"/>
      <w:marRight w:val="0"/>
      <w:marTop w:val="0"/>
      <w:marBottom w:val="0"/>
      <w:divBdr>
        <w:top w:val="none" w:sz="0" w:space="0" w:color="auto"/>
        <w:left w:val="none" w:sz="0" w:space="0" w:color="auto"/>
        <w:bottom w:val="none" w:sz="0" w:space="0" w:color="auto"/>
        <w:right w:val="none" w:sz="0" w:space="0" w:color="auto"/>
      </w:divBdr>
    </w:div>
    <w:div w:id="2068989929">
      <w:marLeft w:val="0"/>
      <w:marRight w:val="0"/>
      <w:marTop w:val="0"/>
      <w:marBottom w:val="0"/>
      <w:divBdr>
        <w:top w:val="none" w:sz="0" w:space="0" w:color="auto"/>
        <w:left w:val="none" w:sz="0" w:space="0" w:color="auto"/>
        <w:bottom w:val="none" w:sz="0" w:space="0" w:color="auto"/>
        <w:right w:val="none" w:sz="0" w:space="0" w:color="auto"/>
      </w:divBdr>
    </w:div>
    <w:div w:id="2073042550">
      <w:marLeft w:val="480"/>
      <w:marRight w:val="0"/>
      <w:marTop w:val="0"/>
      <w:marBottom w:val="0"/>
      <w:divBdr>
        <w:top w:val="none" w:sz="0" w:space="0" w:color="auto"/>
        <w:left w:val="none" w:sz="0" w:space="0" w:color="auto"/>
        <w:bottom w:val="none" w:sz="0" w:space="0" w:color="auto"/>
        <w:right w:val="none" w:sz="0" w:space="0" w:color="auto"/>
      </w:divBdr>
    </w:div>
    <w:div w:id="2079017181">
      <w:marLeft w:val="0"/>
      <w:marRight w:val="0"/>
      <w:marTop w:val="0"/>
      <w:marBottom w:val="0"/>
      <w:divBdr>
        <w:top w:val="none" w:sz="0" w:space="0" w:color="auto"/>
        <w:left w:val="none" w:sz="0" w:space="0" w:color="auto"/>
        <w:bottom w:val="none" w:sz="0" w:space="0" w:color="auto"/>
        <w:right w:val="none" w:sz="0" w:space="0" w:color="auto"/>
      </w:divBdr>
    </w:div>
    <w:div w:id="2090614539">
      <w:marLeft w:val="0"/>
      <w:marRight w:val="0"/>
      <w:marTop w:val="0"/>
      <w:marBottom w:val="0"/>
      <w:divBdr>
        <w:top w:val="none" w:sz="0" w:space="0" w:color="auto"/>
        <w:left w:val="none" w:sz="0" w:space="0" w:color="auto"/>
        <w:bottom w:val="none" w:sz="0" w:space="0" w:color="auto"/>
        <w:right w:val="none" w:sz="0" w:space="0" w:color="auto"/>
      </w:divBdr>
    </w:div>
    <w:div w:id="2100832055">
      <w:marLeft w:val="0"/>
      <w:marRight w:val="0"/>
      <w:marTop w:val="0"/>
      <w:marBottom w:val="0"/>
      <w:divBdr>
        <w:top w:val="none" w:sz="0" w:space="0" w:color="auto"/>
        <w:left w:val="none" w:sz="0" w:space="0" w:color="auto"/>
        <w:bottom w:val="none" w:sz="0" w:space="0" w:color="auto"/>
        <w:right w:val="none" w:sz="0" w:space="0" w:color="auto"/>
      </w:divBdr>
    </w:div>
    <w:div w:id="2103602323">
      <w:marLeft w:val="0"/>
      <w:marRight w:val="0"/>
      <w:marTop w:val="0"/>
      <w:marBottom w:val="0"/>
      <w:divBdr>
        <w:top w:val="none" w:sz="0" w:space="0" w:color="auto"/>
        <w:left w:val="none" w:sz="0" w:space="0" w:color="auto"/>
        <w:bottom w:val="none" w:sz="0" w:space="0" w:color="auto"/>
        <w:right w:val="none" w:sz="0" w:space="0" w:color="auto"/>
      </w:divBdr>
    </w:div>
    <w:div w:id="2108653026">
      <w:marLeft w:val="0"/>
      <w:marRight w:val="0"/>
      <w:marTop w:val="0"/>
      <w:marBottom w:val="0"/>
      <w:divBdr>
        <w:top w:val="none" w:sz="0" w:space="0" w:color="auto"/>
        <w:left w:val="none" w:sz="0" w:space="0" w:color="auto"/>
        <w:bottom w:val="none" w:sz="0" w:space="0" w:color="auto"/>
        <w:right w:val="none" w:sz="0" w:space="0" w:color="auto"/>
      </w:divBdr>
    </w:div>
    <w:div w:id="2112776867">
      <w:marLeft w:val="0"/>
      <w:marRight w:val="0"/>
      <w:marTop w:val="0"/>
      <w:marBottom w:val="0"/>
      <w:divBdr>
        <w:top w:val="none" w:sz="0" w:space="0" w:color="auto"/>
        <w:left w:val="none" w:sz="0" w:space="0" w:color="auto"/>
        <w:bottom w:val="none" w:sz="0" w:space="0" w:color="auto"/>
        <w:right w:val="none" w:sz="0" w:space="0" w:color="auto"/>
      </w:divBdr>
    </w:div>
    <w:div w:id="2116709971">
      <w:marLeft w:val="0"/>
      <w:marRight w:val="0"/>
      <w:marTop w:val="0"/>
      <w:marBottom w:val="0"/>
      <w:divBdr>
        <w:top w:val="none" w:sz="0" w:space="0" w:color="auto"/>
        <w:left w:val="none" w:sz="0" w:space="0" w:color="auto"/>
        <w:bottom w:val="none" w:sz="0" w:space="0" w:color="auto"/>
        <w:right w:val="none" w:sz="0" w:space="0" w:color="auto"/>
      </w:divBdr>
    </w:div>
    <w:div w:id="2119063310">
      <w:marLeft w:val="0"/>
      <w:marRight w:val="0"/>
      <w:marTop w:val="0"/>
      <w:marBottom w:val="0"/>
      <w:divBdr>
        <w:top w:val="none" w:sz="0" w:space="0" w:color="auto"/>
        <w:left w:val="none" w:sz="0" w:space="0" w:color="auto"/>
        <w:bottom w:val="none" w:sz="0" w:space="0" w:color="auto"/>
        <w:right w:val="none" w:sz="0" w:space="0" w:color="auto"/>
      </w:divBdr>
    </w:div>
    <w:div w:id="2123181351">
      <w:marLeft w:val="0"/>
      <w:marRight w:val="0"/>
      <w:marTop w:val="0"/>
      <w:marBottom w:val="0"/>
      <w:divBdr>
        <w:top w:val="none" w:sz="0" w:space="0" w:color="auto"/>
        <w:left w:val="none" w:sz="0" w:space="0" w:color="auto"/>
        <w:bottom w:val="none" w:sz="0" w:space="0" w:color="auto"/>
        <w:right w:val="none" w:sz="0" w:space="0" w:color="auto"/>
      </w:divBdr>
    </w:div>
    <w:div w:id="2123763906">
      <w:marLeft w:val="0"/>
      <w:marRight w:val="0"/>
      <w:marTop w:val="0"/>
      <w:marBottom w:val="0"/>
      <w:divBdr>
        <w:top w:val="none" w:sz="0" w:space="0" w:color="auto"/>
        <w:left w:val="none" w:sz="0" w:space="0" w:color="auto"/>
        <w:bottom w:val="none" w:sz="0" w:space="0" w:color="auto"/>
        <w:right w:val="none" w:sz="0" w:space="0" w:color="auto"/>
      </w:divBdr>
    </w:div>
    <w:div w:id="2136175914">
      <w:marLeft w:val="48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12AD8E92FF680409B2946F50FBA8B14"/>
        <w:category>
          <w:name w:val="General"/>
          <w:gallery w:val="placeholder"/>
        </w:category>
        <w:types>
          <w:type w:val="bbPlcHdr"/>
        </w:types>
        <w:behaviors>
          <w:behavior w:val="content"/>
        </w:behaviors>
        <w:guid w:val="{45504196-2C9F-AD44-B823-EE5D49F64E40}"/>
      </w:docPartPr>
      <w:docPartBody>
        <w:p w:rsidR="00B94E3E" w:rsidRDefault="003B4A10" w:rsidP="003B4A10">
          <w:pPr>
            <w:pStyle w:val="912AD8E92FF680409B2946F50FBA8B14"/>
          </w:pPr>
          <w:r w:rsidRPr="002668F9">
            <w:rPr>
              <w:rStyle w:val="PlaceholderText"/>
            </w:rPr>
            <w:t>Click or tap here to enter text.</w:t>
          </w:r>
        </w:p>
      </w:docPartBody>
    </w:docPart>
    <w:docPart>
      <w:docPartPr>
        <w:name w:val="F159981083308A4582E487F63FE23D96"/>
        <w:category>
          <w:name w:val="General"/>
          <w:gallery w:val="placeholder"/>
        </w:category>
        <w:types>
          <w:type w:val="bbPlcHdr"/>
        </w:types>
        <w:behaviors>
          <w:behavior w:val="content"/>
        </w:behaviors>
        <w:guid w:val="{2DFD22D0-6869-CF44-B466-126833AF5AC1}"/>
      </w:docPartPr>
      <w:docPartBody>
        <w:p w:rsidR="00B94E3E" w:rsidRDefault="003B4A10" w:rsidP="003B4A10">
          <w:pPr>
            <w:pStyle w:val="F159981083308A4582E487F63FE23D96"/>
          </w:pPr>
          <w:r w:rsidRPr="002668F9">
            <w:rPr>
              <w:rStyle w:val="PlaceholderText"/>
            </w:rPr>
            <w:t>Click or tap here to enter text.</w:t>
          </w:r>
        </w:p>
      </w:docPartBody>
    </w:docPart>
    <w:docPart>
      <w:docPartPr>
        <w:name w:val="2D6B1DFA0BF3424EB4D1C824C50CAB66"/>
        <w:category>
          <w:name w:val="General"/>
          <w:gallery w:val="placeholder"/>
        </w:category>
        <w:types>
          <w:type w:val="bbPlcHdr"/>
        </w:types>
        <w:behaviors>
          <w:behavior w:val="content"/>
        </w:behaviors>
        <w:guid w:val="{788FE245-1F1D-D448-B9C1-6762E72E1E46}"/>
      </w:docPartPr>
      <w:docPartBody>
        <w:p w:rsidR="00B94E3E" w:rsidRDefault="003B4A10" w:rsidP="003B4A10">
          <w:pPr>
            <w:pStyle w:val="2D6B1DFA0BF3424EB4D1C824C50CAB66"/>
          </w:pPr>
          <w:r w:rsidRPr="002668F9">
            <w:rPr>
              <w:rStyle w:val="PlaceholderText"/>
            </w:rPr>
            <w:t>Click or tap here to enter text.</w:t>
          </w:r>
        </w:p>
      </w:docPartBody>
    </w:docPart>
    <w:docPart>
      <w:docPartPr>
        <w:name w:val="EFA69E5C5EF41D468DA063F78A20A277"/>
        <w:category>
          <w:name w:val="General"/>
          <w:gallery w:val="placeholder"/>
        </w:category>
        <w:types>
          <w:type w:val="bbPlcHdr"/>
        </w:types>
        <w:behaviors>
          <w:behavior w:val="content"/>
        </w:behaviors>
        <w:guid w:val="{3FF1AE16-0EBA-604F-A52E-3EFD4CAD6964}"/>
      </w:docPartPr>
      <w:docPartBody>
        <w:p w:rsidR="00B94E3E" w:rsidRDefault="003B4A10" w:rsidP="003B4A10">
          <w:pPr>
            <w:pStyle w:val="EFA69E5C5EF41D468DA063F78A20A277"/>
          </w:pPr>
          <w:r w:rsidRPr="002668F9">
            <w:rPr>
              <w:rStyle w:val="PlaceholderText"/>
            </w:rPr>
            <w:t>Click or tap here to enter text.</w:t>
          </w:r>
        </w:p>
      </w:docPartBody>
    </w:docPart>
    <w:docPart>
      <w:docPartPr>
        <w:name w:val="FFB87AB38B65384C81E02945A131BE68"/>
        <w:category>
          <w:name w:val="General"/>
          <w:gallery w:val="placeholder"/>
        </w:category>
        <w:types>
          <w:type w:val="bbPlcHdr"/>
        </w:types>
        <w:behaviors>
          <w:behavior w:val="content"/>
        </w:behaviors>
        <w:guid w:val="{F39CBC4D-A78C-1B41-B9EE-50D58A50447E}"/>
      </w:docPartPr>
      <w:docPartBody>
        <w:p w:rsidR="00B94E3E" w:rsidRDefault="003B4A10" w:rsidP="003B4A10">
          <w:pPr>
            <w:pStyle w:val="FFB87AB38B65384C81E02945A131BE68"/>
          </w:pPr>
          <w:r w:rsidRPr="002668F9">
            <w:rPr>
              <w:rStyle w:val="PlaceholderText"/>
            </w:rPr>
            <w:t>Click or tap here to enter text.</w:t>
          </w:r>
        </w:p>
      </w:docPartBody>
    </w:docPart>
    <w:docPart>
      <w:docPartPr>
        <w:name w:val="70B02F4364798A419C37968E359FAC1A"/>
        <w:category>
          <w:name w:val="General"/>
          <w:gallery w:val="placeholder"/>
        </w:category>
        <w:types>
          <w:type w:val="bbPlcHdr"/>
        </w:types>
        <w:behaviors>
          <w:behavior w:val="content"/>
        </w:behaviors>
        <w:guid w:val="{C23BCDC7-1FF4-8848-B81E-75C83C225814}"/>
      </w:docPartPr>
      <w:docPartBody>
        <w:p w:rsidR="00B94E3E" w:rsidRDefault="003B4A10" w:rsidP="003B4A10">
          <w:pPr>
            <w:pStyle w:val="70B02F4364798A419C37968E359FAC1A"/>
          </w:pPr>
          <w:r w:rsidRPr="002668F9">
            <w:rPr>
              <w:rStyle w:val="PlaceholderText"/>
            </w:rPr>
            <w:t>Click or tap here to enter text.</w:t>
          </w:r>
        </w:p>
      </w:docPartBody>
    </w:docPart>
    <w:docPart>
      <w:docPartPr>
        <w:name w:val="2C5CB4144504C14E97B112ABF1F7498A"/>
        <w:category>
          <w:name w:val="General"/>
          <w:gallery w:val="placeholder"/>
        </w:category>
        <w:types>
          <w:type w:val="bbPlcHdr"/>
        </w:types>
        <w:behaviors>
          <w:behavior w:val="content"/>
        </w:behaviors>
        <w:guid w:val="{B266D17F-16D5-D646-95EE-4AD5CDC395A4}"/>
      </w:docPartPr>
      <w:docPartBody>
        <w:p w:rsidR="00B94E3E" w:rsidRDefault="003B4A10" w:rsidP="003B4A10">
          <w:pPr>
            <w:pStyle w:val="2C5CB4144504C14E97B112ABF1F7498A"/>
          </w:pPr>
          <w:r w:rsidRPr="002668F9">
            <w:rPr>
              <w:rStyle w:val="PlaceholderText"/>
            </w:rPr>
            <w:t>Click or tap here to enter text.</w:t>
          </w:r>
        </w:p>
      </w:docPartBody>
    </w:docPart>
    <w:docPart>
      <w:docPartPr>
        <w:name w:val="B314F28EC35A1F4B9FEAFD20E541877F"/>
        <w:category>
          <w:name w:val="General"/>
          <w:gallery w:val="placeholder"/>
        </w:category>
        <w:types>
          <w:type w:val="bbPlcHdr"/>
        </w:types>
        <w:behaviors>
          <w:behavior w:val="content"/>
        </w:behaviors>
        <w:guid w:val="{E2EDC6D2-D0AC-CF41-870C-11E9A17CEDCA}"/>
      </w:docPartPr>
      <w:docPartBody>
        <w:p w:rsidR="00B94E3E" w:rsidRDefault="003B4A10" w:rsidP="003B4A10">
          <w:pPr>
            <w:pStyle w:val="B314F28EC35A1F4B9FEAFD20E541877F"/>
          </w:pPr>
          <w:r w:rsidRPr="002668F9">
            <w:rPr>
              <w:rStyle w:val="PlaceholderText"/>
            </w:rPr>
            <w:t>Click or tap here to enter text.</w:t>
          </w:r>
        </w:p>
      </w:docPartBody>
    </w:docPart>
    <w:docPart>
      <w:docPartPr>
        <w:name w:val="030A3C0B6E38B24DB0C1D9EACD418221"/>
        <w:category>
          <w:name w:val="General"/>
          <w:gallery w:val="placeholder"/>
        </w:category>
        <w:types>
          <w:type w:val="bbPlcHdr"/>
        </w:types>
        <w:behaviors>
          <w:behavior w:val="content"/>
        </w:behaviors>
        <w:guid w:val="{23E1B23B-475B-D547-BA7C-238DEF194BE6}"/>
      </w:docPartPr>
      <w:docPartBody>
        <w:p w:rsidR="00B94E3E" w:rsidRDefault="003B4A10" w:rsidP="003B4A10">
          <w:pPr>
            <w:pStyle w:val="030A3C0B6E38B24DB0C1D9EACD418221"/>
          </w:pPr>
          <w:r w:rsidRPr="002668F9">
            <w:rPr>
              <w:rStyle w:val="PlaceholderText"/>
            </w:rPr>
            <w:t>Click or tap here to enter text.</w:t>
          </w:r>
        </w:p>
      </w:docPartBody>
    </w:docPart>
    <w:docPart>
      <w:docPartPr>
        <w:name w:val="B561BB62C4688745A5C52A4F234EF997"/>
        <w:category>
          <w:name w:val="General"/>
          <w:gallery w:val="placeholder"/>
        </w:category>
        <w:types>
          <w:type w:val="bbPlcHdr"/>
        </w:types>
        <w:behaviors>
          <w:behavior w:val="content"/>
        </w:behaviors>
        <w:guid w:val="{1336818A-2E19-8743-97EA-D47EE915BD6D}"/>
      </w:docPartPr>
      <w:docPartBody>
        <w:p w:rsidR="00B94E3E" w:rsidRDefault="003B4A10" w:rsidP="003B4A10">
          <w:pPr>
            <w:pStyle w:val="B561BB62C4688745A5C52A4F234EF997"/>
          </w:pPr>
          <w:r w:rsidRPr="002668F9">
            <w:rPr>
              <w:rStyle w:val="PlaceholderText"/>
            </w:rPr>
            <w:t>Click or tap here to enter text.</w:t>
          </w:r>
        </w:p>
      </w:docPartBody>
    </w:docPart>
    <w:docPart>
      <w:docPartPr>
        <w:name w:val="28735AB430185946AA7803CA40143837"/>
        <w:category>
          <w:name w:val="General"/>
          <w:gallery w:val="placeholder"/>
        </w:category>
        <w:types>
          <w:type w:val="bbPlcHdr"/>
        </w:types>
        <w:behaviors>
          <w:behavior w:val="content"/>
        </w:behaviors>
        <w:guid w:val="{37179176-710C-E446-8B95-93874C6D2E6A}"/>
      </w:docPartPr>
      <w:docPartBody>
        <w:p w:rsidR="00B94E3E" w:rsidRDefault="003B4A10" w:rsidP="003B4A10">
          <w:pPr>
            <w:pStyle w:val="28735AB430185946AA7803CA40143837"/>
          </w:pPr>
          <w:r w:rsidRPr="002668F9">
            <w:rPr>
              <w:rStyle w:val="PlaceholderText"/>
            </w:rPr>
            <w:t>Click or tap here to enter text.</w:t>
          </w:r>
        </w:p>
      </w:docPartBody>
    </w:docPart>
    <w:docPart>
      <w:docPartPr>
        <w:name w:val="F5D1CFA4E818884EB35D3331FFAE09BD"/>
        <w:category>
          <w:name w:val="General"/>
          <w:gallery w:val="placeholder"/>
        </w:category>
        <w:types>
          <w:type w:val="bbPlcHdr"/>
        </w:types>
        <w:behaviors>
          <w:behavior w:val="content"/>
        </w:behaviors>
        <w:guid w:val="{D3790F27-0A5B-1048-8C5F-8EE4AF227664}"/>
      </w:docPartPr>
      <w:docPartBody>
        <w:p w:rsidR="00B94E3E" w:rsidRDefault="003B4A10" w:rsidP="003B4A10">
          <w:pPr>
            <w:pStyle w:val="F5D1CFA4E818884EB35D3331FFAE09BD"/>
          </w:pPr>
          <w:r w:rsidRPr="002668F9">
            <w:rPr>
              <w:rStyle w:val="PlaceholderText"/>
            </w:rPr>
            <w:t>Click or tap here to enter text.</w:t>
          </w:r>
        </w:p>
      </w:docPartBody>
    </w:docPart>
    <w:docPart>
      <w:docPartPr>
        <w:name w:val="F5976DE6FB623648BD02F587A6474B52"/>
        <w:category>
          <w:name w:val="General"/>
          <w:gallery w:val="placeholder"/>
        </w:category>
        <w:types>
          <w:type w:val="bbPlcHdr"/>
        </w:types>
        <w:behaviors>
          <w:behavior w:val="content"/>
        </w:behaviors>
        <w:guid w:val="{747CDDF2-A0FB-2B4F-AC18-8FE9F7CB7547}"/>
      </w:docPartPr>
      <w:docPartBody>
        <w:p w:rsidR="00B94E3E" w:rsidRDefault="003B4A10" w:rsidP="003B4A10">
          <w:pPr>
            <w:pStyle w:val="F5976DE6FB623648BD02F587A6474B52"/>
          </w:pPr>
          <w:r w:rsidRPr="002668F9">
            <w:rPr>
              <w:rStyle w:val="PlaceholderText"/>
            </w:rPr>
            <w:t>Click or tap here to enter text.</w:t>
          </w:r>
        </w:p>
      </w:docPartBody>
    </w:docPart>
    <w:docPart>
      <w:docPartPr>
        <w:name w:val="B83E6C158C53224A95F556CA079FC6B4"/>
        <w:category>
          <w:name w:val="General"/>
          <w:gallery w:val="placeholder"/>
        </w:category>
        <w:types>
          <w:type w:val="bbPlcHdr"/>
        </w:types>
        <w:behaviors>
          <w:behavior w:val="content"/>
        </w:behaviors>
        <w:guid w:val="{A376CC3C-D9CF-1044-BA17-052107E0D2B8}"/>
      </w:docPartPr>
      <w:docPartBody>
        <w:p w:rsidR="00B94E3E" w:rsidRDefault="003B4A10" w:rsidP="003B4A10">
          <w:pPr>
            <w:pStyle w:val="B83E6C158C53224A95F556CA079FC6B4"/>
          </w:pPr>
          <w:r w:rsidRPr="002668F9">
            <w:rPr>
              <w:rStyle w:val="PlaceholderText"/>
            </w:rPr>
            <w:t>Click or tap here to enter text.</w:t>
          </w:r>
        </w:p>
      </w:docPartBody>
    </w:docPart>
    <w:docPart>
      <w:docPartPr>
        <w:name w:val="FE7CB28906A96548BB53D3BA98086DCB"/>
        <w:category>
          <w:name w:val="General"/>
          <w:gallery w:val="placeholder"/>
        </w:category>
        <w:types>
          <w:type w:val="bbPlcHdr"/>
        </w:types>
        <w:behaviors>
          <w:behavior w:val="content"/>
        </w:behaviors>
        <w:guid w:val="{72A8BC57-5FB8-4743-8176-ECA5E4C1F6AC}"/>
      </w:docPartPr>
      <w:docPartBody>
        <w:p w:rsidR="00B94E3E" w:rsidRDefault="003B4A10" w:rsidP="003B4A10">
          <w:pPr>
            <w:pStyle w:val="FE7CB28906A96548BB53D3BA98086DCB"/>
          </w:pPr>
          <w:r w:rsidRPr="002668F9">
            <w:rPr>
              <w:rStyle w:val="PlaceholderText"/>
            </w:rPr>
            <w:t>Click or tap here to enter text.</w:t>
          </w:r>
        </w:p>
      </w:docPartBody>
    </w:docPart>
    <w:docPart>
      <w:docPartPr>
        <w:name w:val="1660F60426796241BF161D7B7BC4C373"/>
        <w:category>
          <w:name w:val="General"/>
          <w:gallery w:val="placeholder"/>
        </w:category>
        <w:types>
          <w:type w:val="bbPlcHdr"/>
        </w:types>
        <w:behaviors>
          <w:behavior w:val="content"/>
        </w:behaviors>
        <w:guid w:val="{3CE3E500-785D-314D-B48B-899AC051B466}"/>
      </w:docPartPr>
      <w:docPartBody>
        <w:p w:rsidR="00B94E3E" w:rsidRDefault="003B4A10" w:rsidP="003B4A10">
          <w:pPr>
            <w:pStyle w:val="1660F60426796241BF161D7B7BC4C373"/>
          </w:pPr>
          <w:r w:rsidRPr="002668F9">
            <w:rPr>
              <w:rStyle w:val="PlaceholderText"/>
            </w:rPr>
            <w:t>Click or tap here to enter text.</w:t>
          </w:r>
        </w:p>
      </w:docPartBody>
    </w:docPart>
    <w:docPart>
      <w:docPartPr>
        <w:name w:val="F6D1BF589DFCA5488887BF6AFFB474D5"/>
        <w:category>
          <w:name w:val="General"/>
          <w:gallery w:val="placeholder"/>
        </w:category>
        <w:types>
          <w:type w:val="bbPlcHdr"/>
        </w:types>
        <w:behaviors>
          <w:behavior w:val="content"/>
        </w:behaviors>
        <w:guid w:val="{12900871-D77B-1A44-8B08-24714CBA66C3}"/>
      </w:docPartPr>
      <w:docPartBody>
        <w:p w:rsidR="00B94E3E" w:rsidRDefault="003B4A10" w:rsidP="003B4A10">
          <w:pPr>
            <w:pStyle w:val="F6D1BF589DFCA5488887BF6AFFB474D5"/>
          </w:pPr>
          <w:r w:rsidRPr="002668F9">
            <w:rPr>
              <w:rStyle w:val="PlaceholderText"/>
            </w:rPr>
            <w:t>Click or tap here to enter text.</w:t>
          </w:r>
        </w:p>
      </w:docPartBody>
    </w:docPart>
    <w:docPart>
      <w:docPartPr>
        <w:name w:val="64CD5B642D292441A5966B49F7B73DAA"/>
        <w:category>
          <w:name w:val="General"/>
          <w:gallery w:val="placeholder"/>
        </w:category>
        <w:types>
          <w:type w:val="bbPlcHdr"/>
        </w:types>
        <w:behaviors>
          <w:behavior w:val="content"/>
        </w:behaviors>
        <w:guid w:val="{5C3AD0FA-DB26-0048-A306-C2552D0AF372}"/>
      </w:docPartPr>
      <w:docPartBody>
        <w:p w:rsidR="00B94E3E" w:rsidRDefault="003B4A10" w:rsidP="003B4A10">
          <w:pPr>
            <w:pStyle w:val="64CD5B642D292441A5966B49F7B73DAA"/>
          </w:pPr>
          <w:r w:rsidRPr="002668F9">
            <w:rPr>
              <w:rStyle w:val="PlaceholderText"/>
            </w:rPr>
            <w:t>Click or tap here to enter text.</w:t>
          </w:r>
        </w:p>
      </w:docPartBody>
    </w:docPart>
    <w:docPart>
      <w:docPartPr>
        <w:name w:val="8357A5550318144785DE947DA692CA0A"/>
        <w:category>
          <w:name w:val="General"/>
          <w:gallery w:val="placeholder"/>
        </w:category>
        <w:types>
          <w:type w:val="bbPlcHdr"/>
        </w:types>
        <w:behaviors>
          <w:behavior w:val="content"/>
        </w:behaviors>
        <w:guid w:val="{64F6DB1B-7107-0640-8FC4-299154678F9A}"/>
      </w:docPartPr>
      <w:docPartBody>
        <w:p w:rsidR="00B94E3E" w:rsidRDefault="003B4A10" w:rsidP="003B4A10">
          <w:pPr>
            <w:pStyle w:val="8357A5550318144785DE947DA692CA0A"/>
          </w:pPr>
          <w:r w:rsidRPr="002668F9">
            <w:rPr>
              <w:rStyle w:val="PlaceholderText"/>
            </w:rPr>
            <w:t>Click or tap here to enter text.</w:t>
          </w:r>
        </w:p>
      </w:docPartBody>
    </w:docPart>
    <w:docPart>
      <w:docPartPr>
        <w:name w:val="DB2093A7B3BE674FA2257FF61F6C5DFF"/>
        <w:category>
          <w:name w:val="General"/>
          <w:gallery w:val="placeholder"/>
        </w:category>
        <w:types>
          <w:type w:val="bbPlcHdr"/>
        </w:types>
        <w:behaviors>
          <w:behavior w:val="content"/>
        </w:behaviors>
        <w:guid w:val="{1F513231-E5CE-8B4F-9F84-8CEE58CE7AEA}"/>
      </w:docPartPr>
      <w:docPartBody>
        <w:p w:rsidR="00B94E3E" w:rsidRDefault="003B4A10" w:rsidP="003B4A10">
          <w:pPr>
            <w:pStyle w:val="DB2093A7B3BE674FA2257FF61F6C5DFF"/>
          </w:pPr>
          <w:r w:rsidRPr="002668F9">
            <w:rPr>
              <w:rStyle w:val="PlaceholderText"/>
            </w:rPr>
            <w:t>Click or tap here to enter text.</w:t>
          </w:r>
        </w:p>
      </w:docPartBody>
    </w:docPart>
    <w:docPart>
      <w:docPartPr>
        <w:name w:val="AED446CF03DB704FB0BD759C4B2662EC"/>
        <w:category>
          <w:name w:val="General"/>
          <w:gallery w:val="placeholder"/>
        </w:category>
        <w:types>
          <w:type w:val="bbPlcHdr"/>
        </w:types>
        <w:behaviors>
          <w:behavior w:val="content"/>
        </w:behaviors>
        <w:guid w:val="{438D50B9-0B72-7B4D-B766-92E9207E9642}"/>
      </w:docPartPr>
      <w:docPartBody>
        <w:p w:rsidR="00B94E3E" w:rsidRDefault="003B4A10" w:rsidP="003B4A10">
          <w:pPr>
            <w:pStyle w:val="AED446CF03DB704FB0BD759C4B2662EC"/>
          </w:pPr>
          <w:r w:rsidRPr="002668F9">
            <w:rPr>
              <w:rStyle w:val="PlaceholderText"/>
            </w:rPr>
            <w:t>Click or tap here to enter text.</w:t>
          </w:r>
        </w:p>
      </w:docPartBody>
    </w:docPart>
    <w:docPart>
      <w:docPartPr>
        <w:name w:val="9291EE10C974094783BCA2DD3B43B2E7"/>
        <w:category>
          <w:name w:val="General"/>
          <w:gallery w:val="placeholder"/>
        </w:category>
        <w:types>
          <w:type w:val="bbPlcHdr"/>
        </w:types>
        <w:behaviors>
          <w:behavior w:val="content"/>
        </w:behaviors>
        <w:guid w:val="{DC80D502-E74A-3B4C-8960-C9F864B0FB7B}"/>
      </w:docPartPr>
      <w:docPartBody>
        <w:p w:rsidR="00B94E3E" w:rsidRDefault="003B4A10" w:rsidP="003B4A10">
          <w:pPr>
            <w:pStyle w:val="9291EE10C974094783BCA2DD3B43B2E7"/>
          </w:pPr>
          <w:r w:rsidRPr="002668F9">
            <w:rPr>
              <w:rStyle w:val="PlaceholderText"/>
            </w:rPr>
            <w:t>Click or tap here to enter text.</w:t>
          </w:r>
        </w:p>
      </w:docPartBody>
    </w:docPart>
    <w:docPart>
      <w:docPartPr>
        <w:name w:val="63337440A8EC06448B1A34D1DA2DBC6E"/>
        <w:category>
          <w:name w:val="General"/>
          <w:gallery w:val="placeholder"/>
        </w:category>
        <w:types>
          <w:type w:val="bbPlcHdr"/>
        </w:types>
        <w:behaviors>
          <w:behavior w:val="content"/>
        </w:behaviors>
        <w:guid w:val="{4B30EF5D-8C67-6E4F-9C4D-E7085DED7446}"/>
      </w:docPartPr>
      <w:docPartBody>
        <w:p w:rsidR="00B94E3E" w:rsidRDefault="003B4A10" w:rsidP="003B4A10">
          <w:pPr>
            <w:pStyle w:val="63337440A8EC06448B1A34D1DA2DBC6E"/>
          </w:pPr>
          <w:r w:rsidRPr="002668F9">
            <w:rPr>
              <w:rStyle w:val="PlaceholderText"/>
            </w:rPr>
            <w:t>Click or tap here to enter text.</w:t>
          </w:r>
        </w:p>
      </w:docPartBody>
    </w:docPart>
    <w:docPart>
      <w:docPartPr>
        <w:name w:val="0F6EB6521AD8A948BAA588F53E407806"/>
        <w:category>
          <w:name w:val="General"/>
          <w:gallery w:val="placeholder"/>
        </w:category>
        <w:types>
          <w:type w:val="bbPlcHdr"/>
        </w:types>
        <w:behaviors>
          <w:behavior w:val="content"/>
        </w:behaviors>
        <w:guid w:val="{2011E511-E1EA-3249-AA4A-B69E68FF2747}"/>
      </w:docPartPr>
      <w:docPartBody>
        <w:p w:rsidR="00B94E3E" w:rsidRDefault="003B4A10" w:rsidP="003B4A10">
          <w:pPr>
            <w:pStyle w:val="0F6EB6521AD8A948BAA588F53E407806"/>
          </w:pPr>
          <w:r w:rsidRPr="002668F9">
            <w:rPr>
              <w:rStyle w:val="PlaceholderText"/>
            </w:rPr>
            <w:t>Click or tap here to enter text.</w:t>
          </w:r>
        </w:p>
      </w:docPartBody>
    </w:docPart>
    <w:docPart>
      <w:docPartPr>
        <w:name w:val="7E0088A692D1DE46B5EAF9F665487962"/>
        <w:category>
          <w:name w:val="General"/>
          <w:gallery w:val="placeholder"/>
        </w:category>
        <w:types>
          <w:type w:val="bbPlcHdr"/>
        </w:types>
        <w:behaviors>
          <w:behavior w:val="content"/>
        </w:behaviors>
        <w:guid w:val="{96CDF766-F6A0-5C48-880F-AC2554A93D5A}"/>
      </w:docPartPr>
      <w:docPartBody>
        <w:p w:rsidR="00B94E3E" w:rsidRDefault="003B4A10" w:rsidP="003B4A10">
          <w:pPr>
            <w:pStyle w:val="7E0088A692D1DE46B5EAF9F665487962"/>
          </w:pPr>
          <w:r w:rsidRPr="002668F9">
            <w:rPr>
              <w:rStyle w:val="PlaceholderText"/>
            </w:rPr>
            <w:t>Click or tap here to enter text.</w:t>
          </w:r>
        </w:p>
      </w:docPartBody>
    </w:docPart>
    <w:docPart>
      <w:docPartPr>
        <w:name w:val="C8D23F50D3DE6549A46E32984E1978E8"/>
        <w:category>
          <w:name w:val="General"/>
          <w:gallery w:val="placeholder"/>
        </w:category>
        <w:types>
          <w:type w:val="bbPlcHdr"/>
        </w:types>
        <w:behaviors>
          <w:behavior w:val="content"/>
        </w:behaviors>
        <w:guid w:val="{40CDD6D7-1BBD-F044-AF06-7BE330376F4C}"/>
      </w:docPartPr>
      <w:docPartBody>
        <w:p w:rsidR="00B94E3E" w:rsidRDefault="003B4A10" w:rsidP="003B4A10">
          <w:pPr>
            <w:pStyle w:val="C8D23F50D3DE6549A46E32984E1978E8"/>
          </w:pPr>
          <w:r w:rsidRPr="002668F9">
            <w:rPr>
              <w:rStyle w:val="PlaceholderText"/>
            </w:rPr>
            <w:t>Click or tap here to enter text.</w:t>
          </w:r>
        </w:p>
      </w:docPartBody>
    </w:docPart>
    <w:docPart>
      <w:docPartPr>
        <w:name w:val="5695E74E69925D458DF687F93D3D6E10"/>
        <w:category>
          <w:name w:val="General"/>
          <w:gallery w:val="placeholder"/>
        </w:category>
        <w:types>
          <w:type w:val="bbPlcHdr"/>
        </w:types>
        <w:behaviors>
          <w:behavior w:val="content"/>
        </w:behaviors>
        <w:guid w:val="{EF50F23B-68A7-0646-BBBA-48C0CFD29067}"/>
      </w:docPartPr>
      <w:docPartBody>
        <w:p w:rsidR="00B94E3E" w:rsidRDefault="003B4A10" w:rsidP="003B4A10">
          <w:pPr>
            <w:pStyle w:val="5695E74E69925D458DF687F93D3D6E10"/>
          </w:pPr>
          <w:r w:rsidRPr="002668F9">
            <w:rPr>
              <w:rStyle w:val="PlaceholderText"/>
            </w:rPr>
            <w:t>Click or tap here to enter text.</w:t>
          </w:r>
        </w:p>
      </w:docPartBody>
    </w:docPart>
    <w:docPart>
      <w:docPartPr>
        <w:name w:val="F39F8CD5B34B1B4EBA8F28AE94D3799E"/>
        <w:category>
          <w:name w:val="General"/>
          <w:gallery w:val="placeholder"/>
        </w:category>
        <w:types>
          <w:type w:val="bbPlcHdr"/>
        </w:types>
        <w:behaviors>
          <w:behavior w:val="content"/>
        </w:behaviors>
        <w:guid w:val="{68BCB18C-840F-1C48-9A63-DB3D7B5BCA5E}"/>
      </w:docPartPr>
      <w:docPartBody>
        <w:p w:rsidR="00B94E3E" w:rsidRDefault="003B4A10" w:rsidP="003B4A10">
          <w:pPr>
            <w:pStyle w:val="F39F8CD5B34B1B4EBA8F28AE94D3799E"/>
          </w:pPr>
          <w:r w:rsidRPr="002668F9">
            <w:rPr>
              <w:rStyle w:val="PlaceholderText"/>
            </w:rPr>
            <w:t>Click or tap here to enter text.</w:t>
          </w:r>
        </w:p>
      </w:docPartBody>
    </w:docPart>
    <w:docPart>
      <w:docPartPr>
        <w:name w:val="B1DC159B3313394086F35CBEF557FBEA"/>
        <w:category>
          <w:name w:val="General"/>
          <w:gallery w:val="placeholder"/>
        </w:category>
        <w:types>
          <w:type w:val="bbPlcHdr"/>
        </w:types>
        <w:behaviors>
          <w:behavior w:val="content"/>
        </w:behaviors>
        <w:guid w:val="{784E60F7-B703-F748-B07B-D1EB8882A059}"/>
      </w:docPartPr>
      <w:docPartBody>
        <w:p w:rsidR="00B94E3E" w:rsidRDefault="003B4A10" w:rsidP="003B4A10">
          <w:pPr>
            <w:pStyle w:val="B1DC159B3313394086F35CBEF557FBEA"/>
          </w:pPr>
          <w:r w:rsidRPr="002668F9">
            <w:rPr>
              <w:rStyle w:val="PlaceholderText"/>
            </w:rPr>
            <w:t>Click or tap here to enter text.</w:t>
          </w:r>
        </w:p>
      </w:docPartBody>
    </w:docPart>
    <w:docPart>
      <w:docPartPr>
        <w:name w:val="6A534B597EEDE94AA6CD3753C7EB24EF"/>
        <w:category>
          <w:name w:val="General"/>
          <w:gallery w:val="placeholder"/>
        </w:category>
        <w:types>
          <w:type w:val="bbPlcHdr"/>
        </w:types>
        <w:behaviors>
          <w:behavior w:val="content"/>
        </w:behaviors>
        <w:guid w:val="{62609E1E-A4C4-F54D-83FB-E6CDD5ADF45B}"/>
      </w:docPartPr>
      <w:docPartBody>
        <w:p w:rsidR="00B94E3E" w:rsidRDefault="003B4A10" w:rsidP="003B4A10">
          <w:pPr>
            <w:pStyle w:val="6A534B597EEDE94AA6CD3753C7EB24EF"/>
          </w:pPr>
          <w:r w:rsidRPr="002668F9">
            <w:rPr>
              <w:rStyle w:val="PlaceholderText"/>
            </w:rPr>
            <w:t>Click or tap here to enter text.</w:t>
          </w:r>
        </w:p>
      </w:docPartBody>
    </w:docPart>
    <w:docPart>
      <w:docPartPr>
        <w:name w:val="106ABD80A4962445A216D98C54781467"/>
        <w:category>
          <w:name w:val="General"/>
          <w:gallery w:val="placeholder"/>
        </w:category>
        <w:types>
          <w:type w:val="bbPlcHdr"/>
        </w:types>
        <w:behaviors>
          <w:behavior w:val="content"/>
        </w:behaviors>
        <w:guid w:val="{B099EFB8-A6C6-E248-B9B7-22A45EE92AC1}"/>
      </w:docPartPr>
      <w:docPartBody>
        <w:p w:rsidR="00B94E3E" w:rsidRDefault="003B4A10" w:rsidP="003B4A10">
          <w:pPr>
            <w:pStyle w:val="106ABD80A4962445A216D98C54781467"/>
          </w:pPr>
          <w:r w:rsidRPr="002668F9">
            <w:rPr>
              <w:rStyle w:val="PlaceholderText"/>
            </w:rPr>
            <w:t>Click or tap here to enter text.</w:t>
          </w:r>
        </w:p>
      </w:docPartBody>
    </w:docPart>
    <w:docPart>
      <w:docPartPr>
        <w:name w:val="E97E177EA7E13D4DBE0D8913BFF6C69C"/>
        <w:category>
          <w:name w:val="General"/>
          <w:gallery w:val="placeholder"/>
        </w:category>
        <w:types>
          <w:type w:val="bbPlcHdr"/>
        </w:types>
        <w:behaviors>
          <w:behavior w:val="content"/>
        </w:behaviors>
        <w:guid w:val="{2ED526E8-83F7-E346-990C-7F74B58D924A}"/>
      </w:docPartPr>
      <w:docPartBody>
        <w:p w:rsidR="00B94E3E" w:rsidRDefault="003B4A10" w:rsidP="003B4A10">
          <w:pPr>
            <w:pStyle w:val="E97E177EA7E13D4DBE0D8913BFF6C69C"/>
          </w:pPr>
          <w:r w:rsidRPr="002668F9">
            <w:rPr>
              <w:rStyle w:val="PlaceholderText"/>
            </w:rPr>
            <w:t>Click or tap here to enter text.</w:t>
          </w:r>
        </w:p>
      </w:docPartBody>
    </w:docPart>
    <w:docPart>
      <w:docPartPr>
        <w:name w:val="B8F23271AC623947AC9949D14ADAEBDC"/>
        <w:category>
          <w:name w:val="General"/>
          <w:gallery w:val="placeholder"/>
        </w:category>
        <w:types>
          <w:type w:val="bbPlcHdr"/>
        </w:types>
        <w:behaviors>
          <w:behavior w:val="content"/>
        </w:behaviors>
        <w:guid w:val="{99FD6556-4405-2442-86A8-8E06A54FA27F}"/>
      </w:docPartPr>
      <w:docPartBody>
        <w:p w:rsidR="00B94E3E" w:rsidRDefault="003B4A10" w:rsidP="003B4A10">
          <w:pPr>
            <w:pStyle w:val="B8F23271AC623947AC9949D14ADAEBDC"/>
          </w:pPr>
          <w:r w:rsidRPr="002668F9">
            <w:rPr>
              <w:rStyle w:val="PlaceholderText"/>
            </w:rPr>
            <w:t>Click or tap here to enter text.</w:t>
          </w:r>
        </w:p>
      </w:docPartBody>
    </w:docPart>
    <w:docPart>
      <w:docPartPr>
        <w:name w:val="525A3EF633DF71419C7C70E508826945"/>
        <w:category>
          <w:name w:val="General"/>
          <w:gallery w:val="placeholder"/>
        </w:category>
        <w:types>
          <w:type w:val="bbPlcHdr"/>
        </w:types>
        <w:behaviors>
          <w:behavior w:val="content"/>
        </w:behaviors>
        <w:guid w:val="{2719DA0E-94F4-2545-871A-2F3EBE4FEA79}"/>
      </w:docPartPr>
      <w:docPartBody>
        <w:p w:rsidR="00B94E3E" w:rsidRDefault="003B4A10" w:rsidP="003B4A10">
          <w:pPr>
            <w:pStyle w:val="525A3EF633DF71419C7C70E508826945"/>
          </w:pPr>
          <w:r w:rsidRPr="002668F9">
            <w:rPr>
              <w:rStyle w:val="PlaceholderText"/>
            </w:rPr>
            <w:t>Click or tap here to enter text.</w:t>
          </w:r>
        </w:p>
      </w:docPartBody>
    </w:docPart>
    <w:docPart>
      <w:docPartPr>
        <w:name w:val="3E43BF73E1AFFE40AAC25A152DA20F67"/>
        <w:category>
          <w:name w:val="General"/>
          <w:gallery w:val="placeholder"/>
        </w:category>
        <w:types>
          <w:type w:val="bbPlcHdr"/>
        </w:types>
        <w:behaviors>
          <w:behavior w:val="content"/>
        </w:behaviors>
        <w:guid w:val="{EBC07970-C3CE-9E44-B641-A84D1CAC105A}"/>
      </w:docPartPr>
      <w:docPartBody>
        <w:p w:rsidR="00B94E3E" w:rsidRDefault="003B4A10" w:rsidP="003B4A10">
          <w:pPr>
            <w:pStyle w:val="3E43BF73E1AFFE40AAC25A152DA20F67"/>
          </w:pPr>
          <w:r w:rsidRPr="002668F9">
            <w:rPr>
              <w:rStyle w:val="PlaceholderText"/>
            </w:rPr>
            <w:t>Click or tap here to enter text.</w:t>
          </w:r>
        </w:p>
      </w:docPartBody>
    </w:docPart>
    <w:docPart>
      <w:docPartPr>
        <w:name w:val="895C090C84E8D74E918C3A29B492D23E"/>
        <w:category>
          <w:name w:val="General"/>
          <w:gallery w:val="placeholder"/>
        </w:category>
        <w:types>
          <w:type w:val="bbPlcHdr"/>
        </w:types>
        <w:behaviors>
          <w:behavior w:val="content"/>
        </w:behaviors>
        <w:guid w:val="{21AA1216-3BFE-9645-B148-3F8251816087}"/>
      </w:docPartPr>
      <w:docPartBody>
        <w:p w:rsidR="00B94E3E" w:rsidRDefault="003B4A10" w:rsidP="003B4A10">
          <w:pPr>
            <w:pStyle w:val="895C090C84E8D74E918C3A29B492D23E"/>
          </w:pPr>
          <w:r w:rsidRPr="002668F9">
            <w:rPr>
              <w:rStyle w:val="PlaceholderText"/>
            </w:rPr>
            <w:t>Click or tap here to enter text.</w:t>
          </w:r>
        </w:p>
      </w:docPartBody>
    </w:docPart>
    <w:docPart>
      <w:docPartPr>
        <w:name w:val="3C5285FF6DC9DA46BC9AEFF3F346623A"/>
        <w:category>
          <w:name w:val="General"/>
          <w:gallery w:val="placeholder"/>
        </w:category>
        <w:types>
          <w:type w:val="bbPlcHdr"/>
        </w:types>
        <w:behaviors>
          <w:behavior w:val="content"/>
        </w:behaviors>
        <w:guid w:val="{E6DE0FE4-10CE-E94C-9C1C-701EBA4C7C7E}"/>
      </w:docPartPr>
      <w:docPartBody>
        <w:p w:rsidR="00B94E3E" w:rsidRDefault="003B4A10" w:rsidP="003B4A10">
          <w:pPr>
            <w:pStyle w:val="3C5285FF6DC9DA46BC9AEFF3F346623A"/>
          </w:pPr>
          <w:r w:rsidRPr="002668F9">
            <w:rPr>
              <w:rStyle w:val="PlaceholderText"/>
            </w:rPr>
            <w:t>Click or tap here to enter text.</w:t>
          </w:r>
        </w:p>
      </w:docPartBody>
    </w:docPart>
    <w:docPart>
      <w:docPartPr>
        <w:name w:val="A79E1028F3DF6148BB68ABA81FAA50D8"/>
        <w:category>
          <w:name w:val="General"/>
          <w:gallery w:val="placeholder"/>
        </w:category>
        <w:types>
          <w:type w:val="bbPlcHdr"/>
        </w:types>
        <w:behaviors>
          <w:behavior w:val="content"/>
        </w:behaviors>
        <w:guid w:val="{F3F41314-922F-D04F-85DE-92E0BBD4784C}"/>
      </w:docPartPr>
      <w:docPartBody>
        <w:p w:rsidR="00B94E3E" w:rsidRDefault="003B4A10" w:rsidP="003B4A10">
          <w:pPr>
            <w:pStyle w:val="A79E1028F3DF6148BB68ABA81FAA50D8"/>
          </w:pPr>
          <w:r w:rsidRPr="002668F9">
            <w:rPr>
              <w:rStyle w:val="PlaceholderText"/>
            </w:rPr>
            <w:t>Click or tap here to enter text.</w:t>
          </w:r>
        </w:p>
      </w:docPartBody>
    </w:docPart>
    <w:docPart>
      <w:docPartPr>
        <w:name w:val="C2E9AA455AC1484A9C9175DD1BB270A0"/>
        <w:category>
          <w:name w:val="General"/>
          <w:gallery w:val="placeholder"/>
        </w:category>
        <w:types>
          <w:type w:val="bbPlcHdr"/>
        </w:types>
        <w:behaviors>
          <w:behavior w:val="content"/>
        </w:behaviors>
        <w:guid w:val="{F4531B2B-572A-1D41-B858-1BAAA678A2BC}"/>
      </w:docPartPr>
      <w:docPartBody>
        <w:p w:rsidR="00B94E3E" w:rsidRDefault="003B4A10" w:rsidP="003B4A10">
          <w:pPr>
            <w:pStyle w:val="C2E9AA455AC1484A9C9175DD1BB270A0"/>
          </w:pPr>
          <w:r w:rsidRPr="002668F9">
            <w:rPr>
              <w:rStyle w:val="PlaceholderText"/>
            </w:rPr>
            <w:t>Click or tap here to enter text.</w:t>
          </w:r>
        </w:p>
      </w:docPartBody>
    </w:docPart>
    <w:docPart>
      <w:docPartPr>
        <w:name w:val="386CF127FFCEDD4F9732338CD9D963C0"/>
        <w:category>
          <w:name w:val="General"/>
          <w:gallery w:val="placeholder"/>
        </w:category>
        <w:types>
          <w:type w:val="bbPlcHdr"/>
        </w:types>
        <w:behaviors>
          <w:behavior w:val="content"/>
        </w:behaviors>
        <w:guid w:val="{D05B6C3F-8E39-C04F-83F1-CF9C19DF73B2}"/>
      </w:docPartPr>
      <w:docPartBody>
        <w:p w:rsidR="00B94E3E" w:rsidRDefault="003B4A10" w:rsidP="003B4A10">
          <w:pPr>
            <w:pStyle w:val="386CF127FFCEDD4F9732338CD9D963C0"/>
          </w:pPr>
          <w:r w:rsidRPr="002668F9">
            <w:rPr>
              <w:rStyle w:val="PlaceholderText"/>
            </w:rPr>
            <w:t>Click or tap here to enter text.</w:t>
          </w:r>
        </w:p>
      </w:docPartBody>
    </w:docPart>
    <w:docPart>
      <w:docPartPr>
        <w:name w:val="1F95A04D20B50047A246E13CD6D7CBD6"/>
        <w:category>
          <w:name w:val="General"/>
          <w:gallery w:val="placeholder"/>
        </w:category>
        <w:types>
          <w:type w:val="bbPlcHdr"/>
        </w:types>
        <w:behaviors>
          <w:behavior w:val="content"/>
        </w:behaviors>
        <w:guid w:val="{089972F2-0C36-BD46-A3A0-91E885FA7888}"/>
      </w:docPartPr>
      <w:docPartBody>
        <w:p w:rsidR="00B94E3E" w:rsidRDefault="003B4A10" w:rsidP="003B4A10">
          <w:pPr>
            <w:pStyle w:val="1F95A04D20B50047A246E13CD6D7CBD6"/>
          </w:pPr>
          <w:r w:rsidRPr="002668F9">
            <w:rPr>
              <w:rStyle w:val="PlaceholderText"/>
            </w:rPr>
            <w:t>Click or tap here to enter text.</w:t>
          </w:r>
        </w:p>
      </w:docPartBody>
    </w:docPart>
    <w:docPart>
      <w:docPartPr>
        <w:name w:val="18DA27012DD2E147B6C62026908EF6D7"/>
        <w:category>
          <w:name w:val="General"/>
          <w:gallery w:val="placeholder"/>
        </w:category>
        <w:types>
          <w:type w:val="bbPlcHdr"/>
        </w:types>
        <w:behaviors>
          <w:behavior w:val="content"/>
        </w:behaviors>
        <w:guid w:val="{FC20BD31-F091-F54B-938D-A5036C05589D}"/>
      </w:docPartPr>
      <w:docPartBody>
        <w:p w:rsidR="00B94E3E" w:rsidRDefault="003B4A10" w:rsidP="003B4A10">
          <w:pPr>
            <w:pStyle w:val="18DA27012DD2E147B6C62026908EF6D7"/>
          </w:pPr>
          <w:r w:rsidRPr="002668F9">
            <w:rPr>
              <w:rStyle w:val="PlaceholderText"/>
            </w:rPr>
            <w:t>Click or tap here to enter text.</w:t>
          </w:r>
        </w:p>
      </w:docPartBody>
    </w:docPart>
    <w:docPart>
      <w:docPartPr>
        <w:name w:val="A06EF2DBC838E94D80A749ECB826DF93"/>
        <w:category>
          <w:name w:val="General"/>
          <w:gallery w:val="placeholder"/>
        </w:category>
        <w:types>
          <w:type w:val="bbPlcHdr"/>
        </w:types>
        <w:behaviors>
          <w:behavior w:val="content"/>
        </w:behaviors>
        <w:guid w:val="{631EE199-BF25-1B4E-A513-E1E44A3AF3C3}"/>
      </w:docPartPr>
      <w:docPartBody>
        <w:p w:rsidR="00B94E3E" w:rsidRDefault="003B4A10" w:rsidP="003B4A10">
          <w:pPr>
            <w:pStyle w:val="A06EF2DBC838E94D80A749ECB826DF93"/>
          </w:pPr>
          <w:r w:rsidRPr="002668F9">
            <w:rPr>
              <w:rStyle w:val="PlaceholderText"/>
            </w:rPr>
            <w:t>Click or tap here to enter text.</w:t>
          </w:r>
        </w:p>
      </w:docPartBody>
    </w:docPart>
    <w:docPart>
      <w:docPartPr>
        <w:name w:val="51EB36AA2244154AAD012BE3332B19F6"/>
        <w:category>
          <w:name w:val="General"/>
          <w:gallery w:val="placeholder"/>
        </w:category>
        <w:types>
          <w:type w:val="bbPlcHdr"/>
        </w:types>
        <w:behaviors>
          <w:behavior w:val="content"/>
        </w:behaviors>
        <w:guid w:val="{DF1FADD1-34C7-854F-827B-BA3F1DFBAED6}"/>
      </w:docPartPr>
      <w:docPartBody>
        <w:p w:rsidR="00B94E3E" w:rsidRDefault="003B4A10" w:rsidP="003B4A10">
          <w:pPr>
            <w:pStyle w:val="51EB36AA2244154AAD012BE3332B19F6"/>
          </w:pPr>
          <w:r w:rsidRPr="002668F9">
            <w:rPr>
              <w:rStyle w:val="PlaceholderText"/>
            </w:rPr>
            <w:t>Click or tap here to enter text.</w:t>
          </w:r>
        </w:p>
      </w:docPartBody>
    </w:docPart>
    <w:docPart>
      <w:docPartPr>
        <w:name w:val="311A6A98FEE082438FB4691D646987E2"/>
        <w:category>
          <w:name w:val="General"/>
          <w:gallery w:val="placeholder"/>
        </w:category>
        <w:types>
          <w:type w:val="bbPlcHdr"/>
        </w:types>
        <w:behaviors>
          <w:behavior w:val="content"/>
        </w:behaviors>
        <w:guid w:val="{26F4B4EF-5578-ED49-9E86-96FB28F91A44}"/>
      </w:docPartPr>
      <w:docPartBody>
        <w:p w:rsidR="00B94E3E" w:rsidRDefault="003B4A10" w:rsidP="003B4A10">
          <w:pPr>
            <w:pStyle w:val="311A6A98FEE082438FB4691D646987E2"/>
          </w:pPr>
          <w:r w:rsidRPr="002668F9">
            <w:rPr>
              <w:rStyle w:val="PlaceholderText"/>
            </w:rPr>
            <w:t>Click or tap here to enter text.</w:t>
          </w:r>
        </w:p>
      </w:docPartBody>
    </w:docPart>
    <w:docPart>
      <w:docPartPr>
        <w:name w:val="C1C126DDC7C1354F84AFF9B31BC3C55B"/>
        <w:category>
          <w:name w:val="General"/>
          <w:gallery w:val="placeholder"/>
        </w:category>
        <w:types>
          <w:type w:val="bbPlcHdr"/>
        </w:types>
        <w:behaviors>
          <w:behavior w:val="content"/>
        </w:behaviors>
        <w:guid w:val="{9A535380-F364-E44D-83EF-35690DE12A43}"/>
      </w:docPartPr>
      <w:docPartBody>
        <w:p w:rsidR="00B94E3E" w:rsidRDefault="003B4A10" w:rsidP="003B4A10">
          <w:pPr>
            <w:pStyle w:val="C1C126DDC7C1354F84AFF9B31BC3C55B"/>
          </w:pPr>
          <w:r w:rsidRPr="002668F9">
            <w:rPr>
              <w:rStyle w:val="PlaceholderText"/>
            </w:rPr>
            <w:t>Click or tap here to enter text.</w:t>
          </w:r>
        </w:p>
      </w:docPartBody>
    </w:docPart>
    <w:docPart>
      <w:docPartPr>
        <w:name w:val="3016D8C0483E02429DA62EEC04A29D09"/>
        <w:category>
          <w:name w:val="General"/>
          <w:gallery w:val="placeholder"/>
        </w:category>
        <w:types>
          <w:type w:val="bbPlcHdr"/>
        </w:types>
        <w:behaviors>
          <w:behavior w:val="content"/>
        </w:behaviors>
        <w:guid w:val="{E896E933-AB7B-A148-9D41-0D16F405DA1C}"/>
      </w:docPartPr>
      <w:docPartBody>
        <w:p w:rsidR="00B94E3E" w:rsidRDefault="003B4A10" w:rsidP="003B4A10">
          <w:pPr>
            <w:pStyle w:val="3016D8C0483E02429DA62EEC04A29D09"/>
          </w:pPr>
          <w:r w:rsidRPr="002668F9">
            <w:rPr>
              <w:rStyle w:val="PlaceholderText"/>
            </w:rPr>
            <w:t>Click or tap here to enter text.</w:t>
          </w:r>
        </w:p>
      </w:docPartBody>
    </w:docPart>
    <w:docPart>
      <w:docPartPr>
        <w:name w:val="5ACF09582475564EA634A05755174068"/>
        <w:category>
          <w:name w:val="General"/>
          <w:gallery w:val="placeholder"/>
        </w:category>
        <w:types>
          <w:type w:val="bbPlcHdr"/>
        </w:types>
        <w:behaviors>
          <w:behavior w:val="content"/>
        </w:behaviors>
        <w:guid w:val="{E27C68B3-062B-BC43-AFB9-DEC59F4E22C2}"/>
      </w:docPartPr>
      <w:docPartBody>
        <w:p w:rsidR="00B94E3E" w:rsidRDefault="003B4A10" w:rsidP="003B4A10">
          <w:pPr>
            <w:pStyle w:val="5ACF09582475564EA634A05755174068"/>
          </w:pPr>
          <w:r w:rsidRPr="002668F9">
            <w:rPr>
              <w:rStyle w:val="PlaceholderText"/>
            </w:rPr>
            <w:t>Click or tap here to enter text.</w:t>
          </w:r>
        </w:p>
      </w:docPartBody>
    </w:docPart>
    <w:docPart>
      <w:docPartPr>
        <w:name w:val="882BC6A1950EF146A46AF912648DAC2A"/>
        <w:category>
          <w:name w:val="General"/>
          <w:gallery w:val="placeholder"/>
        </w:category>
        <w:types>
          <w:type w:val="bbPlcHdr"/>
        </w:types>
        <w:behaviors>
          <w:behavior w:val="content"/>
        </w:behaviors>
        <w:guid w:val="{AC7F8E4F-5D5C-CF4C-92BC-9FAB561F09D6}"/>
      </w:docPartPr>
      <w:docPartBody>
        <w:p w:rsidR="00B94E3E" w:rsidRDefault="003B4A10" w:rsidP="003B4A10">
          <w:pPr>
            <w:pStyle w:val="882BC6A1950EF146A46AF912648DAC2A"/>
          </w:pPr>
          <w:r w:rsidRPr="002668F9">
            <w:rPr>
              <w:rStyle w:val="PlaceholderText"/>
            </w:rPr>
            <w:t>Click or tap here to enter text.</w:t>
          </w:r>
        </w:p>
      </w:docPartBody>
    </w:docPart>
    <w:docPart>
      <w:docPartPr>
        <w:name w:val="C63CDCC8732348449465B0F20DF4D5BC"/>
        <w:category>
          <w:name w:val="General"/>
          <w:gallery w:val="placeholder"/>
        </w:category>
        <w:types>
          <w:type w:val="bbPlcHdr"/>
        </w:types>
        <w:behaviors>
          <w:behavior w:val="content"/>
        </w:behaviors>
        <w:guid w:val="{880EF7E7-412D-4740-B40E-B39681A0A9AB}"/>
      </w:docPartPr>
      <w:docPartBody>
        <w:p w:rsidR="00B94E3E" w:rsidRDefault="003B4A10" w:rsidP="003B4A10">
          <w:pPr>
            <w:pStyle w:val="C63CDCC8732348449465B0F20DF4D5BC"/>
          </w:pPr>
          <w:r w:rsidRPr="002668F9">
            <w:rPr>
              <w:rStyle w:val="PlaceholderText"/>
            </w:rPr>
            <w:t>Click or tap here to enter text.</w:t>
          </w:r>
        </w:p>
      </w:docPartBody>
    </w:docPart>
    <w:docPart>
      <w:docPartPr>
        <w:name w:val="A59ABCB8D4BD1241B7C9053AA97960C9"/>
        <w:category>
          <w:name w:val="General"/>
          <w:gallery w:val="placeholder"/>
        </w:category>
        <w:types>
          <w:type w:val="bbPlcHdr"/>
        </w:types>
        <w:behaviors>
          <w:behavior w:val="content"/>
        </w:behaviors>
        <w:guid w:val="{D3A24818-AC60-DA4B-AB1A-E1357DCEE832}"/>
      </w:docPartPr>
      <w:docPartBody>
        <w:p w:rsidR="00B94E3E" w:rsidRDefault="003B4A10" w:rsidP="003B4A10">
          <w:pPr>
            <w:pStyle w:val="A59ABCB8D4BD1241B7C9053AA97960C9"/>
          </w:pPr>
          <w:r w:rsidRPr="002668F9">
            <w:rPr>
              <w:rStyle w:val="PlaceholderText"/>
            </w:rPr>
            <w:t>Click or tap here to enter text.</w:t>
          </w:r>
        </w:p>
      </w:docPartBody>
    </w:docPart>
    <w:docPart>
      <w:docPartPr>
        <w:name w:val="4F56B7329633104CA38B4B0B07CC56A9"/>
        <w:category>
          <w:name w:val="General"/>
          <w:gallery w:val="placeholder"/>
        </w:category>
        <w:types>
          <w:type w:val="bbPlcHdr"/>
        </w:types>
        <w:behaviors>
          <w:behavior w:val="content"/>
        </w:behaviors>
        <w:guid w:val="{CE162D1C-DC71-B34C-AC2E-3C035B7CD00B}"/>
      </w:docPartPr>
      <w:docPartBody>
        <w:p w:rsidR="00B94E3E" w:rsidRDefault="003B4A10" w:rsidP="003B4A10">
          <w:pPr>
            <w:pStyle w:val="4F56B7329633104CA38B4B0B07CC56A9"/>
          </w:pPr>
          <w:r w:rsidRPr="002668F9">
            <w:rPr>
              <w:rStyle w:val="PlaceholderText"/>
            </w:rPr>
            <w:t>Click or tap here to enter text.</w:t>
          </w:r>
        </w:p>
      </w:docPartBody>
    </w:docPart>
    <w:docPart>
      <w:docPartPr>
        <w:name w:val="3CA86E6257EC854588BC427AEF183A0A"/>
        <w:category>
          <w:name w:val="General"/>
          <w:gallery w:val="placeholder"/>
        </w:category>
        <w:types>
          <w:type w:val="bbPlcHdr"/>
        </w:types>
        <w:behaviors>
          <w:behavior w:val="content"/>
        </w:behaviors>
        <w:guid w:val="{2C2CBEB0-C4D7-8248-82A9-AA7F0D73B89B}"/>
      </w:docPartPr>
      <w:docPartBody>
        <w:p w:rsidR="00B94E3E" w:rsidRDefault="003B4A10" w:rsidP="003B4A10">
          <w:pPr>
            <w:pStyle w:val="3CA86E6257EC854588BC427AEF183A0A"/>
          </w:pPr>
          <w:r w:rsidRPr="002668F9">
            <w:rPr>
              <w:rStyle w:val="PlaceholderText"/>
            </w:rPr>
            <w:t>Click or tap here to enter text.</w:t>
          </w:r>
        </w:p>
      </w:docPartBody>
    </w:docPart>
    <w:docPart>
      <w:docPartPr>
        <w:name w:val="70C3B0861DAB5941A501686A6CEEC105"/>
        <w:category>
          <w:name w:val="General"/>
          <w:gallery w:val="placeholder"/>
        </w:category>
        <w:types>
          <w:type w:val="bbPlcHdr"/>
        </w:types>
        <w:behaviors>
          <w:behavior w:val="content"/>
        </w:behaviors>
        <w:guid w:val="{D340D96D-76D8-A94C-A6DE-0914C76BC745}"/>
      </w:docPartPr>
      <w:docPartBody>
        <w:p w:rsidR="00B94E3E" w:rsidRDefault="003B4A10" w:rsidP="003B4A10">
          <w:pPr>
            <w:pStyle w:val="70C3B0861DAB5941A501686A6CEEC105"/>
          </w:pPr>
          <w:r w:rsidRPr="002668F9">
            <w:rPr>
              <w:rStyle w:val="PlaceholderText"/>
            </w:rPr>
            <w:t>Click or tap here to enter text.</w:t>
          </w:r>
        </w:p>
      </w:docPartBody>
    </w:docPart>
    <w:docPart>
      <w:docPartPr>
        <w:name w:val="CF4E463D754EB14686734BBBFB79D6E6"/>
        <w:category>
          <w:name w:val="General"/>
          <w:gallery w:val="placeholder"/>
        </w:category>
        <w:types>
          <w:type w:val="bbPlcHdr"/>
        </w:types>
        <w:behaviors>
          <w:behavior w:val="content"/>
        </w:behaviors>
        <w:guid w:val="{B8E87085-E809-1F42-823A-BD0D57D3BBB7}"/>
      </w:docPartPr>
      <w:docPartBody>
        <w:p w:rsidR="00B94E3E" w:rsidRDefault="003B4A10" w:rsidP="003B4A10">
          <w:pPr>
            <w:pStyle w:val="CF4E463D754EB14686734BBBFB79D6E6"/>
          </w:pPr>
          <w:r w:rsidRPr="002668F9">
            <w:rPr>
              <w:rStyle w:val="PlaceholderText"/>
            </w:rPr>
            <w:t>Click or tap here to enter text.</w:t>
          </w:r>
        </w:p>
      </w:docPartBody>
    </w:docPart>
    <w:docPart>
      <w:docPartPr>
        <w:name w:val="77115EE1407E7B46837C1B7E5C6499D5"/>
        <w:category>
          <w:name w:val="General"/>
          <w:gallery w:val="placeholder"/>
        </w:category>
        <w:types>
          <w:type w:val="bbPlcHdr"/>
        </w:types>
        <w:behaviors>
          <w:behavior w:val="content"/>
        </w:behaviors>
        <w:guid w:val="{7FDCB913-CAED-7144-BF38-7918E064D5DC}"/>
      </w:docPartPr>
      <w:docPartBody>
        <w:p w:rsidR="00B94E3E" w:rsidRDefault="003B4A10" w:rsidP="003B4A10">
          <w:pPr>
            <w:pStyle w:val="77115EE1407E7B46837C1B7E5C6499D5"/>
          </w:pPr>
          <w:r w:rsidRPr="002668F9">
            <w:rPr>
              <w:rStyle w:val="PlaceholderText"/>
            </w:rPr>
            <w:t>Click or tap here to enter text.</w:t>
          </w:r>
        </w:p>
      </w:docPartBody>
    </w:docPart>
    <w:docPart>
      <w:docPartPr>
        <w:name w:val="B63023A0470EBC498452ED5093178464"/>
        <w:category>
          <w:name w:val="General"/>
          <w:gallery w:val="placeholder"/>
        </w:category>
        <w:types>
          <w:type w:val="bbPlcHdr"/>
        </w:types>
        <w:behaviors>
          <w:behavior w:val="content"/>
        </w:behaviors>
        <w:guid w:val="{1F35EC66-0FCA-2345-ACC1-300C7E72056A}"/>
      </w:docPartPr>
      <w:docPartBody>
        <w:p w:rsidR="00B94E3E" w:rsidRDefault="003B4A10" w:rsidP="003B4A10">
          <w:pPr>
            <w:pStyle w:val="B63023A0470EBC498452ED5093178464"/>
          </w:pPr>
          <w:r w:rsidRPr="002668F9">
            <w:rPr>
              <w:rStyle w:val="PlaceholderText"/>
            </w:rPr>
            <w:t>Click or tap here to enter text.</w:t>
          </w:r>
        </w:p>
      </w:docPartBody>
    </w:docPart>
    <w:docPart>
      <w:docPartPr>
        <w:name w:val="B02295D75FCBA74081C93E9E87D13E27"/>
        <w:category>
          <w:name w:val="General"/>
          <w:gallery w:val="placeholder"/>
        </w:category>
        <w:types>
          <w:type w:val="bbPlcHdr"/>
        </w:types>
        <w:behaviors>
          <w:behavior w:val="content"/>
        </w:behaviors>
        <w:guid w:val="{F7C1C017-4FA2-4046-A12F-DE2AE88CC1AE}"/>
      </w:docPartPr>
      <w:docPartBody>
        <w:p w:rsidR="00B94E3E" w:rsidRDefault="003B4A10" w:rsidP="003B4A10">
          <w:pPr>
            <w:pStyle w:val="B02295D75FCBA74081C93E9E87D13E27"/>
          </w:pPr>
          <w:r w:rsidRPr="002668F9">
            <w:rPr>
              <w:rStyle w:val="PlaceholderText"/>
            </w:rPr>
            <w:t>Click or tap here to enter text.</w:t>
          </w:r>
        </w:p>
      </w:docPartBody>
    </w:docPart>
    <w:docPart>
      <w:docPartPr>
        <w:name w:val="B37BE83EB17F274CADB73296DB2AB06E"/>
        <w:category>
          <w:name w:val="General"/>
          <w:gallery w:val="placeholder"/>
        </w:category>
        <w:types>
          <w:type w:val="bbPlcHdr"/>
        </w:types>
        <w:behaviors>
          <w:behavior w:val="content"/>
        </w:behaviors>
        <w:guid w:val="{104B7932-D395-244D-9CEE-E552AB9F4AAA}"/>
      </w:docPartPr>
      <w:docPartBody>
        <w:p w:rsidR="00B94E3E" w:rsidRDefault="003B4A10" w:rsidP="003B4A10">
          <w:pPr>
            <w:pStyle w:val="B37BE83EB17F274CADB73296DB2AB06E"/>
          </w:pPr>
          <w:r w:rsidRPr="002668F9">
            <w:rPr>
              <w:rStyle w:val="PlaceholderText"/>
            </w:rPr>
            <w:t>Click or tap here to enter text.</w:t>
          </w:r>
        </w:p>
      </w:docPartBody>
    </w:docPart>
    <w:docPart>
      <w:docPartPr>
        <w:name w:val="EF8854514B17054795217C82F6789CE0"/>
        <w:category>
          <w:name w:val="General"/>
          <w:gallery w:val="placeholder"/>
        </w:category>
        <w:types>
          <w:type w:val="bbPlcHdr"/>
        </w:types>
        <w:behaviors>
          <w:behavior w:val="content"/>
        </w:behaviors>
        <w:guid w:val="{3FAD94E8-60DA-0946-9B42-50531BA66F7D}"/>
      </w:docPartPr>
      <w:docPartBody>
        <w:p w:rsidR="00B94E3E" w:rsidRDefault="003B4A10" w:rsidP="003B4A10">
          <w:pPr>
            <w:pStyle w:val="EF8854514B17054795217C82F6789CE0"/>
          </w:pPr>
          <w:r w:rsidRPr="002668F9">
            <w:rPr>
              <w:rStyle w:val="PlaceholderText"/>
            </w:rPr>
            <w:t>Click or tap here to enter text.</w:t>
          </w:r>
        </w:p>
      </w:docPartBody>
    </w:docPart>
    <w:docPart>
      <w:docPartPr>
        <w:name w:val="898AFE9E40212249A0149B054DBEE8B8"/>
        <w:category>
          <w:name w:val="General"/>
          <w:gallery w:val="placeholder"/>
        </w:category>
        <w:types>
          <w:type w:val="bbPlcHdr"/>
        </w:types>
        <w:behaviors>
          <w:behavior w:val="content"/>
        </w:behaviors>
        <w:guid w:val="{1779C3B8-7E6D-3B4C-9282-16464657F454}"/>
      </w:docPartPr>
      <w:docPartBody>
        <w:p w:rsidR="00B94E3E" w:rsidRDefault="003B4A10" w:rsidP="003B4A10">
          <w:pPr>
            <w:pStyle w:val="898AFE9E40212249A0149B054DBEE8B8"/>
          </w:pPr>
          <w:r w:rsidRPr="002668F9">
            <w:rPr>
              <w:rStyle w:val="PlaceholderText"/>
            </w:rPr>
            <w:t>Click or tap here to enter text.</w:t>
          </w:r>
        </w:p>
      </w:docPartBody>
    </w:docPart>
    <w:docPart>
      <w:docPartPr>
        <w:name w:val="6EB858DCA7EC19408CEADA303E622080"/>
        <w:category>
          <w:name w:val="General"/>
          <w:gallery w:val="placeholder"/>
        </w:category>
        <w:types>
          <w:type w:val="bbPlcHdr"/>
        </w:types>
        <w:behaviors>
          <w:behavior w:val="content"/>
        </w:behaviors>
        <w:guid w:val="{F380D644-14EE-224D-A77A-DDF05BCC2875}"/>
      </w:docPartPr>
      <w:docPartBody>
        <w:p w:rsidR="00B94E3E" w:rsidRDefault="003B4A10" w:rsidP="003B4A10">
          <w:pPr>
            <w:pStyle w:val="6EB858DCA7EC19408CEADA303E622080"/>
          </w:pPr>
          <w:r w:rsidRPr="002668F9">
            <w:rPr>
              <w:rStyle w:val="PlaceholderText"/>
            </w:rPr>
            <w:t>Click or tap here to enter text.</w:t>
          </w:r>
        </w:p>
      </w:docPartBody>
    </w:docPart>
    <w:docPart>
      <w:docPartPr>
        <w:name w:val="1F1C7AB0E4BCDE48BDF9DDDEFDDA07F9"/>
        <w:category>
          <w:name w:val="General"/>
          <w:gallery w:val="placeholder"/>
        </w:category>
        <w:types>
          <w:type w:val="bbPlcHdr"/>
        </w:types>
        <w:behaviors>
          <w:behavior w:val="content"/>
        </w:behaviors>
        <w:guid w:val="{A97429F2-2CC8-7743-B949-BADCA6821710}"/>
      </w:docPartPr>
      <w:docPartBody>
        <w:p w:rsidR="00B94E3E" w:rsidRDefault="003B4A10" w:rsidP="003B4A10">
          <w:pPr>
            <w:pStyle w:val="1F1C7AB0E4BCDE48BDF9DDDEFDDA07F9"/>
          </w:pPr>
          <w:r w:rsidRPr="002668F9">
            <w:rPr>
              <w:rStyle w:val="PlaceholderText"/>
            </w:rPr>
            <w:t>Click or tap here to enter text.</w:t>
          </w:r>
        </w:p>
      </w:docPartBody>
    </w:docPart>
    <w:docPart>
      <w:docPartPr>
        <w:name w:val="3CDEFCD142457D4F9C379DC8B553AC9D"/>
        <w:category>
          <w:name w:val="General"/>
          <w:gallery w:val="placeholder"/>
        </w:category>
        <w:types>
          <w:type w:val="bbPlcHdr"/>
        </w:types>
        <w:behaviors>
          <w:behavior w:val="content"/>
        </w:behaviors>
        <w:guid w:val="{A3CB41A6-2B68-C44C-8FD0-F1809F9AA85A}"/>
      </w:docPartPr>
      <w:docPartBody>
        <w:p w:rsidR="00B94E3E" w:rsidRDefault="003B4A10" w:rsidP="003B4A10">
          <w:pPr>
            <w:pStyle w:val="3CDEFCD142457D4F9C379DC8B553AC9D"/>
          </w:pPr>
          <w:r w:rsidRPr="002668F9">
            <w:rPr>
              <w:rStyle w:val="PlaceholderText"/>
            </w:rPr>
            <w:t>Click or tap here to enter text.</w:t>
          </w:r>
        </w:p>
      </w:docPartBody>
    </w:docPart>
    <w:docPart>
      <w:docPartPr>
        <w:name w:val="89421B48114994468050F2D9DB39353E"/>
        <w:category>
          <w:name w:val="General"/>
          <w:gallery w:val="placeholder"/>
        </w:category>
        <w:types>
          <w:type w:val="bbPlcHdr"/>
        </w:types>
        <w:behaviors>
          <w:behavior w:val="content"/>
        </w:behaviors>
        <w:guid w:val="{589E8941-9089-1C40-89F9-D38995FE54EB}"/>
      </w:docPartPr>
      <w:docPartBody>
        <w:p w:rsidR="00B94E3E" w:rsidRDefault="003B4A10" w:rsidP="003B4A10">
          <w:pPr>
            <w:pStyle w:val="89421B48114994468050F2D9DB39353E"/>
          </w:pPr>
          <w:r w:rsidRPr="002668F9">
            <w:rPr>
              <w:rStyle w:val="PlaceholderText"/>
            </w:rPr>
            <w:t>Click or tap here to enter text.</w:t>
          </w:r>
        </w:p>
      </w:docPartBody>
    </w:docPart>
    <w:docPart>
      <w:docPartPr>
        <w:name w:val="65D317380FF05E4AB91ADB9C0E873197"/>
        <w:category>
          <w:name w:val="General"/>
          <w:gallery w:val="placeholder"/>
        </w:category>
        <w:types>
          <w:type w:val="bbPlcHdr"/>
        </w:types>
        <w:behaviors>
          <w:behavior w:val="content"/>
        </w:behaviors>
        <w:guid w:val="{350141F7-C2D2-9A47-8A21-7A772C66CEB4}"/>
      </w:docPartPr>
      <w:docPartBody>
        <w:p w:rsidR="00B94E3E" w:rsidRDefault="003B4A10" w:rsidP="003B4A10">
          <w:pPr>
            <w:pStyle w:val="65D317380FF05E4AB91ADB9C0E873197"/>
          </w:pPr>
          <w:r w:rsidRPr="002668F9">
            <w:rPr>
              <w:rStyle w:val="PlaceholderText"/>
            </w:rPr>
            <w:t>Click or tap here to enter text.</w:t>
          </w:r>
        </w:p>
      </w:docPartBody>
    </w:docPart>
    <w:docPart>
      <w:docPartPr>
        <w:name w:val="3A996E19835D264DB373692851CB213D"/>
        <w:category>
          <w:name w:val="General"/>
          <w:gallery w:val="placeholder"/>
        </w:category>
        <w:types>
          <w:type w:val="bbPlcHdr"/>
        </w:types>
        <w:behaviors>
          <w:behavior w:val="content"/>
        </w:behaviors>
        <w:guid w:val="{F7D09DD0-BAA6-134D-AC49-5CDF2F8A8583}"/>
      </w:docPartPr>
      <w:docPartBody>
        <w:p w:rsidR="00B94E3E" w:rsidRDefault="003B4A10" w:rsidP="003B4A10">
          <w:pPr>
            <w:pStyle w:val="3A996E19835D264DB373692851CB213D"/>
          </w:pPr>
          <w:r w:rsidRPr="002668F9">
            <w:rPr>
              <w:rStyle w:val="PlaceholderText"/>
            </w:rPr>
            <w:t>Click or tap here to enter text.</w:t>
          </w:r>
        </w:p>
      </w:docPartBody>
    </w:docPart>
    <w:docPart>
      <w:docPartPr>
        <w:name w:val="7680881D110DFD418D23E5FDA8EED1F1"/>
        <w:category>
          <w:name w:val="General"/>
          <w:gallery w:val="placeholder"/>
        </w:category>
        <w:types>
          <w:type w:val="bbPlcHdr"/>
        </w:types>
        <w:behaviors>
          <w:behavior w:val="content"/>
        </w:behaviors>
        <w:guid w:val="{7E1B4B52-7C33-5244-94F0-5708EB8FCD3D}"/>
      </w:docPartPr>
      <w:docPartBody>
        <w:p w:rsidR="00B94E3E" w:rsidRDefault="003B4A10" w:rsidP="003B4A10">
          <w:pPr>
            <w:pStyle w:val="7680881D110DFD418D23E5FDA8EED1F1"/>
          </w:pPr>
          <w:r w:rsidRPr="002668F9">
            <w:rPr>
              <w:rStyle w:val="PlaceholderText"/>
            </w:rPr>
            <w:t>Click or tap here to enter text.</w:t>
          </w:r>
        </w:p>
      </w:docPartBody>
    </w:docPart>
    <w:docPart>
      <w:docPartPr>
        <w:name w:val="8D4B6E141033764585CE12A629DD98BA"/>
        <w:category>
          <w:name w:val="General"/>
          <w:gallery w:val="placeholder"/>
        </w:category>
        <w:types>
          <w:type w:val="bbPlcHdr"/>
        </w:types>
        <w:behaviors>
          <w:behavior w:val="content"/>
        </w:behaviors>
        <w:guid w:val="{73636557-2787-364B-B4F6-ACF114442416}"/>
      </w:docPartPr>
      <w:docPartBody>
        <w:p w:rsidR="00B94E3E" w:rsidRDefault="003B4A10" w:rsidP="003B4A10">
          <w:pPr>
            <w:pStyle w:val="8D4B6E141033764585CE12A629DD98BA"/>
          </w:pPr>
          <w:r w:rsidRPr="002668F9">
            <w:rPr>
              <w:rStyle w:val="PlaceholderText"/>
            </w:rPr>
            <w:t>Click or tap here to enter text.</w:t>
          </w:r>
        </w:p>
      </w:docPartBody>
    </w:docPart>
    <w:docPart>
      <w:docPartPr>
        <w:name w:val="4B80C459FC880E4C80518979FB134F1D"/>
        <w:category>
          <w:name w:val="General"/>
          <w:gallery w:val="placeholder"/>
        </w:category>
        <w:types>
          <w:type w:val="bbPlcHdr"/>
        </w:types>
        <w:behaviors>
          <w:behavior w:val="content"/>
        </w:behaviors>
        <w:guid w:val="{C94A49E7-CF54-144C-8763-43EEFCC21CAE}"/>
      </w:docPartPr>
      <w:docPartBody>
        <w:p w:rsidR="00B94E3E" w:rsidRDefault="003B4A10" w:rsidP="003B4A10">
          <w:pPr>
            <w:pStyle w:val="4B80C459FC880E4C80518979FB134F1D"/>
          </w:pPr>
          <w:r w:rsidRPr="002668F9">
            <w:rPr>
              <w:rStyle w:val="PlaceholderText"/>
            </w:rPr>
            <w:t>Click or tap here to enter text.</w:t>
          </w:r>
        </w:p>
      </w:docPartBody>
    </w:docPart>
    <w:docPart>
      <w:docPartPr>
        <w:name w:val="E05E952A0F8CFB44B44F2FDCBABADBE3"/>
        <w:category>
          <w:name w:val="General"/>
          <w:gallery w:val="placeholder"/>
        </w:category>
        <w:types>
          <w:type w:val="bbPlcHdr"/>
        </w:types>
        <w:behaviors>
          <w:behavior w:val="content"/>
        </w:behaviors>
        <w:guid w:val="{6D3BA23F-2EAA-154D-AF44-C0C0129483AD}"/>
      </w:docPartPr>
      <w:docPartBody>
        <w:p w:rsidR="00B94E3E" w:rsidRDefault="003B4A10" w:rsidP="003B4A10">
          <w:pPr>
            <w:pStyle w:val="E05E952A0F8CFB44B44F2FDCBABADBE3"/>
          </w:pPr>
          <w:r w:rsidRPr="002668F9">
            <w:rPr>
              <w:rStyle w:val="PlaceholderText"/>
            </w:rPr>
            <w:t>Click or tap here to enter text.</w:t>
          </w:r>
        </w:p>
      </w:docPartBody>
    </w:docPart>
    <w:docPart>
      <w:docPartPr>
        <w:name w:val="FA717A6B2010AC4A8C0E9C891E3E2688"/>
        <w:category>
          <w:name w:val="General"/>
          <w:gallery w:val="placeholder"/>
        </w:category>
        <w:types>
          <w:type w:val="bbPlcHdr"/>
        </w:types>
        <w:behaviors>
          <w:behavior w:val="content"/>
        </w:behaviors>
        <w:guid w:val="{89E511F7-C4E6-2E4E-BF50-C71827DB41F1}"/>
      </w:docPartPr>
      <w:docPartBody>
        <w:p w:rsidR="00B94E3E" w:rsidRDefault="003B4A10" w:rsidP="003B4A10">
          <w:pPr>
            <w:pStyle w:val="FA717A6B2010AC4A8C0E9C891E3E2688"/>
          </w:pPr>
          <w:r w:rsidRPr="002668F9">
            <w:rPr>
              <w:rStyle w:val="PlaceholderText"/>
            </w:rPr>
            <w:t>Click or tap here to enter text.</w:t>
          </w:r>
        </w:p>
      </w:docPartBody>
    </w:docPart>
    <w:docPart>
      <w:docPartPr>
        <w:name w:val="79C952B9007E7D4DB02D52DED8DD3B7D"/>
        <w:category>
          <w:name w:val="General"/>
          <w:gallery w:val="placeholder"/>
        </w:category>
        <w:types>
          <w:type w:val="bbPlcHdr"/>
        </w:types>
        <w:behaviors>
          <w:behavior w:val="content"/>
        </w:behaviors>
        <w:guid w:val="{E1983B7A-9C83-C240-9BC3-6C48C0173C65}"/>
      </w:docPartPr>
      <w:docPartBody>
        <w:p w:rsidR="00B94E3E" w:rsidRDefault="003B4A10" w:rsidP="003B4A10">
          <w:pPr>
            <w:pStyle w:val="79C952B9007E7D4DB02D52DED8DD3B7D"/>
          </w:pPr>
          <w:r w:rsidRPr="002668F9">
            <w:rPr>
              <w:rStyle w:val="PlaceholderText"/>
            </w:rPr>
            <w:t>Click or tap here to enter text.</w:t>
          </w:r>
        </w:p>
      </w:docPartBody>
    </w:docPart>
    <w:docPart>
      <w:docPartPr>
        <w:name w:val="86219AC37B84AD45ABC2A146663DD75E"/>
        <w:category>
          <w:name w:val="General"/>
          <w:gallery w:val="placeholder"/>
        </w:category>
        <w:types>
          <w:type w:val="bbPlcHdr"/>
        </w:types>
        <w:behaviors>
          <w:behavior w:val="content"/>
        </w:behaviors>
        <w:guid w:val="{86C51EC5-E8A4-C34D-A066-B539478C1889}"/>
      </w:docPartPr>
      <w:docPartBody>
        <w:p w:rsidR="00B94E3E" w:rsidRDefault="003B4A10" w:rsidP="003B4A10">
          <w:pPr>
            <w:pStyle w:val="86219AC37B84AD45ABC2A146663DD75E"/>
          </w:pPr>
          <w:r w:rsidRPr="002668F9">
            <w:rPr>
              <w:rStyle w:val="PlaceholderText"/>
            </w:rPr>
            <w:t>Click or tap here to enter text.</w:t>
          </w:r>
        </w:p>
      </w:docPartBody>
    </w:docPart>
    <w:docPart>
      <w:docPartPr>
        <w:name w:val="8E98F46EE0DF3F4BAEC93F41399289A7"/>
        <w:category>
          <w:name w:val="General"/>
          <w:gallery w:val="placeholder"/>
        </w:category>
        <w:types>
          <w:type w:val="bbPlcHdr"/>
        </w:types>
        <w:behaviors>
          <w:behavior w:val="content"/>
        </w:behaviors>
        <w:guid w:val="{E9D11EDD-07C9-E143-94CF-5E479F22EF60}"/>
      </w:docPartPr>
      <w:docPartBody>
        <w:p w:rsidR="00B94E3E" w:rsidRDefault="003B4A10" w:rsidP="003B4A10">
          <w:pPr>
            <w:pStyle w:val="8E98F46EE0DF3F4BAEC93F41399289A7"/>
          </w:pPr>
          <w:r w:rsidRPr="002668F9">
            <w:rPr>
              <w:rStyle w:val="PlaceholderText"/>
            </w:rPr>
            <w:t>Click or tap here to enter text.</w:t>
          </w:r>
        </w:p>
      </w:docPartBody>
    </w:docPart>
    <w:docPart>
      <w:docPartPr>
        <w:name w:val="0A4F44715C86444CB6339AE356A132DA"/>
        <w:category>
          <w:name w:val="General"/>
          <w:gallery w:val="placeholder"/>
        </w:category>
        <w:types>
          <w:type w:val="bbPlcHdr"/>
        </w:types>
        <w:behaviors>
          <w:behavior w:val="content"/>
        </w:behaviors>
        <w:guid w:val="{5CA462B5-9B34-594A-87DE-8EBC4012A001}"/>
      </w:docPartPr>
      <w:docPartBody>
        <w:p w:rsidR="00B94E3E" w:rsidRDefault="003B4A10" w:rsidP="003B4A10">
          <w:pPr>
            <w:pStyle w:val="0A4F44715C86444CB6339AE356A132DA"/>
          </w:pPr>
          <w:r w:rsidRPr="002668F9">
            <w:rPr>
              <w:rStyle w:val="PlaceholderText"/>
            </w:rPr>
            <w:t>Click or tap here to enter text.</w:t>
          </w:r>
        </w:p>
      </w:docPartBody>
    </w:docPart>
    <w:docPart>
      <w:docPartPr>
        <w:name w:val="A2F951C59B9A0645B3506565372FA4CD"/>
        <w:category>
          <w:name w:val="General"/>
          <w:gallery w:val="placeholder"/>
        </w:category>
        <w:types>
          <w:type w:val="bbPlcHdr"/>
        </w:types>
        <w:behaviors>
          <w:behavior w:val="content"/>
        </w:behaviors>
        <w:guid w:val="{6A33E6E8-CA99-6B4F-8697-7E019E890058}"/>
      </w:docPartPr>
      <w:docPartBody>
        <w:p w:rsidR="00B94E3E" w:rsidRDefault="003B4A10" w:rsidP="003B4A10">
          <w:pPr>
            <w:pStyle w:val="A2F951C59B9A0645B3506565372FA4CD"/>
          </w:pPr>
          <w:r w:rsidRPr="002668F9">
            <w:rPr>
              <w:rStyle w:val="PlaceholderText"/>
            </w:rPr>
            <w:t>Click or tap here to enter text.</w:t>
          </w:r>
        </w:p>
      </w:docPartBody>
    </w:docPart>
    <w:docPart>
      <w:docPartPr>
        <w:name w:val="04AAFEE3D6DA19418DAE9DA11F7E5CFB"/>
        <w:category>
          <w:name w:val="General"/>
          <w:gallery w:val="placeholder"/>
        </w:category>
        <w:types>
          <w:type w:val="bbPlcHdr"/>
        </w:types>
        <w:behaviors>
          <w:behavior w:val="content"/>
        </w:behaviors>
        <w:guid w:val="{AD3CF401-0E95-6C4E-9DBC-F9F3BDBC8527}"/>
      </w:docPartPr>
      <w:docPartBody>
        <w:p w:rsidR="00B94E3E" w:rsidRDefault="003B4A10" w:rsidP="003B4A10">
          <w:pPr>
            <w:pStyle w:val="04AAFEE3D6DA19418DAE9DA11F7E5CFB"/>
          </w:pPr>
          <w:r w:rsidRPr="002668F9">
            <w:rPr>
              <w:rStyle w:val="PlaceholderText"/>
            </w:rPr>
            <w:t>Click or tap here to enter text.</w:t>
          </w:r>
        </w:p>
      </w:docPartBody>
    </w:docPart>
    <w:docPart>
      <w:docPartPr>
        <w:name w:val="85B648E2A855B246B407A45B0311309C"/>
        <w:category>
          <w:name w:val="General"/>
          <w:gallery w:val="placeholder"/>
        </w:category>
        <w:types>
          <w:type w:val="bbPlcHdr"/>
        </w:types>
        <w:behaviors>
          <w:behavior w:val="content"/>
        </w:behaviors>
        <w:guid w:val="{C612EF86-391D-7048-80E3-5575B3D258FA}"/>
      </w:docPartPr>
      <w:docPartBody>
        <w:p w:rsidR="00B94E3E" w:rsidRDefault="003B4A10" w:rsidP="003B4A10">
          <w:pPr>
            <w:pStyle w:val="85B648E2A855B246B407A45B0311309C"/>
          </w:pPr>
          <w:r w:rsidRPr="002668F9">
            <w:rPr>
              <w:rStyle w:val="PlaceholderText"/>
            </w:rPr>
            <w:t>Click or tap here to enter text.</w:t>
          </w:r>
        </w:p>
      </w:docPartBody>
    </w:docPart>
    <w:docPart>
      <w:docPartPr>
        <w:name w:val="C1A10CC4739EDB4EBFC449C92C61689E"/>
        <w:category>
          <w:name w:val="General"/>
          <w:gallery w:val="placeholder"/>
        </w:category>
        <w:types>
          <w:type w:val="bbPlcHdr"/>
        </w:types>
        <w:behaviors>
          <w:behavior w:val="content"/>
        </w:behaviors>
        <w:guid w:val="{43CB757B-E339-EC43-A204-E1F6CD0FF87F}"/>
      </w:docPartPr>
      <w:docPartBody>
        <w:p w:rsidR="00B94E3E" w:rsidRDefault="003B4A10" w:rsidP="003B4A10">
          <w:pPr>
            <w:pStyle w:val="C1A10CC4739EDB4EBFC449C92C61689E"/>
          </w:pPr>
          <w:r w:rsidRPr="002668F9">
            <w:rPr>
              <w:rStyle w:val="PlaceholderText"/>
            </w:rPr>
            <w:t>Click or tap here to enter text.</w:t>
          </w:r>
        </w:p>
      </w:docPartBody>
    </w:docPart>
    <w:docPart>
      <w:docPartPr>
        <w:name w:val="209E21C77C5A6D439F549BE3B4C6AF87"/>
        <w:category>
          <w:name w:val="General"/>
          <w:gallery w:val="placeholder"/>
        </w:category>
        <w:types>
          <w:type w:val="bbPlcHdr"/>
        </w:types>
        <w:behaviors>
          <w:behavior w:val="content"/>
        </w:behaviors>
        <w:guid w:val="{114F4BEF-1C2F-A042-91F4-4FC03A71B855}"/>
      </w:docPartPr>
      <w:docPartBody>
        <w:p w:rsidR="00B94E3E" w:rsidRDefault="003B4A10" w:rsidP="003B4A10">
          <w:pPr>
            <w:pStyle w:val="209E21C77C5A6D439F549BE3B4C6AF87"/>
          </w:pPr>
          <w:r w:rsidRPr="002668F9">
            <w:rPr>
              <w:rStyle w:val="PlaceholderText"/>
            </w:rPr>
            <w:t>Click or tap here to enter text.</w:t>
          </w:r>
        </w:p>
      </w:docPartBody>
    </w:docPart>
    <w:docPart>
      <w:docPartPr>
        <w:name w:val="8FB8FD55BF66C443BEBFC7FA521C9C16"/>
        <w:category>
          <w:name w:val="General"/>
          <w:gallery w:val="placeholder"/>
        </w:category>
        <w:types>
          <w:type w:val="bbPlcHdr"/>
        </w:types>
        <w:behaviors>
          <w:behavior w:val="content"/>
        </w:behaviors>
        <w:guid w:val="{DB69BB0C-2D0A-C748-8B35-A2F4828617ED}"/>
      </w:docPartPr>
      <w:docPartBody>
        <w:p w:rsidR="00B94E3E" w:rsidRDefault="003B4A10" w:rsidP="003B4A10">
          <w:pPr>
            <w:pStyle w:val="8FB8FD55BF66C443BEBFC7FA521C9C16"/>
          </w:pPr>
          <w:r w:rsidRPr="002668F9">
            <w:rPr>
              <w:rStyle w:val="PlaceholderText"/>
            </w:rPr>
            <w:t>Click or tap here to enter text.</w:t>
          </w:r>
        </w:p>
      </w:docPartBody>
    </w:docPart>
    <w:docPart>
      <w:docPartPr>
        <w:name w:val="5FA3E2F210E70B42A5EC4C0B2871BD29"/>
        <w:category>
          <w:name w:val="General"/>
          <w:gallery w:val="placeholder"/>
        </w:category>
        <w:types>
          <w:type w:val="bbPlcHdr"/>
        </w:types>
        <w:behaviors>
          <w:behavior w:val="content"/>
        </w:behaviors>
        <w:guid w:val="{A66EEDF5-CFD5-D544-ADFD-AE01D854DB9D}"/>
      </w:docPartPr>
      <w:docPartBody>
        <w:p w:rsidR="00B94E3E" w:rsidRDefault="003B4A10" w:rsidP="003B4A10">
          <w:pPr>
            <w:pStyle w:val="5FA3E2F210E70B42A5EC4C0B2871BD29"/>
          </w:pPr>
          <w:r w:rsidRPr="002668F9">
            <w:rPr>
              <w:rStyle w:val="PlaceholderText"/>
            </w:rPr>
            <w:t>Click or tap here to enter text.</w:t>
          </w:r>
        </w:p>
      </w:docPartBody>
    </w:docPart>
    <w:docPart>
      <w:docPartPr>
        <w:name w:val="D6A63BC6A09F5A46A6827499CEDC13D6"/>
        <w:category>
          <w:name w:val="General"/>
          <w:gallery w:val="placeholder"/>
        </w:category>
        <w:types>
          <w:type w:val="bbPlcHdr"/>
        </w:types>
        <w:behaviors>
          <w:behavior w:val="content"/>
        </w:behaviors>
        <w:guid w:val="{A27C5B29-34F4-7A42-9550-0B8110350DC3}"/>
      </w:docPartPr>
      <w:docPartBody>
        <w:p w:rsidR="00B94E3E" w:rsidRDefault="003B4A10" w:rsidP="003B4A10">
          <w:pPr>
            <w:pStyle w:val="D6A63BC6A09F5A46A6827499CEDC13D6"/>
          </w:pPr>
          <w:r w:rsidRPr="002668F9">
            <w:rPr>
              <w:rStyle w:val="PlaceholderText"/>
            </w:rPr>
            <w:t>Click or tap here to enter text.</w:t>
          </w:r>
        </w:p>
      </w:docPartBody>
    </w:docPart>
    <w:docPart>
      <w:docPartPr>
        <w:name w:val="58020CAD2133B9459F78FCFEBBEC6612"/>
        <w:category>
          <w:name w:val="General"/>
          <w:gallery w:val="placeholder"/>
        </w:category>
        <w:types>
          <w:type w:val="bbPlcHdr"/>
        </w:types>
        <w:behaviors>
          <w:behavior w:val="content"/>
        </w:behaviors>
        <w:guid w:val="{FFB0E43B-D3C5-D84E-9284-8EDE3B470CC9}"/>
      </w:docPartPr>
      <w:docPartBody>
        <w:p w:rsidR="00B94E3E" w:rsidRDefault="003B4A10" w:rsidP="003B4A10">
          <w:pPr>
            <w:pStyle w:val="58020CAD2133B9459F78FCFEBBEC6612"/>
          </w:pPr>
          <w:r w:rsidRPr="002668F9">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7B581BE8-A9B1-5741-B1F8-6CE4CB0AA7F5}"/>
      </w:docPartPr>
      <w:docPartBody>
        <w:p w:rsidR="003C0C4B" w:rsidRDefault="00803DFA">
          <w:r w:rsidRPr="004D6A12">
            <w:rPr>
              <w:rStyle w:val="PlaceholderText"/>
            </w:rPr>
            <w:t>Click or tap here to enter text.</w:t>
          </w:r>
        </w:p>
      </w:docPartBody>
    </w:docPart>
    <w:docPart>
      <w:docPartPr>
        <w:name w:val="ABE165DB7AD20B41BBE0277E4E1F6BEB"/>
        <w:category>
          <w:name w:val="General"/>
          <w:gallery w:val="placeholder"/>
        </w:category>
        <w:types>
          <w:type w:val="bbPlcHdr"/>
        </w:types>
        <w:behaviors>
          <w:behavior w:val="content"/>
        </w:behaviors>
        <w:guid w:val="{D2CEB1AB-401A-4747-A73D-824324A55C57}"/>
      </w:docPartPr>
      <w:docPartBody>
        <w:p w:rsidR="003C0C4B" w:rsidRDefault="00803DFA" w:rsidP="00803DFA">
          <w:pPr>
            <w:pStyle w:val="ABE165DB7AD20B41BBE0277E4E1F6BEB"/>
          </w:pPr>
          <w:r w:rsidRPr="004D6A12">
            <w:rPr>
              <w:rStyle w:val="PlaceholderText"/>
            </w:rPr>
            <w:t>Click or tap here to enter text.</w:t>
          </w:r>
        </w:p>
      </w:docPartBody>
    </w:docPart>
    <w:docPart>
      <w:docPartPr>
        <w:name w:val="C5621DD0C3EF5942A0BEA1739A23F825"/>
        <w:category>
          <w:name w:val="General"/>
          <w:gallery w:val="placeholder"/>
        </w:category>
        <w:types>
          <w:type w:val="bbPlcHdr"/>
        </w:types>
        <w:behaviors>
          <w:behavior w:val="content"/>
        </w:behaviors>
        <w:guid w:val="{DF946350-6E50-0543-8FF4-6A77B49D80DD}"/>
      </w:docPartPr>
      <w:docPartBody>
        <w:p w:rsidR="003C0C4B" w:rsidRDefault="00803DFA" w:rsidP="00803DFA">
          <w:pPr>
            <w:pStyle w:val="C5621DD0C3EF5942A0BEA1739A23F825"/>
          </w:pPr>
          <w:r w:rsidRPr="004D6A1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A10"/>
    <w:rsid w:val="000435E0"/>
    <w:rsid w:val="001138B7"/>
    <w:rsid w:val="00196780"/>
    <w:rsid w:val="00197342"/>
    <w:rsid w:val="003B4A10"/>
    <w:rsid w:val="003C0C4B"/>
    <w:rsid w:val="003E5F16"/>
    <w:rsid w:val="0043150B"/>
    <w:rsid w:val="004A0C8F"/>
    <w:rsid w:val="004C5A9E"/>
    <w:rsid w:val="00542406"/>
    <w:rsid w:val="006779CD"/>
    <w:rsid w:val="007A47D5"/>
    <w:rsid w:val="00803DFA"/>
    <w:rsid w:val="00843EE9"/>
    <w:rsid w:val="00943EC7"/>
    <w:rsid w:val="00A210F6"/>
    <w:rsid w:val="00B86CEE"/>
    <w:rsid w:val="00B94E3E"/>
    <w:rsid w:val="00BF77D1"/>
    <w:rsid w:val="00C46238"/>
    <w:rsid w:val="00D90E86"/>
    <w:rsid w:val="00DE5295"/>
    <w:rsid w:val="00E63F10"/>
    <w:rsid w:val="00F74E93"/>
    <w:rsid w:val="00FA6302"/>
    <w:rsid w:val="00FE0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3DFA"/>
    <w:rPr>
      <w:color w:val="666666"/>
    </w:rPr>
  </w:style>
  <w:style w:type="paragraph" w:customStyle="1" w:styleId="912AD8E92FF680409B2946F50FBA8B14">
    <w:name w:val="912AD8E92FF680409B2946F50FBA8B14"/>
    <w:rsid w:val="003B4A10"/>
  </w:style>
  <w:style w:type="paragraph" w:customStyle="1" w:styleId="F159981083308A4582E487F63FE23D96">
    <w:name w:val="F159981083308A4582E487F63FE23D96"/>
    <w:rsid w:val="003B4A10"/>
  </w:style>
  <w:style w:type="paragraph" w:customStyle="1" w:styleId="2D6B1DFA0BF3424EB4D1C824C50CAB66">
    <w:name w:val="2D6B1DFA0BF3424EB4D1C824C50CAB66"/>
    <w:rsid w:val="003B4A10"/>
  </w:style>
  <w:style w:type="paragraph" w:customStyle="1" w:styleId="EFA69E5C5EF41D468DA063F78A20A277">
    <w:name w:val="EFA69E5C5EF41D468DA063F78A20A277"/>
    <w:rsid w:val="003B4A10"/>
  </w:style>
  <w:style w:type="paragraph" w:customStyle="1" w:styleId="FFB87AB38B65384C81E02945A131BE68">
    <w:name w:val="FFB87AB38B65384C81E02945A131BE68"/>
    <w:rsid w:val="003B4A10"/>
  </w:style>
  <w:style w:type="paragraph" w:customStyle="1" w:styleId="70B02F4364798A419C37968E359FAC1A">
    <w:name w:val="70B02F4364798A419C37968E359FAC1A"/>
    <w:rsid w:val="003B4A10"/>
  </w:style>
  <w:style w:type="paragraph" w:customStyle="1" w:styleId="2C5CB4144504C14E97B112ABF1F7498A">
    <w:name w:val="2C5CB4144504C14E97B112ABF1F7498A"/>
    <w:rsid w:val="003B4A10"/>
  </w:style>
  <w:style w:type="paragraph" w:customStyle="1" w:styleId="B314F28EC35A1F4B9FEAFD20E541877F">
    <w:name w:val="B314F28EC35A1F4B9FEAFD20E541877F"/>
    <w:rsid w:val="003B4A10"/>
  </w:style>
  <w:style w:type="paragraph" w:customStyle="1" w:styleId="030A3C0B6E38B24DB0C1D9EACD418221">
    <w:name w:val="030A3C0B6E38B24DB0C1D9EACD418221"/>
    <w:rsid w:val="003B4A10"/>
  </w:style>
  <w:style w:type="paragraph" w:customStyle="1" w:styleId="B561BB62C4688745A5C52A4F234EF997">
    <w:name w:val="B561BB62C4688745A5C52A4F234EF997"/>
    <w:rsid w:val="003B4A10"/>
  </w:style>
  <w:style w:type="paragraph" w:customStyle="1" w:styleId="28735AB430185946AA7803CA40143837">
    <w:name w:val="28735AB430185946AA7803CA40143837"/>
    <w:rsid w:val="003B4A10"/>
  </w:style>
  <w:style w:type="paragraph" w:customStyle="1" w:styleId="F5D1CFA4E818884EB35D3331FFAE09BD">
    <w:name w:val="F5D1CFA4E818884EB35D3331FFAE09BD"/>
    <w:rsid w:val="003B4A10"/>
  </w:style>
  <w:style w:type="paragraph" w:customStyle="1" w:styleId="F5976DE6FB623648BD02F587A6474B52">
    <w:name w:val="F5976DE6FB623648BD02F587A6474B52"/>
    <w:rsid w:val="003B4A10"/>
  </w:style>
  <w:style w:type="paragraph" w:customStyle="1" w:styleId="B83E6C158C53224A95F556CA079FC6B4">
    <w:name w:val="B83E6C158C53224A95F556CA079FC6B4"/>
    <w:rsid w:val="003B4A10"/>
  </w:style>
  <w:style w:type="paragraph" w:customStyle="1" w:styleId="FE7CB28906A96548BB53D3BA98086DCB">
    <w:name w:val="FE7CB28906A96548BB53D3BA98086DCB"/>
    <w:rsid w:val="003B4A10"/>
  </w:style>
  <w:style w:type="paragraph" w:customStyle="1" w:styleId="1660F60426796241BF161D7B7BC4C373">
    <w:name w:val="1660F60426796241BF161D7B7BC4C373"/>
    <w:rsid w:val="003B4A10"/>
  </w:style>
  <w:style w:type="paragraph" w:customStyle="1" w:styleId="F6D1BF589DFCA5488887BF6AFFB474D5">
    <w:name w:val="F6D1BF589DFCA5488887BF6AFFB474D5"/>
    <w:rsid w:val="003B4A10"/>
  </w:style>
  <w:style w:type="paragraph" w:customStyle="1" w:styleId="64CD5B642D292441A5966B49F7B73DAA">
    <w:name w:val="64CD5B642D292441A5966B49F7B73DAA"/>
    <w:rsid w:val="003B4A10"/>
  </w:style>
  <w:style w:type="paragraph" w:customStyle="1" w:styleId="8357A5550318144785DE947DA692CA0A">
    <w:name w:val="8357A5550318144785DE947DA692CA0A"/>
    <w:rsid w:val="003B4A10"/>
  </w:style>
  <w:style w:type="paragraph" w:customStyle="1" w:styleId="DB2093A7B3BE674FA2257FF61F6C5DFF">
    <w:name w:val="DB2093A7B3BE674FA2257FF61F6C5DFF"/>
    <w:rsid w:val="003B4A10"/>
  </w:style>
  <w:style w:type="paragraph" w:customStyle="1" w:styleId="AED446CF03DB704FB0BD759C4B2662EC">
    <w:name w:val="AED446CF03DB704FB0BD759C4B2662EC"/>
    <w:rsid w:val="003B4A10"/>
  </w:style>
  <w:style w:type="paragraph" w:customStyle="1" w:styleId="9291EE10C974094783BCA2DD3B43B2E7">
    <w:name w:val="9291EE10C974094783BCA2DD3B43B2E7"/>
    <w:rsid w:val="003B4A10"/>
  </w:style>
  <w:style w:type="paragraph" w:customStyle="1" w:styleId="63337440A8EC06448B1A34D1DA2DBC6E">
    <w:name w:val="63337440A8EC06448B1A34D1DA2DBC6E"/>
    <w:rsid w:val="003B4A10"/>
  </w:style>
  <w:style w:type="paragraph" w:customStyle="1" w:styleId="0F6EB6521AD8A948BAA588F53E407806">
    <w:name w:val="0F6EB6521AD8A948BAA588F53E407806"/>
    <w:rsid w:val="003B4A10"/>
  </w:style>
  <w:style w:type="paragraph" w:customStyle="1" w:styleId="7E0088A692D1DE46B5EAF9F665487962">
    <w:name w:val="7E0088A692D1DE46B5EAF9F665487962"/>
    <w:rsid w:val="003B4A10"/>
  </w:style>
  <w:style w:type="paragraph" w:customStyle="1" w:styleId="C8D23F50D3DE6549A46E32984E1978E8">
    <w:name w:val="C8D23F50D3DE6549A46E32984E1978E8"/>
    <w:rsid w:val="003B4A10"/>
  </w:style>
  <w:style w:type="paragraph" w:customStyle="1" w:styleId="5695E74E69925D458DF687F93D3D6E10">
    <w:name w:val="5695E74E69925D458DF687F93D3D6E10"/>
    <w:rsid w:val="003B4A10"/>
  </w:style>
  <w:style w:type="paragraph" w:customStyle="1" w:styleId="F39F8CD5B34B1B4EBA8F28AE94D3799E">
    <w:name w:val="F39F8CD5B34B1B4EBA8F28AE94D3799E"/>
    <w:rsid w:val="003B4A10"/>
  </w:style>
  <w:style w:type="paragraph" w:customStyle="1" w:styleId="B1DC159B3313394086F35CBEF557FBEA">
    <w:name w:val="B1DC159B3313394086F35CBEF557FBEA"/>
    <w:rsid w:val="003B4A10"/>
  </w:style>
  <w:style w:type="paragraph" w:customStyle="1" w:styleId="6A534B597EEDE94AA6CD3753C7EB24EF">
    <w:name w:val="6A534B597EEDE94AA6CD3753C7EB24EF"/>
    <w:rsid w:val="003B4A10"/>
  </w:style>
  <w:style w:type="paragraph" w:customStyle="1" w:styleId="106ABD80A4962445A216D98C54781467">
    <w:name w:val="106ABD80A4962445A216D98C54781467"/>
    <w:rsid w:val="003B4A10"/>
  </w:style>
  <w:style w:type="paragraph" w:customStyle="1" w:styleId="E97E177EA7E13D4DBE0D8913BFF6C69C">
    <w:name w:val="E97E177EA7E13D4DBE0D8913BFF6C69C"/>
    <w:rsid w:val="003B4A10"/>
  </w:style>
  <w:style w:type="paragraph" w:customStyle="1" w:styleId="B8F23271AC623947AC9949D14ADAEBDC">
    <w:name w:val="B8F23271AC623947AC9949D14ADAEBDC"/>
    <w:rsid w:val="003B4A10"/>
  </w:style>
  <w:style w:type="paragraph" w:customStyle="1" w:styleId="525A3EF633DF71419C7C70E508826945">
    <w:name w:val="525A3EF633DF71419C7C70E508826945"/>
    <w:rsid w:val="003B4A10"/>
  </w:style>
  <w:style w:type="paragraph" w:customStyle="1" w:styleId="3E43BF73E1AFFE40AAC25A152DA20F67">
    <w:name w:val="3E43BF73E1AFFE40AAC25A152DA20F67"/>
    <w:rsid w:val="003B4A10"/>
  </w:style>
  <w:style w:type="paragraph" w:customStyle="1" w:styleId="895C090C84E8D74E918C3A29B492D23E">
    <w:name w:val="895C090C84E8D74E918C3A29B492D23E"/>
    <w:rsid w:val="003B4A10"/>
  </w:style>
  <w:style w:type="paragraph" w:customStyle="1" w:styleId="3C5285FF6DC9DA46BC9AEFF3F346623A">
    <w:name w:val="3C5285FF6DC9DA46BC9AEFF3F346623A"/>
    <w:rsid w:val="003B4A10"/>
  </w:style>
  <w:style w:type="paragraph" w:customStyle="1" w:styleId="A79E1028F3DF6148BB68ABA81FAA50D8">
    <w:name w:val="A79E1028F3DF6148BB68ABA81FAA50D8"/>
    <w:rsid w:val="003B4A10"/>
  </w:style>
  <w:style w:type="paragraph" w:customStyle="1" w:styleId="C2E9AA455AC1484A9C9175DD1BB270A0">
    <w:name w:val="C2E9AA455AC1484A9C9175DD1BB270A0"/>
    <w:rsid w:val="003B4A10"/>
  </w:style>
  <w:style w:type="paragraph" w:customStyle="1" w:styleId="386CF127FFCEDD4F9732338CD9D963C0">
    <w:name w:val="386CF127FFCEDD4F9732338CD9D963C0"/>
    <w:rsid w:val="003B4A10"/>
  </w:style>
  <w:style w:type="paragraph" w:customStyle="1" w:styleId="1F95A04D20B50047A246E13CD6D7CBD6">
    <w:name w:val="1F95A04D20B50047A246E13CD6D7CBD6"/>
    <w:rsid w:val="003B4A10"/>
  </w:style>
  <w:style w:type="paragraph" w:customStyle="1" w:styleId="18DA27012DD2E147B6C62026908EF6D7">
    <w:name w:val="18DA27012DD2E147B6C62026908EF6D7"/>
    <w:rsid w:val="003B4A10"/>
  </w:style>
  <w:style w:type="paragraph" w:customStyle="1" w:styleId="A06EF2DBC838E94D80A749ECB826DF93">
    <w:name w:val="A06EF2DBC838E94D80A749ECB826DF93"/>
    <w:rsid w:val="003B4A10"/>
  </w:style>
  <w:style w:type="paragraph" w:customStyle="1" w:styleId="51EB36AA2244154AAD012BE3332B19F6">
    <w:name w:val="51EB36AA2244154AAD012BE3332B19F6"/>
    <w:rsid w:val="003B4A10"/>
  </w:style>
  <w:style w:type="paragraph" w:customStyle="1" w:styleId="311A6A98FEE082438FB4691D646987E2">
    <w:name w:val="311A6A98FEE082438FB4691D646987E2"/>
    <w:rsid w:val="003B4A10"/>
  </w:style>
  <w:style w:type="paragraph" w:customStyle="1" w:styleId="C1C126DDC7C1354F84AFF9B31BC3C55B">
    <w:name w:val="C1C126DDC7C1354F84AFF9B31BC3C55B"/>
    <w:rsid w:val="003B4A10"/>
  </w:style>
  <w:style w:type="paragraph" w:customStyle="1" w:styleId="3016D8C0483E02429DA62EEC04A29D09">
    <w:name w:val="3016D8C0483E02429DA62EEC04A29D09"/>
    <w:rsid w:val="003B4A10"/>
  </w:style>
  <w:style w:type="paragraph" w:customStyle="1" w:styleId="5ACF09582475564EA634A05755174068">
    <w:name w:val="5ACF09582475564EA634A05755174068"/>
    <w:rsid w:val="003B4A10"/>
  </w:style>
  <w:style w:type="paragraph" w:customStyle="1" w:styleId="882BC6A1950EF146A46AF912648DAC2A">
    <w:name w:val="882BC6A1950EF146A46AF912648DAC2A"/>
    <w:rsid w:val="003B4A10"/>
  </w:style>
  <w:style w:type="paragraph" w:customStyle="1" w:styleId="C63CDCC8732348449465B0F20DF4D5BC">
    <w:name w:val="C63CDCC8732348449465B0F20DF4D5BC"/>
    <w:rsid w:val="003B4A10"/>
  </w:style>
  <w:style w:type="paragraph" w:customStyle="1" w:styleId="A59ABCB8D4BD1241B7C9053AA97960C9">
    <w:name w:val="A59ABCB8D4BD1241B7C9053AA97960C9"/>
    <w:rsid w:val="003B4A10"/>
  </w:style>
  <w:style w:type="paragraph" w:customStyle="1" w:styleId="4F56B7329633104CA38B4B0B07CC56A9">
    <w:name w:val="4F56B7329633104CA38B4B0B07CC56A9"/>
    <w:rsid w:val="003B4A10"/>
  </w:style>
  <w:style w:type="paragraph" w:customStyle="1" w:styleId="3CA86E6257EC854588BC427AEF183A0A">
    <w:name w:val="3CA86E6257EC854588BC427AEF183A0A"/>
    <w:rsid w:val="003B4A10"/>
  </w:style>
  <w:style w:type="paragraph" w:customStyle="1" w:styleId="70C3B0861DAB5941A501686A6CEEC105">
    <w:name w:val="70C3B0861DAB5941A501686A6CEEC105"/>
    <w:rsid w:val="003B4A10"/>
  </w:style>
  <w:style w:type="paragraph" w:customStyle="1" w:styleId="CF4E463D754EB14686734BBBFB79D6E6">
    <w:name w:val="CF4E463D754EB14686734BBBFB79D6E6"/>
    <w:rsid w:val="003B4A10"/>
  </w:style>
  <w:style w:type="paragraph" w:customStyle="1" w:styleId="77115EE1407E7B46837C1B7E5C6499D5">
    <w:name w:val="77115EE1407E7B46837C1B7E5C6499D5"/>
    <w:rsid w:val="003B4A10"/>
  </w:style>
  <w:style w:type="paragraph" w:customStyle="1" w:styleId="B63023A0470EBC498452ED5093178464">
    <w:name w:val="B63023A0470EBC498452ED5093178464"/>
    <w:rsid w:val="003B4A10"/>
  </w:style>
  <w:style w:type="paragraph" w:customStyle="1" w:styleId="B02295D75FCBA74081C93E9E87D13E27">
    <w:name w:val="B02295D75FCBA74081C93E9E87D13E27"/>
    <w:rsid w:val="003B4A10"/>
  </w:style>
  <w:style w:type="paragraph" w:customStyle="1" w:styleId="B37BE83EB17F274CADB73296DB2AB06E">
    <w:name w:val="B37BE83EB17F274CADB73296DB2AB06E"/>
    <w:rsid w:val="003B4A10"/>
  </w:style>
  <w:style w:type="paragraph" w:customStyle="1" w:styleId="EF8854514B17054795217C82F6789CE0">
    <w:name w:val="EF8854514B17054795217C82F6789CE0"/>
    <w:rsid w:val="003B4A10"/>
  </w:style>
  <w:style w:type="paragraph" w:customStyle="1" w:styleId="898AFE9E40212249A0149B054DBEE8B8">
    <w:name w:val="898AFE9E40212249A0149B054DBEE8B8"/>
    <w:rsid w:val="003B4A10"/>
  </w:style>
  <w:style w:type="paragraph" w:customStyle="1" w:styleId="6EB858DCA7EC19408CEADA303E622080">
    <w:name w:val="6EB858DCA7EC19408CEADA303E622080"/>
    <w:rsid w:val="003B4A10"/>
  </w:style>
  <w:style w:type="paragraph" w:customStyle="1" w:styleId="1F1C7AB0E4BCDE48BDF9DDDEFDDA07F9">
    <w:name w:val="1F1C7AB0E4BCDE48BDF9DDDEFDDA07F9"/>
    <w:rsid w:val="003B4A10"/>
  </w:style>
  <w:style w:type="paragraph" w:customStyle="1" w:styleId="3CDEFCD142457D4F9C379DC8B553AC9D">
    <w:name w:val="3CDEFCD142457D4F9C379DC8B553AC9D"/>
    <w:rsid w:val="003B4A10"/>
  </w:style>
  <w:style w:type="paragraph" w:customStyle="1" w:styleId="89421B48114994468050F2D9DB39353E">
    <w:name w:val="89421B48114994468050F2D9DB39353E"/>
    <w:rsid w:val="003B4A10"/>
  </w:style>
  <w:style w:type="paragraph" w:customStyle="1" w:styleId="65D317380FF05E4AB91ADB9C0E873197">
    <w:name w:val="65D317380FF05E4AB91ADB9C0E873197"/>
    <w:rsid w:val="003B4A10"/>
  </w:style>
  <w:style w:type="paragraph" w:customStyle="1" w:styleId="3A996E19835D264DB373692851CB213D">
    <w:name w:val="3A996E19835D264DB373692851CB213D"/>
    <w:rsid w:val="003B4A10"/>
  </w:style>
  <w:style w:type="paragraph" w:customStyle="1" w:styleId="7680881D110DFD418D23E5FDA8EED1F1">
    <w:name w:val="7680881D110DFD418D23E5FDA8EED1F1"/>
    <w:rsid w:val="003B4A10"/>
  </w:style>
  <w:style w:type="paragraph" w:customStyle="1" w:styleId="8D4B6E141033764585CE12A629DD98BA">
    <w:name w:val="8D4B6E141033764585CE12A629DD98BA"/>
    <w:rsid w:val="003B4A10"/>
  </w:style>
  <w:style w:type="paragraph" w:customStyle="1" w:styleId="4B80C459FC880E4C80518979FB134F1D">
    <w:name w:val="4B80C459FC880E4C80518979FB134F1D"/>
    <w:rsid w:val="003B4A10"/>
  </w:style>
  <w:style w:type="paragraph" w:customStyle="1" w:styleId="E05E952A0F8CFB44B44F2FDCBABADBE3">
    <w:name w:val="E05E952A0F8CFB44B44F2FDCBABADBE3"/>
    <w:rsid w:val="003B4A10"/>
  </w:style>
  <w:style w:type="paragraph" w:customStyle="1" w:styleId="FA717A6B2010AC4A8C0E9C891E3E2688">
    <w:name w:val="FA717A6B2010AC4A8C0E9C891E3E2688"/>
    <w:rsid w:val="003B4A10"/>
  </w:style>
  <w:style w:type="paragraph" w:customStyle="1" w:styleId="79C952B9007E7D4DB02D52DED8DD3B7D">
    <w:name w:val="79C952B9007E7D4DB02D52DED8DD3B7D"/>
    <w:rsid w:val="003B4A10"/>
  </w:style>
  <w:style w:type="paragraph" w:customStyle="1" w:styleId="86219AC37B84AD45ABC2A146663DD75E">
    <w:name w:val="86219AC37B84AD45ABC2A146663DD75E"/>
    <w:rsid w:val="003B4A10"/>
  </w:style>
  <w:style w:type="paragraph" w:customStyle="1" w:styleId="8E98F46EE0DF3F4BAEC93F41399289A7">
    <w:name w:val="8E98F46EE0DF3F4BAEC93F41399289A7"/>
    <w:rsid w:val="003B4A10"/>
  </w:style>
  <w:style w:type="paragraph" w:customStyle="1" w:styleId="0A4F44715C86444CB6339AE356A132DA">
    <w:name w:val="0A4F44715C86444CB6339AE356A132DA"/>
    <w:rsid w:val="003B4A10"/>
  </w:style>
  <w:style w:type="paragraph" w:customStyle="1" w:styleId="A2F951C59B9A0645B3506565372FA4CD">
    <w:name w:val="A2F951C59B9A0645B3506565372FA4CD"/>
    <w:rsid w:val="003B4A10"/>
  </w:style>
  <w:style w:type="paragraph" w:customStyle="1" w:styleId="04AAFEE3D6DA19418DAE9DA11F7E5CFB">
    <w:name w:val="04AAFEE3D6DA19418DAE9DA11F7E5CFB"/>
    <w:rsid w:val="003B4A10"/>
  </w:style>
  <w:style w:type="paragraph" w:customStyle="1" w:styleId="85B648E2A855B246B407A45B0311309C">
    <w:name w:val="85B648E2A855B246B407A45B0311309C"/>
    <w:rsid w:val="003B4A10"/>
  </w:style>
  <w:style w:type="paragraph" w:customStyle="1" w:styleId="C1A10CC4739EDB4EBFC449C92C61689E">
    <w:name w:val="C1A10CC4739EDB4EBFC449C92C61689E"/>
    <w:rsid w:val="003B4A10"/>
  </w:style>
  <w:style w:type="paragraph" w:customStyle="1" w:styleId="209E21C77C5A6D439F549BE3B4C6AF87">
    <w:name w:val="209E21C77C5A6D439F549BE3B4C6AF87"/>
    <w:rsid w:val="003B4A10"/>
  </w:style>
  <w:style w:type="paragraph" w:customStyle="1" w:styleId="8FB8FD55BF66C443BEBFC7FA521C9C16">
    <w:name w:val="8FB8FD55BF66C443BEBFC7FA521C9C16"/>
    <w:rsid w:val="003B4A10"/>
  </w:style>
  <w:style w:type="paragraph" w:customStyle="1" w:styleId="5FA3E2F210E70B42A5EC4C0B2871BD29">
    <w:name w:val="5FA3E2F210E70B42A5EC4C0B2871BD29"/>
    <w:rsid w:val="003B4A10"/>
  </w:style>
  <w:style w:type="paragraph" w:customStyle="1" w:styleId="D6A63BC6A09F5A46A6827499CEDC13D6">
    <w:name w:val="D6A63BC6A09F5A46A6827499CEDC13D6"/>
    <w:rsid w:val="003B4A10"/>
  </w:style>
  <w:style w:type="paragraph" w:customStyle="1" w:styleId="58020CAD2133B9459F78FCFEBBEC6612">
    <w:name w:val="58020CAD2133B9459F78FCFEBBEC6612"/>
    <w:rsid w:val="003B4A10"/>
  </w:style>
  <w:style w:type="paragraph" w:customStyle="1" w:styleId="558FBB6C6B0F5D4C9A42A5879672DC3A">
    <w:name w:val="558FBB6C6B0F5D4C9A42A5879672DC3A"/>
    <w:rsid w:val="00542406"/>
  </w:style>
  <w:style w:type="paragraph" w:customStyle="1" w:styleId="4D00A5D03E79A24FACC1E1F5317D0447">
    <w:name w:val="4D00A5D03E79A24FACC1E1F5317D0447"/>
    <w:rsid w:val="00542406"/>
  </w:style>
  <w:style w:type="paragraph" w:customStyle="1" w:styleId="083B94566D47F44BBB10102A6CD75F81">
    <w:name w:val="083B94566D47F44BBB10102A6CD75F81"/>
    <w:rsid w:val="00542406"/>
  </w:style>
  <w:style w:type="paragraph" w:customStyle="1" w:styleId="ABE165DB7AD20B41BBE0277E4E1F6BEB">
    <w:name w:val="ABE165DB7AD20B41BBE0277E4E1F6BEB"/>
    <w:rsid w:val="00803DFA"/>
  </w:style>
  <w:style w:type="paragraph" w:customStyle="1" w:styleId="C5621DD0C3EF5942A0BEA1739A23F825">
    <w:name w:val="C5621DD0C3EF5942A0BEA1739A23F825"/>
    <w:rsid w:val="00803D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3780330-73DC-5E40-AEA8-DD9C6F5C4E62}">
  <we:reference id="wa104382081" version="1.55.1.0" store="en-US" storeType="OMEX"/>
  <we:alternateReferences>
    <we:reference id="WA104382081" version="1.55.1.0" store="" storeType="OMEX"/>
  </we:alternateReferences>
  <we:properties>
    <we:property name="MENDELEY_BIBLIOGRAPHY_IS_DIRTY" value="false"/>
    <we:property name="MENDELEY_BIBLIOGRAPHY_LAST_MODIFIED" value="1758296317314"/>
    <we:property name="MENDELEY_CITATIONS" value="[{&quot;citationID&quot;:&quot;MENDELEY_CITATION_19e64e9a-0104-4793-aaf2-22325b1f25a8&quot;,&quot;properties&quot;:{&quot;noteIndex&quot;:0},&quot;isEdited&quot;:false,&quot;manualOverride&quot;:{&quot;isManuallyOverridden&quot;:false,&quot;citeprocText&quot;:&quot;(Aerts et al., 2003)&quot;,&quot;manualOverrideText&quot;:&quot;&quot;},&quot;citationTag&quot;:&quot;MENDELEY_CITATION_v3_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&quot;,&quot;citationItems&quot;:[{&quot;id&quot;:&quot;20704bbe-7eb4-3727-b47c-9f459be220b5&quot;,&quot;itemData&quot;:{&quot;type&quot;:&quot;article-journal&quot;,&quot;id&quot;:&quot;20704bbe-7eb4-3727-b47c-9f459be220b5&quot;,&quot;title&quot;:&quot;Is the relation between nutrient supply and biodiversity co-determined by the type of nutrient limitation?&quot;,&quot;author&quot;:[{&quot;family&quot;:&quot;Aerts&quot;,&quot;given&quot;:&quot;Rien&quot;,&quot;parse-names&quot;:false,&quot;dropping-particle&quot;:&quot;&quot;,&quot;non-dropping-particle&quot;:&quot;&quot;},{&quot;family&quot;:&quot;Caluwe&quot;,&quot;given&quot;:&quot;H&quot;,&quot;parse-names&quot;:false,&quot;dropping-particle&quot;:&quot;&quot;,&quot;non-dropping-particle&quot;:&quot;De&quot;},{&quot;family&quot;:&quot;Beltman&quot;,&quot;given&quot;:&quot;B&quot;,&quot;parse-names&quot;:false,&quot;dropping-particle&quot;:&quot;&quot;,&quot;non-dropping-particle&quot;:&quot;&quot;}],&quot;container-title&quot;:&quot;Oikos&quot;,&quot;DOI&quot;:&quot;10.1034/j.1600-0706.2003.12223.x&quot;,&quot;ISSN&quot;:&quot;00301299&quot;,&quot;issued&quot;:{&quot;date-parts&quot;:[[2003]]},&quot;page&quot;:&quot;489-498&quot;,&quot;abstract&quot;:&quot;Correlative studies have shown a 'hump-backed' relation between the vegetation N:P ratio and plant species diversity with the highest diversity at balanced N:P ratios (between 10 and 14). We tested the hypothesis that adding growth-limiting nutrients to mesotrophic grasslands that were in shortage of either N (N:P ratio &lt; 10) or P (N:P ratio &gt; 14) would lead to an increase of plant diversity. Thereto, we studied the effects of long-term (11 yr) experimentally increased N and/or P supply on soil nutrient pools, vegetation nutrient dynamics and biodiversity in a riverine grassland in the Netherlands with a low soil N:P ratio (N shortage) and a peat grassland with a high soil N:P ratio (P shortage), respectively. Eleven years of nutrient addition hardly had any effects on the total stocks of C, N and P in the soils of both sites, due to the large size of the soil nutrient pools already present and to the management at both sites (annual hay-making and -removal). However, in the riverine grassland the treatments increased the cycling of the small pool of labile N and P compounds resulting in large increases in annual fluxes of especially N. In the unfertilised controls, species establishments balanced more or less species losses during an 11 year period, thus leading to a dynamic equilibrium of the species pool. However, contrary to our hypothesis, addition of the growth-limiting nutrient led at both sites to a reduction of species diversity even when total biomass remained below critical levels. Species diversity and species evenness were strongly determined by N mineralisation and to a lesser extent by total soil N and extractable P, respectively. Total above-ground biomass of the vegetation was determined by total soil N. Our study shows that patterns found in correlative studies of the relation between plant diversity and soil and vegetation N:P ratio can not be translated into successful experimental manipulations to enhance biodiversity. The most likely explanation is that colonization limitation occurred in the fertilized plots and that not sufficient diaspores of potentially new species could reach and/or colonize the plots to compensate for the species extinctions as a result of increased nutrient supply.&quot;,&quot;issue&quot;:&quot;3&quot;,&quot;volume&quot;:&quot;101&quot;,&quot;container-title-short&quot;:&quot;&quot;},&quot;isTemporary&quot;:false}]},{&quot;citationID&quot;:&quot;MENDELEY_CITATION_2833b421-9cef-486d-bccc-e0351ba205a5&quot;,&quot;properties&quot;:{&quot;noteIndex&quot;:0},&quot;isEdited&quot;:false,&quot;manualOverride&quot;:{&quot;isManuallyOverridden&quot;:false,&quot;citeprocText&quot;:&quot;(Arens et al., 2008)&quot;,&quot;manualOverrideText&quot;:&quot;&quot;},&quot;citationTag&quot;:&quot;MENDELEY_CITATION_v3_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&quot;,&quot;citationItems&quot;:[{&quot;id&quot;:&quot;18915bfd-8fa9-3741-aa7e-489481401749&quot;,&quot;itemData&quot;:{&quot;type&quot;:&quot;article-journal&quot;,&quot;id&quot;:&quot;18915bfd-8fa9-3741-aa7e-489481401749&quot;,&quot;title&quot;:&quot;Nonlinear responses to nitrogen and strong interactions with nitrogen and phosphorus additions drastically alter the structure and function of a high arctic ecosystem&quot;,&quot;author&quot;:[{&quot;family&quot;:&quot;Arens&quot;,&quot;given&quot;:&quot;Seth J T&quot;,&quot;parse-names&quot;:false,&quot;dropping-particle&quot;:&quot;&quot;,&quot;non-dropping-particle&quot;:&quot;&quot;},{&quot;family&quot;:&quot;Sullivan&quot;,&quot;given&quot;:&quot;Patrick F&quot;,&quot;parse-names&quot;:false,&quot;dropping-particle&quot;:&quot;&quot;,&quot;non-dropping-particle&quot;:&quot;&quot;},{&quot;family&quot;:&quot;Welker&quot;,&quot;given&quot;:&quot;Jeffrey M&quot;,&quot;parse-names&quot;:false,&quot;dropping-particle&quot;:&quot;&quot;,&quot;non-dropping-particle&quot;:&quot;&quot;}],&quot;container-title&quot;:&quot;Journal of Geophysical Research: Biogeosciences&quot;,&quot;container-title-short&quot;:&quot;J Geophys Res Biogeosci&quot;,&quot;DOI&quot;:&quot;10.1029/2007JG000508&quot;,&quot;ISSN&quot;:&quot;01480227&quot;,&quot;issued&quot;:{&quot;date-parts&quot;:[[2008]]},&quot;page&quot;:&quot;1-10&quot;,&quot;abstract&quot;:&quot;Significant changes in ecosystem CO2 exchange and vegetation characteristics were observed following multiple additions of nitrogen (N) and factorial additions of N and phosphorus (P) to prostrate dwarf-shrub, herb tundra in Northwest Greenland. Ecosystem CO2 exchange and vegetation cover and composition were very sensitive to low rates of N inputs (0.5 g m -2 y-1), indicating that even low rates of atmospheric N deposition may alter high arctic ecosystem structure and function. Increasing N addition from 1 to 5 g N m-2 y-1 did not alter CO 2 exchange or vegetation characteristics, suggesting the ecosystem had become N saturated. Factorial additions of both N and P released the ecosystem from N saturation and dramatically increased gross ecosystem photosynthesis (+500%) and ecosystem respiration (+250%), such that the ecosystem switched from a small source of CO2 to a small sink for CO2 at midday during the 2005 growing season. Changes in the component fluxes of CO2 exchange were largely explained by a doubling of the normalized difference vegetation index, a 100% increase in vascular plant cover and dramatic increases in the abundance of several previously rare grass species. Our results clearly demonstrate that high arctic prostrate dwarf-shrub, herb tundra is highly sensitive to low levels of N addition and that future increases in N deposition or N mineralization will likely lead to change in carbon cycling and vegetation characteristics, but the magnitude of the response will be constrained by P availability Copyright 2008 by The American Geophysical Union.&quot;,&quot;issue&quot;:&quot;3&quot;,&quot;volume&quot;:&quot;113&quot;},&quot;isTemporary&quot;:false}]},{&quot;citationID&quot;:&quot;MENDELEY_CITATION_65d2a218-e39d-45c1-bf81-39189bfc5bb1&quot;,&quot;properties&quot;:{&quot;noteIndex&quot;:0},&quot;isEdited&quot;:false,&quot;manualOverride&quot;:{&quot;isManuallyOverridden&quot;:false,&quot;citeprocText&quot;:&quot;(Augustine et al., 2003)&quot;,&quot;manualOverrideText&quot;:&quot;&quot;},&quot;citationTag&quot;:&quot;MENDELEY_CITATION_v3_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&quot;,&quot;citationItems&quot;:[{&quot;id&quot;:&quot;7f1b6d68-4396-3999-b8ef-53cc23f2be2f&quot;,&quot;itemData&quot;:{&quot;type&quot;:&quot;article-journal&quot;,&quot;id&quot;:&quot;7f1b6d68-4396-3999-b8ef-53cc23f2be2f&quot;,&quot;title&quot;:&quot;Feedbacks between soil nutrients and large herbivores in a managed savanna ecosystem&quot;,&quot;author&quot;:[{&quot;family&quot;:&quot;Augustine&quot;,&quot;given&quot;:&quot;David J&quot;,&quot;parse-names&quot;:false,&quot;dropping-particle&quot;:&quot;&quot;,&quot;non-dropping-particle&quot;:&quot;&quot;},{&quot;family&quot;:&quot;McNaughton&quot;,&quot;given&quot;:&quot;Samuel J&quot;,&quot;parse-names&quot;:false,&quot;dropping-particle&quot;:&quot;&quot;,&quot;non-dropping-particle&quot;:&quot;&quot;},{&quot;family&quot;:&quot;Frank&quot;,&quot;given&quot;:&quot;Douglas A&quot;,&quot;parse-names&quot;:false,&quot;dropping-particle&quot;:&quot;&quot;,&quot;non-dropping-particle&quot;:&quot;&quot;}],&quot;container-title&quot;:&quot;Ecological Applications&quot;,&quot;DOI&quot;:&quot;10.1890/02-5283&quot;,&quot;ISSN&quot;:&quot;10510761&quot;,&quot;issued&quot;:{&quot;date-parts&quot;:[[2003]]},&quot;page&quot;:&quot;1325-1337&quot;,&quot;abstract&quot;:&quot;Small-scale fertilization experiments have shown that soil nutrients limit plant productivity in many semiarid grasslands and savannas, but linkages among nutrients, grasses, and grazers are rarely studied in an ecosystem context. We used hectare-scale heterogeneity in soil nutrients created by cattle management practices within a geologically homogeneous savanna to examine relationships among soil nitrogen and phosphorus, above-ground net primary production (ANPP), grass nutrient content, and a mixed community of native and domestic herbivores on central Kenyan rangeland. Increasing soil N and P content was consistently associated with increasing plant productivity and rainfall use efficiency in wet, dry, and drought years. A fertilization experiment and analyses of grass N:P ratios across sites indicated that N is the primary limiting nutrient on nutrient-rich glades, whereas N and P co-limit productivity on nutrient-poor bushland sites. Variation in ANPP among patches within the landscape was linearly correlated with consumption rates of large herbivores. Grazing pressure was consistently high (&gt;60% of ANPP) at all but one site in a dry year (1999), and was greater in nutrient-rich glades (73 ± 4% of ANPP) than in nutrient-poor bushland sites (43 ± 7% of ANPP) in a wet year (2001). Grasses of nutrient-rich sites contained sufficient P concentrations to meet requirements for pregnant and lactating ungulates, whereas grasses in nutrient-poor swards were P deficient. Even though native and domestic herbivores selectively used and intensively grazed nutrient-rich sites, productivity on these sites remained high throughout the study. Analyses of nitrogen budgets for nutrient-rich and nutrient-poor sites showed that large herbivores themselves caused a net N input to the former and a net N loss from the latter. Thus, large herbivores not only respond to heterogeneity in soil and plant nutrients across the landscape, but also play a role in maintaining the N-enriched status of highly productive and intensively grazed sites.&quot;,&quot;issue&quot;:&quot;5&quot;,&quot;volume&quot;:&quot;13&quot;,&quot;container-title-short&quot;:&quot;&quot;},&quot;isTemporary&quot;:false}]},{&quot;citationID&quot;:&quot;MENDELEY_CITATION_1f124d5a-e6ec-465e-94c2-0a589bc98ab3&quot;,&quot;properties&quot;:{&quot;noteIndex&quot;:0},&quot;isEdited&quot;:false,&quot;manualOverride&quot;:{&quot;isManuallyOverridden&quot;:false,&quot;citeprocText&quot;:&quot;(Aydin &amp;#38; Uzun, 2005)&quot;,&quot;manualOverrideText&quot;:&quot;&quot;},&quot;citationTag&quot;:&quot;MENDELEY_CITATION_v3_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&quot;,&quot;citationItems&quot;:[{&quot;id&quot;:&quot;b06c380c-1dbb-3d7a-a2bb-174699786c27&quot;,&quot;itemData&quot;:{&quot;type&quot;:&quot;article-journal&quot;,&quot;id&quot;:&quot;b06c380c-1dbb-3d7a-a2bb-174699786c27&quot;,&quot;title&quot;:&quot;Nitrogen and phosphorus fertilization of rangelands affects yield, forage quality and the botanical composition&quot;,&quot;author&quot;:[{&quot;family&quot;:&quot;Aydin&quot;,&quot;given&quot;:&quot;I&quot;,&quot;parse-names&quot;:false,&quot;dropping-particle&quot;:&quot;&quot;,&quot;non-dropping-particle&quot;:&quot;&quot;},{&quot;family&quot;:&quot;Uzun&quot;,&quot;given&quot;:&quot;F&quot;,&quot;parse-names&quot;:false,&quot;dropping-particle&quot;:&quot;&quot;,&quot;non-dropping-particle&quot;:&quot;&quot;}],&quot;container-title&quot;:&quot;European Journal of Agronomy&quot;,&quot;DOI&quot;:&quot;10.1016/j.eja.2004.08.001&quot;,&quot;ISSN&quot;:&quot;11610301&quot;,&quot;issued&quot;:{&quot;date-parts&quot;:[[2005]]},&quot;page&quot;:&quot;8-14&quot;,&quot;abstract&quot;:&quot;Nitrogen fertilization of rangelands in order to increase dry matter yield results in a decrease in legume ratios in botanical composition, which reduces forage quality. The objectives of the present study therefore were to investigate whether this negative effect of N fertilization on forage quality can be compensated by additional P application and also to determine the optimum fertilizer doses in rangelands to obtain economical benefits. Therefore, 0, 60, 120, 180 kg N ha-1 and 0, 26, 52 kg P ha-1 fertilizer rates were applied each year over a period of 3 years to 12 plots within each of 4 blocks. Botanical composition of the plots was determined and classified as grass, legumes and others for each treatment group based on dry weights. Dry matter yield, crude protein concentration and crude protein yield in treatment groups for each year were determined. Consequently, averaged over the 3 years of experimental period, nitrogen fertilizer increased the dry matter yield. The dry matter yield was 1467 kg ha-1 in control plot, while it increased up to 3293 kg ha-1 in plot applied with 180 kg N ha-1 without P. Nitrogen fertilization slightly decreased the crude protein concentration in the forage dry matter from 120 g kg-1 in the non-fertilized control to 103-116 g kg-1 in the plots fertilized only with nitrogen. This effect can be explained by the observation that the nitrogen fertilization resulted in a decline of the legume proportion from 47% in the non-fertilized control to 5% with the highest N rate. The protein concentration in legume plants was always considerably higher than that in the grass and other species. Applying additional phosphorus compensated this negative effect of the nitrogen fertilization on the forage quality in terms of protein concentration. The economic optimum was found with the highest fertilizer doses providing 52 kg P ha-1 + 180 kg N ha-1 producing 4810 kg ha-1 forage dry matter with a crude protein concentration of 124 g kg-1 and legume proportion of 12%. © 2004 Elsevier B.V. All rights reserved.&quot;,&quot;issue&quot;:&quot;1&quot;,&quot;volume&quot;:&quot;23&quot;,&quot;container-title-short&quot;:&quot;&quot;},&quot;isTemporary&quot;:false}]},{&quot;citationID&quot;:&quot;MENDELEY_CITATION_5b513d75-e08d-41fd-ad88-544be65dcd4e&quot;,&quot;properties&quot;:{&quot;noteIndex&quot;:0},&quot;isEdited&quot;:false,&quot;manualOverride&quot;:{&quot;isManuallyOverridden&quot;:false,&quot;citeprocText&quot;:&quot;(Bennett &amp;#38; Adams, 2001)&quot;,&quot;manualOverrideText&quot;:&quot;&quot;},&quot;citationTag&quot;:&quot;MENDELEY_CITATION_v3_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&quot;,&quot;citationItems&quot;:[{&quot;id&quot;:&quot;c766e3cb-eaba-3b81-9ff0-9d850b8d9e7a&quot;,&quot;itemData&quot;:{&quot;type&quot;:&quot;article-journal&quot;,&quot;id&quot;:&quot;c766e3cb-eaba-3b81-9ff0-9d850b8d9e7a&quot;,&quot;title&quot;:&quot;Response of a perennial grassland to nitrogen and phosphorus additions in sub-tropical, semi-arid Australia&quot;,&quot;author&quot;:[{&quot;family&quot;:&quot;Bennett&quot;,&quot;given&quot;:&quot;Lauren T&quot;,&quot;parse-names&quot;:false,&quot;dropping-particle&quot;:&quot;&quot;,&quot;non-dropping-particle&quot;:&quot;&quot;},{&quot;family&quot;:&quot;Adams&quot;,&quot;given&quot;:&quot;Mark A&quot;,&quot;parse-names&quot;:false,&quot;dropping-particle&quot;:&quot;&quot;,&quot;non-dropping-particle&quot;:&quot;&quot;}],&quot;container-title&quot;:&quot;Journal of Arid Environments&quot;,&quot;container-title-short&quot;:&quot;J Arid Environ&quot;,&quot;DOI&quot;:&quot;10.1006/jare.2000.0759&quot;,&quot;ISSN&quot;:&quot;01401963&quot;,&quot;issued&quot;:{&quot;date-parts&quot;:[[2001]]},&quot;page&quot;:&quot;289-308&quot;,&quot;abstract&quot;:&quot;Soils of arid and semi-arid Australia are typically low in both N and P relative to arid zones elsewhere. We examined relative limitations of N and P on productivity of two native perennial grasslands of sub-tropical, semi-arid, north-west Australia. Effects of single and combined additions of N (50 kg ha-1) and P (25 kg ha-1) on growth and plant nutrients were documented over 2 years. Addition of N alone significantly increased total cover, above-ground biomass, N concentrations and N content, in the first year following above-average summer rains. These effects persisted into the second growing season but were of reduced magnitude. Addition of P alone increased P concentrations and aboveground P content but had negligible effects on biomass, indicating luxury consumption. Combined addition of N and P had similar effects to addition of N alone, strengthening the argument that N and not P was limiting to growth. Nitrogen limitation was clearly indicated by low N to P ratios (&lt;7) in aboveground plant components. © 2001 Academic Press.&quot;,&quot;issue&quot;:&quot;3&quot;,&quot;volume&quot;:&quot;48&quot;},&quot;isTemporary&quot;:false}]},{&quot;citationID&quot;:&quot;MENDELEY_CITATION_f124e865-7f54-4bee-99da-e8b60ed4954a&quot;,&quot;properties&quot;:{&quot;noteIndex&quot;:0},&quot;isEdited&quot;:false,&quot;manualOverride&quot;:{&quot;isManuallyOverridden&quot;:false,&quot;citeprocText&quot;:&quot;(Blanke et al., 2012)&quot;,&quot;manualOverrideText&quot;:&quot;&quot;},&quot;citationTag&quot;:&quot;MENDELEY_CITATION_v3_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&quot;,&quot;citationItems&quot;:[{&quot;id&quot;:&quot;1243a627-f2a6-39f4-95ff-958c3d28a63c&quot;,&quot;itemData&quot;:{&quot;type&quot;:&quot;article-journal&quot;,&quot;id&quot;:&quot;1243a627-f2a6-39f4-95ff-958c3d28a63c&quot;,&quot;title&quot;:&quot;Nitrogen deposition effects on subalpine grassland: The role of nutrient limitations and changes in mycorrhizal abundance&quot;,&quot;author&quot;:[{&quot;family&quot;:&quot;Blanke&quot;,&quot;given&quot;:&quot;Verena&quot;,&quot;parse-names&quot;:false,&quot;dropping-particle&quot;:&quot;&quot;,&quot;non-dropping-particle&quot;:&quot;&quot;},{&quot;family&quot;:&quot;Bassin&quot;,&quot;given&quot;:&quot;Seraina&quot;,&quot;parse-names&quot;:false,&quot;dropping-particle&quot;:&quot;&quot;,&quot;non-dropping-particle&quot;:&quot;&quot;},{&quot;family&quot;:&quot;Volk&quot;,&quot;given&quot;:&quot;Matthias&quot;,&quot;parse-names&quot;:false,&quot;dropping-particle&quot;:&quot;&quot;,&quot;non-dropping-particle&quot;:&quot;&quot;},{&quot;family&quot;:&quot;Fuhrer&quot;,&quot;given&quot;:&quot;Jürg&quot;,&quot;parse-names&quot;:false,&quot;dropping-particle&quot;:&quot;&quot;,&quot;non-dropping-particle&quot;:&quot;&quot;}],&quot;container-title&quot;:&quot;Acta Oecologica&quot;,&quot;DOI&quot;:&quot;10.1016/j.actao.2012.09.002&quot;,&quot;ISSN&quot;:&quot;1146609X&quot;,&quot;URL&quot;:&quot;http://dx.doi.org/10.1016/j.actao.2012.09.002&quot;,&quot;issued&quot;:{&quot;date-parts&quot;:[[2012]]},&quot;page&quot;:&quot;57-65&quot;,&quot;abstract&quot;:&quot;To better understand how increasing atmospheric nitrogen (N) deposition may affect subalpine grassland, we carried out a nutrient addition experiment in the Swiss Alps.N addition (+N) was combined with phosphorus (P) addition (+P) to determine nutrient limitations in plant functional groups. To examine responses of arbuscular mycorrhizal fungi (AMF) and AMF effects on plant growth, in-growth cores containing local plant species (phytometers) were inserted, and in half of them the external mycelium was disrupted weekly to impede mycorrhizal functioning. At harvest, aboveground biomass and element concentrations of the established vegetation were measured, as well as phytometer shoot and root mass, and the percentage of root length colonized (%RLC) by AMF.Only productivity of grasses increased under +N and +P, while other groups showed no or negative growth responses. +P decreased %RLC in all phytometers, whereas +N increased %RLC in the most abundant grass species, and reduced the relative abundance of arbuscules to total intraradical mycelium in the other species. Weekly destruction of the external mycelium reduced %RLC in most species, but did not affect plant biomass.The results suggest that increased N deposition in such N- and P-co-limited grassland will lead to shifts in plant functional group composition due to differences in the plants' nutrient demand, that +N will affect AMF abundance and mutualistic functioning, but that changes in AMF abundance may not considerably affect plant growth. © 2012 Elsevier Masson SAS.&quot;,&quot;publisher&quot;:&quot;Elsevier Masson SAS&quot;,&quot;volume&quot;:&quot;45&quot;,&quot;container-title-short&quot;:&quot;&quot;},&quot;isTemporary&quot;:false}]},{&quot;citationID&quot;:&quot;MENDELEY_CITATION_01881c6c-9a2a-4c32-bcb4-e65542576ed0&quot;,&quot;properties&quot;:{&quot;noteIndex&quot;:0},&quot;isEdited&quot;:false,&quot;manualOverride&quot;:{&quot;isManuallyOverridden&quot;:false,&quot;citeprocText&quot;:&quot;(Boeye et al., 1997)&quot;,&quot;manualOverrideText&quot;:&quot;&quot;},&quot;citationTag&quot;:&quot;MENDELEY_CITATION_v3_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&quot;,&quot;citationItems&quot;:[{&quot;id&quot;:&quot;f2cfa3a8-6222-362f-9496-36234334cefe&quot;,&quot;itemData&quot;:{&quot;type&quot;:&quot;article-journal&quot;,&quot;id&quot;:&quot;f2cfa3a8-6222-362f-9496-36234334cefe&quot;,&quot;title&quot;:&quot;Nutrient limitation in species‐rich lowland fens&quot;,&quot;author&quot;:[{&quot;family&quot;:&quot;Boeye&quot;,&quot;given&quot;:&quot;Dirk&quot;,&quot;parse-names&quot;:false,&quot;dropping-particle&quot;:&quot;&quot;,&quot;non-dropping-particle&quot;:&quot;&quot;},{&quot;family&quot;:&quot;Verhagen&quot;,&quot;given&quot;:&quot;Bart&quot;,&quot;parse-names&quot;:false,&quot;dropping-particle&quot;:&quot;&quot;,&quot;non-dropping-particle&quot;:&quot;&quot;},{&quot;family&quot;:&quot;Haesebroeck&quot;,&quot;given&quot;:&quot;Véronique&quot;,&quot;parse-names&quot;:false,&quot;dropping-particle&quot;:&quot;&quot;,&quot;non-dropping-particle&quot;:&quot;Van&quot;},{&quot;family&quot;:&quot;Verheyen&quot;,&quot;given&quot;:&quot;Rudolf F.&quot;,&quot;parse-names&quot;:false,&quot;dropping-particle&quot;:&quot;&quot;,&quot;non-dropping-particle&quot;:&quot;&quot;}],&quot;container-title&quot;:&quot;Journal of Vegetation Science&quot;,&quot;DOI&quot;:&quot;10.2307/3237333&quot;,&quot;ISSN&quot;:&quot;1100-9233&quot;,&quot;issued&quot;:{&quot;date-parts&quot;:[[1997]]},&quot;page&quot;:&quot;415-424&quot;,&quot;abstract&quot;:&quot; Abstract. Nitrogen, phosphorus and potassium were supplied to some Belgian fens of varying nutrient status and productivity. Plant growth in the lowest productive fen with a species‐rich Caricion davallianae vegetation was strongly P‐limited. N was ineffective when applied alone, but increased the effect of P‐addition when applied together. Summer biomass and plant nutrient concentrations were monitored for four years, and showed partial recovery of nutrient limitation. In a more productive fen dominated by Carex lasiocarpa and in a fen meadow, nutrient limitation was less strong. N limited growth in the productive fen, and N and K were co‐limiting in the fen meadow. The P‐concentration in the productive fen vegetation showed a marked increase after P‐fertilization, but it did not result in higher standing crop. The significance of P‐limitation for the conservation of species rich low productive fens is discussed. P‐limitation may be an essential feature in the conservation of low productive rich fens: because it is less mobile in the landscape than N and/or because it is an intrinsic property of this vegetation type. Plant nutrient concentrations and N:P‐ratios may be used as an indication for the presence and type of nutrient limitation in the vegetation. We found N:P‐ratios of 23 to 31 for a P‐limited site and 8 to 15 in N‐limited sites. This was in agreement with critical values from the literature: N:P &gt; ca. 20 for P‐limitation and N:P &lt; 14 for N‐limitation. Thus, this technique appears valid in the vegetation types that were studied here. &quot;,&quot;issue&quot;:&quot;3&quot;,&quot;volume&quot;:&quot;8&quot;,&quot;container-title-short&quot;:&quot;&quot;},&quot;isTemporary&quot;:false}]},{&quot;citationID&quot;:&quot;MENDELEY_CITATION_05024bbd-3df7-4d36-bb3d-65b96c3c22cc&quot;,&quot;properties&quot;:{&quot;noteIndex&quot;:0},&quot;isEdited&quot;:false,&quot;manualOverride&quot;:{&quot;isManuallyOverridden&quot;:false,&quot;citeprocText&quot;:&quot;(Borer et al., 2014)&quot;,&quot;manualOverrideText&quot;:&quot;&quot;},&quot;citationTag&quot;:&quot;MENDELEY_CITATION_v3_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&quot;,&quot;citationItems&quot;:[{&quot;id&quot;:&quot;2cfc604f-a352-34f0-a6e3-83f39e5e9e63&quot;,&quot;itemData&quot;:{&quot;type&quot;:&quot;article-journal&quot;,&quot;id&quot;:&quot;2cfc604f-a352-34f0-a6e3-83f39e5e9e63&quot;,&quot;title&quot;:&quot;Multiple nutrients and herbivores interact to govern diversity, productivity, composition, and infection in a successional grassland&quot;,&quot;author&quot;:[{&quot;family&quot;:&quot;Borer&quot;,&quot;given&quot;:&quot;Elizabeth T&quot;,&quot;parse-names&quot;:false,&quot;dropping-particle&quot;:&quot;&quot;,&quot;non-dropping-particle&quot;:&quot;&quot;},{&quot;family&quot;:&quot;Seabloom&quot;,&quot;given&quot;:&quot;Eric W&quot;,&quot;parse-names&quot;:false,&quot;dropping-particle&quot;:&quot;&quot;,&quot;non-dropping-particle&quot;:&quot;&quot;},{&quot;family&quot;:&quot;Mitchell&quot;,&quot;given&quot;:&quot;Charles E&quot;,&quot;parse-names&quot;:false,&quot;dropping-particle&quot;:&quot;&quot;,&quot;non-dropping-particle&quot;:&quot;&quot;},{&quot;family&quot;:&quot;Cronin&quot;,&quot;given&quot;:&quot;James P&quot;,&quot;parse-names&quot;:false,&quot;dropping-particle&quot;:&quot;&quot;,&quot;non-dropping-particle&quot;:&quot;&quot;}],&quot;container-title&quot;:&quot;Oikos&quot;,&quot;DOI&quot;:&quot;10.1111/j.1600-0706.2013.00680.x&quot;,&quot;ISSN&quot;:&quot;00301299&quot;,&quot;issued&quot;:{&quot;date-parts&quot;:[[2014]]},&quot;page&quot;:&quot;214-224&quot;,&quot;abstract&quot;:&quot;In spite of increasing awareness that interactions between herbivory and the supply rates of multiple nutrients control biodiversity, ecosystem functions and ecosystem services in ecological communities, few experimental studies have concurrently examined the independent and joint effects of multiple nutrients and mammalian consumers on these responses in natural systems. Here we quantify the independent and interactive effects of multiple concurrent changes to resources and consumers in an invaded annual grassland community in California. In a two-year study using thirty-seven 400-m2 plots, we examine interactions among four nutrient treatments (N, P, K and micronutrients) and a keystone herbivore (pocket gopher Thomomys bottae) on four plant community outcomes: 1) plant diversity, 2) functional group composition, 3) net biomass production, an important ecosystem function, and 4) infection risk by a group of viral pathogens shared by crop and non-crop grasses (barley and cereal yellow dwarf viruses), an important regulating ecosystem service. We found that grassland biodiversity and infection risk were controlled by nutrient identity and supply ratio whereas nutrients interacted strongly with consumers to control grassland composition and net primary productivity. The most important insights arising from this multi-factor experiment are that net biomass production increased with phosphorus or nitrogen supply; however, when gophers were present, nitrogen caused no net effect on biomass production. In addition, infection risk was driven by phosphorus, nitrogen and micronutrient supply. Infection in a sentinel host increased strongly with the addition of micronutrients or phosphorus; however, infection declined with increasing N/P supply ratio, indicating stoichiometric control of infection risk. Finally, in spite of manipulating multiple factors, plant species richness declined with nitrogen, alone. The importance of higher-order interactions demonstrates that a multi-factor approach is critical for effective predictions in a world in which anthropogenic activities are simultaneously changing herbivore abundance and the relative supply of many nutrients. © 2013 The Authors.&quot;,&quot;issue&quot;:&quot;2&quot;,&quot;volume&quot;:&quot;123&quot;,&quot;container-title-short&quot;:&quot;&quot;},&quot;isTemporary&quot;:false}]},{&quot;citationID&quot;:&quot;MENDELEY_CITATION_6f8fd94e-ae4f-4f45-98c7-3a4781afe4f9&quot;,&quot;properties&quot;:{&quot;noteIndex&quot;:0},&quot;isEdited&quot;:false,&quot;manualOverride&quot;:{&quot;isManuallyOverridden&quot;:false,&quot;citeprocText&quot;:&quot;(Bowman et al., 1993)&quot;,&quot;manualOverrideText&quot;:&quot;&quot;},&quot;citationTag&quot;:&quot;MENDELEY_CITATION_v3_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&quot;,&quot;citationItems&quot;:[{&quot;id&quot;:&quot;5a424a4c-7a58-3d47-9ee3-5fd68d861d36&quot;,&quot;itemData&quot;:{&quot;type&quot;:&quot;article-journal&quot;,&quot;id&quot;:&quot;5a424a4c-7a58-3d47-9ee3-5fd68d861d36&quot;,&quot;title&quot;:&quot;Constraints of Nutrient Availability on Primary Production in Two Alpine Tundra Communities&quot;,&quot;author&quot;:[{&quot;family&quot;:&quot;Bowman&quot;,&quot;given&quot;:&quot;William D&quot;,&quot;parse-names&quot;:false,&quot;dropping-particle&quot;:&quot;&quot;,&quot;non-dropping-particle&quot;:&quot;&quot;},{&quot;family&quot;:&quot;Theodose&quot;,&quot;given&quot;:&quot;Theresa A&quot;,&quot;parse-names&quot;:false,&quot;dropping-particle&quot;:&quot;&quot;,&quot;non-dropping-particle&quot;:&quot;&quot;},{&quot;family&quot;:&quot;Schardt&quot;,&quot;given&quot;:&quot;James C&quot;,&quot;parse-names&quot;:false,&quot;dropping-particle&quot;:&quot;&quot;,&quot;non-dropping-particle&quot;:&quot;&quot;},{&quot;family&quot;:&quot;Conant&quot;,&quot;given&quot;:&quot;Richard T&quot;,&quot;parse-names&quot;:false,&quot;dropping-particle&quot;:&quot;&quot;,&quot;non-dropping-particle&quot;:&quot;&quot;}],&quot;container-title&quot;:&quot;Ecology&quot;,&quot;container-title-short&quot;:&quot;Ecology&quot;,&quot;DOI&quot;:&quot;10.2307/1940854&quot;,&quot;ISSN&quot;:&quot;0012-9658&quot;,&quot;URL&quot;:&quot;https://esajournals.onlinelibrary.wiley.com/doi/10.2307/1940854&quot;,&quot;issued&quot;:{&quot;date-parts&quot;:[[1993,10]]},&quot;page&quot;:&quot;2085-2097&quot;,&quot;abstract&quot;:&quot;A nutrient amendment experiment was conducted for two growing seasons in two alpine tundra communities to test the hypotheses that: (1) primary production is limited by nutrient availability, and (2) physiological and developmental constraints act to limit the responses of plants from a nutrient—poor community more than plants from a more nutrient—rich community to increases in nutrient availability. Experimental treatments consisted of N, P, and N + P amendments applied to plots in two physiognomically similar communities, dry and wet meadows. Extractable N and P from soils in nonfertilized control plots indicated that the wet meadow had higher N and P availability. Photosynthetic, nutrient uptake, and growth responses of the dominants in the two communities showed little difference in the relative capacity of these plants to respond to the nutrient additions. Aboveground production responses of the communities to the treatments indicated N availability was limiting to production in the dry meadow community while N and P availability colimited production in the wet meadow community. There was a greater production response to the N and N + P amendments in the dry meadow relative to the wet meadow, despite equivalent functional responses of the dominant species of both communities. The greater production response in the dry meadow was in part related to changes in community structure, with an increase in the proportion of graminoid and forb biomass, and a decrease in the proportion of community biomass made up by the dominant sedge Kobresia myosuroides. Species richness increased significantly in response to the N + P treatment in the dry meadow. Graminoid biomass increased significantly in the wet meadow N and N + P plots, while forb biomass decreased significantly, suggesting a competitive interaction for light. Thus, the difference in community response to nutrient amendments was not the result of functional changes at the leaf level of the dominant species, but rather was related to changes in community structure in the dry meadow, and to a shift from a nutrient to a light limitation of production in the wet meadow.&quot;,&quot;issue&quot;:&quot;7&quot;,&quot;volume&quot;:&quot;74&quot;},&quot;isTemporary&quot;:false}]},{&quot;citationID&quot;:&quot;MENDELEY_CITATION_747d64fe-8e65-4c49-a7f3-f8aaf43e51fc&quot;,&quot;properties&quot;:{&quot;noteIndex&quot;:0},&quot;isEdited&quot;:false,&quot;manualOverride&quot;:{&quot;isManuallyOverridden&quot;:false,&quot;citeprocText&quot;:&quot;(Bown et al., 2007)&quot;,&quot;manualOverrideText&quot;:&quot;&quot;},&quot;citationTag&quot;:&quot;MENDELEY_CITATION_v3_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&quot;,&quot;citationItems&quot;:[{&quot;id&quot;:&quot;39f1f1fb-834a-3a37-b9ae-22bf61206f5f&quot;,&quot;itemData&quot;:{&quot;type&quot;:&quot;article-journal&quot;,&quot;id&quot;:&quot;39f1f1fb-834a-3a37-b9ae-22bf61206f5f&quot;,&quot;title&quot;:&quot;Partititioning concurrent influences of nitrogen and phosphorus supply on photosynthetic model parameters of Pinus radiata&quot;,&quot;author&quot;:[{&quot;family&quot;:&quot;Bown&quot;,&quot;given&quot;:&quot;Horacio E.&quot;,&quot;parse-names&quot;:false,&quot;dropping-particle&quot;:&quot;&quot;,&quot;non-dropping-particle&quot;:&quot;&quot;},{&quot;family&quot;:&quot;Watt&quot;,&quot;given&quot;:&quot;Michael S.&quot;,&quot;parse-names&quot;:false,&quot;dropping-particle&quot;:&quot;&quot;,&quot;non-dropping-particle&quot;:&quot;&quot;},{&quot;family&quot;:&quot;Clinton&quot;,&quot;given&quot;:&quot;Peter W.&quot;,&quot;parse-names&quot;:false,&quot;dropping-particle&quot;:&quot;&quot;,&quot;non-dropping-particle&quot;:&quot;&quot;},{&quot;family&quot;:&quot;Mason&quot;,&quot;given&quot;:&quot;Euan G.&quot;,&quot;parse-names&quot;:false,&quot;dropping-particle&quot;:&quot;&quot;,&quot;non-dropping-particle&quot;:&quot;&quot;},{&quot;family&quot;:&quot;Richardson&quot;,&quot;given&quot;:&quot;Brian&quot;,&quot;parse-names&quot;:false,&quot;dropping-particle&quot;:&quot;&quot;,&quot;non-dropping-particle&quot;:&quot;&quot;}],&quot;container-title&quot;:&quot;Tree Physiology&quot;,&quot;container-title-short&quot;:&quot;Tree Physiol&quot;,&quot;DOI&quot;:&quot;10.1093/treephys/27.3.335&quot;,&quot;ISSN&quot;:&quot;0829318X&quot;,&quot;PMID&quot;:&quot;17241975&quot;,&quot;issued&quot;:{&quot;date-parts&quot;:[[2007]]},&quot;page&quot;:&quot;335-344&quot;,&quot;abstract&quot;:&quot;Responses of photosynthesis (A) to intercellular CO2 concentration (Ci) were measured in a fast- and a slow-growing clone of Pinus radiata D. Don cultivated in a greenhouse with a factorial combination of nitrogen and phosphorus supply. Stomatal limitations scaled with nitrogen and phosphorus supply as a fixed proportion of the light-saturated photosynthetic rate (18.5%) independent of clone. Photosynthetic rates at ambient CO 2 concentration were mainly in the portion of the CO2 response rate that is limited by maximal carboxylation rate (Vcmax) at low-nitrogen supply and at the transition between Vcmax and J max at high-nitrogen supply. Nutrient limitations to photosynthesis were partitioned based on the ratio of foliage nitrogen to phosphorus expressed on a leaf area basis (Na/Pa), by minimizing the mean square error of segmented linear models relating photosynthetic parameters (Vcmax, Jmax, Tp)to foliar nitrogen and phosphorus concentrations. A value of Na/Pa equal to 23 (mole basis) was identified as the threshold separating nitrogen (N a/Pa ≤ 23) from phosphorus (Na/Pa &gt; 23) limitations independent of clones. On an area basis, there were significant positive linear relationships between the parameters, V cmax, Jmax, Tp and Na and P a but only the relationships between Tp and Na and Pa differed significantly between clones. These findings suggest that, in genotypes with contrasting growth, the responses of Vcmax and Jmax to nutrient limitation are equivalent. The relationships between the parameters Vcmax, Jmax, Tp and foliage nutrient concentration on a mass basis were unaffected by clone, because the slow-growing clone had a significantly greater leaf area to mass ratio than the fast-growing clone. These results may be useful in discriminating nitrogen-limited photosynthesis from phosphorus-limited photosynthesis. © 2007 Heron Publishing.&quot;,&quot;issue&quot;:&quot;3&quot;,&quot;volume&quot;:&quot;27&quot;},&quot;isTemporary&quot;:false}]},{&quot;citationID&quot;:&quot;MENDELEY_CITATION_880faed4-9b76-459b-8b98-c6033d3042f4&quot;,&quot;properties&quot;:{&quot;noteIndex&quot;:0},&quot;isEdited&quot;:false,&quot;manualOverride&quot;:{&quot;isManuallyOverridden&quot;:false,&quot;citeprocText&quot;:&quot;(Cárate-Tandalla et al., 2018)&quot;,&quot;manualOverrideText&quot;:&quot;&quot;},&quot;citationTag&quot;:&quot;MENDELEY_CITATION_v3_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&quot;,&quot;citationItems&quot;:[{&quot;id&quot;:&quot;69d539f2-6e95-34f6-8a71-210b3ba4c159&quot;,&quot;itemData&quot;:{&quot;type&quot;:&quot;article-journal&quot;,&quot;id&quot;:&quot;69d539f2-6e95-34f6-8a71-210b3ba4c159&quot;,&quot;title&quot;:&quot;Contrasting species responses to continued nitrogen and phosphorus addition in tropical montane forest tree seedlings&quot;,&quot;author&quot;:[{&quot;family&quot;:&quot;Cárate-Tandalla&quot;,&quot;given&quot;:&quot;Daisy&quot;,&quot;parse-names&quot;:false,&quot;dropping-particle&quot;:&quot;&quot;,&quot;non-dropping-particle&quot;:&quot;&quot;},{&quot;family&quot;:&quot;Camenzind&quot;,&quot;given&quot;:&quot;Tessa&quot;,&quot;parse-names&quot;:false,&quot;dropping-particle&quot;:&quot;&quot;,&quot;non-dropping-particle&quot;:&quot;&quot;},{&quot;family&quot;:&quot;Leuschner&quot;,&quot;given&quot;:&quot;Christoph&quot;,&quot;parse-names&quot;:false,&quot;dropping-particle&quot;:&quot;&quot;,&quot;non-dropping-particle&quot;:&quot;&quot;},{&quot;family&quot;:&quot;Homeier&quot;,&quot;given&quot;:&quot;Jürgen&quot;,&quot;parse-names&quot;:false,&quot;dropping-particle&quot;:&quot;&quot;,&quot;non-dropping-particle&quot;:&quot;&quot;}],&quot;container-title&quot;:&quot;Biotropica&quot;,&quot;container-title-short&quot;:&quot;Biotropica&quot;,&quot;DOI&quot;:&quot;10.1111/btp.12518&quot;,&quot;ISSN&quot;:&quot;17447429&quot;,&quot;issued&quot;:{&quot;date-parts&quot;:[[2018]]},&quot;page&quot;:&quot;234-245&quot;,&quot;abstract&quot;:&quot;Global changes in nutrient deposition rates are likely to have profound effects on plant communities, particularly in the nutrient-limited systems of the tropics. We studied the effects of increased nutrient availability on the seedlings of six tree species in montane forests of southern Ecuador in situ. After five years of continued N, P, or N+P addition, naturally grown seedlings of each of the two most common species at each elevation (1000, 2000, and 3000 m asl) were harvested for analyses of leaf morphology, nutrient content, herbivory, and tissue biomass allocation. Most species showed increased foliar N and P concentrations after addition of each respective element. Leaf tissue N:P ratios of &gt;20 in the control plants of all species suggest that P is more growth-limiting in these forests than N. Leaf morphological responses to nutrient addition were species and nutrient specific, with some species (Hedyosmum purparescens, Graffenrieda emarginata) exhibiting increased specific leaf area (SLA), and others (Graffenrieda harlingii) increased leaf area ratios (LAR). Pouteria torta (1000 m) had lower SLA and LAR after P addition. Increased herbivory was only evident in G. emarginata (after N and N+P addition). Only the species from 3000 m asl modified biomass allocation after nutrient addition. In general, N and N+P addition more strongly affected the species studied at the upper elevations, whereas P addition had a similar range of effects on the species at all elevations. We conclude that the responses of the studied tropical montane forest tree seedlings to chronic N and P addition are highly species-specific and that successful adaptation to increased nutrient availability will depend on species-specific morphological and physiological plasticity.&quot;,&quot;issue&quot;:&quot;2&quot;,&quot;volume&quot;:&quot;50&quot;},&quot;isTemporary&quot;:false}]},{&quot;citationID&quot;:&quot;MENDELEY_CITATION_bf637917-d880-4f2c-8198-36b87de6e0c1&quot;,&quot;properties&quot;:{&quot;noteIndex&quot;:0},&quot;isEdited&quot;:false,&quot;manualOverride&quot;:{&quot;isManuallyOverridden&quot;:false,&quot;citeprocText&quot;:&quot;(Carswell et al., 2005)&quot;,&quot;manualOverrideText&quot;:&quot;&quot;},&quot;citationTag&quot;:&quot;MENDELEY_CITATION_v3_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&quot;,&quot;citationItems&quot;:[{&quot;id&quot;:&quot;f5d84226-ecfe-36b8-bc93-095c6bdd2d26&quot;,&quot;itemData&quot;:{&quot;type&quot;:&quot;article-journal&quot;,&quot;id&quot;:&quot;f5d84226-ecfe-36b8-bc93-095c6bdd2d26&quot;,&quot;title&quot;:&quot;Plasticity in photosynthetic response to nutrient supply of seedlings from a mixed conifer-angiosperm forest&quot;,&quot;author&quot;:[{&quot;family&quot;:&quot;Carswell&quot;,&quot;given&quot;:&quot;Fiona E.&quot;,&quot;parse-names&quot;:false,&quot;dropping-particle&quot;:&quot;&quot;,&quot;non-dropping-particle&quot;:&quot;&quot;},{&quot;family&quot;:&quot;Whitehead&quot;,&quot;given&quot;:&quot;David&quot;,&quot;parse-names&quot;:false,&quot;dropping-particle&quot;:&quot;&quot;,&quot;non-dropping-particle&quot;:&quot;&quot;},{&quot;family&quot;:&quot;Rogers&quot;,&quot;given&quot;:&quot;Graeme N.D.&quot;,&quot;parse-names&quot;:false,&quot;dropping-particle&quot;:&quot;&quot;,&quot;non-dropping-particle&quot;:&quot;&quot;},{&quot;family&quot;:&quot;Mcseveny&quot;,&quot;given&quot;:&quot;Tony M.&quot;,&quot;parse-names&quot;:false,&quot;dropping-particle&quot;:&quot;&quot;,&quot;non-dropping-particle&quot;:&quot;&quot;}],&quot;container-title&quot;:&quot;Austral Ecology&quot;,&quot;container-title-short&quot;:&quot;Austral Ecol&quot;,&quot;DOI&quot;:&quot;10.1111/j.1442-9993.2005.01486.x&quot;,&quot;ISSN&quot;:&quot;14429985&quot;,&quot;issued&quot;:{&quot;date-parts&quot;:[[2005]]},&quot;page&quot;:&quot;426-434&quot;,&quot;abstract&quot;:&quot;We measured the plasticity of the response of photosynthesis to nutrient supply in seedlings of the dominant four conifer and broadleaved angiosperm tree species from an indigenous forest in South-westland, New Zealand. We hypothesized that the response of conifers to differing nutrient supply would be less than the response for the angiosperms because of greater adaptation to low fertility conditions. In Prumnopitys ferruginea (D. Don) de Laub. the maximum velocity of electron transport, Jmax, doubled with a 10-fold increase in concentration of nitrogen supply. In Dacrydium cupressinum Lamb. the maximum velocity of carboxylation, Vcmax, doubled with a 10-fold increase in phosphorus supply. In contrast, photosynthetic capacity for the angiosperm species Weinmannia racemosa L.f. was affected only by the interaction of nitrogen and phosphorus and photosynthetic capacity of Metrosideros umbellata Cav. was not affected by nutrient supply. The response of the conifers to increasing availability of nutrient suggests greater plasticity in photosynthetic capacity, a characteristic not generally associated with adaptation to soil infertility, thus invalidating our hypothesis. Our data suggest that photosynthetic response to nutrient supply cannot be broadly generalized between the two functional groups.&quot;,&quot;issue&quot;:&quot;4&quot;,&quot;volume&quot;:&quot;30&quot;},&quot;isTemporary&quot;:false}]},{&quot;citationID&quot;:&quot;MENDELEY_CITATION_07bc8870-2600-4892-8f45-430d59f519f7&quot;,&quot;properties&quot;:{&quot;noteIndex&quot;:0},&quot;isEdited&quot;:false,&quot;manualOverride&quot;:{&quot;isManuallyOverridden&quot;:false,&quot;citeprocText&quot;:&quot;(Chen et al., 2020)&quot;,&quot;manualOverrideText&quot;:&quot;&quot;},&quot;citationTag&quot;:&quot;MENDELEY_CITATION_v3_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&quot;,&quot;citationItems&quot;:[{&quot;id&quot;:&quot;e40c43d5-804a-32b0-bc4c-ac4bec36a699&quot;,&quot;itemData&quot;:{&quot;type&quot;:&quot;article-journal&quot;,&quot;id&quot;:&quot;e40c43d5-804a-32b0-bc4c-ac4bec36a699&quot;,&quot;title&quot;:&quot;Photosynthesis and nutrient-use efficiency in response to N and P addition in three dominant grassland species on the semiarid Loess Plateau&quot;,&quot;author&quot;:[{&quot;family&quot;:&quot;Chen&quot;,&quot;given&quot;:&quot;Z.F.&quot;,&quot;parse-names&quot;:false,&quot;dropping-particle&quot;:&quot;&quot;,&quot;non-dropping-particle&quot;:&quot;&quot;},{&quot;family&quot;:&quot;Xiong&quot;,&quot;given&quot;:&quot;P.F.&quot;,&quot;parse-names&quot;:false,&quot;dropping-particle&quot;:&quot;&quot;,&quot;non-dropping-particle&quot;:&quot;&quot;},{&quot;family&quot;:&quot;Zhou&quot;,&quot;given&quot;:&quot;J.J.&quot;,&quot;parse-names&quot;:false,&quot;dropping-particle&quot;:&quot;&quot;,&quot;non-dropping-particle&quot;:&quot;&quot;},{&quot;family&quot;:&quot;Lai&quot;,&quot;given&quot;:&quot;S.B.&quot;,&quot;parse-names&quot;:false,&quot;dropping-particle&quot;:&quot;&quot;,&quot;non-dropping-particle&quot;:&quot;&quot;},{&quot;family&quot;:&quot;Jian C.X.&quot;,&quot;given&quot;:&quot;&quot;,&quot;parse-names&quot;:false,&quot;dropping-particle&quot;:&quot;&quot;,&quot;non-dropping-particle&quot;:&quot;&quot;},{&quot;family&quot;:&quot;Wang&quot;,&quot;given&quot;:&quot;Z.&quot;,&quot;parse-names&quot;:false,&quot;dropping-particle&quot;:&quot;&quot;,&quot;non-dropping-particle&quot;:&quot;&quot;},{&quot;family&quot;:&quot;Xu&quot;,&quot;given&quot;:&quot;B.C.&quot;,&quot;parse-names&quot;:false,&quot;dropping-particle&quot;:&quot;&quot;,&quot;non-dropping-particle&quot;:&quot;&quot;}],&quot;container-title&quot;:&quot;Photosynthetica&quot;,&quot;container-title-short&quot;:&quot;Photosynthetica&quot;,&quot;DOI&quot;:&quot;10.32615/ps.2020.056&quot;,&quot;ISSN&quot;:&quot;03003604&quot;,&quot;issued&quot;:{&quot;date-parts&quot;:[[2020,9,4]]},&quot;page&quot;:&quot;1028-1039&quot;,&quot;issue&quot;:&quot;4&quot;,&quot;volume&quot;:&quot;58&quot;},&quot;isTemporary&quot;:false}]},{&quot;citationID&quot;:&quot;MENDELEY_CITATION_50e0b6dc-bca8-4188-ac56-61e411eea439&quot;,&quot;properties&quot;:{&quot;noteIndex&quot;:0},&quot;isEdited&quot;:false,&quot;manualOverride&quot;:{&quot;isManuallyOverridden&quot;:false,&quot;citeprocText&quot;:&quot;(Cleland et al., 2019)&quot;,&quot;manualOverrideText&quot;:&quot;&quot;},&quot;citationTag&quot;:&quot;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&quot;,&quot;citationItems&quot;:[{&quot;id&quot;:&quot;16dad6da-42e3-3b2e-ade4-7f9230e738ed&quot;,&quot;itemData&quot;:{&quot;type&quot;:&quot;article-journal&quot;,&quot;id&quot;:&quot;16dad6da-42e3-3b2e-ade4-7f9230e738ed&quot;,&quot;title&quot;:&quot;Belowground Biomass Response to Nutrient Enrichment Depends on Light Limitation Across Globally Distributed Grasslands&quot;,&quot;author&quot;:[{&quot;family&quot;:&quot;Cleland&quot;,&quot;given&quot;:&quot;Elsa E&quot;,&quot;parse-names&quot;:false,&quot;dropping-particle&quot;:&quot;&quot;,&quot;non-dropping-particle&quot;:&quot;&quot;},{&quot;family&quot;:&quot;Lind&quot;,&quot;given&quot;:&quot;Eric M&quot;,&quot;parse-names&quot;:false,&quot;dropping-particle&quot;:&quot;&quot;,&quot;non-dropping-particle&quot;:&quot;&quot;},{&quot;family&quot;:&quot;DeCrappeo&quot;,&quot;given&quot;:&quot;Nicole M&quot;,&quot;parse-names&quot;:false,&quot;dropping-particle&quot;:&quot;&quot;,&quot;non-dropping-particle&quot;:&quot;&quot;},{&quot;family&quot;:&quot;DeLorenze&quot;,&quot;given&quot;:&quot;Elizabeth&quot;,&quot;parse-names&quot;:false,&quot;dropping-particle&quot;:&quot;&quot;,&quot;non-dropping-particle&quot;:&quot;&quot;},{&quot;family&quot;:&quot;Wilkins&quot;,&quot;given&quot;:&quot;Rachel Abbott&quot;,&quot;parse-names&quot;:false,&quot;dropping-particle&quot;:&quot;&quot;,&quot;non-dropping-particle&quot;:&quot;&quot;},{&quot;family&quot;:&quot;Adler&quot;,&quot;given&quot;:&quot;Peter B&quot;,&quot;parse-names&quot;:false,&quot;dropping-particle&quot;:&quot;&quot;,&quot;non-dropping-particle&quot;:&quot;&quot;},{&quot;family&quot;:&quot;Bakker&quot;,&quot;given&quot;:&quot;Jonathan D&quot;,&quot;parse-names&quot;:false,&quot;dropping-particle&quot;:&quot;&quot;,&quot;non-dropping-particle&quot;:&quot;&quot;},{&quot;family&quot;:&quot;Brown&quot;,&quot;given&quot;:&quot;Cynthia S&quot;,&quot;parse-names&quot;:false,&quot;dropping-particle&quot;:&quot;&quot;,&quot;non-dropping-particle&quot;:&quot;&quot;},{&quot;family&quot;:&quot;Davies&quot;,&quot;given&quot;:&quot;Kendi F&quot;,&quot;parse-names&quot;:false,&quot;dropping-particle&quot;:&quot;&quot;,&quot;non-dropping-particle&quot;:&quot;&quot;},{&quot;family&quot;:&quot;Esch&quot;,&quot;given&quot;:&quot;Ellen&quot;,&quot;parse-names&quot;:false,&quot;dropping-particle&quot;:&quot;&quot;,&quot;non-dropping-particle&quot;:&quot;&quot;},{&quot;family&quot;:&quot;Firn&quot;,&quot;given&quot;:&quot;Jennifer&quot;,&quot;parse-names&quot;:false,&quot;dropping-particle&quot;:&quot;&quot;,&quot;non-dropping-particle&quot;:&quot;&quot;},{&quot;family&quot;:&quot;Gressard&quot;,&quot;given&quot;:&quot;Scott&quot;,&quot;parse-names&quot;:false,&quot;dropping-particle&quot;:&quot;&quot;,&quot;non-dropping-particle&quot;:&quot;&quot;},{&quot;family&quot;:&quot;Gruner&quot;,&quot;given&quot;:&quot;Daniel S&quot;,&quot;parse-names&quot;:false,&quot;dropping-particle&quot;:&quot;&quot;,&quot;non-dropping-particle&quot;:&quot;&quot;},{&quot;family&quot;:&quot;Hagenah&quot;,&quot;given&quot;:&quot;Nicole&quot;,&quot;parse-names&quot;:false,&quot;dropping-particle&quot;:&quot;&quot;,&quot;non-dropping-particle&quot;:&quot;&quot;},{&quot;family&quot;:&quot;Harpole&quot;,&quot;given&quot;:&quot;W. Stanley&quot;,&quot;parse-names&quot;:false,&quot;dropping-particle&quot;:&quot;&quot;,&quot;non-dropping-particle&quot;:&quot;&quot;},{&quot;family&quot;:&quot;Hautier&quot;,&quot;given&quot;:&quot;Yann&quot;,&quot;parse-names&quot;:false,&quot;dropping-particle&quot;:&quot;&quot;,&quot;non-dropping-particle&quot;:&quot;&quot;},{&quot;family&quot;:&quot;Hobbie&quot;,&quot;given&quot;:&quot;Sarah E&quot;,&quot;parse-names&quot;:false,&quot;dropping-particle&quot;:&quot;&quot;,&quot;non-dropping-particle&quot;:&quot;&quot;},{&quot;family&quot;:&quot;Hofmockel&quot;,&quot;given&quot;:&quot;Kirsten S&quot;,&quot;parse-names&quot;:false,&quot;dropping-particle&quot;:&quot;&quot;,&quot;non-dropping-particle&quot;:&quot;&quot;},{&quot;family&quot;:&quot;Kirkman&quot;,&quot;given&quot;:&quot;Kevin&quot;,&quot;parse-names&quot;:false,&quot;dropping-particle&quot;:&quot;&quot;,&quot;non-dropping-particle&quot;:&quot;&quot;},{&quot;family&quot;:&quot;Knops&quot;,&quot;given&quot;:&quot;Johannes&quot;,&quot;parse-names&quot;:false,&quot;dropping-particle&quot;:&quot;&quot;,&quot;non-dropping-particle&quot;:&quot;&quot;},{&quot;family&quot;:&quot;Kopp&quot;,&quot;given&quot;:&quot;Christopher W&quot;,&quot;parse-names&quot;:false,&quot;dropping-particle&quot;:&quot;&quot;,&quot;non-dropping-particle&quot;:&quot;&quot;},{&quot;family&quot;:&quot;Pierre&quot;,&quot;given&quot;:&quot;Kimberly J&quot;,&quot;parse-names&quot;:false,&quot;dropping-particle&quot;:&quot;&quot;,&quot;non-dropping-particle&quot;:&quot;La&quot;},{&quot;family&quot;:&quot;MacDougall&quot;,&quot;given&quot;:&quot;Andrew&quot;,&quot;parse-names&quot;:false,&quot;dropping-particle&quot;:&quot;&quot;,&quot;non-dropping-particle&quot;:&quot;&quot;},{&quot;family&quot;:&quot;McCulley&quot;,&quot;given&quot;:&quot;Rebecca L&quot;,&quot;parse-names&quot;:false,&quot;dropping-particle&quot;:&quot;&quot;,&quot;non-dropping-particle&quot;:&quot;&quot;},{&quot;family&quot;:&quot;Melbourne&quot;,&quot;given&quot;:&quot;Brett A&quot;,&quot;parse-names&quot;:false,&quot;dropping-particle&quot;:&quot;&quot;,&quot;non-dropping-particle&quot;:&quot;&quot;},{&quot;family&quot;:&quot;Moore&quot;,&quot;given&quot;:&quot;Joslin L&quot;,&quot;parse-names&quot;:false,&quot;dropping-particle&quot;:&quot;&quot;,&quot;non-dropping-particle&quot;:&quot;&quot;},{&quot;family&quot;:&quot;Prober&quot;,&quot;given&quot;:&quot;Suzanne M&quot;,&quot;parse-names&quot;:false,&quot;dropping-particle&quot;:&quot;&quot;,&quot;non-dropping-particle&quot;:&quot;&quot;},{&quot;family&quot;:&quot;Riggs&quot;,&quot;given&quot;:&quot;Charlotte&quot;,&quot;parse-names&quot;:false,&quot;dropping-particle&quot;:&quot;&quot;,&quot;non-dropping-particle&quot;:&quot;&quot;},{&quot;family&quot;:&quot;Risch&quot;,&quot;given&quot;:&quot;Anita C&quot;,&quot;parse-names&quot;:false,&quot;dropping-particle&quot;:&quot;&quot;,&quot;non-dropping-particle&quot;:&quot;&quot;},{&quot;family&quot;:&quot;Schuetz&quot;,&quot;given&quot;:&quot;Martin&quot;,&quot;parse-names&quot;:false,&quot;dropping-particle&quot;:&quot;&quot;,&quot;non-dropping-particle&quot;:&quot;&quot;},{&quot;family&quot;:&quot;Stevens&quot;,&quot;given&quot;:&quot;Carly&quot;,&quot;parse-names&quot;:false,&quot;dropping-particle&quot;:&quot;&quot;,&quot;non-dropping-particle&quot;:&quot;&quot;},{&quot;family&quot;:&quot;Wragg&quot;,&quot;given&quot;:&quot;Peter D&quot;,&quot;parse-names&quot;:false,&quot;dropping-particle&quot;:&quot;&quot;,&quot;non-dropping-particle&quot;:&quot;&quot;},{&quot;family&quot;:&quot;Wright&quot;,&quot;given&quot;:&quot;Justin&quot;,&quot;parse-names&quot;:false,&quot;dropping-particle&quot;:&quot;&quot;,&quot;non-dropping-particle&quot;:&quot;&quot;},{&quot;family&quot;:&quot;Borer&quot;,&quot;given&quot;:&quot;Elizabeth T&quot;,&quot;parse-names&quot;:false,&quot;dropping-particle&quot;:&quot;&quot;,&quot;non-dropping-particle&quot;:&quot;&quot;},{&quot;family&quot;:&quot;Seabloom&quot;,&quot;given&quot;:&quot;Eric W&quot;,&quot;parse-names&quot;:false,&quot;dropping-particle&quot;:&quot;&quot;,&quot;non-dropping-particle&quot;:&quot;&quot;}],&quot;container-title&quot;:&quot;Ecosystems&quot;,&quot;DOI&quot;:&quot;10.1007/s10021-019-00350-4&quot;,&quot;ISSN&quot;:&quot;14350629&quot;,&quot;URL&quot;:&quot;https://doi.org/10.1007/s10021-019-00350-4&quot;,&quot;issued&quot;:{&quot;date-parts&quot;:[[2019]]},&quot;page&quot;:&quot;1466-1477&quot;,&quot;abstract&quot;:&quot;Anthropogenic activities are increasing nutrient inputs to ecosystems worldwide, with consequences for global carbon and nutrient cycles. Recent meta-analyses show that aboveground primary production is often co-limited by multiple nutrients; however, little is known about how root production responds to changes in nutrient availability. At twenty-nine grassland sites on four continents, we quantified shallow root biomass responses to nitrogen (N), phosphorus (P) and potassium plus micronutrient enrichment and compared below- and aboveground responses. We hypothesized that optimal allocation theory would predict context dependence in root biomass responses to nutrient enrichment, given variation among sites in the resources limiting to plant growth (specifically light versus nutrients). Consistent with the predictions of optimal allocation theory, the proportion of total biomass belowground declined with N or P addition, due to increased biomass aboveground (for N and P) and decreased biomass belowground (N, particularly in sites with low canopy light penetration). Absolute root biomass increased with N addition where light was abundant at the soil surface, but declined in sites where the grassland canopy intercepted a large proportion of incoming light. These results demonstrate that belowground responses to changes in resource supply can differ strongly from aboveground responses, which could significantly modify predictions of future rates of nutrient cycling and carbon sequestration. Our results also highlight how optimal allocation theory developed for individual plants may help predict belowground biomass responses to nutrient enrichment at the ecosystem scale across wide climatic and environmental gradients.&quot;,&quot;publisher&quot;:&quot;Springer US&quot;,&quot;issue&quot;:&quot;7&quot;,&quot;volume&quot;:&quot;22&quot;,&quot;container-title-short&quot;:&quot;&quot;},&quot;isTemporary&quot;:false}]},{&quot;citationID&quot;:&quot;MENDELEY_CITATION_46c6a341-e034-4b32-b669-b745f21104cd&quot;,&quot;properties&quot;:{&quot;noteIndex&quot;:0},&quot;isEdited&quot;:false,&quot;manualOverride&quot;:{&quot;isManuallyOverridden&quot;:false,&quot;citeprocText&quot;:&quot;(Craft et al., 1995)&quot;,&quot;manualOverrideText&quot;:&quot;&quot;},&quot;citationTag&quot;:&quot;MENDELEY_CITATION_v3_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&quot;,&quot;citationItems&quot;:[{&quot;id&quot;:&quot;3b765560-a72b-3261-a653-79379c225e6b&quot;,&quot;itemData&quot;:{&quot;type&quot;:&quot;article-journal&quot;,&quot;id&quot;:&quot;3b765560-a72b-3261-a653-79379c225e6b&quot;,&quot;title&quot;:&quot;Response of everglades plant communities to nitrogen and phosphorus additions&quot;,&quot;author&quot;:[{&quot;family&quot;:&quot;Craft&quot;,&quot;given&quot;:&quot;Christopher B&quot;,&quot;parse-names&quot;:false,&quot;dropping-particle&quot;:&quot;&quot;,&quot;non-dropping-particle&quot;:&quot;&quot;},{&quot;family&quot;:&quot;Vymazal&quot;,&quot;given&quot;:&quot;Jan&quot;,&quot;parse-names&quot;:false,&quot;dropping-particle&quot;:&quot;&quot;,&quot;non-dropping-particle&quot;:&quot;&quot;},{&quot;family&quot;:&quot;Richardson&quot;,&quot;given&quot;:&quot;Curtis J&quot;,&quot;parse-names&quot;:false,&quot;dropping-particle&quot;:&quot;&quot;,&quot;non-dropping-particle&quot;:&quot;&quot;}],&quot;container-title&quot;:&quot;Wetlands&quot;,&quot;DOI&quot;:&quot;10.1007/BF03160706&quot;,&quot;ISSN&quot;:&quot;02775212&quot;,&quot;issued&quot;:{&quot;date-parts&quot;:[[1995]]},&quot;page&quot;:&quot;258-271&quot;,&quot;abstract&quot;:&quot;Nitrogen(N) and phosphorus(P) were applied to sawgrass (Cladium jamaicense), mixed sawgrass-cattail (Typha domingensis), and slough (shallow water communities dominated by Utricularia spp., Eleocharis spp., and Panicum spp.) communities in the Everglades for two years to test for N or P limitations and to investigate the plant community response. Nitrogen (as NH4+) and P (as PO43-) were applied singly and in combination at rates of 0.6, 1.2, and 4.8 g P · m-2·yr-1 and 5.6 and 22.4 g N·m-2·yr-1. Plant response was quantified by measuring aboveground standing crop biomass and tissue N and P concentrations each year. Everglades plant communities are P limited. Phosphorus additions at the highest rate (4.8 g·m2-yr-1) resulted in increased P uptake and biomass production by emergent vegetation. Tissue P concentrations of sawgrass and cattail were significantly higher in response to the high P (329-684 μg·g-1) and high N+P (371-594 μg·g-1) treatments (control=94-256 μg·g-1) in both years after the initiation of nutrient additions. Aboveground biomass also increased in response to the highest rat of P at the sawgrass (2618-3284 g/m2; control=1158 g/m2) and mixed (1387-1407 g/m2; control=502 g/m2) communities, but only after two years. At the slough site, the high P and high N+P treatments resulted in a significant decline of the Utricularia periphyton mat after only one year of nutrient additions (16-74 g·m2-; control=364 g·m-2). During the second year, the macroalga, Chara, expanded in these plots and replaced the floating mat as the major nonemergent component of the plant community. In all three communities, P additions at the highest rate resulted in a significant increase in bicarbonate-extractable and total soil P (0-5 cm depth). There was no effect of N additions on biomass production, nutrient uptake, or N enrichment of the peat during the two-year study. We observed no significant change in macrophyte species diversity or expansion of cattail in plots receiving nutrient additions during the two year study. However, the decline of the Utricularia-periphyton mat (and the subsequent increase in Chara) in slough plots receiving 4.8 g P·m-2·yr-1 may serve as an early indicator of P enrichment in the Everglades. © 1995 Society of Wetland Scientists.&quot;,&quot;issue&quot;:&quot;3&quot;,&quot;volume&quot;:&quot;15&quot;,&quot;container-title-short&quot;:&quot;&quot;},&quot;isTemporary&quot;:false}]},{&quot;citationID&quot;:&quot;MENDELEY_CITATION_71a1e384-b9b6-401a-8167-994a5fe052cc&quot;,&quot;properties&quot;:{&quot;noteIndex&quot;:0},&quot;isEdited&quot;:false,&quot;manualOverride&quot;:{&quot;isManuallyOverridden&quot;:false,&quot;citeprocText&quot;:&quot;(Craine et al., 2008)&quot;,&quot;manualOverrideText&quot;:&quot;&quot;},&quot;citationTag&quot;:&quot;MENDELEY_CITATION_v3_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&quot;,&quot;citationItems&quot;:[{&quot;id&quot;:&quot;e61a5b37-68eb-3114-aa7a-691a5ccfe4da&quot;,&quot;itemData&quot;:{&quot;type&quot;:&quot;article-journal&quot;,&quot;id&quot;:&quot;e61a5b37-68eb-3114-aa7a-691a5ccfe4da&quot;,&quot;title&quot;:&quot;Nutrient concentration ratios and co-limitation in South African grasslands&quot;,&quot;author&quot;:[{&quot;family&quot;:&quot;Craine&quot;,&quot;given&quot;:&quot;Joseph M&quot;,&quot;parse-names&quot;:false,&quot;dropping-particle&quot;:&quot;&quot;,&quot;non-dropping-particle&quot;:&quot;&quot;},{&quot;family&quot;:&quot;Morrow&quot;,&quot;given&quot;:&quot;Carl&quot;,&quot;parse-names&quot;:false,&quot;dropping-particle&quot;:&quot;&quot;,&quot;non-dropping-particle&quot;:&quot;&quot;},{&quot;family&quot;:&quot;Stock&quot;,&quot;given&quot;:&quot;William D&quot;,&quot;parse-names&quot;:false,&quot;dropping-particle&quot;:&quot;&quot;,&quot;non-dropping-particle&quot;:&quot;&quot;}],&quot;container-title&quot;:&quot;New Phytologist&quot;,&quot;DOI&quot;:&quot;10.1111/j.1469-8137.2008.02513.x&quot;,&quot;ISSN&quot;:&quot;0028646X&quot;,&quot;PMID&quot;:&quot;18537887&quot;,&quot;issued&quot;:{&quot;date-parts&quot;:[[2008]]},&quot;page&quot;:&quot;829-836&quot;,&quot;abstract&quot;:&quot;• Assessing plant nutrient limitation is a fundamental part of understanding grassland dynamics. The ratio of concentrations of nitrogen (N) and phosphorus (P) in vegetation has been proposed as an index of the relative limitation of biomass production by N and P, but its utility has not been tested well in grasslands. • At five sites in Kruger National Park, South Africa, across soil and precipitation contrasts, N and P were added in a factorial design to grass-dominated plots. • Although the N:P ratio of unfertilized vegetation across all sites (5.8) would have indicated that production was N-limited, aboveground production was consistently co-limited by N and P. Aboveground production was still greater in plots fertilized with N and P than in those fertilized with just N, but the N:P ratio did not exceed standard thresholds for P limitation in N-fertilized vegetation. Comparisons among sites showed little pattern between site N:P ratio and relative responses to N and P. • When combined with results from other grassland fertilization studies, these data suggest that the N:P ratio of grasses has little ability to predict limitation in upland grasslands. Co-limitation between N and P appears to be much more widespread than would be predicted from simple assumptions of vegetative N:P ratios. © The Authors (2008).&quot;,&quot;issue&quot;:&quot;3&quot;,&quot;volume&quot;:&quot;179&quot;,&quot;container-title-short&quot;:&quot;&quot;},&quot;isTemporary&quot;:false}]},{&quot;citationID&quot;:&quot;MENDELEY_CITATION_911ad384-c83e-47cc-8de5-ac53339b2460&quot;,&quot;properties&quot;:{&quot;noteIndex&quot;:0},&quot;isEdited&quot;:false,&quot;manualOverride&quot;:{&quot;isManuallyOverridden&quot;:false,&quot;citeprocText&quot;:&quot;(Crous et al., 2017)&quot;,&quot;manualOverrideText&quot;:&quot;&quot;},&quot;citationTag&quot;:&quot;MENDELEY_CITATION_v3_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&quot;,&quot;citationItems&quot;:[{&quot;id&quot;:&quot;9c9942c8-9baf-339b-b13a-7be150baf497&quot;,&quot;itemData&quot;:{&quot;type&quot;:&quot;article-journal&quot;,&quot;id&quot;:&quot;9c9942c8-9baf-339b-b13a-7be150baf497&quot;,&quot;title&quot;:&quot;Nitrogen and phosphorus availabilities interact to modulate leaf trait scaling relationships across six plant functional types in a controlled-environment study&quot;,&quot;author&quot;:[{&quot;family&quot;:&quot;Crous&quot;,&quot;given&quot;:&quot;Kristine Y&quot;,&quot;parse-names&quot;:false,&quot;dropping-particle&quot;:&quot;&quot;,&quot;non-dropping-particle&quot;:&quot;&quot;},{&quot;family&quot;:&quot;O'Sullivan&quot;,&quot;given&quot;:&quot;Odhran S&quot;,&quot;parse-names&quot;:false,&quot;dropping-particle&quot;:&quot;&quot;,&quot;non-dropping-particle&quot;:&quot;&quot;},{&quot;family&quot;:&quot;Zaragoza-Castells&quot;,&quot;given&quot;:&quot;Joana&quot;,&quot;parse-names&quot;:false,&quot;dropping-particle&quot;:&quot;&quot;,&quot;non-dropping-particle&quot;:&quot;&quot;},{&quot;family&quot;:&quot;Bloomfield&quot;,&quot;given&quot;:&quot;Keith J&quot;,&quot;parse-names&quot;:false,&quot;dropping-particle&quot;:&quot;&quot;,&quot;non-dropping-particle&quot;:&quot;&quot;},{&quot;family&quot;:&quot;Negrini&quot;,&quot;given&quot;:&quot;A Clarissa A&quot;,&quot;parse-names&quot;:false,&quot;dropping-particle&quot;:&quot;&quot;,&quot;non-dropping-particle&quot;:&quot;&quot;},{&quot;family&quot;:&quot;Meir&quot;,&quot;given&quot;:&quot;Patrick&quot;,&quot;parse-names&quot;:false,&quot;dropping-particle&quot;:&quot;&quot;,&quot;non-dropping-particle&quot;:&quot;&quot;},{&quot;family&quot;:&quot;Turnbull&quot;,&quot;given&quot;:&quot;Matthew H&quot;,&quot;parse-names&quot;:false,&quot;dropping-particle&quot;:&quot;&quot;,&quot;non-dropping-particle&quot;:&quot;&quot;},{&quot;family&quot;:&quot;Griffin&quot;,&quot;given&quot;:&quot;Kevin L&quot;,&quot;parse-names&quot;:false,&quot;dropping-particle&quot;:&quot;&quot;,&quot;non-dropping-particle&quot;:&quot;&quot;},{&quot;family&quot;:&quot;Atkin&quot;,&quot;given&quot;:&quot;Owen K&quot;,&quot;parse-names&quot;:false,&quot;dropping-particle&quot;:&quot;&quot;,&quot;non-dropping-particle&quot;:&quot;&quot;}],&quot;container-title&quot;:&quot;New Phytologist&quot;,&quot;DOI&quot;:&quot;10.1111/nph.14591&quot;,&quot;ISSN&quot;:&quot;14698137&quot;,&quot;PMID&quot;:&quot;28505389&quot;,&quot;issued&quot;:{&quot;date-parts&quot;:[[2017]]},&quot;page&quot;:&quot;992-1008&quot;,&quot;abstract&quot;:&quot;Nitrogen (N) and phosphorus (P) have key roles in leaf metabolism, resulting in a strong coupling of chemical composition traits to metabolic rates in field-based studies. However, in such studies, it is difficult to disentangle the effects of nutrient supply per se on trait–trait relationships. Our study assessed how high and low N (5 mM and 0.4 mM, respectively) and P (1 mM and 2 μM, respectively) supply in 37 species from six plant functional types (PTFs) affected photosynthesis (A) and respiration (R) (in darkness and light) in a controlled environment. Low P supply increased scaling exponents (slopes) of area-based log–log A–N or R–N relationships when N supply was not limiting, whereas there was no P effect under low N supply. By contrast, scaling exponents of A–P and R–P relationships were altered by P and N supply. Neither R : A nor light inhibition of leaf R was affected by nutrient supply. Light inhibition was 26% across nutrient treatments; herbaceous species exhibited a lower degree of light inhibition than woody species. Because N and P supply modulates leaf trait−trait relationships, the next generation of terrestrial biosphere models may need to consider how limitations in N and P availability affect trait−trait relationships when predicting carbon exchange.&quot;,&quot;issue&quot;:&quot;3&quot;,&quot;volume&quot;:&quot;215&quot;,&quot;container-title-short&quot;:&quot;&quot;},&quot;isTemporary&quot;:false}]},{&quot;citationID&quot;:&quot;MENDELEY_CITATION_6770e049-fb02-4a0b-9da8-f3b6c8c1fc89&quot;,&quot;properties&quot;:{&quot;noteIndex&quot;:0},&quot;isEdited&quot;:false,&quot;manualOverride&quot;:{&quot;isManuallyOverridden&quot;:false,&quot;citeprocText&quot;:&quot;(Cunha et al., 2024)&quot;,&quot;manualOverrideText&quot;:&quot;&quot;},&quot;citationTag&quot;:&quot;MENDELEY_CITATION_v3_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&quot;,&quot;citationItems&quot;:[{&quot;id&quot;:&quot;5b6d9873-4934-3647-8df2-d4d67d04dd75&quot;,&quot;itemData&quot;:{&quot;type&quot;:&quot;article-journal&quot;,&quot;id&quot;:&quot;5b6d9873-4934-3647-8df2-d4d67d04dd75&quot;,&quot;title&quot;:&quot;Growth and physiological responses of Atlantic Forest tree seedlings to nitrogen and phosphorus addition&quot;,&quot;author&quot;:[{&quot;family&quot;:&quot;Cunha&quot;,&quot;given&quot;:&quot;João Pedro Batista Fernandes&quot;,&quot;parse-names&quot;:false,&quot;dropping-particle&quot;:&quot;&quot;,&quot;non-dropping-particle&quot;:&quot;&quot;},{&quot;family&quot;:&quot;Pimenta&quot;,&quot;given&quot;:&quot;José Antonio&quot;,&quot;parse-names&quot;:false,&quot;dropping-particle&quot;:&quot;&quot;,&quot;non-dropping-particle&quot;:&quot;&quot;},{&quot;family&quot;:&quot;Torezan&quot;,&quot;given&quot;:&quot;José Marcelo Domingues&quot;,&quot;parse-names&quot;:false,&quot;dropping-particle&quot;:&quot;&quot;,&quot;non-dropping-particle&quot;:&quot;&quot;},{&quot;family&quot;:&quot;Oliveira&quot;,&quot;given&quot;:&quot;Halley Caixeta&quot;,&quot;parse-names&quot;:false,&quot;dropping-particle&quot;:&quot;&quot;,&quot;non-dropping-particle&quot;:&quot;de&quot;},{&quot;family&quot;:&quot;Stolf-Moreira&quot;,&quot;given&quot;:&quot;Renata&quot;,&quot;parse-names&quot;:false,&quot;dropping-particle&quot;:&quot;&quot;,&quot;non-dropping-particle&quot;:&quot;&quot;}],&quot;container-title&quot;:&quot;Trees - Structure and Function&quot;,&quot;DOI&quot;:&quot;10.1007/s00468-024-02523-8&quot;,&quot;ISBN&quot;:&quot;0123456789&quot;,&quot;ISSN&quot;:&quot;09311890&quot;,&quot;URL&quot;:&quot;https://doi.org/10.1007/s00468-024-02523-8&quot;,&quot;issued&quot;:{&quot;date-parts&quot;:[[2024]]},&quot;page&quot;:&quot;903-913&quot;,&quot;abstract&quot;:&quot;Key Message: Atlantic Forest tree seedlings with contrasting ecological characteristics present specific growth and physiological responses to nitrogen and phosphorus addition in the soil. Abstract: Nitrogen (N) and phosphorus (P) are commonly the most limiting nutrients for plant growth in tropical forests. Many of these ecosystems are exposed to increasing rates of anthropogenic nutrient deposition. This study aims to assess how five Atlantic Forest tree species respond to N and P addition to the soil. Five species with different levels of shade tolerance were subjected to nine weekly soil applications of (NH4)2SO4 (84 kg N ha−1 treatment N), NaH2PO4 (45 kg P ha−1 treatment P), both nutrients (treatment N + P), or water. Soil, foliar nutrient concentrations, and biometric and gas exchange analyses were performed. No changes in the soil pH or total N and P availability were observed in the soil after N addition, whereas P accumulated in the soil and leaves of three species after P addition. The pioneer species H. popayanensis presented increased total biomass with P and N+P treatments, while C. floribundus increased with P treatment and C. pachystachya increased with N + P treatment. N and P treatments reduced the photosynthesis of C. pachystachya and the stomatal conductance of C. pachystachya and C. floribundus. The growth rate and total biomass of C. estrellensis reduced with N and P treatments and increased with N+P treatment. Aspidosperma polyneuron presented reduced photosynthesis with N treatment, but increased total biomass with all treatments, especially N + P. The diversity of growth and physiological responses to N and P addition suggests that each species has specific nutrient requirements and uses strategies related to the niche occupied by each one.&quot;,&quot;publisher&quot;:&quot;Springer Berlin Heidelberg&quot;,&quot;issue&quot;:&quot;4&quot;,&quot;volume&quot;:&quot;38&quot;,&quot;container-title-short&quot;:&quot;&quot;},&quot;isTemporary&quot;:false}]},{&quot;citationID&quot;:&quot;MENDELEY_CITATION_c0e5cfee-8b09-444d-8445-870fda9235df&quot;,&quot;properties&quot;:{&quot;noteIndex&quot;:0},&quot;isEdited&quot;:false,&quot;manualOverride&quot;:{&quot;isManuallyOverridden&quot;:false,&quot;citeprocText&quot;:&quot;(D’Antonio &amp;#38; Mack, 2006)&quot;,&quot;manualOverrideText&quot;:&quot;&quot;},&quot;citationTag&quot;:&quot;MENDELEY_CITATION_v3_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&quot;,&quot;citationItems&quot;:[{&quot;id&quot;:&quot;5c9751c8-1b23-357a-a116-f495cd6ab68d&quot;,&quot;itemData&quot;:{&quot;type&quot;:&quot;article-journal&quot;,&quot;id&quot;:&quot;5c9751c8-1b23-357a-a116-f495cd6ab68d&quot;,&quot;title&quot;:&quot;Nutrient limitation in a fire-derived, nitrogen-rich Hawaiian grassland&quot;,&quot;author&quot;:[{&quot;family&quot;:&quot;D'Antonio&quot;,&quot;given&quot;:&quot;Carla M.&quot;,&quot;parse-names&quot;:false,&quot;dropping-particle&quot;:&quot;&quot;,&quot;non-dropping-particle&quot;:&quot;&quot;},{&quot;family&quot;:&quot;Mack&quot;,&quot;given&quot;:&quot;Michelle C.&quot;,&quot;parse-names&quot;:false,&quot;dropping-particle&quot;:&quot;&quot;,&quot;non-dropping-particle&quot;:&quot;&quot;}],&quot;container-title&quot;:&quot;Biotropica&quot;,&quot;container-title-short&quot;:&quot;Biotropica&quot;,&quot;DOI&quot;:&quot;10.1111/j.1744-7429.2006.00170.x&quot;,&quot;ISSN&quot;:&quot;00063606&quot;,&quot;issued&quot;:{&quot;date-parts&quot;:[[2006]]},&quot;page&quot;:&quot;458-467&quot;,&quot;abstract&quot;:&quot;Grasslands created by grass invasions into shrublands or woodlands followed by fire are now a dominant feature of many seasonally dry environments. In Hawaii Volcanoes National Park, introduced perennial grasses dominate grasslands created by fire in grass-invaded woodlands. In a previous study, we found that net primary production in these grasslands is substantially lower than in unburned woodlands. Yet, our estimates of annual net nitrogen (N) mineralization showed higher rates in these savannas than in the unburned woodlands, rates that appear to greatly exceed annual N demand by the vegetation. We therefore hypothesized that N should not be limited to the plants growing in these sites. We tested this hypothesis with a 2-yr fertilization experiment. At peak biomass, we found a 30 percent increase in live biomass in plots with N added and no increase in production with only phosphorus (P) added. N and P together were synergistic, suggesting that co-limitation or P limitation becomes important when N is more available. Plants responded to added N by increasing individual leaf area and shoot length by over 50 percent. Tissue N was higher with added N; hence, biomass N was substantially higher. Tissue P concentrations declined with N addition but were elevated by P addition despite lack of a growth response to P alone. Overall, N limitation exists despite high annual rates of net N mineralization, and co-limitation of production by P may occur when N is abundant. Here, asynchrony between plant nutrient demand and N availability may contribute to N limitation. © 2006 The Author(s).&quot;,&quot;issue&quot;:&quot;4&quot;,&quot;volume&quot;:&quot;38&quot;},&quot;isTemporary&quot;:false}]},{&quot;citationID&quot;:&quot;MENDELEY_CITATION_d84c3ed3-2530-422d-b940-b212021e2a75&quot;,&quot;properties&quot;:{&quot;noteIndex&quot;:0},&quot;isEdited&quot;:false,&quot;manualOverride&quot;:{&quot;isManuallyOverridden&quot;:false,&quot;citeprocText&quot;:&quot;(Davidson et al., 2004)&quot;,&quot;manualOverrideText&quot;:&quot;&quot;},&quot;citationTag&quot;:&quot;MENDELEY_CITATION_v3_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&quot;,&quot;citationItems&quot;:[{&quot;id&quot;:&quot;96510414-59a0-3f9d-95e1-d094f319b7dc&quot;,&quot;itemData&quot;:{&quot;type&quot;:&quot;article-journal&quot;,&quot;id&quot;:&quot;96510414-59a0-3f9d-95e1-d094f319b7dc&quot;,&quot;title&quot;:&quot;Nitrogen and phosphorus limitation of biomass growth in a tropical secondary forest&quot;,&quot;author&quot;:[{&quot;family&quot;:&quot;Davidson&quot;,&quot;given&quot;:&quot;Eric A&quot;,&quot;parse-names&quot;:false,&quot;dropping-particle&quot;:&quot;&quot;,&quot;non-dropping-particle&quot;:&quot;&quot;},{&quot;family&quot;:&quot;Reis De Carvalho&quot;,&quot;given&quot;:&quot;Cláudio J&quot;,&quot;parse-names&quot;:false,&quot;dropping-particle&quot;:&quot;&quot;,&quot;non-dropping-particle&quot;:&quot;&quot;},{&quot;family&quot;:&quot;Vieira&quot;,&quot;given&quot;:&quot;Ima C G&quot;,&quot;parse-names&quot;:false,&quot;dropping-particle&quot;:&quot;&quot;,&quot;non-dropping-particle&quot;:&quot;&quot;},{&quot;family&quot;:&quot;Figueiredo&quot;,&quot;given&quot;:&quot;Ricardo De O&quot;,&quot;parse-names&quot;:false,&quot;dropping-particle&quot;:&quot;&quot;,&quot;non-dropping-particle&quot;:&quot;&quot;},{&quot;family&quot;:&quot;Moutinho&quot;,&quot;given&quot;:&quot;Paulo&quot;,&quot;parse-names&quot;:false,&quot;dropping-particle&quot;:&quot;&quot;,&quot;non-dropping-particle&quot;:&quot;&quot;},{&quot;family&quot;:&quot;Ishida&quot;,&quot;given&quot;:&quot;Françoise Yoko&quot;,&quot;parse-names&quot;:false,&quot;dropping-particle&quot;:&quot;&quot;,&quot;non-dropping-particle&quot;:&quot;&quot;},{&quot;family&quot;:&quot;Santos&quot;,&quot;given&quot;:&quot;Maria Tereza Primo&quot;,&quot;parse-names&quot;:false,&quot;dropping-particle&quot;:&quot;&quot;,&quot;non-dropping-particle&quot;:&quot;Dos&quot;},{&quot;family&quot;:&quot;Guerrero&quot;,&quot;given&quot;:&quot;José Benito&quot;,&quot;parse-names&quot;:false,&quot;dropping-particle&quot;:&quot;&quot;,&quot;non-dropping-particle&quot;:&quot;&quot;},{&quot;family&quot;:&quot;Kalif&quot;,&quot;given&quot;:&quot;Kemel&quot;,&quot;parse-names&quot;:false,&quot;dropping-particle&quot;:&quot;&quot;,&quot;non-dropping-particle&quot;:&quot;&quot;},{&quot;family&quot;:&quot;Sabá&quot;,&quot;given&quot;:&quot;Renata Tuma&quot;,&quot;parse-names&quot;:false,&quot;dropping-particle&quot;:&quot;&quot;,&quot;non-dropping-particle&quot;:&quot;&quot;}],&quot;container-title&quot;:&quot;Ecological Applications&quot;,&quot;DOI&quot;:&quot;10.1890/01-6006&quot;,&quot;ISSN&quot;:&quot;10510761&quot;,&quot;issued&quot;:{&quot;date-parts&quot;:[[2004]]},&quot;page&quot;:&quot;150-163&quot;,&quot;abstract&quot;:&quot;Understanding secondary successional processes in Amazonian terrestrial ecosystems is becoming increasingly important as continued deforestation expands the area that has become secondary forest, or at least has been through a recent phase of secondary forest growth. Most Amazonian soils are highly weathered and relatively nutrient poor, but the role of nutrients as a factor determining successional processes is unclear. Soils testing and chronosequence studies have yielded equivocal results regarding the possible role of nutrient limitation. The objective of this paper is to report the first two years' results of a nitrogen (N) and phosphorus (P) fertilization experiment in a 6-yr-old secondary forest growing on an abandoned cattle pasture on a clayey Oxisol. Growth of remnant grasses responded significantly to the N + P treatment, whereas tree biomass increased significantly following N-only and N + P treatments. The plants took up about 10% of the 50 kg P/ha of the first year's application, and recovery in soil fractions could account for the rest. The trees took up about 20% of the 100 kg N/ha of the first year's application. No changes in soil inorganic N, soil microbial biomass N, or litter decomposition rates have been observed so far, but soil faunal abundances increased in fertilized plots relative to the control in the second year of the study. A pulse of nitric oxide and nitrous oxide emissions was measured in the N-treated plots only shortly after the second year's application. Net N mineralization and net nitrification assays demonstrated strong immobilization potential, indicating that much of the N was probably retained in the large soil organic-N pool. Although P availability is low in these soils and may partially limit biomass growth, the most striking result of ' this study so far is the significant response of tree growth to N fertilization. Repeated fire and other losses of N from degraded pastures may render tree growth N limited in some young Amazonian forests. Changes in species composition and monitoring of long-term effects on biomass accumulation will be addressed as this experiment is continued.&quot;,&quot;issue&quot;:&quot;4 SUPPL.&quot;,&quot;volume&quot;:&quot;14&quot;,&quot;container-title-short&quot;:&quot;&quot;},&quot;isTemporary&quot;:false}]},{&quot;citationID&quot;:&quot;MENDELEY_CITATION_b9fefa42-922e-4477-bfe4-9664cd653b81&quot;,&quot;properties&quot;:{&quot;noteIndex&quot;:0},&quot;isEdited&quot;:false,&quot;manualOverride&quot;:{&quot;isManuallyOverridden&quot;:false,&quot;citeprocText&quot;:&quot;(Dong et al., 2016)&quot;,&quot;manualOverrideText&quot;:&quot;&quot;},&quot;citationTag&quot;:&quot;MENDELEY_CITATION_v3_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&quot;,&quot;citationItems&quot;:[{&quot;id&quot;:&quot;cbfd06c3-be4c-36c8-ae35-c6b6ec5f8ba3&quot;,&quot;itemData&quot;:{&quot;type&quot;:&quot;article-journal&quot;,&quot;id&quot;:&quot;cbfd06c3-be4c-36c8-ae35-c6b6ec5f8ba3&quot;,&quot;title&quot;:&quot;Changes in biomass and quality of alpine steppe in response to N &amp; P fertilization in the Tibetan Plateau&quot;,&quot;author&quot;:[{&quot;family&quot;:&quot;Dong&quot;,&quot;given&quot;:&quot;Junfu&quot;,&quot;parse-names&quot;:false,&quot;dropping-particle&quot;:&quot;&quot;,&quot;non-dropping-particle&quot;:&quot;&quot;},{&quot;family&quot;:&quot;Cui&quot;,&quot;given&quot;:&quot;Xiaoyong&quot;,&quot;parse-names&quot;:false,&quot;dropping-particle&quot;:&quot;&quot;,&quot;non-dropping-particle&quot;:&quot;&quot;},{&quot;family&quot;:&quot;Wang&quot;,&quot;given&quot;:&quot;Shuping&quot;,&quot;parse-names&quot;:false,&quot;dropping-particle&quot;:&quot;&quot;,&quot;non-dropping-particle&quot;:&quot;&quot;},{&quot;family&quot;:&quot;Wang&quot;,&quot;given&quot;:&quot;Fang&quot;,&quot;parse-names&quot;:false,&quot;dropping-particle&quot;:&quot;&quot;,&quot;non-dropping-particle&quot;:&quot;&quot;},{&quot;family&quot;:&quot;Pang&quot;,&quot;given&quot;:&quot;Zhe&quot;,&quot;parse-names&quot;:false,&quot;dropping-particle&quot;:&quot;&quot;,&quot;non-dropping-particle&quot;:&quot;&quot;},{&quot;family&quot;:&quot;Xu&quot;,&quot;given&quot;:&quot;Ning&quot;,&quot;parse-names&quot;:false,&quot;dropping-particle&quot;:&quot;&quot;,&quot;non-dropping-particle&quot;:&quot;&quot;},{&quot;family&quot;:&quot;Zhao&quot;,&quot;given&quot;:&quot;Guoqiang&quot;,&quot;parse-names&quot;:false,&quot;dropping-particle&quot;:&quot;&quot;,&quot;non-dropping-particle&quot;:&quot;&quot;},{&quot;family&quot;:&quot;Wang&quot;,&quot;given&quot;:&quot;Shiping&quot;,&quot;parse-names&quot;:false,&quot;dropping-particle&quot;:&quot;&quot;,&quot;non-dropping-particle&quot;:&quot;&quot;}],&quot;container-title&quot;:&quot;PLoS ONE&quot;,&quot;container-title-short&quot;:&quot;PLoS One&quot;,&quot;DOI&quot;:&quot;10.1371/journal.pone.0156146&quot;,&quot;ISSN&quot;:&quot;19326203&quot;,&quot;PMID&quot;:&quot;27223104&quot;,&quot;issued&quot;:{&quot;date-parts&quot;:[[2016]]},&quot;page&quot;:&quot;1-14&quot;,&quot;abstract&quot;:&quot;In the alpine steppe zone on the Central Tibetan Plateau, a large amount of area has been degraded due to natural and artificial factors. N &amp; P fertilization is widely accepted to recover degraded pastures in other regions all over the world. However, it is not clear how alpine steppe communities respond to N &amp; P fertilization, and what is the optimal application rate, in the perspective of forage production. To attempt to explore these questions, in July 2013, two fencing sites were designed in Baingoin County with 12 treatments of different levels of nitrogen (N0:0; N1: 7.5 g m-2 yr-1; N2: 15 g m-2 yr-1 ) &amp; phosphate (P0:0; P1: 7.5 gP2O5 m-2 yr-1; P2: 15 gP2O5 m-2 yr-1; P3: 30 gP2O5 m-2 yr-1 ). The results indicated N&amp;P addition was capable to ameliorate the quality of the two sites in the Tibetan Plateau steppe. Increasing N application level resulted in significant increment in Gramineae and total biomass in the two sites. P addition significantly improved the quantity of Compositae, total biomass and the biomasss of other species in site II, while it only significantly improved the total biomass in site I. Gramineae was much more sensitive to N-induced changes than P-induced changes, and this indicated N addition was better to ameliorate the quality of plateau steppe than P-induced changes. No strong evidence was found for critical threshold within 15 g N m-2 yr-1, and there was decreasing tendency when P addition rate was above 15 g m-2 yr-1. N&amp;P has the potential to accelerate soil acidification, which improved the content of available K, likely as a result of nonsignificant correlation between biomass and soil moisture. This work highlights the the tradeoffs that exist in N and P addition in recovering degraded steppe.&quot;,&quot;issue&quot;:&quot;5&quot;,&quot;volume&quot;:&quot;11&quot;},&quot;isTemporary&quot;:false}]},{&quot;citationID&quot;:&quot;MENDELEY_CITATION_5c5d2da9-dfe1-4efe-bc37-d3a996409a34&quot;,&quot;properties&quot;:{&quot;noteIndex&quot;:0},&quot;isEdited&quot;:false,&quot;manualOverride&quot;:{&quot;isManuallyOverridden&quot;:false,&quot;citeprocText&quot;:&quot;(Eller et al., 2017)&quot;,&quot;manualOverrideText&quot;:&quot;&quot;},&quot;citationTag&quot;:&quot;MENDELEY_CITATION_v3_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&quot;,&quot;citationItems&quot;:[{&quot;id&quot;:&quot;234161a8-e56b-37b5-885e-bb9e659b5800&quot;,&quot;itemData&quot;:{&quot;type&quot;:&quot;article-journal&quot;,&quot;id&quot;:&quot;234161a8-e56b-37b5-885e-bb9e659b5800&quot;,&quot;title&quot;:&quot;Nighttime stomatal conductance differs with nutrient availability in two temperate floodplain tree species&quot;,&quot;author&quot;:[{&quot;family&quot;:&quot;Eller&quot;,&quot;given&quot;:&quot;Franziska&quot;,&quot;parse-names&quot;:false,&quot;dropping-particle&quot;:&quot;&quot;,&quot;non-dropping-particle&quot;:&quot;&quot;},{&quot;family&quot;:&quot;Jensen&quot;,&quot;given&quot;:&quot;Kai&quot;,&quot;parse-names&quot;:false,&quot;dropping-particle&quot;:&quot;&quot;,&quot;non-dropping-particle&quot;:&quot;&quot;},{&quot;family&quot;:&quot;Reisdorff&quot;,&quot;given&quot;:&quot;Christoph&quot;,&quot;parse-names&quot;:false,&quot;dropping-particle&quot;:&quot;&quot;,&quot;non-dropping-particle&quot;:&quot;&quot;}],&quot;container-title&quot;:&quot;Tree Physiology&quot;,&quot;container-title-short&quot;:&quot;Tree Physiol&quot;,&quot;DOI&quot;:&quot;10.1093/treephys/tpw113&quot;,&quot;ISSN&quot;:&quot;17584469&quot;,&quot;PMID&quot;:&quot;27974652&quot;,&quot;issued&quot;:{&quot;date-parts&quot;:[[2017]]},&quot;page&quot;:&quot;428-440&quot;,&quot;abstract&quot;:&quot;Nighttime water flow varies between plant species and is a phenomenon for which the magnitude, purpose and consequences are widely discussed. A potential benefit of nighttime stomata opening may be increased nutrient availability during the night since transpiration affects the mass flow of soil water towards plant roots. We investigated how nitrogen (N) and phosphorus (P) fertilization, and short-term drought affected stomatal conductance of Fraxinus excelsior L. and Ulmus laevis Pallas during the day (gs) and night (gn), and how these factors affected growth for a period of 18 weeks. Both species were found to open their stomata during the night, and gn responded to nutrients and water in a different manner than gs. Under N-deficiency, F. excelsior had higher gn, especially when P was sufficient, and lower pre-dawn leaf water potential (?pd), supporting our assumption that nutrient limitation leads to increases in nighttime water uptake. Under P-deficiency, F. excelsior had higher relative root production and, thus, adjusted its biomass allocation under P shortage, while sufficient N but not P contributed to overall higher biomasses. In contrast, U. laevis had higher gn and lower root:shoot ratio under high nutrient (especially N) availability, whereas both sufficient N and P produced higher biomasses. Compared with well-watered trees, the drought treatment did not affect any growth parameter but it resulted in lower gn, minimum stomatal conductance and ?pd of F. excelsior. For U. laevis, only gs during July was lower when drought-treated. In summary, the responses of gs and gn to nutrients and drought depended on the species and its nutrient uptake strategy, and also the timing of measurement during the growing season. Eutrophication of floodplain forests dominated by F. excelsior and U. laevis may, therefore, considerably change nighttime transpiration rates, leading to ecosystem-level changes in plant-water dynamics. Such changes may have more severe consequences in the future as a higher frequency of drought events is predicted under climate change.&quot;,&quot;issue&quot;:&quot;4&quot;,&quot;volume&quot;:&quot;37&quot;},&quot;isTemporary&quot;:false}]},{&quot;citationID&quot;:&quot;MENDELEY_CITATION_5479c48f-952a-496b-985e-6a9961c23ec8&quot;,&quot;properties&quot;:{&quot;noteIndex&quot;:0},&quot;isEdited&quot;:false,&quot;manualOverride&quot;:{&quot;isManuallyOverridden&quot;:false,&quot;citeprocText&quot;:&quot;(Falk et al., 2010)&quot;,&quot;manualOverrideText&quot;:&quot;&quot;},&quot;citationTag&quot;:&quot;MENDELEY_CITATION_v3_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&quot;,&quot;citationItems&quot;:[{&quot;id&quot;:&quot;024e63dc-1191-3998-b387-a8e670407de8&quot;,&quot;itemData&quot;:{&quot;type&quot;:&quot;article-journal&quot;,&quot;id&quot;:&quot;024e63dc-1191-3998-b387-a8e670407de8&quot;,&quot;title&quot;:&quot;Molinia caerulea responses to N and P fertilisation in a dry heathland ecosystem (NW-Germany)&quot;,&quot;author&quot;:[{&quot;family&quot;:&quot;Falk&quot;,&quot;given&quot;:&quot;Kirsten&quot;,&quot;parse-names&quot;:false,&quot;dropping-particle&quot;:&quot;&quot;,&quot;non-dropping-particle&quot;:&quot;&quot;},{&quot;family&quot;:&quot;Friedrich&quot;,&quot;given&quot;:&quot;Uta&quot;,&quot;parse-names&quot;:false,&quot;dropping-particle&quot;:&quot;&quot;,&quot;non-dropping-particle&quot;:&quot;&quot;},{&quot;family&quot;:&quot;Oheimb&quot;,&quot;given&quot;:&quot;Goddert&quot;,&quot;parse-names&quot;:false,&quot;dropping-particle&quot;:&quot;&quot;,&quot;non-dropping-particle&quot;:&quot;von&quot;},{&quot;family&quot;:&quot;Mischke&quot;,&quot;given&quot;:&quot;Kerstin&quot;,&quot;parse-names&quot;:false,&quot;dropping-particle&quot;:&quot;&quot;,&quot;non-dropping-particle&quot;:&quot;&quot;},{&quot;family&quot;:&quot;Merkle&quot;,&quot;given&quot;:&quot;Konrad&quot;,&quot;parse-names&quot;:false,&quot;dropping-particle&quot;:&quot;&quot;,&quot;non-dropping-particle&quot;:&quot;&quot;},{&quot;family&quot;:&quot;Meyer&quot;,&quot;given&quot;:&quot;Hartmut&quot;,&quot;parse-names&quot;:false,&quot;dropping-particle&quot;:&quot;&quot;,&quot;non-dropping-particle&quot;:&quot;&quot;},{&quot;family&quot;:&quot;Härdtle&quot;,&quot;given&quot;:&quot;Werner&quot;,&quot;parse-names&quot;:false,&quot;dropping-particle&quot;:&quot;&quot;,&quot;non-dropping-particle&quot;:&quot;&quot;}],&quot;container-title&quot;:&quot;Plant Ecology&quot;,&quot;container-title-short&quot;:&quot;Plant Ecol&quot;,&quot;DOI&quot;:&quot;10.1007/s11258-010-9720-2&quot;,&quot;ISSN&quot;:&quot;13850237&quot;,&quot;issued&quot;:{&quot;date-parts&quot;:[[2010]]},&quot;page&quot;:&quot;47-56&quot;,&quot;abstract&quot;:&quot;In the present study we analysed whether airborne N pollution may constitute one important driver for the encroachment of Molinia caerulea in dry heathland ecosystems. Based on full-factorial field experiments (in 2006 and 2008) and complementary greenhouse experiments (in 2008), we quantified growth responses of Molinia caerulea to N and P fertilisation (50 kg N ha-1 year-1, 20 kg P ha-1 year-1). Aboveground biomass production of Moliniacaerulea was limited by P in 2006, but by N in both experiments in 2008. In the greenhouse experiment, N addition caused a sixfold increase of the biomass of vegetative tillers, and in all experiments the biomass and numbers of flowering tillers showed a significant increase due to fertilisation. Our experiments indicated that growth of Molinia caerulea was primarily limited by N, but in dry heaths the kind of nutrient limitation may be mediated by other factors such as water availability during the vegetative period. Shifts in biomass allocation patterns resulting from N fertilisation showed that Moliniacaerulea encroachment in dry heaths is not only attributable to increased leaf biomass, but also due to higher investments in reproductive tissue that allow for increased seed production and thus accelerated encroachment of seedlings in places where the dwarf shrub canopy has been opened after disturbance. © 2010 Springer Science+Business Media B.V.&quot;,&quot;issue&quot;:&quot;1&quot;,&quot;volume&quot;:&quot;209&quot;},&quot;isTemporary&quot;:false}]},{&quot;citationID&quot;:&quot;MENDELEY_CITATION_050bb184-2042-4245-8452-d5e0e0ab9efa&quot;,&quot;properties&quot;:{&quot;noteIndex&quot;:0},&quot;isEdited&quot;:false,&quot;manualOverride&quot;:{&quot;isManuallyOverridden&quot;:false,&quot;citeprocText&quot;:&quot;(Fisher et al., 2013)&quot;,&quot;manualOverrideText&quot;:&quot;&quot;},&quot;citationTag&quot;:&quot;MENDELEY_CITATION_v3_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&quot;,&quot;citationItems&quot;:[{&quot;id&quot;:&quot;80caaea1-9eb5-391e-9c79-e43b9486e006&quot;,&quot;itemData&quot;:{&quot;type&quot;:&quot;article-journal&quot;,&quot;id&quot;:&quot;80caaea1-9eb5-391e-9c79-e43b9486e006&quot;,&quot;title&quot;:&quot;Nutrient limitation in rainforests and cloud forests along a 3,000-m elevation gradient in the Peruvian Andes&quot;,&quot;author&quot;:[{&quot;family&quot;:&quot;Fisher&quot;,&quot;given&quot;:&quot;Joshua B.&quot;,&quot;parse-names&quot;:false,&quot;dropping-particle&quot;:&quot;&quot;,&quot;non-dropping-particle&quot;:&quot;&quot;},{&quot;family&quot;:&quot;Malhi&quot;,&quot;given&quot;:&quot;Yadvinder&quot;,&quot;parse-names&quot;:false,&quot;dropping-particle&quot;:&quot;&quot;,&quot;non-dropping-particle&quot;:&quot;&quot;},{&quot;family&quot;:&quot;Torres&quot;,&quot;given&quot;:&quot;Israel Cuba&quot;,&quot;parse-names&quot;:false,&quot;dropping-particle&quot;:&quot;&quot;,&quot;non-dropping-particle&quot;:&quot;&quot;},{&quot;family&quot;:&quot;Metcalfe&quot;,&quot;given&quot;:&quot;Daniel B.&quot;,&quot;parse-names&quot;:false,&quot;dropping-particle&quot;:&quot;&quot;,&quot;non-dropping-particle&quot;:&quot;&quot;},{&quot;family&quot;:&quot;Weg&quot;,&quot;given&quot;:&quot;Martine J.&quot;,&quot;parse-names&quot;:false,&quot;dropping-particle&quot;:&quot;&quot;,&quot;non-dropping-particle&quot;:&quot;van de&quot;},{&quot;family&quot;:&quot;Meir&quot;,&quot;given&quot;:&quot;Patrick&quot;,&quot;parse-names&quot;:false,&quot;dropping-particle&quot;:&quot;&quot;,&quot;non-dropping-particle&quot;:&quot;&quot;},{&quot;family&quot;:&quot;Silva-Espejo&quot;,&quot;given&quot;:&quot;Javier E.&quot;,&quot;parse-names&quot;:false,&quot;dropping-particle&quot;:&quot;&quot;,&quot;non-dropping-particle&quot;:&quot;&quot;},{&quot;family&quot;:&quot;Huasco&quot;,&quot;given&quot;:&quot;Walter Huaraca&quot;,&quot;parse-names&quot;:false,&quot;dropping-particle&quot;:&quot;&quot;,&quot;non-dropping-particle&quot;:&quot;&quot;}],&quot;container-title&quot;:&quot;Oecologia&quot;,&quot;container-title-short&quot;:&quot;Oecologia&quot;,&quot;DOI&quot;:&quot;10.1007/s00442-012-2522-6&quot;,&quot;ISSN&quot;:&quot;00298549&quot;,&quot;PMID&quot;:&quot;23180422&quot;,&quot;issued&quot;:{&quot;date-parts&quot;:[[2013]]},&quot;page&quot;:&quot;889-902&quot;,&quot;abstract&quot;:&quot;We report results from a large-scale nutrient fertilization experiment along a \&quot;megadiverse\&quot; (154 unique species were included in the study) 3,000-m elevation transect in the Peruvian Andes and adjacent lowland Amazonia. Our objectives were to test if nitrogen (N) and phosphorus (P) limitation shift along this elevation gradient, and to determine how an alleviation of nutrient limitation would manifest in ecosystem changes. Tree height decreased with increasing elevation, but leaf area index (LAI) and diameter at breast height (DBH) did not vary with elevation. Leaf N:P decreased with increasing elevation (from 24 at 200 m to 11 at 3,000 m), suggesting increased N limitation and decreased P limitation with increasing elevation. After 4 years of fertilization (N, P, N + P), plots at the lowland site (200 m) fertilized with N + P showed greater relative growth rates in DBH than did the control plots; no significant differences were evident at the 1,000 m site, and plots fertilized with N at the highest elevation sites (1,500, 3,000 m) showed greater relative growth rates in DBH than did the control plots, again suggesting increased N constraint with elevation. Across elevations in general N fertilization led to an increase in microbial respiration, while P and N + P addition led to an increase in root respiration and corresponding decrease in hyphal respiration. There was no significant canopy response (LAI, leaf nutrients) to fertilization, suggesting that photosynthetic capacity was not N or P limited in these ecosystems. In sum, our study significantly advances ecological understanding of nutrient cycling and ecosystem response in a region where our collective knowledge and data are sparse: we demonstrate N limitation in high elevation tropical montane forests, N and P co-limitation in lowland Amazonia, and a nutrient limitation response manifested not in canopy changes, but rather in stem and belowground changes. © 2012 Springer-Verlag Berlin Heidelberg.&quot;,&quot;issue&quot;:&quot;3&quot;,&quot;volume&quot;:&quot;172&quot;},&quot;isTemporary&quot;:false}]},{&quot;citationID&quot;:&quot;MENDELEY_CITATION_d897743a-4e2d-48fe-9ab3-327091ed1974&quot;,&quot;properties&quot;:{&quot;noteIndex&quot;:0},&quot;isEdited&quot;:false,&quot;manualOverride&quot;:{&quot;isManuallyOverridden&quot;:false,&quot;citeprocText&quot;:&quot;(Firn et al., 2019)&quot;,&quot;manualOverrideText&quot;:&quot;&quot;},&quot;citationTag&quot;:&quot;MENDELEY_CITATION_v3_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&quot;,&quot;citationItems&quot;:[{&quot;id&quot;:&quot;c6eb0ed5-0ab0-38a6-8800-c6d2b49098b0&quot;,&quot;itemData&quot;:{&quot;type&quot;:&quot;article-journal&quot;,&quot;id&quot;:&quot;c6eb0ed5-0ab0-38a6-8800-c6d2b49098b0&quot;,&quot;title&quot;:&quot;Leaf nutrients, not specific leaf area, are consistent indicators of elevated nutrient inputs&quot;,&quot;author&quot;:[{&quot;family&quot;:&quot;Firn&quot;,&quot;given&quot;:&quot;Jennifer&quot;,&quot;parse-names&quot;:false,&quot;dropping-particle&quot;:&quot;&quot;,&quot;non-dropping-particle&quot;:&quot;&quot;},{&quot;family&quot;:&quot;McGree&quot;,&quot;given&quot;:&quot;James M&quot;,&quot;parse-names&quot;:false,&quot;dropping-particle&quot;:&quot;&quot;,&quot;non-dropping-particle&quot;:&quot;&quot;},{&quot;family&quot;:&quot;Harvey&quot;,&quot;given&quot;:&quot;Eric&quot;,&quot;parse-names&quot;:false,&quot;dropping-particle&quot;:&quot;&quot;,&quot;non-dropping-particle&quot;:&quot;&quot;},{&quot;family&quot;:&quot;Flores-Moreno&quot;,&quot;given&quot;:&quot;Habacuc&quot;,&quot;parse-names&quot;:false,&quot;dropping-particle&quot;:&quot;&quot;,&quot;non-dropping-particle&quot;:&quot;&quot;},{&quot;family&quot;:&quot;Schütz&quot;,&quot;given&quot;:&quot;Martin&quot;,&quot;parse-names&quot;:false,&quot;dropping-particle&quot;:&quot;&quot;,&quot;non-dropping-particle&quot;:&quot;&quot;},{&quot;family&quot;:&quot;Buckley&quot;,&quot;given&quot;:&quot;Yvonne M&quot;,&quot;parse-names&quot;:false,&quot;dropping-particle&quot;:&quot;&quot;,&quot;non-dropping-particle&quot;:&quot;&quot;},{&quot;family&quot;:&quot;Borer&quot;,&quot;given&quot;:&quot;Elizabeth T&quot;,&quot;parse-names&quot;:false,&quot;dropping-particle&quot;:&quot;&quot;,&quot;non-dropping-particle&quot;:&quot;&quot;},{&quot;family&quot;:&quot;Seabloom&quot;,&quot;given&quot;:&quot;Eric W&quot;,&quot;parse-names&quot;:false,&quot;dropping-particle&quot;:&quot;&quot;,&quot;non-dropping-particle&quot;:&quot;&quot;},{&quot;family&quot;:&quot;Pierre&quot;,&quot;given&quot;:&quot;Kimberly J&quot;,&quot;parse-names&quot;:false,&quot;dropping-particle&quot;:&quot;&quot;,&quot;non-dropping-particle&quot;:&quot;La&quot;},{&quot;family&quot;:&quot;MacDougall&quot;,&quot;given&quot;:&quot;Andrew M&quot;,&quot;parse-names&quot;:false,&quot;dropping-particle&quot;:&quot;&quot;,&quot;non-dropping-particle&quot;:&quot;&quot;},{&quot;family&quot;:&quot;Prober&quot;,&quot;given&quot;:&quot;Suzanne M&quot;,&quot;parse-names&quot;:false,&quot;dropping-particle&quot;:&quot;&quot;,&quot;non-dropping-particle&quot;:&quot;&quot;},{&quot;family&quot;:&quot;Stevens&quot;,&quot;given&quot;:&quot;Carly J&quot;,&quot;parse-names&quot;:false,&quot;dropping-particle&quot;:&quot;&quot;,&quot;non-dropping-particle&quot;:&quot;&quot;},{&quot;family&quot;:&quot;Sullivan&quot;,&quot;given&quot;:&quot;Lauren L&quot;,&quot;parse-names&quot;:false,&quot;dropping-particle&quot;:&quot;&quot;,&quot;non-dropping-particle&quot;:&quot;&quot;},{&quot;family&quot;:&quot;Porter&quot;,&quot;given&quot;:&quot;Erica&quot;,&quot;parse-names&quot;:false,&quot;dropping-particle&quot;:&quot;&quot;,&quot;non-dropping-particle&quot;:&quot;&quot;},{&quot;family&quot;:&quot;Ladouceur&quot;,&quot;given&quot;:&quot;Emma&quot;,&quot;parse-names&quot;:false,&quot;dropping-particle&quot;:&quot;&quot;,&quot;non-dropping-particle&quot;:&quot;&quot;},{&quot;family&quot;:&quot;Allen&quot;,&quot;given&quot;:&quot;Charlotte&quot;,&quot;parse-names&quot;:false,&quot;dropping-particle&quot;:&quot;&quot;,&quot;non-dropping-particle&quot;:&quot;&quot;},{&quot;family&quot;:&quot;Moromizato&quot;,&quot;given&quot;:&quot;Karine H&quot;,&quot;parse-names&quot;:false,&quot;dropping-particle&quot;:&quot;&quot;,&quot;non-dropping-particle&quot;:&quot;&quot;},{&quot;family&quot;:&quot;Morgan&quot;,&quot;given&quot;:&quot;John W&quot;,&quot;parse-names&quot;:false,&quot;dropping-particle&quot;:&quot;&quot;,&quot;non-dropping-particle&quot;:&quot;&quot;},{&quot;family&quot;:&quot;Harpole&quot;,&quot;given&quot;:&quot;W Stanley&quot;,&quot;parse-names&quot;:false,&quot;dropping-particle&quot;:&quot;&quot;,&quot;non-dropping-particle&quot;:&quot;&quot;},{&quot;family&quot;:&quot;Hautier&quot;,&quot;given&quot;:&quot;Yann&quot;,&quot;parse-names&quot;:false,&quot;dropping-particle&quot;:&quot;&quot;,&quot;non-dropping-particle&quot;:&quot;&quot;},{&quot;family&quot;:&quot;Eisenhauer&quot;,&quot;given&quot;:&quot;Nico&quot;,&quot;parse-names&quot;:false,&quot;dropping-particle&quot;:&quot;&quot;,&quot;non-dropping-particle&quot;:&quot;&quot;},{&quot;family&quot;:&quot;Wright&quot;,&quot;given&quot;:&quot;Justin P&quot;,&quot;parse-names&quot;:false,&quot;dropping-particle&quot;:&quot;&quot;,&quot;non-dropping-particle&quot;:&quot;&quot;},{&quot;family&quot;:&quot;Adler&quot;,&quot;given&quot;:&quot;Peter B&quot;,&quot;parse-names&quot;:false,&quot;dropping-particle&quot;:&quot;&quot;,&quot;non-dropping-particle&quot;:&quot;&quot;},{&quot;family&quot;:&quot;Arnillas&quot;,&quot;given&quot;:&quot;Carlos Alberto&quot;,&quot;parse-names&quot;:false,&quot;dropping-particle&quot;:&quot;&quot;,&quot;non-dropping-particle&quot;:&quot;&quot;},{&quot;family&quot;:&quot;Bakker&quot;,&quot;given&quot;:&quot;Jonathan D&quot;,&quot;parse-names&quot;:false,&quot;dropping-particle&quot;:&quot;&quot;,&quot;non-dropping-particle&quot;:&quot;&quot;},{&quot;family&quot;:&quot;Biederman&quot;,&quot;given&quot;:&quot;Lori&quot;,&quot;parse-names&quot;:false,&quot;dropping-particle&quot;:&quot;&quot;,&quot;non-dropping-particle&quot;:&quot;&quot;},{&quot;family&quot;:&quot;Broadbent&quot;,&quot;given&quot;:&quot;Arthur A D&quot;,&quot;parse-names&quot;:false,&quot;dropping-particle&quot;:&quot;&quot;,&quot;non-dropping-particle&quot;:&quot;&quot;},{&quot;family&quot;:&quot;Brown&quot;,&quot;given&quot;:&quot;Cynthia S&quot;,&quot;parse-names&quot;:false,&quot;dropping-particle&quot;:&quot;&quot;,&quot;non-dropping-particle&quot;:&quot;&quot;},{&quot;family&quot;:&quot;Bugalho&quot;,&quot;given&quot;:&quot;Miguel N&quot;,&quot;parse-names&quot;:false,&quot;dropping-particle&quot;:&quot;&quot;,&quot;non-dropping-particle&quot;:&quot;&quot;},{&quot;family&quot;:&quot;Caldeira&quot;,&quot;given&quot;:&quot;Maria C&quot;,&quot;parse-names&quot;:false,&quot;dropping-particle&quot;:&quot;&quot;,&quot;non-dropping-particle&quot;:&quot;&quot;},{&quot;family&quot;:&quot;Cleland&quot;,&quot;given&quot;:&quot;Elsa E&quot;,&quot;parse-names&quot;:false,&quot;dropping-particle&quot;:&quot;&quot;,&quot;non-dropping-particle&quot;:&quot;&quot;},{&quot;family&quot;:&quot;Ebeling&quot;,&quot;given&quot;:&quot;Anne&quot;,&quot;parse-names&quot;:false,&quot;dropping-particle&quot;:&quot;&quot;,&quot;non-dropping-particle&quot;:&quot;&quot;},{&quot;family&quot;:&quot;Fay&quot;,&quot;given&quot;:&quot;Philip A&quot;,&quot;parse-names&quot;:false,&quot;dropping-particle&quot;:&quot;&quot;,&quot;non-dropping-particle&quot;:&quot;&quot;},{&quot;family&quot;:&quot;Hagenah&quot;,&quot;given&quot;:&quot;Nicole&quot;,&quot;parse-names&quot;:false,&quot;dropping-particle&quot;:&quot;&quot;,&quot;non-dropping-particle&quot;:&quot;&quot;},{&quot;family&quot;:&quot;Kleinhesselink&quot;,&quot;given&quot;:&quot;Andrew M&quot;,&quot;parse-names&quot;:false,&quot;dropping-particle&quot;:&quot;&quot;,&quot;non-dropping-particle&quot;:&quot;&quot;},{&quot;family&quot;:&quot;Mitchell&quot;,&quot;given&quot;:&quot;Rachel&quot;,&quot;parse-names&quot;:false,&quot;dropping-particle&quot;:&quot;&quot;,&quot;non-dropping-particle&quot;:&quot;&quot;},{&quot;family&quot;:&quot;Moore&quot;,&quot;given&quot;:&quot;Joslin L&quot;,&quot;parse-names&quot;:false,&quot;dropping-particle&quot;:&quot;&quot;,&quot;non-dropping-particle&quot;:&quot;&quot;},{&quot;family&quot;:&quot;Nogueira&quot;,&quot;given&quot;:&quot;Carla&quot;,&quot;parse-names&quot;:false,&quot;dropping-particle&quot;:&quot;&quot;,&quot;non-dropping-particle&quot;:&quot;&quot;},{&quot;family&quot;:&quot;Peri&quot;,&quot;given&quot;:&quot;Pablo Luis&quot;,&quot;parse-names&quot;:false,&quot;dropping-particle&quot;:&quot;&quot;,&quot;non-dropping-particle&quot;:&quot;&quot;},{&quot;family&quot;:&quot;Roscher&quot;,&quot;given&quot;:&quot;Christiane&quot;,&quot;parse-names&quot;:false,&quot;dropping-particle&quot;:&quot;&quot;,&quot;non-dropping-particle&quot;:&quot;&quot;},{&quot;family&quot;:&quot;Smith&quot;,&quot;given&quot;:&quot;Melinda D&quot;,&quot;parse-names&quot;:false,&quot;dropping-particle&quot;:&quot;&quot;,&quot;non-dropping-particle&quot;:&quot;&quot;},{&quot;family&quot;:&quot;Wragg&quot;,&quot;given&quot;:&quot;Peter D&quot;,&quot;parse-names&quot;:false,&quot;dropping-particle&quot;:&quot;&quot;,&quot;non-dropping-particle&quot;:&quot;&quot;},{&quot;family&quot;:&quot;Risch&quot;,&quot;given&quot;:&quot;Anita C&quot;,&quot;parse-names&quot;:false,&quot;dropping-particle&quot;:&quot;&quot;,&quot;non-dropping-particle&quot;:&quot;&quot;}],&quot;container-title&quot;:&quot;Nature Ecology &amp; Evolution&quot;,&quot;container-title-short&quot;:&quot;Nat Ecol Evol&quot;,&quot;DOI&quot;:&quot;10.1038/s41559-018-0790-1&quot;,&quot;ISSN&quot;:&quot;2397-334X&quot;,&quot;URL&quot;:&quot;https://www.nature.com/articles/s41559-018-0790-1&quot;,&quot;issued&quot;:{&quot;date-parts&quot;:[[2019,2,4]]},&quot;page&quot;:&quot;400-406&quot;,&quot;issue&quot;:&quot;3&quot;,&quot;volume&quot;:&quot;3&quot;},&quot;isTemporary&quot;:false}]},{&quot;citationID&quot;:&quot;MENDELEY_CITATION_bba9665d-28f9-4046-85f8-da05ea98f77f&quot;,&quot;properties&quot;:{&quot;noteIndex&quot;:0},&quot;isEdited&quot;:false,&quot;manualOverride&quot;:{&quot;isManuallyOverridden&quot;:false,&quot;citeprocText&quot;:&quot;(Fornara et al., 2013)&quot;,&quot;manualOverrideText&quot;:&quot;&quot;},&quot;citationTag&quot;:&quot;MENDELEY_CITATION_v3_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&quot;,&quot;citationItems&quot;:[{&quot;id&quot;:&quot;28ae55b6-5dc0-394b-8f75-d25169c78ae6&quot;,&quot;itemData&quot;:{&quot;type&quot;:&quot;article-journal&quot;,&quot;id&quot;:&quot;28ae55b6-5dc0-394b-8f75-d25169c78ae6&quot;,&quot;title&quot;:&quot;Multi-nutrient vs. nitrogen-only effects on carbon sequestration in grassland soils&quot;,&quot;author&quot;:[{&quot;family&quot;:&quot;Fornara&quot;,&quot;given&quot;:&quot;Dario A.&quot;,&quot;parse-names&quot;:false,&quot;dropping-particle&quot;:&quot;&quot;,&quot;non-dropping-particle&quot;:&quot;&quot;},{&quot;family&quot;:&quot;Banin&quot;,&quot;given&quot;:&quot;Lindsay&quot;,&quot;parse-names&quot;:false,&quot;dropping-particle&quot;:&quot;&quot;,&quot;non-dropping-particle&quot;:&quot;&quot;},{&quot;family&quot;:&quot;Crawley&quot;,&quot;given&quot;:&quot;Michael J.&quot;,&quot;parse-names&quot;:false,&quot;dropping-particle&quot;:&quot;&quot;,&quot;non-dropping-particle&quot;:&quot;&quot;}],&quot;container-title&quot;:&quot;Global Change Biology&quot;,&quot;container-title-short&quot;:&quot;Glob Chang Biol&quot;,&quot;DOI&quot;:&quot;10.1111/gcb.12323&quot;,&quot;ISSN&quot;:&quot;13541013&quot;,&quot;PMID&quot;:&quot;23907927&quot;,&quot;issued&quot;:{&quot;date-parts&quot;:[[2013]]},&quot;page&quot;:&quot;3848-3857&quot;,&quot;abstract&quot;:&quot;Human activities have greatly increased the availability of biologically active forms of nutrients [e.g., nitrogen (N), phosphorous (P), potassium (K), magnesium (Mg)] in many soil ecosystems worldwide. Multi-nutrient fertilization strongly increases plant productivity but may also alter the storage of carbon (C) in soil, which represents the largest terrestrial pool of organic C. Despite this issue is important from a global change perspective, key questions remain on how the single addition of N or the combination of N with other nutrients might affect C sequestration in human-managed soils. Here, we use a 19-year old nutrient addition experiment on a permanent grassland to test for nutrient-induced effects on soil C sequestration. We show that combined NPKMg additions to permanent grassland have 'constrained' soil C sequestration to levels similar to unfertilized plots whereas the single addition of N significantly enhanced soil C stocks (N-only fertilized soils store, on average, 11 t C ha-1 more than unfertilized soils). These results were consistent across grazing and liming treatments suggesting that whilst multi-nutrient additions increase plant productivity, soil C sequestration is increased by N-only additions. The positive N-only effect on soil C content was not related to changes in plant species diversity or to the functional composition of the plant community. N-only fertilized grasslands show, however, increases in total root mass and the accumulation of organic matter detritus in topsoils. Finally, soils receiving any N addition (N only or N in combination with other nutrients) were associated with high N losses. Overall, our results demonstrate that nutrient fertilization remains an important global change driver of ecosystem functioning, which can strongly affect the long-term sustainability of grassland soil ecosystems (e.g., soils ability to deliver multiple ecosystem services). © 2013 John Wiley &amp; Sons Ltd.&quot;,&quot;issue&quot;:&quot;12&quot;,&quot;volume&quot;:&quot;19&quot;},&quot;isTemporary&quot;:false}]},{&quot;citationID&quot;:&quot;MENDELEY_CITATION_de6354a3-2ed7-48b6-9ad6-72fbcd70cd61&quot;,&quot;properties&quot;:{&quot;noteIndex&quot;:0},&quot;isEdited&quot;:false,&quot;manualOverride&quot;:{&quot;isManuallyOverridden&quot;:false,&quot;citeprocText&quot;:&quot;(Friedrich et al., 2012)&quot;,&quot;manualOverrideText&quot;:&quot;&quot;},&quot;citationTag&quot;:&quot;MENDELEY_CITATION_v3_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&quot;,&quot;citationItems&quot;:[{&quot;id&quot;:&quot;49c1c1e3-a54a-313d-91bb-25ae4a286e64&quot;,&quot;itemData&quot;:{&quot;type&quot;:&quot;article-journal&quot;,&quot;id&quot;:&quot;49c1c1e3-a54a-313d-91bb-25ae4a286e64&quot;,&quot;title&quot;:&quot;Nitrogen deposition increases susceptibility to drought - experimental evidence with the perennial grass Molinia caerulea (L.) Moench&quot;,&quot;author&quot;:[{&quot;family&quot;:&quot;Friedrich&quot;,&quot;given&quot;:&quot;Uta&quot;,&quot;parse-names&quot;:false,&quot;dropping-particle&quot;:&quot;&quot;,&quot;non-dropping-particle&quot;:&quot;&quot;},{&quot;family&quot;:&quot;Oheimb&quot;,&quot;given&quot;:&quot;Goddert&quot;,&quot;parse-names&quot;:false,&quot;dropping-particle&quot;:&quot;&quot;,&quot;non-dropping-particle&quot;:&quot;von&quot;},{&quot;family&quot;:&quot;Kriebitzsch&quot;,&quot;given&quot;:&quot;Wolf Ulrich&quot;,&quot;parse-names&quot;:false,&quot;dropping-particle&quot;:&quot;&quot;,&quot;non-dropping-particle&quot;:&quot;&quot;},{&quot;family&quot;:&quot;Schleßelmann&quot;,&quot;given&quot;:&quot;Kristina&quot;,&quot;parse-names&quot;:false,&quot;dropping-particle&quot;:&quot;&quot;,&quot;non-dropping-particle&quot;:&quot;&quot;},{&quot;family&quot;:&quot;Weber&quot;,&quot;given&quot;:&quot;Malte Sebastian&quot;,&quot;parse-names&quot;:false,&quot;dropping-particle&quot;:&quot;&quot;,&quot;non-dropping-particle&quot;:&quot;&quot;},{&quot;family&quot;:&quot;Härdtle&quot;,&quot;given&quot;:&quot;Werner&quot;,&quot;parse-names&quot;:false,&quot;dropping-particle&quot;:&quot;&quot;,&quot;non-dropping-particle&quot;:&quot;&quot;}],&quot;container-title&quot;:&quot;Plant and Soil&quot;,&quot;container-title-short&quot;:&quot;Plant Soil&quot;,&quot;DOI&quot;:&quot;10.1007/s11104-011-1008-3&quot;,&quot;ISSN&quot;:&quot;0032079X&quot;,&quot;issued&quot;:{&quot;date-parts&quot;:[[2012]]},&quot;page&quot;:&quot;59-71&quot;,&quot;abstract&quot;:&quot;Aims: We investigated the response of the perennial grass Molinia caerulea (L.) Moench to combined effects of fertilization (N, P) and drought events. We hypothesized that N fertilization increases, and drought decreases productivity, but that N addition strengthens negative effects caused by drought. Methods: Within a full-factorial 2-year greenhouse experiment we measured biomass productivity and allocation, tissue nutrient concentrations and nitrogen allocation patterns using 15N as a tracer. Results: N fertilization caused a strong increase in productivity, but effects of drought were almost insignificant. However, we found strongly interrelated, non-additive effects of fertilization and drought, expressed by a strong increase of necrotic tissue. Dead aboveground biomass showed the highest values for N and 15N. Conclusions: Accelerated productivity of aboveground tissue under N fertilization resulted in increased evaporative demands and thus higher drought susceptibility. In addition 15N allocation patterns showed that fertilization-drought treatments disenabled plants' control of their N allocation. Molinia was unable to withdraw leaf N during the dieback of aboveground tissue. Due to the lack of an adaptive strategy to the combined effects of fertilization and drought, increasing summer drought may weaken the competitive performance of species with traits comparable to those of Molinia in N-fertilized environments. © 2011 Springer Science+Business Media B.V.&quot;,&quot;issue&quot;:&quot;1-2&quot;,&quot;volume&quot;:&quot;353&quot;},&quot;isTemporary&quot;:false}]},{&quot;citationID&quot;:&quot;MENDELEY_CITATION_823f1f74-e368-497b-9cfc-3cf556b8a498&quot;,&quot;properties&quot;:{&quot;noteIndex&quot;:0},&quot;isEdited&quot;:false,&quot;manualOverride&quot;:{&quot;isManuallyOverridden&quot;:false,&quot;citeprocText&quot;:&quot;(Frost et al., 2009)&quot;,&quot;manualOverrideText&quot;:&quot;&quot;},&quot;citationTag&quot;:&quot;MENDELEY_CITATION_v3_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&quot;,&quot;citationItems&quot;:[{&quot;id&quot;:&quot;441123bc-dcb4-3a4f-9f07-e7b9f77ca126&quot;,&quot;itemData&quot;:{&quot;type&quot;:&quot;article-journal&quot;,&quot;id&quot;:&quot;441123bc-dcb4-3a4f-9f07-e7b9f77ca126&quot;,&quot;title&quot;:&quot;Effects of nitrogen and phosphorus additions on primary production and invertebrate densities in a Georgia (USA) tidal freshwater Marsh&quot;,&quot;author&quot;:[{&quot;family&quot;:&quot;Frost&quot;,&quot;given&quot;:&quot;Joshua W&quot;,&quot;parse-names&quot;:false,&quot;dropping-particle&quot;:&quot;&quot;,&quot;non-dropping-particle&quot;:&quot;&quot;},{&quot;family&quot;:&quot;Schleicher&quot;,&quot;given&quot;:&quot;Tymeri&quot;,&quot;parse-names&quot;:false,&quot;dropping-particle&quot;:&quot;&quot;,&quot;non-dropping-particle&quot;:&quot;&quot;},{&quot;family&quot;:&quot;Craft&quot;,&quot;given&quot;:&quot;Christopher&quot;,&quot;parse-names&quot;:false,&quot;dropping-particle&quot;:&quot;&quot;,&quot;non-dropping-particle&quot;:&quot;&quot;}],&quot;container-title&quot;:&quot;Wetlands&quot;,&quot;DOI&quot;:&quot;10.1672/07-79.1&quot;,&quot;ISSN&quot;:&quot;02775212&quot;,&quot;issued&quot;:{&quot;date-parts&quot;:[[2009]]},&quot;page&quot;:&quot;196-203&quot;,&quot;abstract&quot;:&quot;We added nitrogen (N), phosphorus (P), and NP to a Zizaniopsis miliacea (Giant Cutgrass) dominated tidal freshwater marsh in Georgia USA to investigate nutrient limitation of tidal freshwater marsh primary production and invertebrate densities. After two years, aboveground biomass was significantly greater in the plots receiving N (2130 g m-2), and NP (2066 g m -2) than in the control (886 g m-2) and P (971 g m -2) only treatments. We observed no enrichment of leaf N or P in response to nutrient additions. Rather leaf N decreased and CN increased in plots receiving N, suggesting that leaf N was diluted by increased production of carbon laden structural components used to support increased plant height. NP ratios (molmol) of the plant tissue were consistently &lt; 30 (1427) in the treatment plots, also suggesting N limitation of primary production. Total densities of benthic invertebrates and oligochaete worms (primarily Tubificidae and Lumbriculidae) were significantly greater in the NP plots than in the other treatments after two years of nutrient additions. There were no clear differences in diversity of benthic invertebrates among treatments. Our results suggest that tidal freshwater marsh primary and secondary production is limited or co-limited by N, and thus, like estuaries and salt marshes, are susceptible to N enrichment and eutrophication. © 2009 The Society of Wetland Scientists.&quot;,&quot;issue&quot;:&quot;1&quot;,&quot;volume&quot;:&quot;29&quot;,&quot;container-title-short&quot;:&quot;&quot;},&quot;isTemporary&quot;:false}]},{&quot;citationID&quot;:&quot;MENDELEY_CITATION_b641460f-3c2c-4d47-8acc-d95061be3045&quot;,&quot;properties&quot;:{&quot;noteIndex&quot;:0},&quot;isEdited&quot;:false,&quot;manualOverride&quot;:{&quot;isManuallyOverridden&quot;:false,&quot;citeprocText&quot;:&quot;(Gough &amp;#38; Hobbie, 2003)&quot;,&quot;manualOverrideText&quot;:&quot;&quot;},&quot;citationTag&quot;:&quot;MENDELEY_CITATION_v3_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&quot;,&quot;citationItems&quot;:[{&quot;id&quot;:&quot;9afcca6a-9667-3d68-8dc6-c83470fb05be&quot;,&quot;itemData&quot;:{&quot;type&quot;:&quot;article-journal&quot;,&quot;id&quot;:&quot;9afcca6a-9667-3d68-8dc6-c83470fb05be&quot;,&quot;title&quot;:&quot;Responses of moist non-acidic arctic tundra to altered environment: Productivity, biomass, and species richness&quot;,&quot;author&quot;:[{&quot;family&quot;:&quot;Gough&quot;,&quot;given&quot;:&quot;Laura&quot;,&quot;parse-names&quot;:false,&quot;dropping-particle&quot;:&quot;&quot;,&quot;non-dropping-particle&quot;:&quot;&quot;},{&quot;family&quot;:&quot;Hobbie&quot;,&quot;given&quot;:&quot;Sarah E&quot;,&quot;parse-names&quot;:false,&quot;dropping-particle&quot;:&quot;&quot;,&quot;non-dropping-particle&quot;:&quot;&quot;}],&quot;container-title&quot;:&quot;Oikos&quot;,&quot;DOI&quot;:&quot;10.1034/j.1600-0706.2003.12363.x&quot;,&quot;ISSN&quot;:&quot;00301299&quot;,&quot;issued&quot;:{&quot;date-parts&quot;:[[2003]]},&quot;page&quot;:&quot;204-216&quot;,&quot;abstract&quot;:&quot;In arctic Alaska, researchers have manipulated air temperature, light availability, and soil nutrient availability in several tundra communities over the past two decades. These communities responded quite differently to the same manipulations, and species responded individualistically within communities and among sites. For example, moist acidic tundra is primarily nitrogen (N)-limited, whereas wet sedge tundra is primarily phosphorus (P)-limited, and the magnitude of growth responses varies across sites within communities. Here we report results of four years of manipulated nutrients (N and/or P) and/or air temperature in an understudied, diverse plant community, moist non-acidic tussock tundra, in northern Alaska. Our goals were to determine which factors limit above-ground net primary productivity (ANPP) and biomass, how community composition changes may affect ecosystem attributes, and to compare these results with those from other communities to determine their generality. Although relative abundance of functional groups shifted in several treatments, the only significant change in community-level ANPP and biomass occurred in plots that received both N and P, driven by an increase in graminoid biomass and production resulting from a positive effect of adding N. There was no difference in community biomass among any other treatments; however, some growth forms and individual species did respond. After four years no one species has come to dominate the treatment plots and species richness has not changed. These results are similar to studies in dry heath, wet sedge, and moist acidic tundra where community biomass had the greatest response to both N and P and warming results were more subtle. Unlike in moist acidic tundra where shrub biomass increased markedly with fertilization, our results suggest that in non-acidic tundra carbon sequestration in plant biomass will not increase substantially under increased soil nutrient conditions because of the lack of overstory shrub species.&quot;,&quot;issue&quot;:&quot;1&quot;,&quot;volume&quot;:&quot;103&quot;,&quot;container-title-short&quot;:&quot;&quot;},&quot;isTemporary&quot;:false}]},{&quot;citationID&quot;:&quot;MENDELEY_CITATION_305bfda0-7149-49ea-b1f7-f8e03b7ce8de&quot;,&quot;properties&quot;:{&quot;noteIndex&quot;:0},&quot;isEdited&quot;:false,&quot;manualOverride&quot;:{&quot;isManuallyOverridden&quot;:false,&quot;citeprocText&quot;:&quot;(Güsewell et al., 2002)&quot;,&quot;manualOverrideText&quot;:&quot;&quot;},&quot;citationTag&quot;:&quot;MENDELEY_CITATION_v3_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&quot;,&quot;citationItems&quot;:[{&quot;id&quot;:&quot;737de51a-0b65-3b7a-a48f-f23c4c845839&quot;,&quot;itemData&quot;:{&quot;type&quot;:&quot;article-journal&quot;,&quot;id&quot;:&quot;737de51a-0b65-3b7a-a48f-f23c4c845839&quot;,&quot;title&quot;:&quot;Time-dependent effects of fertilization on plant biomass in floating fens&quot;,&quot;author&quot;:[{&quot;family&quot;:&quot;Güsewell&quot;,&quot;given&quot;:&quot;Sabine&quot;,&quot;parse-names&quot;:false,&quot;dropping-particle&quot;:&quot;&quot;,&quot;non-dropping-particle&quot;:&quot;&quot;},{&quot;family&quot;:&quot;Koerselman&quot;,&quot;given&quot;:&quot;Willem&quot;,&quot;parse-names&quot;:false,&quot;dropping-particle&quot;:&quot;&quot;,&quot;non-dropping-particle&quot;:&quot;&quot;},{&quot;family&quot;:&quot;Verhoeven&quot;,&quot;given&quot;:&quot;Jos T A&quot;,&quot;parse-names&quot;:false,&quot;dropping-particle&quot;:&quot;&quot;,&quot;non-dropping-particle&quot;:&quot;&quot;}],&quot;container-title&quot;:&quot;Journal of Vegetation Science&quot;,&quot;DOI&quot;:&quot;10.1111/j.1654-1103.2002.tb02098.x&quot;,&quot;ISSN&quot;:&quot;11009233&quot;,&quot;issued&quot;:{&quot;date-parts&quot;:[[2002]]},&quot;page&quot;:&quot;705-718&quot;,&quot;abstract&quot;:&quot;A cross-over fertilization experiment was carried out in Dutch floating fens to investigate effects on biomass production in the same and the following years. In total 16 fertilizer treatments were applied, combining four treatments in 1999 with four treatments in 2000 (addition of 20 g.m-2 N, 5 g.m-2 P, both elements and unfertilized control). The above-ground biomass production of vascular plants was co-limited by N and P in both years. However, in plots that were only fertilized in 1999 the effects of individual nutrients differed between the two years: N-fertilization slightly increased the amount of biomass produced in the same year (1999), whereas P-fertilization did so in the following year (2000). Fertilizer applied in 1999 also influenced the effects of fertilizer applied in 2000. One year after N-fertilization vascular plant growth was still co-limited by N and P, but one year after P-fertilization, vascular plant growth was only limited by N. Bryophyte biomass responded weakly to fertilization. Nutrient concentrations in plant biomass, nutrient standing crops and measurements of N and P availability in the soil indicated that one year after fertilization, the N-fertilizer had mostly 'disappeared' from N-fertilized plots, whereas the availability of P remained markedly enhanced in P-fertilized plots. In addition, P-fertilization enhanced the uptake of N by plants the following year. The time-dependence of fertilizer effects was probably caused by (1) higher addition of P than of N relative to the requirements of plants; (2) longer retention of P than of N in the system; (3) positive effect of P-fertilization on the availability of N; (4) contrasting effects of N- and P-fertilization on nutrient losses by plants and/or on their responses to subsequent nutrient addition; (5) changing interactions between vascular plants and mosses (mainly Sphagnum spp.); (6) nutrient export through the repeated harvest of above-ground biomass. To determine which nutrient limits plant growth fertilization experiments should be short, avoiding that indirect effects of a non-limiting nutrient influence results. To indicate how changed nutrient supply will affect an ecosystem longer-term experiments are needed, so that indirect effects have time to develop and be detected.&quot;,&quot;issue&quot;:&quot;5&quot;,&quot;volume&quot;:&quot;13&quot;,&quot;container-title-short&quot;:&quot;&quot;},&quot;isTemporary&quot;:false}]},{&quot;citationID&quot;:&quot;MENDELEY_CITATION_801b52d5-cc69-4b0d-a7db-71b93ecf3c71&quot;,&quot;properties&quot;:{&quot;noteIndex&quot;:0},&quot;isEdited&quot;:false,&quot;manualOverride&quot;:{&quot;isManuallyOverridden&quot;:false,&quot;citeprocText&quot;:&quot;(Güsewell et al., 2003)&quot;,&quot;manualOverrideText&quot;:&quot;&quot;},&quot;citationTag&quot;:&quot;MENDELEY_CITATION_v3_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&quot;,&quot;citationItems&quot;:[{&quot;id&quot;:&quot;6480b92d-7f03-3230-a4dc-84973fec1896&quot;,&quot;itemData&quot;:{&quot;type&quot;:&quot;article-journal&quot;,&quot;id&quot;:&quot;6480b92d-7f03-3230-a4dc-84973fec1896&quot;,&quot;title&quot;:&quot;Biomass N:P ratios as indicators of nutrient limitation for plant populations in wetlands&quot;,&quot;author&quot;:[{&quot;family&quot;:&quot;Güsewell&quot;,&quot;given&quot;:&quot;Sabine&quot;,&quot;parse-names&quot;:false,&quot;dropping-particle&quot;:&quot;&quot;,&quot;non-dropping-particle&quot;:&quot;&quot;},{&quot;family&quot;:&quot;Koerselman&quot;,&quot;given&quot;:&quot;Willem&quot;,&quot;parse-names&quot;:false,&quot;dropping-particle&quot;:&quot;&quot;,&quot;non-dropping-particle&quot;:&quot;&quot;},{&quot;family&quot;:&quot;Verhoeven&quot;,&quot;given&quot;:&quot;Jos T A&quot;,&quot;parse-names&quot;:false,&quot;dropping-particle&quot;:&quot;&quot;,&quot;non-dropping-particle&quot;:&quot;&quot;}],&quot;container-title&quot;:&quot;Ecological Applications&quot;,&quot;DOI&quot;:&quot;10.1890/1051-0761(2003)013[0372:BNRAIO]2.0.CO;2&quot;,&quot;issued&quot;:{&quot;date-parts&quot;:[[2003]]},&quot;page&quot;:&quot;372-384&quot;,&quot;abstract&quot;:&quot;The conservation or restoration of seminatural vegetation often involves measures that influence the availability of nutrients and consequently the plant species composition., The ability to predict effects of modified nutrient availability on species composition would therefore help to choose appropriate management strategies. The aim of this study was to test whether short-term effects of nitrogen or phosphorus enrichment can be predicted from nutrient ratios in plant biomass. At 11 species-rich sites in,Dutch fens and dune slacks, small plots Were fertilized with N, P, N + P, or not fertilized (control). The aboveground biomass, N and P concentrations, and N:P ratios, were compared between fertilized and control plots for all sufficiently abundant plant populations in the summers preceding and following fertilization. Of 121 populations, only 45 had their biomass enhanced significantly by fertilization. Populations enhanced by P fertilization had on average higher biomass N:P ratios than those enhanced by N,. due to higher N and lower P concentrations. However, N:P ratios did not differ among populations enhanced by N, N + P, or neither nutrient. High biomass N:P ratios (&gt;20) therefore indicated that a plant population would probably respond to P-fertilization, but low or intermediate N:P ratios (&lt;20) did not indicate whether the population would respond to N or N + P fertilization. The predictive value of N:P ratios was not higher if only species from one site or only species with the same growth form were considered. It is concluded that N:P ratios are not suitable to predict how changed nutrient supply will affect plant species composition, especially in the long term. However, results suggest that biomass N:P ratios do reflect the relative availability of N and P to plants and may indicate the degree of N or P deficiency experienced by a plant population even more reliably than fertilization experiments. N:P ratios can be used to investigate how the relative availability of N and P influences various ecological processes and how it is affected by human. impacts or management&quot;,&quot;issue&quot;:&quot;2&quot;,&quot;volume&quot;:&quot;13&quot;,&quot;container-title-short&quot;:&quot;&quot;},&quot;isTemporary&quot;:false}]},{&quot;citationID&quot;:&quot;MENDELEY_CITATION_28e7ff5f-b9df-4e98-9162-64461f93e3b3&quot;,&quot;properties&quot;:{&quot;noteIndex&quot;:0},&quot;isEdited&quot;:false,&quot;manualOverride&quot;:{&quot;isManuallyOverridden&quot;:false,&quot;citeprocText&quot;:&quot;(Güsewell et al., 2003)&quot;,&quot;manualOverrideText&quot;:&quot;&quot;},&quot;citationTag&quot;:&quot;MENDELEY_CITATION_v3_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&quot;,&quot;citationItems&quot;:[{&quot;id&quot;:&quot;6480b92d-7f03-3230-a4dc-84973fec1896&quot;,&quot;itemData&quot;:{&quot;type&quot;:&quot;article-journal&quot;,&quot;id&quot;:&quot;6480b92d-7f03-3230-a4dc-84973fec1896&quot;,&quot;title&quot;:&quot;Biomass N:P ratios as indicators of nutrient limitation for plant populations in wetlands&quot;,&quot;author&quot;:[{&quot;family&quot;:&quot;Güsewell&quot;,&quot;given&quot;:&quot;Sabine&quot;,&quot;parse-names&quot;:false,&quot;dropping-particle&quot;:&quot;&quot;,&quot;non-dropping-particle&quot;:&quot;&quot;},{&quot;family&quot;:&quot;Koerselman&quot;,&quot;given&quot;:&quot;Willem&quot;,&quot;parse-names&quot;:false,&quot;dropping-particle&quot;:&quot;&quot;,&quot;non-dropping-particle&quot;:&quot;&quot;},{&quot;family&quot;:&quot;Verhoeven&quot;,&quot;given&quot;:&quot;Jos T A&quot;,&quot;parse-names&quot;:false,&quot;dropping-particle&quot;:&quot;&quot;,&quot;non-dropping-particle&quot;:&quot;&quot;}],&quot;container-title&quot;:&quot;Ecological Applications&quot;,&quot;DOI&quot;:&quot;10.1890/1051-0761(2003)013[0372:BNRAIO]2.0.CO;2&quot;,&quot;issued&quot;:{&quot;date-parts&quot;:[[2003]]},&quot;page&quot;:&quot;372-384&quot;,&quot;abstract&quot;:&quot;The conservation or restoration of seminatural vegetation often involves measures that influence the availability of nutrients and consequently the plant species composition., The ability to predict effects of modified nutrient availability on species composition would therefore help to choose appropriate management strategies. The aim of this study was to test whether short-term effects of nitrogen or phosphorus enrichment can be predicted from nutrient ratios in plant biomass. At 11 species-rich sites in,Dutch fens and dune slacks, small plots Were fertilized with N, P, N + P, or not fertilized (control). The aboveground biomass, N and P concentrations, and N:P ratios, were compared between fertilized and control plots for all sufficiently abundant plant populations in the summers preceding and following fertilization. Of 121 populations, only 45 had their biomass enhanced significantly by fertilization. Populations enhanced by P fertilization had on average higher biomass N:P ratios than those enhanced by N,. due to higher N and lower P concentrations. However, N:P ratios did not differ among populations enhanced by N, N + P, or neither nutrient. High biomass N:P ratios (&gt;20) therefore indicated that a plant population would probably respond to P-fertilization, but low or intermediate N:P ratios (&lt;20) did not indicate whether the population would respond to N or N + P fertilization. The predictive value of N:P ratios was not higher if only species from one site or only species with the same growth form were considered. It is concluded that N:P ratios are not suitable to predict how changed nutrient supply will affect plant species composition, especially in the long term. However, results suggest that biomass N:P ratios do reflect the relative availability of N and P to plants and may indicate the degree of N or P deficiency experienced by a plant population even more reliably than fertilization experiments. N:P ratios can be used to investigate how the relative availability of N and P influences various ecological processes and how it is affected by human. impacts or management&quot;,&quot;issue&quot;:&quot;2&quot;,&quot;volume&quot;:&quot;13&quot;,&quot;container-title-short&quot;:&quot;&quot;},&quot;isTemporary&quot;:false}]},{&quot;citationID&quot;:&quot;MENDELEY_CITATION_00fdc954-9196-4724-becc-cf3227c70539&quot;,&quot;properties&quot;:{&quot;noteIndex&quot;:0},&quot;isEdited&quot;:false,&quot;manualOverride&quot;:{&quot;isManuallyOverridden&quot;:false,&quot;citeprocText&quot;:&quot;(Haag, 1974)&quot;,&quot;manualOverrideText&quot;:&quot;&quot;},&quot;citationTag&quot;:&quot;MENDELEY_CITATION_v3_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&quot;,&quot;citationItems&quot;:[{&quot;id&quot;:&quot;0d6849d3-3a18-3b09-9080-b4730890456f&quot;,&quot;itemData&quot;:{&quot;type&quot;:&quot;article-journal&quot;,&quot;id&quot;:&quot;0d6849d3-3a18-3b09-9080-b4730890456f&quot;,&quot;title&quot;:&quot;Nutrient limitations to plant production in two tundra communities&quot;,&quot;author&quot;:[{&quot;family&quot;:&quot;Haag&quot;,&quot;given&quot;:&quot;Richard W&quot;,&quot;parse-names&quot;:false,&quot;dropping-particle&quot;:&quot;&quot;,&quot;non-dropping-particle&quot;:&quot;&quot;}],&quot;container-title&quot;:&quot;Canadian Journal of Botany&quot;,&quot;issued&quot;:{&quot;date-parts&quot;:[[1974]]},&quot;page&quot;:&quot;103-116&quot;,&quot;issue&quot;:&quot;1&quot;,&quot;volume&quot;:&quot;52&quot;,&quot;container-title-short&quot;:&quot;&quot;},&quot;isTemporary&quot;:false}]},{&quot;citationID&quot;:&quot;MENDELEY_CITATION_b11900ca-a3e9-44ce-9281-5b7f51790518&quot;,&quot;properties&quot;:{&quot;noteIndex&quot;:0},&quot;isEdited&quot;:false,&quot;manualOverride&quot;:{&quot;isManuallyOverridden&quot;:false,&quot;citeprocText&quot;:&quot;(Han et al., 2011)&quot;,&quot;manualOverrideText&quot;:&quot;&quot;},&quot;citationTag&quot;:&quot;MENDELEY_CITATION_v3_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&quot;,&quot;citationItems&quot;:[{&quot;id&quot;:&quot;784fe744-a3e5-3a2f-aef0-36ecf10e9189&quot;,&quot;itemData&quot;:{&quot;type&quot;:&quot;article-journal&quot;,&quot;id&quot;:&quot;784fe744-a3e5-3a2f-aef0-36ecf10e9189&quot;,&quot;title&quot;:&quot;Aboveground biomass response to increasing nitrogen deposition on grassland on the northern Loess Plateau of China&quot;,&quot;author&quot;:[{&quot;family&quot;:&quot;Han&quot;,&quot;given&quot;:&quot;Xiangwei&quot;,&quot;parse-names&quot;:false,&quot;dropping-particle&quot;:&quot;&quot;,&quot;non-dropping-particle&quot;:&quot;&quot;},{&quot;family&quot;:&quot;Tsunekawa&quot;,&quot;given&quot;:&quot;Atsushi&quot;,&quot;parse-names&quot;:false,&quot;dropping-particle&quot;:&quot;&quot;,&quot;non-dropping-particle&quot;:&quot;&quot;},{&quot;family&quot;:&quot;Tsubo&quot;,&quot;given&quot;:&quot;Mitsuru&quot;,&quot;parse-names&quot;:false,&quot;dropping-particle&quot;:&quot;&quot;,&quot;non-dropping-particle&quot;:&quot;&quot;},{&quot;family&quot;:&quot;Li&quot;,&quot;given&quot;:&quot;Shiqing&quot;,&quot;parse-names&quot;:false,&quot;dropping-particle&quot;:&quot;&quot;,&quot;non-dropping-particle&quot;:&quot;&quot;}],&quot;container-title&quot;:&quot;Acta Agriculturae Scandinavica Section B: Soil and Plant Science&quot;,&quot;container-title-short&quot;:&quot;Acta Agric Scand B Soil Plant Sci&quot;,&quot;DOI&quot;:&quot;10.1080/09064710903544201&quot;,&quot;ISSN&quot;:&quot;09064710&quot;,&quot;issued&quot;:{&quot;date-parts&quot;:[[2011]]},&quot;page&quot;:&quot;112-121&quot;,&quot;abstract&quot;:&quot;The fragile ecosystem of China's Loess Plateau is being exposed to increasing atmospheric nitrogen deposition but little information about the response of the region's natural vegetation is currently available. We studied the responses of aboveground biomass (AGB) to simulated nitrogen deposition in a field experiment conducted on natural grassland on sunny and shady slopes. Three levels of simulated nitrogen deposition were applied, and two treatments with phosphorus were included to test for secondary phosphorus limitation. For the same level of nitrogen deposition, grass generally grew better on the shady slope than on the sunny slope. Compared to a control treatment with no additional nitrogen, we found: (1) the 2.5 g N m-2 yr-1 treatment significantly increased biomass only on the sunny slope; (2) the total AGB increased significantly in the 5 g N m-2 yr-1 treatment on both the shady slope (by 31%) and the sunny slope (by 25%); and (3) for 10 g N m-2 yr-1, AGB was also significantly increased, however, phosphorus limitation became more apparent, and soil nitrate N levels increased significantly, suggesting nitrogen saturation and the potential for nitrate pollution. The AGB of Stipa bungeana (the dominant grass) was significantly increased by nitrogen, but not by phosphorus. The biomass of the second dominant species Lespedeza davurica Schindl., was not affected by increased nitrogen but addition of phosphorus had some positive impact. Therefore, nitrogen deposition was proven to have effects on plant growth in our study area on the Loess Plateau of China, but high level of nitrogen deposition would result in P limitation. Furthermore, increasing nitrogen deposition is likely to induce diversity change. © 2011 Taylor &amp; Francis.&quot;,&quot;issue&quot;:&quot;2&quot;,&quot;volume&quot;:&quot;61&quot;},&quot;isTemporary&quot;:false}]},{&quot;citationID&quot;:&quot;MENDELEY_CITATION_d024e87a-5265-4bd2-8ba4-2d2913dc46ec&quot;,&quot;properties&quot;:{&quot;noteIndex&quot;:0},&quot;isEdited&quot;:false,&quot;manualOverride&quot;:{&quot;isManuallyOverridden&quot;:false,&quot;citeprocText&quot;:&quot;(Harrington et al., 2001)&quot;,&quot;manualOverrideText&quot;:&quot;&quot;},&quot;citationTag&quot;:&quot;MENDELEY_CITATION_v3_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&quot;,&quot;citationItems&quot;:[{&quot;id&quot;:&quot;ef12344f-e64b-39f0-bf05-f418a3e2eef9&quot;,&quot;itemData&quot;:{&quot;type&quot;:&quot;article-journal&quot;,&quot;id&quot;:&quot;ef12344f-e64b-39f0-bf05-f418a3e2eef9&quot;,&quot;title&quot;:&quot;Production and resource use efficiencies in N- and P-limited tropical forests: A comparison of responses to long-term fertilization&quot;,&quot;author&quot;:[{&quot;family&quot;:&quot;Harrington&quot;,&quot;given&quot;:&quot;Robin A&quot;,&quot;parse-names&quot;:false,&quot;dropping-particle&quot;:&quot;&quot;,&quot;non-dropping-particle&quot;:&quot;&quot;},{&quot;family&quot;:&quot;Fownes&quot;,&quot;given&quot;:&quot;James H&quot;,&quot;parse-names&quot;:false,&quot;dropping-particle&quot;:&quot;&quot;,&quot;non-dropping-particle&quot;:&quot;&quot;},{&quot;family&quot;:&quot;Vitousek&quot;,&quot;given&quot;:&quot;Peter M&quot;,&quot;parse-names&quot;:false,&quot;dropping-particle&quot;:&quot;&quot;,&quot;non-dropping-particle&quot;:&quot;&quot;}],&quot;container-title&quot;:&quot;Ecosystems&quot;,&quot;DOI&quot;:&quot;10.1007/s10021-001-0034-z&quot;,&quot;ISBN&quot;:&quot;1002100100&quot;,&quot;ISSN&quot;:&quot;14329840&quot;,&quot;issued&quot;:{&quot;date-parts&quot;:[[2001]]},&quot;page&quot;:&quot;646-657&quot;,&quot;abstract&quot;:&quot;At two sites at the extreme ends of a soil development chronosequence in Hawaii, we investigated whether forest responses to fertilization on young soils were similar to those on highly weathered soils and whether the initial responses were maintained after 6-11 years of fertilization. Aboveground net primary production (ANPP) was increased by nitrogen (N) application at the 300-year-old site and phosphorus (P) application at the 4.1-million-year-old site, thus confirming earlier results and their designations as N- and P-limited forests. Along with ANPP, application of the limiting element consistently increased leaf area index (LAI), radiation conversion efficiency (RCE), and foliar and litter nutrient concentrations. Fertilization did not consistently alter N or P retranslocation from senescent leaves at either site, but a comparison with other sites on the chronosequence and with a common-garden study suggests that there is a genetic basis for low foliar and litter nutrients and higher retranslocation at infertile sites vs more fertile sites. N limitation appears to be expressed as limitation to carbon gain, with long leaf lifespans and high leaf mass per area. P limitation results in high P-use efficiency and disproportionally large increases in P uptake after fertilization; a comparison with other studies indicates large investments in acquiring and storing P. Although the general responses of ANPP, LAI, and RCE were similar for the two sites, other aspects of nutrient use differ in relation to the physiological and biogeochemical roles of the two elements.&quot;,&quot;issue&quot;:&quot;7&quot;,&quot;volume&quot;:&quot;4&quot;,&quot;container-title-short&quot;:&quot;&quot;},&quot;isTemporary&quot;:false}]},{&quot;citationID&quot;:&quot;MENDELEY_CITATION_69c6f7ac-3c48-4933-83fc-6ecd98928ded&quot;,&quot;properties&quot;:{&quot;noteIndex&quot;:0},&quot;isEdited&quot;:false,&quot;manualOverride&quot;:{&quot;isManuallyOverridden&quot;:false,&quot;citeprocText&quot;:&quot;(Haubensak &amp;#38; D’Antonio, 2011)&quot;,&quot;manualOverrideText&quot;:&quot;&quot;},&quot;citationTag&quot;:&quot;MENDELEY_CITATION_v3_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&quot;,&quot;citationItems&quot;:[{&quot;id&quot;:&quot;66f5136a-5d15-336e-8c48-c55ddad70861&quot;,&quot;itemData&quot;:{&quot;type&quot;:&quot;article-journal&quot;,&quot;id&quot;:&quot;66f5136a-5d15-336e-8c48-c55ddad70861&quot;,&quot;title&quot;:&quot;The importance of nitrogen-fixation for an invader of a coastal California grassland&quot;,&quot;author&quot;:[{&quot;family&quot;:&quot;Haubensak&quot;,&quot;given&quot;:&quot;Karen A&quot;,&quot;parse-names&quot;:false,&quot;dropping-particle&quot;:&quot;&quot;,&quot;non-dropping-particle&quot;:&quot;&quot;},{&quot;family&quot;:&quot;D'Antonio&quot;,&quot;given&quot;:&quot;Carla M&quot;,&quot;parse-names&quot;:false,&quot;dropping-particle&quot;:&quot;&quot;,&quot;non-dropping-particle&quot;:&quot;&quot;}],&quot;container-title&quot;:&quot;Biological Invasions&quot;,&quot;container-title-short&quot;:&quot;Biol Invasions&quot;,&quot;DOI&quot;:&quot;10.1007/s10530-010-9904-7&quot;,&quot;ISSN&quot;:&quot;13873547&quot;,&quot;issued&quot;:{&quot;date-parts&quot;:[[2011]]},&quot;page&quot;:&quot;1275-1282&quot;,&quot;abstract&quot;:&quot;Whether a novel trait of an invader directly contributes to increased establishment of that invader is a relatively unstudied question in plant ecology. Nitrogen (N)-fixing shrubs comprise a significant subset of grassland invaders worldwide, which suggests the potential importance of the novel trait of N-fixation in the invasion process. We indirectly tested the importance of N-fixation in the invasion of Genista monspessulana (French broom) in a California grassland by alleviating N and phosphorus (P) limitation to the grassland matrix. Grassland productivity was co-limited by N and P; N alone did not release the resident vegetation, and did not affect Genista performance. Genista was strongly limited by P: seedlings had more nodules, greater leaf N concentration, and higher growth and survival with P additions. When N was added with P, however, growth of the resident vegetation was 50-70% greater than with N or P alone, accompanied by decreases in Genista performance. This suggests that the advantage conferred to Genista by N-fixation was dampened when the resident vegetation was released from nutrient limitation. © Springer Science+Business Media B.V.2010.&quot;,&quot;issue&quot;:&quot;6&quot;,&quot;volume&quot;:&quot;13&quot;},&quot;isTemporary&quot;:false}]},{&quot;citationID&quot;:&quot;MENDELEY_CITATION_73f763f6-08b6-4001-b523-23cae60282a6&quot;,&quot;properties&quot;:{&quot;noteIndex&quot;:0},&quot;isEdited&quot;:false,&quot;manualOverride&quot;:{&quot;isManuallyOverridden&quot;:false,&quot;citeprocText&quot;:&quot;(He et al., 2016)&quot;,&quot;manualOverrideText&quot;:&quot;&quot;},&quot;citationTag&quot;:&quot;MENDELEY_CITATION_v3_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&quot;,&quot;citationItems&quot;:[{&quot;id&quot;:&quot;7c18c93f-cf85-3b13-a30b-68762f37418a&quot;,&quot;itemData&quot;:{&quot;type&quot;:&quot;article-journal&quot;,&quot;id&quot;:&quot;7c18c93f-cf85-3b13-a30b-68762f37418a&quot;,&quot;title&quot;:&quot;Composition of the soil fungal community is more sensitive to phosphorus than nitrogen addition in the alpine meadow on the Qinghai-Tibetan Plateau&quot;,&quot;author&quot;:[{&quot;family&quot;:&quot;He&quot;,&quot;given&quot;:&quot;Dan&quot;,&quot;parse-names&quot;:false,&quot;dropping-particle&quot;:&quot;&quot;,&quot;non-dropping-particle&quot;:&quot;&quot;},{&quot;family&quot;:&quot;Xiang&quot;,&quot;given&quot;:&quot;Xingjia&quot;,&quot;parse-names&quot;:false,&quot;dropping-particle&quot;:&quot;&quot;,&quot;non-dropping-particle&quot;:&quot;&quot;},{&quot;family&quot;:&quot;He&quot;,&quot;given&quot;:&quot;Jin Sheng&quot;,&quot;parse-names&quot;:false,&quot;dropping-particle&quot;:&quot;&quot;,&quot;non-dropping-particle&quot;:&quot;&quot;},{&quot;family&quot;:&quot;Wang&quot;,&quot;given&quot;:&quot;Chao&quot;,&quot;parse-names&quot;:false,&quot;dropping-particle&quot;:&quot;&quot;,&quot;non-dropping-particle&quot;:&quot;&quot;},{&quot;family&quot;:&quot;Cao&quot;,&quot;given&quot;:&quot;Guangmin&quot;,&quot;parse-names&quot;:false,&quot;dropping-particle&quot;:&quot;&quot;,&quot;non-dropping-particle&quot;:&quot;&quot;},{&quot;family&quot;:&quot;Adams&quot;,&quot;given&quot;:&quot;Jonathan&quot;,&quot;parse-names&quot;:false,&quot;dropping-particle&quot;:&quot;&quot;,&quot;non-dropping-particle&quot;:&quot;&quot;},{&quot;family&quot;:&quot;Chu&quot;,&quot;given&quot;:&quot;Haiyan&quot;,&quot;parse-names&quot;:false,&quot;dropping-particle&quot;:&quot;&quot;,&quot;non-dropping-particle&quot;:&quot;&quot;}],&quot;container-title&quot;:&quot;Biology and Fertility of Soils&quot;,&quot;container-title-short&quot;:&quot;Biol Fertil Soils&quot;,&quot;DOI&quot;:&quot;10.1007/s00374-016-1142-4&quot;,&quot;ISSN&quot;:&quot;01782762&quot;,&quot;URL&quot;:&quot;http://dx.doi.org/10.1007/s00374-016-1142-4&quot;,&quot;issued&quot;:{&quot;date-parts&quot;:[[2016]]},&quot;page&quot;:&quot;1059-1072&quot;,&quot;abstract&quot;:&quot;The alpine meadow on the Qinghai-Tibetan Plateau (QTP), which is sensitive to global climate change and human activities, is subjected to addition of nutrients such as nitrogen (N) and phosphorus (P) in the soil. The impacts of N or P on ecosystem structure and function depend at least partly on the response of soil fungal communities, although few studies have compared the effects of N and P addition, both separately and together. We examined the responses of composition of the soil fungal community to 3-year experimental nutrient additions (control, N, N plus P, and P) in a typical alpine meadow of the QTP. We found that P addition, regardless of N addition, significantly reduced fungal species richness and changed fungal community composition, while the effect of N was undetectable. Nitrogen plus phosphorus caused a more distinct community than either N or P addition alone. Multivariate regression tree, canonical correspondence analysis, and distance-based multivariate linear model analyses all suggested available P was a key parameter determining the diversity and composition of the fungal community. Other parameters such as dissolved organic N, aboveground net primary productivity of forbs, and dissolved organic C played important but secondary roles. The results indicated an important role of P in structuring soil fungal communities in the alpine meadow. Our results suggest that fungal diversity loss and long-term changes in ecosystem stability can result from fertilization management in the fragile alpine environment.&quot;,&quot;publisher&quot;:&quot;Biology and Fertility of Soils&quot;,&quot;issue&quot;:&quot;8&quot;,&quot;volume&quot;:&quot;52&quot;},&quot;isTemporary&quot;:false}]},{&quot;citationID&quot;:&quot;MENDELEY_CITATION_108d71b2-a4d8-4eba-9021-b6e773ad0c58&quot;,&quot;properties&quot;:{&quot;noteIndex&quot;:0},&quot;isEdited&quot;:false,&quot;manualOverride&quot;:{&quot;isManuallyOverridden&quot;:false,&quot;citeprocText&quot;:&quot;(Herbert &amp;#38; Fownes, 1995)&quot;,&quot;manualOverrideText&quot;:&quot;&quot;},&quot;citationTag&quot;:&quot;MENDELEY_CITATION_v3_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&quot;,&quot;citationItems&quot;:[{&quot;id&quot;:&quot;244253dd-bf20-3e8e-afa8-32ce0e704684&quot;,&quot;itemData&quot;:{&quot;type&quot;:&quot;article-journal&quot;,&quot;id&quot;:&quot;244253dd-bf20-3e8e-afa8-32ce0e704684&quot;,&quot;title&quot;:&quot;Phosphorus limitation of forest leaf area and net primary production on a highly weathered soil&quot;,&quot;author&quot;:[{&quot;family&quot;:&quot;Herbert&quot;,&quot;given&quot;:&quot;Darrell A&quot;,&quot;parse-names&quot;:false,&quot;dropping-particle&quot;:&quot;&quot;,&quot;non-dropping-particle&quot;:&quot;&quot;},{&quot;family&quot;:&quot;Fownes&quot;,&quot;given&quot;:&quot;James H&quot;,&quot;parse-names&quot;:false,&quot;dropping-particle&quot;:&quot;&quot;,&quot;non-dropping-particle&quot;:&quot;&quot;}],&quot;container-title&quot;:&quot;Biogeochemistry&quot;,&quot;container-title-short&quot;:&quot;Biogeochemistry&quot;,&quot;DOI&quot;:&quot;10.1007/BF02186049&quot;,&quot;ISSN&quot;:&quot;01682563&quot;,&quot;issued&quot;:{&quot;date-parts&quot;:[[1995]]},&quot;page&quot;:&quot;223-235&quot;,&quot;abstract&quot;:&quot;We tested the hypothesis that P was the nutrient limiting net primary production of a native Metrosideros polymorpha forest on a highly weathered montane tropical soil in Hawaii. A factorial experiment used all combinations of three fertilizer treatments: nitrogen (N), phosphorus (P) and a mix of other essential nutrients (OE), consisting primarily of mineral derived cations and excluding N and P. P addition, but not N or OE, increased leaf area index within 12 months, foliar P concentration measured at 18 months, and stem diameter increment within 18 months. Stem growth at 18 months was even greater when trees fertilized with P also received the OE treatment. N and P additions increased leaf litterfall and N and P in combination further increased litterfall. The sequence of responses suggests that increased available P promoted an increase in photosynthetic area which led to increased wood production. P was the essential element most limiting to primary production on old volcanic soil in contrast to the N limitation found on young volcanic soils. © 1995 Kluwer Academic Publishers.&quot;,&quot;issue&quot;:&quot;3&quot;,&quot;volume&quot;:&quot;29&quot;},&quot;isTemporary&quot;:false}]},{&quot;citationID&quot;:&quot;MENDELEY_CITATION_46830e98-7b24-489d-b15d-42008b3532f7&quot;,&quot;properties&quot;:{&quot;noteIndex&quot;:0},&quot;isEdited&quot;:false,&quot;manualOverride&quot;:{&quot;isManuallyOverridden&quot;:false,&quot;citeprocText&quot;:&quot;(Hersch-Green et al., 2024)&quot;,&quot;manualOverrideText&quot;:&quot;&quot;},&quot;citationTag&quot;:&quot;MENDELEY_CITATION_v3_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&quot;,&quot;citationItems&quot;:[{&quot;id&quot;:&quot;9a914c06-e445-38c7-9318-765f1c302242&quot;,&quot;itemData&quot;:{&quot;type&quot;:&quot;article-journal&quot;,&quot;id&quot;:&quot;9a914c06-e445-38c7-9318-765f1c302242&quot;,&quot;title&quot;:&quot;Mechanistic insights into plant community responses to environmental variables: genome size, cellular nutrient investments, and metabolic tradeoffs&quot;,&quot;author&quot;:[{&quot;family&quot;:&quot;Hersch-Green&quot;,&quot;given&quot;:&quot;Erika I&quot;,&quot;parse-names&quot;:false,&quot;dropping-particle&quot;:&quot;&quot;,&quot;non-dropping-particle&quot;:&quot;&quot;},{&quot;family&quot;:&quot;Fay&quot;,&quot;given&quot;:&quot;Philip A&quot;,&quot;parse-names&quot;:false,&quot;dropping-particle&quot;:&quot;&quot;,&quot;non-dropping-particle&quot;:&quot;&quot;},{&quot;family&quot;:&quot;Hass&quot;,&quot;given&quot;:&quot;Hailee B&quot;,&quot;parse-names&quot;:false,&quot;dropping-particle&quot;:&quot;&quot;,&quot;non-dropping-particle&quot;:&quot;&quot;},{&quot;family&quot;:&quot;Smith&quot;,&quot;given&quot;:&quot;Nicholas G&quot;,&quot;parse-names&quot;:false,&quot;dropping-particle&quot;:&quot;&quot;,&quot;non-dropping-particle&quot;:&quot;&quot;}],&quot;container-title&quot;:&quot;New Phytologist&quot;,&quot;DOI&quot;:&quot;10.1111/nph.20374&quot;,&quot;ISSN&quot;:&quot;14698137&quot;,&quot;issued&quot;:{&quot;date-parts&quot;:[[2024]]},&quot;abstract&quot;:&quot;Affecting biodiversity, plants with larger genome sizes (GS) may be restricted in nutrient-poor conditions. This pattern has been attributed to their greater cellular nitrogen (N) and phosphorus (P) investments and hypothesized nutrient–investment tradeoffs between cell synthesis and physiological attributes associated with growth. However, the influence of GS on cell size and functioning may also contribute to GS-dependent growth responses to nutrients. To test whether and how GS is associated with cellular nutrient, stomata, and/or physiological attributes, we examined &gt; 500 forbs and grasses from seven grassland sites conducting a long-term N and P fertilization experiment. Larger GS plants had increased cellular nutrient contents and larger, but fewer stomata than smaller GS plants. Larger GS grasses (but not forbs) also had lower photosynthetic rates and water-use efficiencies. However, nutrients had no direct effect on GS-dependent physiological attributes and GS-dependent physiological changes likely arise from how GS influences cells. At the driest sites, large GS grasses displayed high water-use efficiency mostly because transpiration was reduced relative to photosynthesis in these conditions. We suggest that climatic conditions and GS-associated cell traits that modify physiological responses, rather than resource–investment tradeoffs, largely explain GS-dependent growth responses to nutrients (especially for grasses).&quot;,&quot;container-title-short&quot;:&quot;&quot;},&quot;isTemporary&quot;:false}]},{&quot;citationID&quot;:&quot;MENDELEY_CITATION_bd85ca8d-3e69-4022-8652-930547a9ea6d&quot;,&quot;properties&quot;:{&quot;noteIndex&quot;:0},&quot;isEdited&quot;:false,&quot;manualOverride&quot;:{&quot;isManuallyOverridden&quot;:false,&quot;citeprocText&quot;:&quot;(Huff et al., 2015)&quot;,&quot;manualOverrideText&quot;:&quot;&quot;},&quot;citationTag&quot;:&quot;MENDELEY_CITATION_v3_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&quot;,&quot;citationItems&quot;:[{&quot;id&quot;:&quot;f108df9f-3274-3f77-8187-cf68d16c9ceb&quot;,&quot;itemData&quot;:{&quot;type&quot;:&quot;article-journal&quot;,&quot;id&quot;:&quot;f108df9f-3274-3f77-8187-cf68d16c9ceb&quot;,&quot;title&quot;:&quot;Ecosystem CO 2 Exchange in Response to Nitrogen and Phosphorus Addition in a Restored, Temperate Grassland&quot;,&quot;author&quot;:[{&quot;family&quot;:&quot;Huff&quot;,&quot;given&quot;:&quot;L M&quot;,&quot;parse-names&quot;:false,&quot;dropping-particle&quot;:&quot;&quot;,&quot;non-dropping-particle&quot;:&quot;&quot;},{&quot;family&quot;:&quot;Potts&quot;,&quot;given&quot;:&quot;Daniel L&quot;,&quot;parse-names&quot;:false,&quot;dropping-particle&quot;:&quot;&quot;,&quot;non-dropping-particle&quot;:&quot;&quot;},{&quot;family&quot;:&quot;Hamerlynck&quot;,&quot;given&quot;:&quot;E P&quot;,&quot;parse-names&quot;:false,&quot;dropping-particle&quot;:&quot;&quot;,&quot;non-dropping-particle&quot;:&quot;&quot;}],&quot;container-title&quot;:&quot;The American Midland Naturalist&quot;,&quot;container-title-short&quot;:&quot;Am Midl Nat&quot;,&quot;DOI&quot;:&quot;10.1674/0003-0031-173.1.73&quot;,&quot;ISSN&quot;:&quot;0003-0031&quot;,&quot;URL&quot;:&quot;http://www.bioone.org/doi/abs/10.1674/0003-0031-173.1.73&quot;,&quot;issued&quot;:{&quot;date-parts&quot;:[[2015,1]]},&quot;page&quot;:&quot;73-87&quot;,&quot;issue&quot;:&quot;1&quot;,&quot;volume&quot;:&quot;173&quot;},&quot;isTemporary&quot;:false}]},{&quot;citationID&quot;:&quot;MENDELEY_CITATION_20014b92-420e-4d31-8f9c-697779391650&quot;,&quot;properties&quot;:{&quot;noteIndex&quot;:0},&quot;isEdited&quot;:false,&quot;manualOverride&quot;:{&quot;isManuallyOverridden&quot;:false,&quot;citeprocText&quot;:&quot;(Iversen et al., 2010)&quot;,&quot;manualOverrideText&quot;:&quot;&quot;},&quot;citationTag&quot;:&quot;MENDELEY_CITATION_v3_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&quot;,&quot;citationItems&quot;:[{&quot;id&quot;:&quot;76433a13-d4d4-34c5-a517-bd116a7dc0f3&quot;,&quot;itemData&quot;:{&quot;type&quot;:&quot;article-journal&quot;,&quot;id&quot;:&quot;76433a13-d4d4-34c5-a517-bd116a7dc0f3&quot;,&quot;title&quot;:&quot;Scaling plant nitrogen use and uptake efficiencies in response to nutrient addition in peatlands&quot;,&quot;author&quot;:[{&quot;family&quot;:&quot;Iversen&quot;,&quot;given&quot;:&quot;Colleen M&quot;,&quot;parse-names&quot;:false,&quot;dropping-particle&quot;:&quot;&quot;,&quot;non-dropping-particle&quot;:&quot;&quot;},{&quot;family&quot;:&quot;Bridgham&quot;,&quot;given&quot;:&quot;Scott D&quot;,&quot;parse-names&quot;:false,&quot;dropping-particle&quot;:&quot;&quot;,&quot;non-dropping-particle&quot;:&quot;&quot;},{&quot;family&quot;:&quot;Kellogg&quot;,&quot;given&quot;:&quot;Laurie E&quot;,&quot;parse-names&quot;:false,&quot;dropping-particle&quot;:&quot;&quot;,&quot;non-dropping-particle&quot;:&quot;&quot;}],&quot;container-title&quot;:&quot;Ecology&quot;,&quot;container-title-short&quot;:&quot;Ecology&quot;,&quot;DOI&quot;:&quot;10.1890/09-0064.1&quot;,&quot;ISSN&quot;:&quot;00129658&quot;,&quot;PMID&quot;:&quot;20426329&quot;,&quot;issued&quot;:{&quot;date-parts&quot;:[[2010]]},&quot;page&quot;:&quot;693-707&quot;,&quot;abstract&quot;:&quot;Nitrogen (N) is the primary growth-limiting nutrient in many terrestrial ecosystems, and therefore plant production per unit N taken up (i.e., N use efficiency, NUE) is a fundamentally important component of ecosystem function, Nitrogen use efficiency comprises two components: N productivity (A N;, plant production per peak biomass N content) and the mean residence time of N in plant biomass (MRTN). We utilized a five-year fertilization experiment to examine the manner in which increases in N and phosphorus (P) availability affected plant NUE at multiple biological scales (i.e., from leaf to community level). We fertilized a natural gradient of nutrient-limited peatland ecosystems in the Upper Peninsula of Michigan, USA, with 6 g N·m-2yr-1, 2 g P.m-2 or a combination of N and P. Our objectives were to determine how changes in carbon and N allocation within a plant to leaf and woody tissue and changes in species composition within a community, both above- and belowground, would affect (1) NUE; (2) the adaptive trade-off between the components of NUE; (3) the efficiency with which plants acquired N from the soil (N uptake efficiency); and. (4) plant community production per unit soil N availability (N response efficiency, NRE). As expected, N and P addition generally increased aboveground production and N uptake. In particular, P availability strongly affected the way in which plants took up and used N. Nitrogen use efficiency response to nutrient addition was not straightforward. Nitrogen use efficiency differed between leaf and woody tissue, among species, and across the ombrotrophicminerotrophic gradient because plants and communities were adapted to maximize either AN or MRTN, but not both, concurrently. Increased N availability strongly decreased plant and community N uptake efficiency, while increased P availability increased N uptake efficiency, particularly in a nitrogen-fixing shrub. Nitrogen uptake efficiency was more important in controlling overall plant community response to soil N availability than was NUE, and above- and belowground community N uptake efficiencies responded to nutrient addition in a similar manner. Our results demonstrate that plants respond to nutrient availability at multiple biological scales, and we suggest that N uptake efficiency may be a more representative measurement of plant responses to nutrient availability gradients than plant NUE. © 2010 by the Ecological Society of America.&quot;,&quot;issue&quot;:&quot;3&quot;,&quot;volume&quot;:&quot;91&quot;},&quot;isTemporary&quot;:false}]},{&quot;citationID&quot;:&quot;MENDELEY_CITATION_69dfa609-a58e-45f6-88b3-2ed7983889eb&quot;,&quot;properties&quot;:{&quot;noteIndex&quot;:0},&quot;isEdited&quot;:false,&quot;manualOverride&quot;:{&quot;isManuallyOverridden&quot;:false,&quot;citeprocText&quot;:&quot;(Jing et al., 2016)&quot;,&quot;manualOverrideText&quot;:&quot;&quot;},&quot;citationTag&quot;:&quot;MENDELEY_CITATION_v3_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&quot;,&quot;citationItems&quot;:[{&quot;id&quot;:&quot;250a4c2d-f471-3ebc-85b3-198bd123b95d&quot;,&quot;itemData&quot;:{&quot;type&quot;:&quot;article-journal&quot;,&quot;id&quot;:&quot;250a4c2d-f471-3ebc-85b3-198bd123b95d&quot;,&quot;title&quot;:&quot;Neutral effect of nitrogen addition and negative effect of phosphorus addition on topsoil extracellular enzymatic activities in an alpine grassland ecosystem&quot;,&quot;author&quot;:[{&quot;family&quot;:&quot;Jing&quot;,&quot;given&quot;:&quot;Xin&quot;,&quot;parse-names&quot;:false,&quot;dropping-particle&quot;:&quot;&quot;,&quot;non-dropping-particle&quot;:&quot;&quot;},{&quot;family&quot;:&quot;Yang&quot;,&quot;given&quot;:&quot;Xiaoxia&quot;,&quot;parse-names&quot;:false,&quot;dropping-particle&quot;:&quot;&quot;,&quot;non-dropping-particle&quot;:&quot;&quot;},{&quot;family&quot;:&quot;Ren&quot;,&quot;given&quot;:&quot;Fei&quot;,&quot;parse-names&quot;:false,&quot;dropping-particle&quot;:&quot;&quot;,&quot;non-dropping-particle&quot;:&quot;&quot;},{&quot;family&quot;:&quot;Zhou&quot;,&quot;given&quot;:&quot;Huakun&quot;,&quot;parse-names&quot;:false,&quot;dropping-particle&quot;:&quot;&quot;,&quot;non-dropping-particle&quot;:&quot;&quot;},{&quot;family&quot;:&quot;Zhu&quot;,&quot;given&quot;:&quot;Biao&quot;,&quot;parse-names&quot;:false,&quot;dropping-particle&quot;:&quot;&quot;,&quot;non-dropping-particle&quot;:&quot;&quot;},{&quot;family&quot;:&quot;He&quot;,&quot;given&quot;:&quot;Jin Sheng&quot;,&quot;parse-names&quot;:false,&quot;dropping-particle&quot;:&quot;&quot;,&quot;non-dropping-particle&quot;:&quot;&quot;}],&quot;container-title&quot;:&quot;Applied Soil Ecology&quot;,&quot;DOI&quot;:&quot;10.1016/j.apsoil.2016.06.004&quot;,&quot;ISSN&quot;:&quot;09291393&quot;,&quot;URL&quot;:&quot;http://dx.doi.org/10.1016/j.apsoil.2016.06.004&quot;,&quot;issued&quot;:{&quot;date-parts&quot;:[[2016]]},&quot;page&quot;:&quot;205-213&quot;,&quot;abstract&quot;:&quot;Soil nitrogen (N) and phosphorus (P) are common limiting nutrients affecting plant primary productivity in alpine ecosystems due to the low decomposition rate, though anthropogenic activities have greatly increased their inputs into ecosystems. Little is known regarding the effects of increasing N and P availabilities on the functioning of belowground microbial communities. To determine how soil microorganisms respond to N and P addition, we measured plant primary productivity, soil microbial biomass, soil mineral N availability, soil respiration, and the activities of soil extracellular enzymes after two years of N- and P-addition in an alpine grassland ecosystem on the Tibetan Plateau. We observed no significant effect of N addition on plant biomass, soil microbial biomass, soil respiration, or the activities of soil extracellular enzymes. In contrast, P addition increased plant biomass but suppressed the activities of most labile-C-cycling enzymes at 0–10 cm of soil depth, although the effects on soil microbial biomass and soil respiration were minor. Moreover, there was no interaction between N and P addition on these variables. Overall, N addition does not appear to exert a significant effect on plant primary productivity and microbial activity, whereas P addition increases plant primary productivity and tends to suppress topsoil microbial activity after two years of nutrient application.&quot;,&quot;publisher&quot;:&quot;Elsevier B.V.&quot;,&quot;volume&quot;:&quot;107&quot;,&quot;container-title-short&quot;:&quot;&quot;},&quot;isTemporary&quot;:false}]},{&quot;citationID&quot;:&quot;MENDELEY_CITATION_e70785ff-51f2-4675-8bff-99dfa8217444&quot;,&quot;properties&quot;:{&quot;noteIndex&quot;:0},&quot;isEdited&quot;:false,&quot;manualOverride&quot;:{&quot;isManuallyOverridden&quot;:false,&quot;citeprocText&quot;:&quot;(Ket et al., 2011)&quot;,&quot;manualOverrideText&quot;:&quot;&quot;},&quot;citationTag&quot;:&quot;MENDELEY_CITATION_v3_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&quot;,&quot;citationItems&quot;:[{&quot;id&quot;:&quot;d25981a1-2b2f-35ab-9f0b-d6b76a6178d5&quot;,&quot;itemData&quot;:{&quot;type&quot;:&quot;article-journal&quot;,&quot;id&quot;:&quot;d25981a1-2b2f-35ab-9f0b-d6b76a6178d5&quot;,&quot;title&quot;:&quot;Effects of five years of nitrogen and phosphorus additions on a Zizaniopsis miliacea tidal freshwater marsh&quot;,&quot;author&quot;:[{&quot;family&quot;:&quot;Ket&quot;,&quot;given&quot;:&quot;Wesley A&quot;,&quot;parse-names&quot;:false,&quot;dropping-particle&quot;:&quot;&quot;,&quot;non-dropping-particle&quot;:&quot;&quot;},{&quot;family&quot;:&quot;Schubauer-Berigan&quot;,&quot;given&quot;:&quot;Joseph P&quot;,&quot;parse-names&quot;:false,&quot;dropping-particle&quot;:&quot;&quot;,&quot;non-dropping-particle&quot;:&quot;&quot;},{&quot;family&quot;:&quot;Craft&quot;,&quot;given&quot;:&quot;Christopher B&quot;,&quot;parse-names&quot;:false,&quot;dropping-particle&quot;:&quot;&quot;,&quot;non-dropping-particle&quot;:&quot;&quot;}],&quot;container-title&quot;:&quot;Aquatic Botany&quot;,&quot;container-title-short&quot;:&quot;Aquat Bot&quot;,&quot;DOI&quot;:&quot;10.1016/j.aquabot.2011.03.003&quot;,&quot;ISSN&quot;:&quot;03043770&quot;,&quot;issued&quot;:{&quot;date-parts&quot;:[[2011]]},&quot;page&quot;:&quot;17-23&quot;,&quot;abstract&quot;:&quot;The purpose of this experiment was to determine if nitrogen (N) or phosphorus (P) acts as the limiting nutrient for tidal freshwater marsh vegetation. To answer this question, we added N, P, and N+P to a tidal freshwater marsh dominated by Zizaniopsis miliacea (Michx.) (giant cutgrass) in Georgia, USA, for five years to determine their effects on aboveground and belowground biomass and nutrient (N, P) uptake. Nitrogen and P were applied twice per year at an annual rate of 50gm-2year-1 and 10gm-2year-1, respectively. Aboveground biomass and leaf C, N, and P were sampled in August of each year. Belowground biomass and C, N, and P content were measured in August of year five. After two years, plots receiving N and N+P had significantly greater aboveground biomass than the control and P plots. This trend continued through the fifth year of the study and resulted in two to three times more aboveground biomass at the end of the fifth year in the N (1570gm-2) and N+P (1264gm-2) plots relative to P (710gm-2) and control (570gm-2) plots. After five years of nutrient additions, macro-organic matter (MOM), the living plus dead root and rhizome mat (0-10cm), was significantly lower in the N (1457gm-2) and N+P (994gm-2) plots than the control (2189gm-2) plots. There was less live rhizome biomass in the N+P (23gm-2) plots than the control (1085gm-2) plots. We observed a 31-33% increase in the N content of Z. miliacea leaves in years three through five in the N and N+P plots relative to the control plots, but observed no P enrichment of leaves. In the N-treated plots, leaf C:N decreased 20-25% whereas N:P increased 21-64% in years three through five relative to the control and P plots. These findings collectively suggest that N, rather than P, limits productivity of tidal freshwater marsh vegetation. Reduced belowground biomass that accompanies N enrichment is of special concern as it may lead to increased erosion and reduced organic matter inputs to the soil, increasing their susceptibility to disturbances associated with wind, waves, river flooding and rising sea level. © 2011 Elsevier B.V.&quot;,&quot;issue&quot;:&quot;1&quot;,&quot;volume&quot;:&quot;95&quot;},&quot;isTemporary&quot;:false}]},{&quot;citationID&quot;:&quot;MENDELEY_CITATION_50d2aa92-11be-4ed3-b91e-9c59a91ec65e&quot;,&quot;properties&quot;:{&quot;noteIndex&quot;:0},&quot;isEdited&quot;:false,&quot;manualOverride&quot;:{&quot;isManuallyOverridden&quot;:false,&quot;citeprocText&quot;:&quot;(Lawrence, 2001)&quot;,&quot;manualOverrideText&quot;:&quot;&quot;},&quot;citationTag&quot;:&quot;MENDELEY_CITATION_v3_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&quot;,&quot;citationItems&quot;:[{&quot;id&quot;:&quot;26b7b38a-323c-398e-ab22-e991e6fbf718&quot;,&quot;itemData&quot;:{&quot;type&quot;:&quot;article-journal&quot;,&quot;id&quot;:&quot;26b7b38a-323c-398e-ab22-e991e6fbf718&quot;,&quot;title&quot;:&quot;Nitrogen and phosphorus enhance growth and luxury consumption of four secondary forest tree species in Borneo&quot;,&quot;author&quot;:[{&quot;family&quot;:&quot;Lawrence&quot;,&quot;given&quot;:&quot;Deborah&quot;,&quot;parse-names&quot;:false,&quot;dropping-particle&quot;:&quot;&quot;,&quot;non-dropping-particle&quot;:&quot;&quot;}],&quot;container-title&quot;:&quot;Journal of Tropical Ecology&quot;,&quot;container-title-short&quot;:&quot;J Trop Ecol&quot;,&quot;DOI&quot;:&quot;10.1017/S0266467401001638&quot;,&quot;ISSN&quot;:&quot;02664674&quot;,&quot;issued&quot;:{&quot;date-parts&quot;:[[2001]]},&quot;page&quot;:&quot;859-869&quot;,&quot;abstract&quot;:&quot;Four common fallow tree species were tested for a response to nitrogen and phosphorus fertilization. Seedlings or cuttings of Melicope glabra (Rutaceae), Macaranga gigantea (Euphorbiaceae), Persea romosa (Laureaceae), Peronema canescens (Verbenaceae) were grown in pots of a 50:50 mix of native soil and sand under 18% full sun for 18 Weeks. Every 2 weeks, plants received either added N, added P, added N+P, or no added nutrients (control). Persea, a shade-tolerant species, and Macaranga, a light-demanding pioneer, improved relative growth rate with the addition of both N and P. Neither responded to N or P alone. Peronema and Melicope demonstrated luxury consumption of both N and P but did not show enhanced growth. Two of the four species tested (Persea and Melicope) were more limited by P than N. Macaranga was equally limited by both and Peronema was more limited by N. Along with previous studies, evidence for positive growth response and luxury consumption among light-demanding species suggests that P, rather than N, should limit seedling performance and may ultimately influence tree diversity in young secondary tropical forests.&quot;,&quot;issue&quot;:&quot;6&quot;,&quot;volume&quot;:&quot;17&quot;},&quot;isTemporary&quot;:false}]},{&quot;citationID&quot;:&quot;MENDELEY_CITATION_22fad365-1657-46f2-86a9-1c00c90d298a&quot;,&quot;properties&quot;:{&quot;noteIndex&quot;:0},&quot;isEdited&quot;:false,&quot;manualOverride&quot;:{&quot;isManuallyOverridden&quot;:false,&quot;citeprocText&quot;:&quot;(L. J. Li et al., 2011)&quot;,&quot;manualOverrideText&quot;:&quot;&quot;},&quot;citationTag&quot;:&quot;MENDELEY_CITATION_v3_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&quot;,&quot;citationItems&quot;:[{&quot;id&quot;:&quot;e6e1ad5a-86c0-3f39-b088-312510acbf5b&quot;,&quot;itemData&quot;:{&quot;type&quot;:&quot;article-journal&quot;,&quot;id&quot;:&quot;e6e1ad5a-86c0-3f39-b088-312510acbf5b&quot;,&quot;title&quot;:&quot;Foliar N/P ratio and nutrient limitation to vegetation growth on Keerqin sandy grassland of North-east China&quot;,&quot;author&quot;:[{&quot;family&quot;:&quot;Li&quot;,&quot;given&quot;:&quot;L J&quot;,&quot;parse-names&quot;:false,&quot;dropping-particle&quot;:&quot;&quot;,&quot;non-dropping-particle&quot;:&quot;&quot;},{&quot;family&quot;:&quot;Zeng&quot;,&quot;given&quot;:&quot;D H&quot;,&quot;parse-names&quot;:false,&quot;dropping-particle&quot;:&quot;&quot;,&quot;non-dropping-particle&quot;:&quot;&quot;},{&quot;family&quot;:&quot;Yu&quot;,&quot;given&quot;:&quot;Z Y&quot;,&quot;parse-names&quot;:false,&quot;dropping-particle&quot;:&quot;&quot;,&quot;non-dropping-particle&quot;:&quot;&quot;},{&quot;family&quot;:&quot;Fan&quot;,&quot;given&quot;:&quot;Z P&quot;,&quot;parse-names&quot;:false,&quot;dropping-particle&quot;:&quot;&quot;,&quot;non-dropping-particle&quot;:&quot;&quot;},{&quot;family&quot;:&quot;Mao&quot;,&quot;given&quot;:&quot;R&quot;,&quot;parse-names&quot;:false,&quot;dropping-particle&quot;:&quot;&quot;,&quot;non-dropping-particle&quot;:&quot;&quot;},{&quot;family&quot;:&quot;Peri&quot;,&quot;given&quot;:&quot;P L&quot;,&quot;parse-names&quot;:false,&quot;dropping-particle&quot;:&quot;&quot;,&quot;non-dropping-particle&quot;:&quot;&quot;}],&quot;container-title&quot;:&quot;Grass and Forage Science&quot;,&quot;DOI&quot;:&quot;10.1111/j.1365-2494.2011.00781.x&quot;,&quot;ISSN&quot;:&quot;01425242&quot;,&quot;issued&quot;:{&quot;date-parts&quot;:[[2011]]},&quot;page&quot;:&quot;237-242&quot;,&quot;abstract&quot;:&quot;To examine whether the critical leaf N/P ratios (of 14, 16) are valid to test nutrient limitation in the context of semi-arid sandy grasslands, an experiment was conducted on a Keerqin sandy grassland in North-east China to investigate the responses of plant biomass and nutrient concentrations to fertilization. Plant biomass production and leaf nutrient concentrations were measured after five consecutive years of fertilization with N (20gNm-2year-1) and/or P (10g P2O5m-2year-1). Nitrogen fertilization increased the shoot biomass by twofold and consequently the shoot/root ratio, whereas P fertilization had little effect on either shoot biomass or shoot/root ratio. Leaf N/P ratio varied among species with an average of 5·6 in the control, while the mean leaf N/P ratio (7·5) under the N fertilization treatment remained below the threshold of 14. Our results suggest that the critical N/P ratio (14, 16) is not applicable as a test for nutrient limitations in the context of semi-arid, sandy grassland. © 2011 Blackwell Publishing Ltd.&quot;,&quot;issue&quot;:&quot;2&quot;,&quot;volume&quot;:&quot;66&quot;,&quot;container-title-short&quot;:&quot;&quot;},&quot;isTemporary&quot;:false}]},{&quot;citationID&quot;:&quot;MENDELEY_CITATION_adf1b09b-f049-45ba-96ea-f1a9bbe21f64&quot;,&quot;properties&quot;:{&quot;noteIndex&quot;:0},&quot;isEdited&quot;:false,&quot;manualOverride&quot;:{&quot;isManuallyOverridden&quot;:false,&quot;citeprocText&quot;:&quot;(J. H. Li et al., 2014)&quot;,&quot;manualOverrideText&quot;:&quot;&quot;},&quot;citationTag&quot;:&quot;MENDELEY_CITATION_v3_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&quot;,&quot;citationItems&quot;:[{&quot;id&quot;:&quot;01b7a178-c5b0-331d-afb1-49eb68119355&quot;,&quot;itemData&quot;:{&quot;type&quot;:&quot;article-journal&quot;,&quot;id&quot;:&quot;01b7a178-c5b0-331d-afb1-49eb68119355&quot;,&quot;title&quot;:&quot;Effects of nitrogen and phosphorus fertilization on soil carbon fractions in alpine meadows on the Qinghai-Tibetan Plateau&quot;,&quot;author&quot;:[{&quot;family&quot;:&quot;Li&quot;,&quot;given&quot;:&quot;Jin Hua&quot;,&quot;parse-names&quot;:false,&quot;dropping-particle&quot;:&quot;&quot;,&quot;non-dropping-particle&quot;:&quot;&quot;},{&quot;family&quot;:&quot;Yang&quot;,&quot;given&quot;:&quot;Yu Jie&quot;,&quot;parse-names&quot;:false,&quot;dropping-particle&quot;:&quot;&quot;,&quot;non-dropping-particle&quot;:&quot;&quot;},{&quot;family&quot;:&quot;Li&quot;,&quot;given&quot;:&quot;Bo Wen&quot;,&quot;parse-names&quot;:false,&quot;dropping-particle&quot;:&quot;&quot;,&quot;non-dropping-particle&quot;:&quot;&quot;},{&quot;family&quot;:&quot;Li&quot;,&quot;given&quot;:&quot;Wen Jin&quot;,&quot;parse-names&quot;:false,&quot;dropping-particle&quot;:&quot;&quot;,&quot;non-dropping-particle&quot;:&quot;&quot;},{&quot;family&quot;:&quot;Wang&quot;,&quot;given&quot;:&quot;Gang&quot;,&quot;parse-names&quot;:false,&quot;dropping-particle&quot;:&quot;&quot;,&quot;non-dropping-particle&quot;:&quot;&quot;},{&quot;family&quot;:&quot;Knops&quot;,&quot;given&quot;:&quot;Johannes M H&quot;,&quot;parse-names&quot;:false,&quot;dropping-particle&quot;:&quot;&quot;,&quot;non-dropping-particle&quot;:&quot;&quot;}],&quot;container-title&quot;:&quot;PLoS ONE&quot;,&quot;container-title-short&quot;:&quot;PLoS One&quot;,&quot;DOI&quot;:&quot;10.1371/journal.pone.0103266&quot;,&quot;ISSN&quot;:&quot;19326203&quot;,&quot;PMID&quot;:&quot;25075624&quot;,&quot;issued&quot;:{&quot;date-parts&quot;:[[2014]]},&quot;abstract&quot;:&quot;In grassland ecosystems, N and P fertilization often increase plant productivity, but there is no concensus if fertilization affects soil C fractions. We tested effects of N, P and N+P fertilization at 5, 10, 15 g m -2 yr-1 (N5, N10, N15, P5, P10, P15, N5P5, N10P10, and N15P15) compared to unfertilized control on soil C, soil microbial biomass and functional diversity at the 0-20 cm and 20-40 cm depth in an alpine meadow after 5 years of continuous fertilization. Fertilization increased total aboveground biomass of community and grass but decreased legume and forb biomass compared to no fertilization. All fertilization treatments decreased the C:N ratios of legumes and roots compared to control, however fertilization at rates of 5 and 15 g m-2 yr-1 decreased the C:N ratios of the grasses. Compared to the control, soil microbial biomass C increased in N5, N 10, P5, and P10 in 0-20 cm, and increased in N10 and P5 while decreased in other treatments in 20-40 cm. Most of the fertilization treatments decreased the respiratory quotient (qCO2) in 0-20 cm but increased qCO2 in 20-40 cm. Fertilization increased soil microbial functional diversity (except N 15) but decreased cumulative C mineralization (except in N 15 in 0-20 cm and N5 in 20-40 cm). Soil organic C (SOC) decreased in P5 and P15 in 0-20 cm and for most of the fertilization treatments (except N15P15) in 20-40 cm. Overall, these results suggested that soils will not be a C sink (except N15P 15). Nitrogen and phosphorus fertilization may lower the SOC pool by altering the plant biomass composition, especially the C:N ratios of different plant functional groups, and modifying C substrate utilization patterns of soil microbial communities. The N+P fertilization at 15 g m-2 yr -1 may be used in increasing plant aboveground biomass and soil C accumulation under these meadows. © 2014 Li et al.&quot;,&quot;issue&quot;:&quot;7&quot;,&quot;volume&quot;:&quot;9&quot;},&quot;isTemporary&quot;:false}]},{&quot;citationID&quot;:&quot;MENDELEY_CITATION_0f9eabe7-409f-4103-a2b6-5bcb63318681&quot;,&quot;properties&quot;:{&quot;noteIndex&quot;:0},&quot;isEdited&quot;:false,&quot;manualOverride&quot;:{&quot;isManuallyOverridden&quot;:false,&quot;citeprocText&quot;:&quot;(Ludwig et al., 2001)&quot;,&quot;manualOverrideText&quot;:&quot;&quot;},&quot;citationTag&quot;:&quot;MENDELEY_CITATION_v3_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&quot;,&quot;citationItems&quot;:[{&quot;id&quot;:&quot;a0a81d58-e1a6-3427-815b-d0cb80d05436&quot;,&quot;itemData&quot;:{&quot;type&quot;:&quot;article-journal&quot;,&quot;id&quot;:&quot;a0a81d58-e1a6-3427-815b-d0cb80d05436&quot;,&quot;title&quot;:&quot;Effects of nutrients and shade on tree‐grass interactions in an East African savanna&quot;,&quot;author&quot;:[{&quot;family&quot;:&quot;Ludwig&quot;,&quot;given&quot;:&quot;Fulco&quot;,&quot;parse-names&quot;:false,&quot;dropping-particle&quot;:&quot;&quot;,&quot;non-dropping-particle&quot;:&quot;&quot;},{&quot;family&quot;:&quot;Kroon&quot;,&quot;given&quot;:&quot;Hans&quot;,&quot;parse-names&quot;:false,&quot;dropping-particle&quot;:&quot;&quot;,&quot;non-dropping-particle&quot;:&quot;de&quot;},{&quot;family&quot;:&quot;Prins&quot;,&quot;given&quot;:&quot;Herbert H.T.&quot;,&quot;parse-names&quot;:false,&quot;dropping-particle&quot;:&quot;&quot;,&quot;non-dropping-particle&quot;:&quot;&quot;},{&quot;family&quot;:&quot;Berendse&quot;,&quot;given&quot;:&quot;Frank&quot;,&quot;parse-names&quot;:false,&quot;dropping-particle&quot;:&quot;&quot;,&quot;non-dropping-particle&quot;:&quot;&quot;}],&quot;container-title&quot;:&quot;Journal of Vegetation Science&quot;,&quot;DOI&quot;:&quot;10.2307/3237009&quot;,&quot;ISSN&quot;:&quot;1100-9233&quot;,&quot;issued&quot;:{&quot;date-parts&quot;:[[2001]]},&quot;page&quot;:&quot;579-588&quot;,&quot;abstract&quot;:&quot; Abstract. Savanna trees have a multitude of positive and negative effects on understorey grass production, but little is known about how these effects interact. We report on a fertilization and shading experiment carried out in a Tanzanian tropical dry savanna around Acacia tortilis trees. In two years of study there was no difference in grass production under tree canopies or in open grassland. Fertilization, however, indicate that trees do affect the nutrient limitation of the grass layer with an N‐limited system in open grassland to a P‐limited system under the trees. The N:P ratios of grass gave a reliable indication of the nature of nutrient limitation, but only when assessed at the end of the wet season. Mid‐wet season nutrient concentrations of grasses were higher under than outside the tree canopy, suggesting that factors other than nutrients limit grass production. A shading experiment indicated that light may be such a limiting factor during the wet season when water and nutrients are sufficiently available. However, in the dry season when water is scarce, the effect of shade on plant production became positive. We conclude that whether trees increase or decrease production of the herbaceous layer depends on how positive effects (increased soil fertility) and negative effects (shade and soil water availability) interact and that these interactions may significantly change between wet and dry seasons. &quot;,&quot;issue&quot;:&quot;4&quot;,&quot;volume&quot;:&quot;12&quot;,&quot;container-title-short&quot;:&quot;&quot;},&quot;isTemporary&quot;:false}]},{&quot;citationID&quot;:&quot;MENDELEY_CITATION_f8a596cd-a1c8-4abb-9710-452d01dd9bdf&quot;,&quot;properties&quot;:{&quot;noteIndex&quot;:0},&quot;isEdited&quot;:false,&quot;manualOverride&quot;:{&quot;isManuallyOverridden&quot;:false,&quot;citeprocText&quot;:&quot;(Lund et al., 2009)&quot;,&quot;manualOverrideText&quot;:&quot;&quot;},&quot;citationTag&quot;:&quot;MENDELEY_CITATION_v3_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&quot;,&quot;citationItems&quot;:[{&quot;id&quot;:&quot;074e9dca-b45c-3c8f-8a0a-1ab3f7f4b031&quot;,&quot;itemData&quot;:{&quot;type&quot;:&quot;article-journal&quot;,&quot;id&quot;:&quot;074e9dca-b45c-3c8f-8a0a-1ab3f7f4b031&quot;,&quot;title&quot;:&quot;Effects of N and P fertilization on the greenhouse gas exchange in two northern peatlands with contrasting N deposition rates&quot;,&quot;author&quot;:[{&quot;family&quot;:&quot;Lund&quot;,&quot;given&quot;:&quot;M&quot;,&quot;parse-names&quot;:false,&quot;dropping-particle&quot;:&quot;&quot;,&quot;non-dropping-particle&quot;:&quot;&quot;},{&quot;family&quot;:&quot;Christensen&quot;,&quot;given&quot;:&quot;T R&quot;,&quot;parse-names&quot;:false,&quot;dropping-particle&quot;:&quot;&quot;,&quot;non-dropping-particle&quot;:&quot;&quot;},{&quot;family&quot;:&quot;Mastepanov&quot;,&quot;given&quot;:&quot;M&quot;,&quot;parse-names&quot;:false,&quot;dropping-particle&quot;:&quot;&quot;,&quot;non-dropping-particle&quot;:&quot;&quot;},{&quot;family&quot;:&quot;Lindroth&quot;,&quot;given&quot;:&quot;A&quot;,&quot;parse-names&quot;:false,&quot;dropping-particle&quot;:&quot;&quot;,&quot;non-dropping-particle&quot;:&quot;&quot;},{&quot;family&quot;:&quot;Ström&quot;,&quot;given&quot;:&quot;L&quot;,&quot;parse-names&quot;:false,&quot;dropping-particle&quot;:&quot;&quot;,&quot;non-dropping-particle&quot;:&quot;&quot;}],&quot;container-title&quot;:&quot;Biogeosciences&quot;,&quot;DOI&quot;:&quot;10.5194/bg-6-2135-2009&quot;,&quot;ISSN&quot;:&quot;17264189&quot;,&quot;issued&quot;:{&quot;date-parts&quot;:[[2009]]},&quot;page&quot;:&quot;2135-2144&quot;,&quot;abstract&quot;:&quot;Peatlands are important ecosystems in the context of biospheric feedback to climate change, due to the large storage of organic C in peatland soils. Nitrogen deposition and increased nutrient availability in soils following climate warming may cause changes in these ecosystems affecting greenhouse gas exchange. We have conducted an N and P fertilization experiment in two Swedish bogs subjected to high and low background N deposition, and measured the exchange of CO2, CH4 and N2O using the closed chamber technique. During the second year of fertilization, both gross primary production and ecosystem respiration were significantly increased by N addition in the northernmost site where background N deposition is low, while gross primary production was stimulated by P addition in the southern high N deposition site. In addition, a short-term response in respiration was seen following fertilization in both sites, probably associated with rapid growth of nutrient-limited soil microorganisms. No treatment effect was seen on the CH4 exchange, while N2O emission peaks were detected in N fertilized plots indicating the importance of taking N2O into consideration under increased N availability. In a longer term, increased nutrient availability will cause changes in plant composition, which will further act to regulate the peatland greenhouse gas exchange. © Author(s) 2009.&quot;,&quot;issue&quot;:&quot;10&quot;,&quot;volume&quot;:&quot;6&quot;,&quot;container-title-short&quot;:&quot;&quot;},&quot;isTemporary&quot;:false}]},{&quot;citationID&quot;:&quot;MENDELEY_CITATION_85cf78af-1a0c-4a13-9e41-b5b475234785&quot;,&quot;properties&quot;:{&quot;noteIndex&quot;:0},&quot;isEdited&quot;:false,&quot;manualOverride&quot;:{&quot;isManuallyOverridden&quot;:false,&quot;citeprocText&quot;:&quot;(Mayor et al., 2014)&quot;,&quot;manualOverrideText&quot;:&quot;&quot;},&quot;citationTag&quot;:&quot;MENDELEY_CITATION_v3_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&quot;,&quot;citationItems&quot;:[{&quot;id&quot;:&quot;a22a4daf-c735-3762-beaf-17fd4b2d4035&quot;,&quot;itemData&quot;:{&quot;type&quot;:&quot;article-journal&quot;,&quot;id&quot;:&quot;a22a4daf-c735-3762-beaf-17fd4b2d4035&quot;,&quot;title&quot;:&quot;Species-specific responses of foliar nutrients to long-term nitrogen and phosphorus additions in a lowland tropical forest&quot;,&quot;author&quot;:[{&quot;family&quot;:&quot;Mayor&quot;,&quot;given&quot;:&quot;Jordan R.&quot;,&quot;parse-names&quot;:false,&quot;dropping-particle&quot;:&quot;&quot;,&quot;non-dropping-particle&quot;:&quot;&quot;},{&quot;family&quot;:&quot;Wright&quot;,&quot;given&quot;:&quot;S. Joseph&quot;,&quot;parse-names&quot;:false,&quot;dropping-particle&quot;:&quot;&quot;,&quot;non-dropping-particle&quot;:&quot;&quot;},{&quot;family&quot;:&quot;Turner&quot;,&quot;given&quot;:&quot;Benjamin L.&quot;,&quot;parse-names&quot;:false,&quot;dropping-particle&quot;:&quot;&quot;,&quot;non-dropping-particle&quot;:&quot;&quot;}],&quot;container-title&quot;:&quot;Journal of Ecology&quot;,&quot;DOI&quot;:&quot;10.1111/1365-2745.12190&quot;,&quot;ISSN&quot;:&quot;00220477&quot;,&quot;issued&quot;:{&quot;date-parts&quot;:[[2014]]},&quot;page&quot;:&quot;36-44&quot;,&quot;abstract&quot;:&quot;The concentration, stoichiometry and resorption of nitrogen (N) and phosphorus (P) in plant leaves are often used as proxies of the availability of these growth-limiting nutrients, but the responses of these metrics to changes in nutrient availability remain largely untested for tropical forest trees. We evaluated changes in N and P concentrations, N/P ratios and resorption for four common tree species after 13 years of factorial N and P additions in a lowland tropical forest in Panama. Chronic P addition increased foliar P concentrations, decreased P resorption proficiency and decreased N/P ratios in three locally common eudicot tree species (Alseis blackiana, Heisteria concinna, Tetragastris panamensis). The increase in foliar P involved similar proportional increases in organic and inorganic P in two species and a disproportionately large increase in inorganic P in A. blackiana. Nitrogen addition did not alter foliar N concentrations in any species, but did decrease N resorption proficiency in H. concinna. A fourth species, the palm Oenocarpus mapora, demonstrated remarkably static foliar nutrient concentrations, responding only with a marginal decrease in P resorption proficiency under N plus P co-addition. Synthesis. Collectively, these results suggest that adjustment of N/P ratios can be expected in eudicots exposed to elevated P, but foliar N appears to already be at optimal levels in these lowland rain forest tree species. The complexity of species-specific responses to altered nutrient availability highlights the difficulty in predicting future responses of tropical forest trees to a changing world. Collectively, these results suggest that adjustment of N/P ratios can be expected in eudicots exposed to elevated P, but foliar N appears to already be at optimal levels in these lowland rain forest tree species. The complexity of species-specific responses to altered nutrient availability highlights the difficulty in predicting future responses of tropical forest trees to a changing world. © 2013 British Ecological Society.&quot;,&quot;issue&quot;:&quot;1&quot;,&quot;volume&quot;:&quot;102&quot;,&quot;container-title-short&quot;:&quot;&quot;},&quot;isTemporary&quot;:false}]},{&quot;citationID&quot;:&quot;MENDELEY_CITATION_644dcaf4-b519-4961-b203-f686198b64eb&quot;,&quot;properties&quot;:{&quot;noteIndex&quot;:0},&quot;isEdited&quot;:false,&quot;manualOverride&quot;:{&quot;isManuallyOverridden&quot;:false,&quot;citeprocText&quot;:&quot;(McMaster et al., 1982)&quot;,&quot;manualOverrideText&quot;:&quot;&quot;},&quot;citationTag&quot;:&quot;MENDELEY_CITATION_v3_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&quot;,&quot;citationItems&quot;:[{&quot;id&quot;:&quot;c00cd047-290c-3424-85e0-9ebe6591dee0&quot;,&quot;itemData&quot;:{&quot;type&quot;:&quot;article-journal&quot;,&quot;id&quot;:&quot;c00cd047-290c-3424-85e0-9ebe6591dee0&quot;,&quot;title&quot;:&quot;Response of Adenostoma Fasciculatum and Ceanothus Greggii Chaparral to Nutrient Additions&quot;,&quot;author&quot;:[{&quot;family&quot;:&quot;McMaster&quot;,&quot;given&quot;:&quot;G S&quot;,&quot;parse-names&quot;:false,&quot;dropping-particle&quot;:&quot;&quot;,&quot;non-dropping-particle&quot;:&quot;&quot;},{&quot;family&quot;:&quot;Jow&quot;,&quot;given&quot;:&quot;W M&quot;,&quot;parse-names&quot;:false,&quot;dropping-particle&quot;:&quot;&quot;,&quot;non-dropping-particle&quot;:&quot;&quot;},{&quot;family&quot;:&quot;Kummerow&quot;,&quot;given&quot;:&quot;J&quot;,&quot;parse-names&quot;:false,&quot;dropping-particle&quot;:&quot;&quot;,&quot;non-dropping-particle&quot;:&quot;&quot;}],&quot;container-title&quot;:&quot;The Journal of Ecology&quot;,&quot;container-title-short&quot;:&quot;J Ecol&quot;,&quot;DOI&quot;:&quot;10.2307/2260102&quot;,&quot;ISSN&quot;:&quot;00220477&quot;,&quot;URL&quot;:&quot;https://www.jstor.org/stable/2260102?origin=crossref&quot;,&quot;issued&quot;:{&quot;date-parts&quot;:[[1982,11]]},&quot;page&quot;:&quot;745&quot;,&quot;issue&quot;:&quot;3&quot;,&quot;volume&quot;:&quot;70&quot;},&quot;isTemporary&quot;:false}]},{&quot;citationID&quot;:&quot;MENDELEY_CITATION_dbcef529-9892-4727-bda4-be4e8807b6e6&quot;,&quot;properties&quot;:{&quot;noteIndex&quot;:0},&quot;isEdited&quot;:false,&quot;manualOverride&quot;:{&quot;isManuallyOverridden&quot;:false,&quot;citeprocText&quot;:&quot;(Mo et al., 2019)&quot;,&quot;manualOverrideText&quot;:&quot;&quot;},&quot;citationTag&quot;:&quot;MENDELEY_CITATION_v3_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&quot;,&quot;citationItems&quot;:[{&quot;id&quot;:&quot;6391f953-e1ba-32b5-81de-3bb4e4855b41&quot;,&quot;itemData&quot;:{&quot;type&quot;:&quot;article-journal&quot;,&quot;id&quot;:&quot;6391f953-e1ba-32b5-81de-3bb4e4855b41&quot;,&quot;title&quot;:&quot;Foliar phosphorus fractions reveal how tropical plants maintain photosynthetic rates despite low soil phosphorus availability&quot;,&quot;author&quot;:[{&quot;family&quot;:&quot;Mo&quot;,&quot;given&quot;:&quot;Qifeng&quot;,&quot;parse-names&quot;:false,&quot;dropping-particle&quot;:&quot;&quot;,&quot;non-dropping-particle&quot;:&quot;&quot;},{&quot;family&quot;:&quot;Li&quot;,&quot;given&quot;:&quot;Zhi’an&quot;,&quot;parse-names&quot;:false,&quot;dropping-particle&quot;:&quot;&quot;,&quot;non-dropping-particle&quot;:&quot;&quot;},{&quot;family&quot;:&quot;Sayer&quot;,&quot;given&quot;:&quot;Emma J.&quot;,&quot;parse-names&quot;:false,&quot;dropping-particle&quot;:&quot;&quot;,&quot;non-dropping-particle&quot;:&quot;&quot;},{&quot;family&quot;:&quot;Lambers&quot;,&quot;given&quot;:&quot;Hans&quot;,&quot;parse-names&quot;:false,&quot;dropping-particle&quot;:&quot;&quot;,&quot;non-dropping-particle&quot;:&quot;&quot;},{&quot;family&quot;:&quot;Li&quot;,&quot;given&quot;:&quot;Yingwen&quot;,&quot;parse-names&quot;:false,&quot;dropping-particle&quot;:&quot;&quot;,&quot;non-dropping-particle&quot;:&quot;&quot;},{&quot;family&quot;:&quot;Zou&quot;,&quot;given&quot;:&quot;Bi&quot;,&quot;parse-names&quot;:false,&quot;dropping-particle&quot;:&quot;&quot;,&quot;non-dropping-particle&quot;:&quot;&quot;},{&quot;family&quot;:&quot;Tang&quot;,&quot;given&quot;:&quot;Jianwu&quot;,&quot;parse-names&quot;:false,&quot;dropping-particle&quot;:&quot;&quot;,&quot;non-dropping-particle&quot;:&quot;&quot;},{&quot;family&quot;:&quot;Heskel&quot;,&quot;given&quot;:&quot;Mary&quot;,&quot;parse-names&quot;:false,&quot;dropping-particle&quot;:&quot;&quot;,&quot;non-dropping-particle&quot;:&quot;&quot;},{&quot;family&quot;:&quot;Ding&quot;,&quot;given&quot;:&quot;Yongzhen&quot;,&quot;parse-names&quot;:false,&quot;dropping-particle&quot;:&quot;&quot;,&quot;non-dropping-particle&quot;:&quot;&quot;},{&quot;family&quot;:&quot;Wang&quot;,&quot;given&quot;:&quot;Faming&quot;,&quot;parse-names&quot;:false,&quot;dropping-particle&quot;:&quot;&quot;,&quot;non-dropping-particle&quot;:&quot;&quot;}],&quot;container-title&quot;:&quot;Functional Ecology&quot;,&quot;container-title-short&quot;:&quot;Funct Ecol&quot;,&quot;DOI&quot;:&quot;10.1111/1365-2435.13252&quot;,&quot;ISSN&quot;:&quot;13652435&quot;,&quot;issued&quot;:{&quot;date-parts&quot;:[[2019]]},&quot;page&quot;:&quot;503-513&quot;,&quot;abstract&quot;:&quot;Nitrogen (N) and phosphorus (P) are essential nutrients for plant metabolism, and their availability often limits primary productivity. Whereas the effects of N availability on photosynthetic capacity are well established, we still know relatively little about the effects of P availability at a foliar level, especially in P-limited tropical forests. We examined photosynthetic capacity, leaf mass per area (LMA) and foliar P fractions in five woody plant species after 6 years of N and P fertilization in a lowland tropical forest. Foliar N:P ratios indicated P limitation of the unfertilized plants; accordingly, photosynthetic P-use efficiency (PPUE) and LMA decreased with P addition, and foliar N and P concentrations increased, whereas N addition had little effect on measured foliar traits. However, P addition enhanced photosynthetic capacity only in one species and not in other four species. We then assessed plant acclimation to low P availability by quantifying four fractions of foliar P representing different functional pools: structural P, metabolic P (including inorganic P), nucleic acid P, and residual P. We found that P addition enhanced the concentrations of metabolic, structural, and nucleic acid P fractions in all species, but the magnitude of the effect was species-specific. Our findings indicate that tropical species acclimate to low P availability by altering allocation of foliar P to meet the demand of P for photosynthesis. Importantly, species typical of lowland tropical forests in East Asia maintained their photosynthetic rate under low P availability. We conclude that P limitation of leaf photosynthetic capacity may not be as common as previously assumed due to plant acclimation mechanisms in low-P tropical forests. Species-specific strategies to allocate P to different foliar fractions represent a potentially important adaptive mechanism for plants in P-limited systems.&quot;,&quot;issue&quot;:&quot;3&quot;,&quot;volume&quot;:&quot;33&quot;},&quot;isTemporary&quot;:false}]},{&quot;citationID&quot;:&quot;MENDELEY_CITATION_f33e023a-44c7-4546-9370-c54463e3ff5c&quot;,&quot;properties&quot;:{&quot;noteIndex&quot;:0},&quot;isEdited&quot;:false,&quot;manualOverride&quot;:{&quot;isManuallyOverridden&quot;:false,&quot;citeprocText&quot;:&quot;(Mo et al., 2021)&quot;,&quot;manualOverrideText&quot;:&quot;&quot;},&quot;citationTag&quot;:&quot;MENDELEY_CITATION_v3_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&quot;,&quot;citationItems&quot;:[{&quot;id&quot;:&quot;51d32760-d15e-375d-8c1f-feced8b63c6d&quot;,&quot;itemData&quot;:{&quot;type&quot;:&quot;article-journal&quot;,&quot;id&quot;:&quot;51d32760-d15e-375d-8c1f-feced8b63c6d&quot;,&quot;title&quot;:&quot;Response of foliar mineral nutrients to long-term nitrogen and phosphorus addition in a tropical forest&quot;,&quot;author&quot;:[{&quot;family&quot;:&quot;Mo&quot;,&quot;given&quot;:&quot;Qifeng&quot;,&quot;parse-names&quot;:false,&quot;dropping-particle&quot;:&quot;&quot;,&quot;non-dropping-particle&quot;:&quot;&quot;},{&quot;family&quot;:&quot;Wang&quot;,&quot;given&quot;:&quot;Wenjuan&quot;,&quot;parse-names&quot;:false,&quot;dropping-particle&quot;:&quot;&quot;,&quot;non-dropping-particle&quot;:&quot;&quot;},{&quot;family&quot;:&quot;Lambers&quot;,&quot;given&quot;:&quot;Hans&quot;,&quot;parse-names&quot;:false,&quot;dropping-particle&quot;:&quot;&quot;,&quot;non-dropping-particle&quot;:&quot;&quot;},{&quot;family&quot;:&quot;Chen&quot;,&quot;given&quot;:&quot;Yiqun&quot;,&quot;parse-names&quot;:false,&quot;dropping-particle&quot;:&quot;&quot;,&quot;non-dropping-particle&quot;:&quot;&quot;},{&quot;family&quot;:&quot;Yu&quot;,&quot;given&quot;:&quot;Shiqin&quot;,&quot;parse-names&quot;:false,&quot;dropping-particle&quot;:&quot;&quot;,&quot;non-dropping-particle&quot;:&quot;&quot;},{&quot;family&quot;:&quot;Wu&quot;,&quot;given&quot;:&quot;Chunsheng&quot;,&quot;parse-names&quot;:false,&quot;dropping-particle&quot;:&quot;&quot;,&quot;non-dropping-particle&quot;:&quot;&quot;},{&quot;family&quot;:&quot;Fan&quot;,&quot;given&quot;:&quot;Yingxu&quot;,&quot;parse-names&quot;:false,&quot;dropping-particle&quot;:&quot;&quot;,&quot;non-dropping-particle&quot;:&quot;&quot;},{&quot;family&quot;:&quot;Zhou&quot;,&quot;given&quot;:&quot;Qing&quot;,&quot;parse-names&quot;:false,&quot;dropping-particle&quot;:&quot;&quot;,&quot;non-dropping-particle&quot;:&quot;&quot;},{&quot;family&quot;:&quot;Li&quot;,&quot;given&quot;:&quot;Zhi’an&quot;,&quot;parse-names&quot;:false,&quot;dropping-particle&quot;:&quot;&quot;,&quot;non-dropping-particle&quot;:&quot;&quot;},{&quot;family&quot;:&quot;Wang&quot;,&quot;given&quot;:&quot;Faming&quot;,&quot;parse-names&quot;:false,&quot;dropping-particle&quot;:&quot;&quot;,&quot;non-dropping-particle&quot;:&quot;&quot;}],&quot;container-title&quot;:&quot;Functional Ecology&quot;,&quot;container-title-short&quot;:&quot;Funct Ecol&quot;,&quot;DOI&quot;:&quot;10.1111/1365-2435.13896&quot;,&quot;ISSN&quot;:&quot;13652435&quot;,&quot;issued&quot;:{&quot;date-parts&quot;:[[2021]]},&quot;page&quot;:&quot;2329-2341&quot;,&quot;abstract&quot;:&quot;Mineral nutrients play a pivotal role in plant growth, development and reproduction. The uptake and distribution of nutrients are generally limited by soil nutrient availability, affected by global change. However, the responses of foliar mineral nutrient concentrations to changes in soil nutrient availability remain largely untested in tropical forests. We used a field-based experiment with nitrogen (N) and phosphorus (P) addition in a tropical forest in southern China to investigate the effect of N and P fertilization on exchangeable soil and foliar mineral nutrients of five understorey species. Our results show that N addition did not change soil pH, but reduced exchangeable soil Ca2+, Mg2+, Zn2+, Fe3+ and Mn2+ concentrations. In contrast, P addition increased soil pH, while it had no effects on exchangeable cations. Nitrogen addition significantly decreased foliar [Ca], [Mg] and [Mn], while P addition markedly reduced foliar [Cu] for most of the studied species. Foliar [K] and [Fe] were not affected by fertilization. The results indicate that long-term N addition reduced the concentrations of several mineral nutrients in leaves, and we did not observe any adaptive mechanisms (e.g. increased transpiration to take up mobile soil nutrients) in the studied species to maintain foliar nutrient concentrations at high N supply. Synthesis. The responses of other foliar nutrient concentrations to N and P co-addition were more complicated than those of N and/or P, and the specific decreases in mineral nutrient concentrations following long-term N addition may influence key physiological process in the studied tropical understorey species, and ultimately reduce their fitness and survival under high N deposition. A free Plain Language Summary can be found within the Supporting Information of this article.&quot;,&quot;issue&quot;:&quot;10&quot;,&quot;volume&quot;:&quot;35&quot;},&quot;isTemporary&quot;:false}]},{&quot;citationID&quot;:&quot;MENDELEY_CITATION_886e965f-1581-4c2e-b8b4-0e7423e8b3b2&quot;,&quot;properties&quot;:{&quot;noteIndex&quot;:0},&quot;isEdited&quot;:false,&quot;manualOverride&quot;:{&quot;isManuallyOverridden&quot;:false,&quot;citeprocText&quot;:&quot;(Ngai &amp;#38; Jefferies, 2004)&quot;,&quot;manualOverrideText&quot;:&quot;&quot;},&quot;citationTag&quot;:&quot;MENDELEY_CITATION_v3_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&quot;,&quot;citationItems&quot;:[{&quot;id&quot;:&quot;756c2a2b-589b-38fb-a043-db1356dbd771&quot;,&quot;itemData&quot;:{&quot;type&quot;:&quot;article-journal&quot;,&quot;id&quot;:&quot;756c2a2b-589b-38fb-a043-db1356dbd771&quot;,&quot;title&quot;:&quot;Nutrient limitation of plant growth and forage quality in Arctic coastal marshes&quot;,&quot;author&quot;:[{&quot;family&quot;:&quot;Ngai&quot;,&quot;given&quot;:&quot;Jacqueline T&quot;,&quot;parse-names&quot;:false,&quot;dropping-particle&quot;:&quot;&quot;,&quot;non-dropping-particle&quot;:&quot;&quot;},{&quot;family&quot;:&quot;Jefferies&quot;,&quot;given&quot;:&quot;Robert L&quot;,&quot;parse-names&quot;:false,&quot;dropping-particle&quot;:&quot;&quot;,&quot;non-dropping-particle&quot;:&quot;&quot;}],&quot;container-title&quot;:&quot;Journal of Ecology&quot;,&quot;DOI&quot;:&quot;10.1111/j.0022-0477.2004.00926.x&quot;,&quot;ISSN&quot;:&quot;00220477&quot;,&quot;issued&quot;:{&quot;date-parts&quot;:[[2004]]},&quot;page&quot;:&quot;1001-1010&quot;,&quot;abstract&quot;:&quot;1 Foraging by geese has led to vegetation loss in salt marshes along the Hudson Bay coast and lesser snow geese are increasingly grazing inland freshwater marshes. We determined whether different nutrients limit the growth of forage plants in the two habitats, and whether these differences affect the nutritional quality of vegetation available to geese at La Pérouse Bay, Manitoba. 2 Results from fertilization experiments indicate that primary productivity in the salt marsh is both nitrogen and phosphorus limited, whereas the freshwater marsh is phosphorus limited. Total amounts of calcium, magnesium and potassium in above-ground biomass per unit area showed similar differences in limitation. 3 Leaves of preferred forage species have higher nutrient concentrations (nitrogen, phosphorus, calcium, potassium, magnesium, sodium) and lower C:N and C:P ratios than alternative forage. The main forage species in the salt marsh (Puccinellia phryganodes) has higher nutrient content per unit mass, for nitrogen, magnesium, calcium and sodium, than the major freshwater marsh species(Carex aquatilis). The difference in nutritional quality of forage between the marshes is likely to have had consequences for goose fitness, and may have contributed to the reported declines in gosling survivorship and size. 4 At moderate grazing intensities, seasonal growth of salt-marsh forage is maintained by addition of nitrogen and, to a lesser extent, phosphorus from high numbers of goose faeces to swards. In contrast, the low densities and low phosphorus content of goose faeces in the phosphorus-limited freshwater marsh mean that plants are unlikely to recover rapidly from the effects of grazing. As a consequence, the freshwater marsh is likely to become increasingly less productive as foraging intensifies. 5 Nutrient gradients in vegetation across an ecotone and changes in foraging behaviour have resulted in adverse effects on both the growth rates of individuals and the population structure of a herbivore.&quot;,&quot;issue&quot;:&quot;6&quot;,&quot;volume&quot;:&quot;92&quot;,&quot;container-title-short&quot;:&quot;&quot;},&quot;isTemporary&quot;:false}]},{&quot;citationID&quot;:&quot;MENDELEY_CITATION_754df004-158a-46c5-876b-d7799b08af83&quot;,&quot;properties&quot;:{&quot;noteIndex&quot;:0},&quot;isEdited&quot;:false,&quot;manualOverride&quot;:{&quot;isManuallyOverridden&quot;:false,&quot;citeprocText&quot;:&quot;(Ngatia et al., 2015)&quot;,&quot;manualOverrideText&quot;:&quot;&quot;},&quot;citationTag&quot;:&quot;MENDELEY_CITATION_v3_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&quot;,&quot;citationItems&quot;:[{&quot;id&quot;:&quot;4e03255b-3bcc-3583-8c46-13ab3221f06a&quot;,&quot;itemData&quot;:{&quot;type&quot;:&quot;article-journal&quot;,&quot;id&quot;:&quot;4e03255b-3bcc-3583-8c46-13ab3221f06a&quot;,&quot;title&quot;:&quot;The effects of herbivory and nutrients on plant biomass and carbon storage in Vertisols of an East African savanna&quot;,&quot;author&quot;:[{&quot;family&quot;:&quot;Ngatia&quot;,&quot;given&quot;:&quot;Lucy W&quot;,&quot;parse-names&quot;:false,&quot;dropping-particle&quot;:&quot;&quot;,&quot;non-dropping-particle&quot;:&quot;&quot;},{&quot;family&quot;:&quot;Turner&quot;,&quot;given&quot;:&quot;Benjamin L&quot;,&quot;parse-names&quot;:false,&quot;dropping-particle&quot;:&quot;&quot;,&quot;non-dropping-particle&quot;:&quot;&quot;},{&quot;family&quot;:&quot;Njoka&quot;,&quot;given&quot;:&quot;Jesee T&quot;,&quot;parse-names&quot;:false,&quot;dropping-particle&quot;:&quot;&quot;,&quot;non-dropping-particle&quot;:&quot;&quot;},{&quot;family&quot;:&quot;Young&quot;,&quot;given&quot;:&quot;Truman P&quot;,&quot;parse-names&quot;:false,&quot;dropping-particle&quot;:&quot;&quot;,&quot;non-dropping-particle&quot;:&quot;&quot;},{&quot;family&quot;:&quot;Reddy&quot;,&quot;given&quot;:&quot;K Ramesh&quot;,&quot;parse-names&quot;:false,&quot;dropping-particle&quot;:&quot;&quot;,&quot;non-dropping-particle&quot;:&quot;&quot;}],&quot;container-title&quot;:&quot;Agriculture, Ecosystems and Environment&quot;,&quot;container-title-short&quot;:&quot;Agric Ecosyst Environ&quot;,&quot;DOI&quot;:&quot;10.1016/j.agee.2015.04.025&quot;,&quot;ISSN&quot;:&quot;01678809&quot;,&quot;URL&quot;:&quot;http://dx.doi.org/10.1016/j.agee.2015.04.025&quot;,&quot;issued&quot;:{&quot;date-parts&quot;:[[2015]]},&quot;page&quot;:&quot;55-63&quot;,&quot;abstract&quot;:&quot;Herbivory and nutrients are major ecosystem drivers in African tropical savanna. Although previous studies have determined the influence of herbivory on carbon storage in savanna ecosystems, little is known about the interactive effects of nutrients and herbivory. We determined the effects of long term grazing and short-term factorial nitrogen (N) and phosphorus (P) additions on aboveground biomass, soil organic matter (SOM) content, and plant nutrient storage. Grazing reduced aboveground biomass, foliar P and N stocks by 45%, 38% and 45%, respectively, compared to ungrazed plots, although the foliar P concentration was 20% greater in grazed plots. There was no significant increase in the aboveground biomass after nutrient addition despite increases in foliar N and P concentrations, suggesting that productivity was limited by a different resource (e.g., moisture). There were no significant interactions between nutrient enrichment and grazing. We conclude that grazing reduced aboveground biomass, but improved grass quality through increased foliar P concentration.&quot;,&quot;publisher&quot;:&quot;Elsevier B.V.&quot;,&quot;volume&quot;:&quot;208&quot;},&quot;isTemporary&quot;:false}]},{&quot;citationID&quot;:&quot;MENDELEY_CITATION_2d079f7c-7021-4081-8ac5-8b1f49141e88&quot;,&quot;properties&quot;:{&quot;noteIndex&quot;:0},&quot;isEdited&quot;:false,&quot;manualOverride&quot;:{&quot;isManuallyOverridden&quot;:false,&quot;citeprocText&quot;:&quot;(Nielsen et al., 2009)&quot;,&quot;manualOverrideText&quot;:&quot;&quot;},&quot;citationTag&quot;:&quot;MENDELEY_CITATION_v3_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&quot;,&quot;citationItems&quot;:[{&quot;id&quot;:&quot;e496613f-e1f9-3944-977c-50908bdbaad0&quot;,&quot;itemData&quot;:{&quot;type&quot;:&quot;article-journal&quot;,&quot;id&quot;:&quot;e496613f-e1f9-3944-977c-50908bdbaad0&quot;,&quot;title&quot;:&quot;Seasonal variations and effects of nutrient applications on N and P and microbial biomass under two temperate heathland plants&quot;,&quot;author&quot;:[{&quot;family&quot;:&quot;Nielsen&quot;,&quot;given&quot;:&quot;Pia L&quot;,&quot;parse-names&quot;:false,&quot;dropping-particle&quot;:&quot;&quot;,&quot;non-dropping-particle&quot;:&quot;&quot;},{&quot;family&quot;:&quot;Andresen&quot;,&quot;given&quot;:&quot;Louise C&quot;,&quot;parse-names&quot;:false,&quot;dropping-particle&quot;:&quot;&quot;,&quot;non-dropping-particle&quot;:&quot;&quot;},{&quot;family&quot;:&quot;Michelsen&quot;,&quot;given&quot;:&quot;Anders&quot;,&quot;parse-names&quot;:false,&quot;dropping-particle&quot;:&quot;&quot;,&quot;non-dropping-particle&quot;:&quot;&quot;},{&quot;family&quot;:&quot;Schmidt&quot;,&quot;given&quot;:&quot;Inger K&quot;,&quot;parse-names&quot;:false,&quot;dropping-particle&quot;:&quot;&quot;,&quot;non-dropping-particle&quot;:&quot;&quot;},{&quot;family&quot;:&quot;Kongstad&quot;,&quot;given&quot;:&quot;Jane&quot;,&quot;parse-names&quot;:false,&quot;dropping-particle&quot;:&quot;&quot;,&quot;non-dropping-particle&quot;:&quot;&quot;}],&quot;container-title&quot;:&quot;Applied Soil Ecology&quot;,&quot;DOI&quot;:&quot;10.1016/j.apsoil.2009.05.006&quot;,&quot;ISSN&quot;:&quot;09291393&quot;,&quot;issued&quot;:{&quot;date-parts&quot;:[[2009]]},&quot;page&quot;:&quot;279-287&quot;,&quot;abstract&quot;:&quot;Eutrofication is a threat against nutrient-poor habitats as increased amounts of nutrients in ecosystems may cause changes in the vegetation. Nitrogen (N) deposition leads to conversion of Calluna heathlands into graminoid dominated heath, but low availability of P may hinder or slow down this process. In this study the soil properties under two dominant heathland plants, the dwarf shrub Calluna vulgaris and the grass Deschampsia flexuosa, were investigated, with focus on nutrient content in the organic top soil and soil microbes during the main growing season and effects of nutrient amendments. The concentration of inorganic and dissolved organic N was significantly higher under D. flexuosa than C. vulgaris all though there were the same amounts of total N in the soil below the two species. N and P amendment enhanced available N and P in the soil, but added nutrients had little direct effects on microbes. The microbial biomass on the other hand was positively related to soil water content in fertilized plots indicating that this was due to an indirect effect of enhanced nutrient availability. Microbial N and P pools were respectively 1000 and 100 times higher than the pool of inorganic N and P, and microbes therefore may play an important role in regulating plant nutrient supply. Judged from responses of inorganic and microbial N and P concentrations to added N and P, N seemed to limit C. vulgaris and soil microbes below while P seemed to limit D. flexuosa and soil microbes below this species. There were lower rates of net nitrification, net ammonification and DOC and DON production rates during winter in the soil under C. vulgaris than below D. flexuosa, although all these rates were equal under the two species on an annual basis. This indicates that these microbial processes were taking place during winter but were affected by exudates from C. vulgaris. © 2009 Elsevier B.V. All rights reserved.&quot;,&quot;issue&quot;:&quot;3&quot;,&quot;volume&quot;:&quot;42&quot;,&quot;container-title-short&quot;:&quot;&quot;},&quot;isTemporary&quot;:false}]},{&quot;citationID&quot;:&quot;MENDELEY_CITATION_4d2c23b7-cf7e-4e22-859c-6bebf93d0ec1&quot;,&quot;properties&quot;:{&quot;noteIndex&quot;:0},&quot;isEdited&quot;:false,&quot;manualOverride&quot;:{&quot;isManuallyOverridden&quot;:false,&quot;citeprocText&quot;:&quot;(O’Halloran et al., 2010)&quot;,&quot;manualOverrideText&quot;:&quot;&quot;},&quot;citationTag&quot;:&quot;MENDELEY_CITATION_v3_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&quot;,&quot;citationItems&quot;:[{&quot;id&quot;:&quot;54f3ce8b-72d9-3894-a2ff-032063f9d9fa&quot;,&quot;itemData&quot;:{&quot;type&quot;:&quot;article-journal&quot;,&quot;id&quot;:&quot;54f3ce8b-72d9-3894-a2ff-032063f9d9fa&quot;,&quot;title&quot;:&quot;Nutrient limitations on aboveground grass production in four savanna types along the Kalahari Transect&quot;,&quot;author&quot;:[{&quot;family&quot;:&quot;O'Halloran&quot;,&quot;given&quot;:&quot;Lydia R&quot;,&quot;parse-names&quot;:false,&quot;dropping-particle&quot;:&quot;&quot;,&quot;non-dropping-particle&quot;:&quot;&quot;},{&quot;family&quot;:&quot;Shugart&quot;,&quot;given&quot;:&quot;Herman H&quot;,&quot;parse-names&quot;:false,&quot;dropping-particle&quot;:&quot;&quot;,&quot;non-dropping-particle&quot;:&quot;&quot;},{&quot;family&quot;:&quot;Wang&quot;,&quot;given&quot;:&quot;Lixin&quot;,&quot;parse-names&quot;:false,&quot;dropping-particle&quot;:&quot;&quot;,&quot;non-dropping-particle&quot;:&quot;&quot;},{&quot;family&quot;:&quot;Caylor&quot;,&quot;given&quot;:&quot;Kelly K&quot;,&quot;parse-names&quot;:false,&quot;dropping-particle&quot;:&quot;&quot;,&quot;non-dropping-particle&quot;:&quot;&quot;},{&quot;family&quot;:&quot;Ringrose&quot;,&quot;given&quot;:&quot;Susan&quot;,&quot;parse-names&quot;:false,&quot;dropping-particle&quot;:&quot;&quot;,&quot;non-dropping-particle&quot;:&quot;&quot;},{&quot;family&quot;:&quot;Kgope&quot;,&quot;given&quot;:&quot;Barney&quot;,&quot;parse-names&quot;:false,&quot;dropping-particle&quot;:&quot;&quot;,&quot;non-dropping-particle&quot;:&quot;&quot;}],&quot;container-title&quot;:&quot;Journal of Arid Environments&quot;,&quot;container-title-short&quot;:&quot;J Arid Environ&quot;,&quot;DOI&quot;:&quot;10.1016/j.jaridenv.2009.08.012&quot;,&quot;ISSN&quot;:&quot;1095922X&quot;,&quot;URL&quot;:&quot;http://dx.doi.org/10.1016/j.jaridenv.2009.08.012&quot;,&quot;issued&quot;:{&quot;date-parts&quot;:[[2010]]},&quot;page&quot;:&quot;284-290&quot;,&quot;abstract&quot;:&quot;The Kalahari Transect (KT) is an International Geosphere-Biosphere Programme mega-transect designed to examine hydrological and ecological patterns and processes throughout the savannas of southern Africa. The KT traverses a precipitation gradient ranging from ∼920 mm rain/year in the north to ∼260 mm rain/year in the south. Previous research shows a positive correlation between canopy cover and precipitation suggesting a water limitation on productivity. However, there has been minimal research on other possible sources of limitations, such as soil Nitrogen (N) and/or Phosphorus (P). We used a factorial in-situ experimental design to test for increased aboveground grass production (measured as peak season standing stock) under elevated soil P and P + N levels. Four sites along the KT precipitation gradient were used in this study: Mongu (Zambia), Pandamatenga (Botswana), Ghanzi (Botswana) and Tshane (Botswana). Soils at each site were amended with N and P fertilizers during the dry season. We extracted soil samples during the following growing season to analyze for plant available soil P. Vegetation samples were harvested from which we measured foliar P and aboveground grass biomass production. We saw differences in foliar P at the treatment and site level but not for the interaction between treatment and site. There were individual effects from site on biomass but not for any interactions with nutrient treatments. Despite higher levels of foliar P, we did not detect an increase in aboveground biomass. This may be explained by luxury uptake or allocation to belowground resources. © 2009 Elsevier Ltd. All rights reserved.&quot;,&quot;publisher&quot;:&quot;Elsevier Ltd&quot;,&quot;issue&quot;:&quot;2&quot;,&quot;volume&quot;:&quot;74&quot;},&quot;isTemporary&quot;:false}]},{&quot;citationID&quot;:&quot;MENDELEY_CITATION_e69197bc-5ef0-4888-961a-9c308d7db1fe&quot;,&quot;properties&quot;:{&quot;noteIndex&quot;:0},&quot;isEdited&quot;:false,&quot;manualOverride&quot;:{&quot;isManuallyOverridden&quot;:false,&quot;citeprocText&quot;:&quot;(Øien, 2004)&quot;,&quot;manualOverrideText&quot;:&quot;&quot;},&quot;citationTag&quot;:&quot;MENDELEY_CITATION_v3_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&quot;,&quot;citationItems&quot;:[{&quot;id&quot;:&quot;83254648-75bd-3f8e-9af9-91be95bbf89e&quot;,&quot;itemData&quot;:{&quot;type&quot;:&quot;article-journal&quot;,&quot;id&quot;:&quot;83254648-75bd-3f8e-9af9-91be95bbf89e&quot;,&quot;title&quot;:&quot;Nutrient limitation in boreal rich-fen vegetation: A fertilization experiment&quot;,&quot;author&quot;:[{&quot;family&quot;:&quot;Øien&quot;,&quot;given&quot;:&quot;Dag Inge&quot;,&quot;parse-names&quot;:false,&quot;dropping-particle&quot;:&quot;&quot;,&quot;non-dropping-particle&quot;:&quot;&quot;}],&quot;container-title&quot;:&quot;Applied Vegetation Science&quot;,&quot;container-title-short&quot;:&quot;Appl Veg Sci&quot;,&quot;DOI&quot;:&quot;10.1111/j.1654-109X.2004.tb00602.x&quot;,&quot;ISBN&quot;:&quot;4773592249&quot;,&quot;ISSN&quot;:&quot;14022001&quot;,&quot;issued&quot;:{&quot;date-parts&quot;:[[2004]]},&quot;page&quot;:&quot;119-132&quot;,&quot;abstract&quot;:&quot;Rich-fen vegetation influenced by hay-making in the Sølendet Nature Reserve, Central Norway, was fertilized with N, P and K in a full-factorial fertilization experiment to investigate the nutrient limitation of plant growth at both community and species levels. Above-ground biomass, shoot density and nutrient concentration were measured in several species and groups of species at three sites after two years of fertilization. At the community level, the results indicate multiple limitation by N and P in the two least productive rich-fen communities: one characterized by small sedges and herbs, and the other by high abundance of Menyanthes trifoliata and tall sedges. Increased nutrient availability had no effect on a more highly productive, tall-growing, spring-influenced community, indicating no nutrient limitation. The results at the species level correspond well with those at the community level, indicating multiple limitation by N and P in most of the dominant and sub-dominant species. However, P seems to limit growth more than N in Succisa pratensis, and N seems to limit growth more than P in Carex panicea. Furthermore, Eriophorum angustifolium seems to be limited by K. The results did not show which nutrient limits the growth of Carex dioica, C. lasiocarpa and Trichophorum cespitosum. Indications that growth in low-productive, boreal rich-fen communities is generally limited by P was not confirmed.&quot;,&quot;issue&quot;:&quot;1&quot;,&quot;volume&quot;:&quot;7&quot;},&quot;isTemporary&quot;:false}]},{&quot;citationID&quot;:&quot;MENDELEY_CITATION_2a33e98d-038e-4634-961a-6f212f64e924&quot;,&quot;properties&quot;:{&quot;noteIndex&quot;:0},&quot;isEdited&quot;:false,&quot;manualOverride&quot;:{&quot;isManuallyOverridden&quot;:false,&quot;citeprocText&quot;:&quot;(Prystupa et al., 2004)&quot;,&quot;manualOverrideText&quot;:&quot;&quot;},&quot;citationTag&quot;:&quot;MENDELEY_CITATION_v3_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&quot;,&quot;citationItems&quot;:[{&quot;id&quot;:&quot;825a84ec-556f-3863-8fde-3537547f3059&quot;,&quot;itemData&quot;:{&quot;type&quot;:&quot;article-journal&quot;,&quot;id&quot;:&quot;825a84ec-556f-3863-8fde-3537547f3059&quot;,&quot;title&quot;:&quot;Grain number and its relationship with dry matter, N and P in the spikes at heading in response to N x P fertilization in barley&quot;,&quot;author&quot;:[{&quot;family&quot;:&quot;Prystupa&quot;,&quot;given&quot;:&quot;Pablo&quot;,&quot;parse-names&quot;:false,&quot;dropping-particle&quot;:&quot;&quot;,&quot;non-dropping-particle&quot;:&quot;&quot;},{&quot;family&quot;:&quot;Savin&quot;,&quot;given&quot;:&quot;Roxana&quot;,&quot;parse-names&quot;:false,&quot;dropping-particle&quot;:&quot;&quot;,&quot;non-dropping-particle&quot;:&quot;&quot;},{&quot;family&quot;:&quot;Slafer&quot;,&quot;given&quot;:&quot;Gustavo A.&quot;,&quot;parse-names&quot;:false,&quot;dropping-particle&quot;:&quot;&quot;,&quot;non-dropping-particle&quot;:&quot;&quot;}],&quot;container-title&quot;:&quot;Field Crops Research&quot;,&quot;container-title-short&quot;:&quot;Field Crops Res&quot;,&quot;DOI&quot;:&quot;10.1016/j.fcr.2004.03.001&quot;,&quot;ISSN&quot;:&quot;03784290&quot;,&quot;issued&quot;:{&quot;date-parts&quot;:[[2004]]},&quot;page&quot;:&quot;245-254&quot;,&quot;abstract&quot;:&quot;The aim of this work was to study the effects of nitrogen (N) and phosphorus (P) deficiencies and their interaction on spike N, P and biomass around flowering in barley (Hordeum vulgare spp. distichum L.) and its relationship with grain number and grain yield. Two experiments were carried out with microcrops grown in 200 l containers using malting barley (cv. Quilmes Palomar). Treatments were a factorial combination of two levels of N and two or three levels of P fertilization. Dry matter partitioning to spikes was not or only slightly affected by nutrient deficiencies. Then, the effects on spike biomass were similar to those on total aboveground dry matter. Although partitioning of N to the spike in N fertilized treatments was lower than in N stressed ones, spike N content was higher in the N fertilized. Number of grains was positively associated with spike N and P content as well as spike dry matter at heading in both experiments. Number of grains per unit of spike dry matter at heading in N fertilized microcrops tended to be higher than in N stressed ones, though this effect was not associated with N fertilization effects on N concentration in spikes. Combining these results with others from the literature from wheat crops, we found a strong relationship between number of grains and spike N content at flowering, but this relationship does not seem to be better than that with spike biomass, judged by the regression coefficients. This indicates that the early application of N may induce a higher number of grains than that predicted by increased spike dry weight at flowering, but this additional effect is not universally related to differences in spike N concentration. © 2004 Elsevier B.V. All rights reserved.&quot;,&quot;issue&quot;:&quot;2-3&quot;,&quot;volume&quot;:&quot;90&quot;},&quot;isTemporary&quot;:false}]},{&quot;citationID&quot;:&quot;MENDELEY_CITATION_9a7c8532-ab32-4e6f-bea5-accb3bdcc6b1&quot;,&quot;properties&quot;:{&quot;noteIndex&quot;:0},&quot;isEdited&quot;:false,&quot;manualOverride&quot;:{&quot;isManuallyOverridden&quot;:false,&quot;citeprocText&quot;:&quot;(Rejmánková et al., 2008)&quot;,&quot;manualOverrideText&quot;:&quot;&quot;},&quot;citationTag&quot;:&quot;MENDELEY_CITATION_v3_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&quot;,&quot;citationItems&quot;:[{&quot;id&quot;:&quot;2fe5ebe9-9eef-3c9a-b274-c6f271f6f6ce&quot;,&quot;itemData&quot;:{&quot;type&quot;:&quot;article-journal&quot;,&quot;id&quot;:&quot;2fe5ebe9-9eef-3c9a-b274-c6f271f6f6ce&quot;,&quot;title&quot;:&quot;Wetland ecosystem changes after three years of phosphorus addition&quot;,&quot;author&quot;:[{&quot;family&quot;:&quot;Rejmánková&quot;,&quot;given&quot;:&quot;Eliŝka&quot;,&quot;parse-names&quot;:false,&quot;dropping-particle&quot;:&quot;&quot;,&quot;non-dropping-particle&quot;:&quot;&quot;},{&quot;family&quot;:&quot;MacEk&quot;,&quot;given&quot;:&quot;Petr&quot;,&quot;parse-names&quot;:false,&quot;dropping-particle&quot;:&quot;&quot;,&quot;non-dropping-particle&quot;:&quot;&quot;},{&quot;family&quot;:&quot;Epps&quot;,&quot;given&quot;:&quot;Kimberly&quot;,&quot;parse-names&quot;:false,&quot;dropping-particle&quot;:&quot;&quot;,&quot;non-dropping-particle&quot;:&quot;&quot;}],&quot;container-title&quot;:&quot;Wetlands&quot;,&quot;DOI&quot;:&quot;10.1672/07-150.1&quot;,&quot;ISSN&quot;:&quot;02775212&quot;,&quot;issued&quot;:{&quot;date-parts&quot;:[[2008]]},&quot;page&quot;:&quot;914-927&quot;,&quot;abstract&quot;:&quot;We used oligotrophic, P-limited herbaceous wetlands of northern Belize to assess how changes in nutrient availability impact species composition and ecosystem processes. The P, N, and NP enrichment plots were established in replicated marshes of three salinity levels to document potential salinity constraints. Addition of P or combination of N and P resulted in rapid switch from a microphyte (cyanobacterial mats, CBM) to macrophyte (Eleocharis spp., Typha domingensis) domination, while N addition did not have any impact. The switch was caused by significant changes in Eleocharis stem density and height, and consequently, the aboveground biomass, which increased from an average 120 g m-2 in control and +N plots to &gt; 500 g m-2 in +P and +NP plots. Decreased light under the dense canopy of Eleocharis in +P and +NP plots caused significant reduction in CBM growth. Biomass of Eleocharis in +P and +NP plots decreased with increasing salinity, but salinity did not affect biomass production in control and N plots. Tissue P of Eleocharis from +P and +NP plots increased 4- to 5-fold compared to P content in plants from control and +N plots. Tissue P remained high due to internal nutrient recycling even after P addition ceased. Typha transplanted into plots grew exponentially in P and NP plots, while in control and N plots it grew slowly or did not survive. There were significant differences in NH4-N both in soil extracts and in the interstitial water with soil and water NH4-N being significantly lower in P-addition plots. The elimination of N2-fixing CBM is a potential reason for a decrease in available sediment N as documented by a negative correlation between CBM cover and interstitial NH4-N. © 2008 The Society of Wetland Scientists.&quot;,&quot;issue&quot;:&quot;4&quot;,&quot;volume&quot;:&quot;28&quot;,&quot;container-title-short&quot;:&quot;&quot;},&quot;isTemporary&quot;:false}]},{&quot;citationID&quot;:&quot;MENDELEY_CITATION_efb4d575-266e-42f6-8b91-7a55d95cdf4d&quot;,&quot;properties&quot;:{&quot;noteIndex&quot;:0},&quot;isEdited&quot;:false,&quot;manualOverride&quot;:{&quot;isManuallyOverridden&quot;:false,&quot;citeprocText&quot;:&quot;(Ren et al., 2010)&quot;,&quot;manualOverrideText&quot;:&quot;&quot;},&quot;citationTag&quot;:&quot;MENDELEY_CITATION_v3_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&quot;,&quot;citationItems&quot;:[{&quot;id&quot;:&quot;c420098a-84c2-3693-b191-610a1c347185&quot;,&quot;itemData&quot;:{&quot;type&quot;:&quot;article-journal&quot;,&quot;id&quot;:&quot;c420098a-84c2-3693-b191-610a1c347185&quot;,&quot;title&quot;:&quot;Effects of resource additions on species richness and ANPP in an alpine meadow community&quot;,&quot;author&quot;:[{&quot;family&quot;:&quot;Ren&quot;,&quot;given&quot;:&quot;Zhengwei&quot;,&quot;parse-names&quot;:false,&quot;dropping-particle&quot;:&quot;&quot;,&quot;non-dropping-particle&quot;:&quot;&quot;},{&quot;family&quot;:&quot;Li&quot;,&quot;given&quot;:&quot;Qi&quot;,&quot;parse-names&quot;:false,&quot;dropping-particle&quot;:&quot;&quot;,&quot;non-dropping-particle&quot;:&quot;&quot;},{&quot;family&quot;:&quot;Chu&quot;,&quot;given&quot;:&quot;Chengjin&quot;,&quot;parse-names&quot;:false,&quot;dropping-particle&quot;:&quot;&quot;,&quot;non-dropping-particle&quot;:&quot;&quot;},{&quot;family&quot;:&quot;Zhao&quot;,&quot;given&quot;:&quot;Luqiang&quot;,&quot;parse-names&quot;:false,&quot;dropping-particle&quot;:&quot;&quot;,&quot;non-dropping-particle&quot;:&quot;&quot;},{&quot;family&quot;:&quot;Zhang&quot;,&quot;given&quot;:&quot;Jieqi&quot;,&quot;parse-names&quot;:false,&quot;dropping-particle&quot;:&quot;&quot;,&quot;non-dropping-particle&quot;:&quot;&quot;},{&quot;family&quot;:&quot;Dexiecuo Ai&quot;,&quot;given&quot;:&quot;&quot;,&quot;parse-names&quot;:false,&quot;dropping-particle&quot;:&quot;&quot;,&quot;non-dropping-particle&quot;:&quot;&quot;},{&quot;family&quot;:&quot;Yang&quot;,&quot;given&quot;:&quot;Yingbo&quot;,&quot;parse-names&quot;:false,&quot;dropping-particle&quot;:&quot;&quot;,&quot;non-dropping-particle&quot;:&quot;&quot;},{&quot;family&quot;:&quot;Wang&quot;,&quot;given&quot;:&quot;Gang&quot;,&quot;parse-names&quot;:false,&quot;dropping-particle&quot;:&quot;&quot;,&quot;non-dropping-particle&quot;:&quot;&quot;}],&quot;container-title&quot;:&quot;Journal of Plant Ecology&quot;,&quot;DOI&quot;:&quot;10.1093/jpe/rtp034&quot;,&quot;ISSN&quot;:&quot;17529921&quot;,&quot;issued&quot;:{&quot;date-parts&quot;:[[2010]]},&quot;page&quot;:&quot;25-31&quot;,&quot;abstract&quot;:&quot;Aims Theories based on resource additions indicate that plant species richness is mainly determined by the number of limiting resources. However, the individual effects of various limiting resources on species richness and aboveground net primary productivity (ANPP) are less well understood. Here, we analyzed potential linkages between additions of limiting resources, species loss and ANPP increase and further explored the underlying mechanisms. Methods Resources (N, P, K and water) were added in a completely randomized block design to alpine meadow plots in the Qinghai-Tibetan Plateau. Plant aboveground biomass, species composition, mean plant height and light availability were measured in each plot. Regression and analysis of variance were used to analyze the responses of these measures to the different resource-addition treatments. Important findings Species richness decreased with increasing number of added limiting resources, suggesting that plant diversity was apparently determined by the number of limiting resources. Nitrogen was the most important limiting resource affecting species richness, whereas P and K alone had negligible effects. The largest reduction in species richness occurred when all three elements were added in combination. Water played a different role compared with the other limiting resources. Species richness increased when water was added to the treatments with N and P or with N, P and K. The decreases in species richness after resource additions were paralleled by increases in ANPP and decreases in light penetration into the plant canopy, suggesting that increased light competition was responsible for the negative effects of resource additions on plant species richness.&quot;,&quot;issue&quot;:&quot;1&quot;,&quot;volume&quot;:&quot;3&quot;,&quot;container-title-short&quot;:&quot;&quot;},&quot;isTemporary&quot;:false}]},{&quot;citationID&quot;:&quot;MENDELEY_CITATION_67617d2f-cb01-4de4-9158-4247708335d0&quot;,&quot;properties&quot;:{&quot;noteIndex&quot;:0},&quot;isEdited&quot;:false,&quot;manualOverride&quot;:{&quot;isManuallyOverridden&quot;:false,&quot;citeprocText&quot;:&quot;(Ries &amp;#38; Shugart, 2008)&quot;,&quot;manualOverrideText&quot;:&quot;&quot;},&quot;citationTag&quot;:&quot;MENDELEY_CITATION_v3_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&quot;,&quot;citationItems&quot;:[{&quot;id&quot;:&quot;f34113d0-2318-3dba-a5fb-22542a71b6b1&quot;,&quot;itemData&quot;:{&quot;type&quot;:&quot;article-journal&quot;,&quot;id&quot;:&quot;f34113d0-2318-3dba-a5fb-22542a71b6b1&quot;,&quot;title&quot;:&quot;Nutrient limitations on understory grass productivity and carbon assimilation in an African woodland savanna&quot;,&quot;author&quot;:[{&quot;family&quot;:&quot;Ries&quot;,&quot;given&quot;:&quot;L P&quot;,&quot;parse-names&quot;:false,&quot;dropping-particle&quot;:&quot;&quot;,&quot;non-dropping-particle&quot;:&quot;&quot;},{&quot;family&quot;:&quot;Shugart&quot;,&quot;given&quot;:&quot;Herman H&quot;,&quot;parse-names&quot;:false,&quot;dropping-particle&quot;:&quot;&quot;,&quot;non-dropping-particle&quot;:&quot;&quot;}],&quot;container-title&quot;:&quot;Journal of Arid Environments&quot;,&quot;container-title-short&quot;:&quot;J Arid Environ&quot;,&quot;DOI&quot;:&quot;10.1016/j.jaridenv.2008.02.013&quot;,&quot;ISSN&quot;:&quot;01401963&quot;,&quot;issued&quot;:{&quot;date-parts&quot;:[[2008]]},&quot;page&quot;:&quot;1423-1430&quot;,&quot;abstract&quot;:&quot;Despite the ubiquity of sub-tropical savannas throughout the earth, limitations of savanna productivity are understudied relative to other terrestrial systems. The limitations of savanna productivity by precipitation have been documented but the roles of soil nutrients, particularly phosphorus (P), and light are not as clear. This study examined the role of increased P and nitrogen (N) in grass productivity in a woodland savanna in Botswana. We added aqueous forms of N and P to selected individual grasses. During the following growing season, we measured foliar nutrient concentrations, aboveground biomass and carbon assimilation at various light levels to estimate the productivity response. We observed an increase in foliar P concentrations for grasses with increased soil P. There was no increase in foliar N concentration for those with increased soil N. Neither N nor P treatments had higher levels of foliar C. Aboveground biomass increased significantly in the N+P treatment but there was no significant difference between the individual N and P treatments relative to the control. We did not see any effect of nutrients on either net carbon assimilation or stomatal conductance. These results suggest that the aboveground productivity of these woodland savanna grasses is co-limited by N and P. © 2008 Elsevier Ltd. All rights reserved.&quot;,&quot;issue&quot;:&quot;8&quot;,&quot;volume&quot;:&quot;72&quot;},&quot;isTemporary&quot;:false}]},{&quot;citationID&quot;:&quot;MENDELEY_CITATION_6964affd-1999-4f0e-8967-683820c01166&quot;,&quot;properties&quot;:{&quot;noteIndex&quot;:0},&quot;isEdited&quot;:false,&quot;manualOverride&quot;:{&quot;isManuallyOverridden&quot;:false,&quot;citeprocText&quot;:&quot;(Scott et al., 2015)&quot;,&quot;manualOverrideText&quot;:&quot;&quot;},&quot;citationTag&quot;:&quot;MENDELEY_CITATION_v3_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&quot;,&quot;citationItems&quot;:[{&quot;id&quot;:&quot;ca18e93e-bc78-314f-af22-1c2e190fc1d6&quot;,&quot;itemData&quot;:{&quot;type&quot;:&quot;article-journal&quot;,&quot;id&quot;:&quot;ca18e93e-bc78-314f-af22-1c2e190fc1d6&quot;,&quot;title&quot;:&quot;Carbon and nitrogen leaching under high and low phosphate fertility pasture with increasing nitrogen inputs&quot;,&quot;author&quot;:[{&quot;family&quot;:&quot;Scott&quot;,&quot;given&quot;:&quot;J T&quot;,&quot;parse-names&quot;:false,&quot;dropping-particle&quot;:&quot;&quot;,&quot;non-dropping-particle&quot;:&quot;&quot;},{&quot;family&quot;:&quot;Lambie&quot;,&quot;given&quot;:&quot;S M&quot;,&quot;parse-names&quot;:false,&quot;dropping-particle&quot;:&quot;&quot;,&quot;non-dropping-particle&quot;:&quot;&quot;},{&quot;family&quot;:&quot;Stevenson&quot;,&quot;given&quot;:&quot;B A&quot;,&quot;parse-names&quot;:false,&quot;dropping-particle&quot;:&quot;&quot;,&quot;non-dropping-particle&quot;:&quot;&quot;},{&quot;family&quot;:&quot;Schipper&quot;,&quot;given&quot;:&quot;L A&quot;,&quot;parse-names&quot;:false,&quot;dropping-particle&quot;:&quot;&quot;,&quot;non-dropping-particle&quot;:&quot;&quot;},{&quot;family&quot;:&quot;Parfitt&quot;,&quot;given&quot;:&quot;R L&quot;,&quot;parse-names&quot;:false,&quot;dropping-particle&quot;:&quot;&quot;,&quot;non-dropping-particle&quot;:&quot;&quot;},{&quot;family&quot;:&quot;McGill&quot;,&quot;given&quot;:&quot;A C&quot;,&quot;parse-names&quot;:false,&quot;dropping-particle&quot;:&quot;&quot;,&quot;non-dropping-particle&quot;:&quot;&quot;}],&quot;container-title&quot;:&quot;Agriculture, Ecosystems and Environment&quot;,&quot;container-title-short&quot;:&quot;Agric Ecosyst Environ&quot;,&quot;DOI&quot;:&quot;10.1016/j.agee.2014.12.021&quot;,&quot;ISSN&quot;:&quot;01678809&quot;,&quot;issued&quot;:{&quot;date-parts&quot;:[[2015]]},&quot;page&quot;:&quot;139-147&quot;,&quot;abstract&quot;:&quot;Intensive pastoral land use is associated with increased use of phosphate (P) and nitrogen (N) to enhance food and fibre production, but the interaction of N and P, particularly on carbon (C) storage, is not well understood. Our objectives were to determine the quantity and forms of C and N leached and also the changes in soil stocks in association with progressively increasing urea additions in two similar soils with high and low phosphate (P) fertility. A pasture cut-and-carry lysimeter experiment was established in the Waikato region of New Zealand, using soils from sheep grazed farmlets with a P management history of either no P or high P additions. Treatments imposed were a continuation of no P and high P (31.5kgha-1y-1) inputs in combination with 0, 100, 200, 400kg urea-Nha-1y-1 in 50kg split dressings or a single spring application of 400kg Nha-1y-1 of bovine urine. The high P soil had greater dissolved organic carbon (DOC) leaching, and DOC leaching in both soils increased with increasing urea inputs. Soil C decreased in the high P soil with N inputs, although there was no correlation between the rate of N addition and C loss. Urea addition led to increased N leaching in both soils, but was reduced in the high P soil compared with the no P soil. Greater herbage production may have utilised more dissolved N in the high P than in the no P soils, which led to less N available for leaching in the high P soil. Urine additions also led to greater C and N leaching in both the no P and high P soils.&quot;,&quot;volume&quot;:&quot;202&quot;},&quot;isTemporary&quot;:false}]},{&quot;citationID&quot;:&quot;MENDELEY_CITATION_f2a31749-1071-413b-8b22-251400af09e8&quot;,&quot;properties&quot;:{&quot;noteIndex&quot;:0},&quot;isEdited&quot;:false,&quot;manualOverride&quot;:{&quot;isManuallyOverridden&quot;:false,&quot;citeprocText&quot;:&quot;(Shaver et al., 1998)&quot;,&quot;manualOverrideText&quot;:&quot;&quot;},&quot;citationTag&quot;:&quot;MENDELEY_CITATION_v3_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&quot;,&quot;citationItems&quot;:[{&quot;id&quot;:&quot;dfb45477-f0f6-38b6-9b0c-523bf5e36e9e&quot;,&quot;itemData&quot;:{&quot;type&quot;:&quot;article-journal&quot;,&quot;id&quot;:&quot;dfb45477-f0f6-38b6-9b0c-523bf5e36e9e&quot;,&quot;title&quot;:&quot;Biomass and CO2 flux in wet sedge tundras: Responses to nutrients, temperature, and light&quot;,&quot;author&quot;:[{&quot;family&quot;:&quot;Shaver&quot;,&quot;given&quot;:&quot;G R&quot;,&quot;parse-names&quot;:false,&quot;dropping-particle&quot;:&quot;&quot;,&quot;non-dropping-particle&quot;:&quot;&quot;},{&quot;family&quot;:&quot;Johnson&quot;,&quot;given&quot;:&quot;L C&quot;,&quot;parse-names&quot;:false,&quot;dropping-particle&quot;:&quot;&quot;,&quot;non-dropping-particle&quot;:&quot;&quot;},{&quot;family&quot;:&quot;Cades&quot;,&quot;given&quot;:&quot;D H&quot;,&quot;parse-names&quot;:false,&quot;dropping-particle&quot;:&quot;&quot;,&quot;non-dropping-particle&quot;:&quot;&quot;},{&quot;family&quot;:&quot;Murray&quot;,&quot;given&quot;:&quot;G&quot;,&quot;parse-names&quot;:false,&quot;dropping-particle&quot;:&quot;&quot;,&quot;non-dropping-particle&quot;:&quot;&quot;},{&quot;family&quot;:&quot;Laundre&quot;,&quot;given&quot;:&quot;J A&quot;,&quot;parse-names&quot;:false,&quot;dropping-particle&quot;:&quot;&quot;,&quot;non-dropping-particle&quot;:&quot;&quot;},{&quot;family&quot;:&quot;Rastetter&quot;,&quot;given&quot;:&quot;Edward B&quot;,&quot;parse-names&quot;:false,&quot;dropping-particle&quot;:&quot;&quot;,&quot;non-dropping-particle&quot;:&quot;&quot;},{&quot;family&quot;:&quot;Nadelhoffer&quot;,&quot;given&quot;:&quot;Knute J&quot;,&quot;parse-names&quot;:false,&quot;dropping-particle&quot;:&quot;&quot;,&quot;non-dropping-particle&quot;:&quot;&quot;},{&quot;family&quot;:&quot;Giblin&quot;,&quot;given&quot;:&quot;A E&quot;,&quot;parse-names&quot;:false,&quot;dropping-particle&quot;:&quot;&quot;,&quot;non-dropping-particle&quot;:&quot;&quot;}],&quot;container-title&quot;:&quot;Ecological Monographs&quot;,&quot;container-title-short&quot;:&quot;Ecol Monogr&quot;,&quot;DOI&quot;:&quot;10.1890/0012-9615(1998)068[0075:bacfiw]2.0.co;2&quot;,&quot;ISSN&quot;:&quot;00129615&quot;,&quot;issued&quot;:{&quot;date-parts&quot;:[[1998]]},&quot;page&quot;:&quot;75-97&quot;,&quot;abstract&quot;:&quot;The aim of this research was to analyze the effects of increased N or P availability, increased air temperature, and decreased light intensity on wet sedge tundra in northern Alaska. Nutrient availability was increased for 6-9 growing seasons, using N and P fertilizers in factorial experiments at three separate field sites. Air temperature was increased for six growing seasons, using plastic greenhouses at two sites, both with and without N + P fertilizer. Light intensity (photosynthetically active photon flux) was reduced by 50% for six growing seasons at the same two sites, using optically neutral shade cloth. Responses of wet sedge tundra to these treatments were documented as changes in vegetation biomass, N mass, and P mass, changes in whole-system CO2 fluxes, and changes in species composition and leaf-level photosynthesis. Biomass, N mass, and P mass accumulation were all strongly P limited, and biomass and N mass accumulation also responded significantly to N addition with a small N x P interaction. Greenhouse warming alone had no significant effect on biomass, N mass, or P mass, although there was a consistent trend toward increased mass in the greenhouse treatments. There was a significant negative interaction between the greenhouse treatment and the N + P fertilizer treatment, i.e., the effect of the two treatments combined was to reduce biomass and N mass significantly below that of the fertilizer treatment only. Six years of shading had no significant effect on biomass, N mass, or P mass. Ecosystem CO2 fluxes included net ecosystem production (NEP; net CO2 flux), ecosystem respiration (R(E), including both plant and soil respiration), and gross ecosystem production (GEP; gross ecosystem photosynthesis). All three fluxes responded to the fertilizer treatments in a pattern similar to the responses of biomass, N mass, and P mass, i.e., with a strong P response and a small, but significant, N response and N x P interaction. The greenhouse treatment also increased all three fluxes, but the greenhouse plus N + P treatment caused a significant decrease in NEP because R(E) increased more than GEP in this treatment. The shade treatment increased both GEP and R(E), but had no effect on NEP. Most of the changes in CO2 fluxes per unit area of ground were due to changes in plant biomass, although there were additional, smaller treatment effects on CO2 fluxes per unit biomass, per unit N mass, and per unit P mass. The vegetation was composed mainly of rhizomatous sedges and rushes, but changes in species composition may have contributed to the changes in vegetation nutrient content and ecosystem-level CO2 fluxes. Carex cordorrhiza, the species with the highest nutrient concentrations in its tissues in control plots, was also the species with the greatest increase in abundance in the fertilized plots. In comparison with Eriophorum angustifolium, another species that was abundant in control plots, C. cordorrhiza had higher photosynthetic rates per unit leaf mass. Leaf photosynthesis and respiration of C. cordorrhiza also increased with fertilizer treatment, whereas they decreased or remained constant in E. angustifolium. The responses of these wet sedge tundras were similar to those of a nearby moist tussock tundra site that received an identical series of experiments. The main difference was the dominant P limitation in wet sedge tundra vs. N limitation in moist tussock tundra. Both tundras were relatively unresponsive to the increased air temperatures in the greenhouses but showed a strong negative interaction between the greenhouse and fertilizer treatments. New data from this study suggest that the negative interaction may be driven by a large increase in respiration in warmed fertilized plots, perhaps in relation to large increases in P concentration.&quot;,&quot;issue&quot;:&quot;1&quot;,&quot;volume&quot;:&quot;68&quot;},&quot;isTemporary&quot;:false}]},{&quot;citationID&quot;:&quot;MENDELEY_CITATION_3093cbda-e444-440d-b521-832dcc5bac01&quot;,&quot;properties&quot;:{&quot;noteIndex&quot;:0},&quot;isEdited&quot;:false,&quot;manualOverride&quot;:{&quot;isManuallyOverridden&quot;:false,&quot;citeprocText&quot;:&quot;(Soudzilovskaia et al., 2005)&quot;,&quot;manualOverrideText&quot;:&quot;&quot;},&quot;citationTag&quot;:&quot;MENDELEY_CITATION_v3_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&quot;,&quot;citationItems&quot;:[{&quot;id&quot;:&quot;bbd5a404-295e-3675-91b0-3a5582dcd365&quot;,&quot;itemData&quot;:{&quot;type&quot;:&quot;article-journal&quot;,&quot;id&quot;:&quot;bbd5a404-295e-3675-91b0-3a5582dcd365&quot;,&quot;title&quot;:&quot;Biomass production, N:P ratio and nutrient limitation in a Caucasian alpine tundra plant community&quot;,&quot;author&quot;:[{&quot;family&quot;:&quot;Soudzilovskaia&quot;,&quot;given&quot;:&quot;Nadejda A&quot;,&quot;parse-names&quot;:false,&quot;dropping-particle&quot;:&quot;&quot;,&quot;non-dropping-particle&quot;:&quot;&quot;},{&quot;family&quot;:&quot;Onipchenko&quot;,&quot;given&quot;:&quot;V G&quot;,&quot;parse-names&quot;:false,&quot;dropping-particle&quot;:&quot;&quot;,&quot;non-dropping-particle&quot;:&quot;&quot;},{&quot;family&quot;:&quot;Cornelissen&quot;,&quot;given&quot;:&quot;Johannes H C&quot;,&quot;parse-names&quot;:false,&quot;dropping-particle&quot;:&quot;&quot;,&quot;non-dropping-particle&quot;:&quot;&quot;},{&quot;family&quot;:&quot;Aerts&quot;,&quot;given&quot;:&quot;Rien&quot;,&quot;parse-names&quot;:false,&quot;dropping-particle&quot;:&quot;&quot;,&quot;non-dropping-particle&quot;:&quot;&quot;}],&quot;container-title&quot;:&quot;Journal of Vegetation Science&quot;,&quot;DOI&quot;:&quot;10.1111/j.1654-1103.2005.tb02379.x&quot;,&quot;ISSN&quot;:&quot;11009233&quot;,&quot;issued&quot;:{&quot;date-parts&quot;:[[2005]]},&quot;page&quot;:&quot;399-406&quot;,&quot;abstract&quot;:&quot;Questions: 1. To what extent is biomass production of a Caucasian alpine tundra plant community limited by soil nitrogen and/ or phosphorus? 2. Can the foliar N:P ratio predict the nutrient limitation pattern of alpine vascular plant communities? Location: Lichen-rich tundra on Mt. Malaya Khatipara in the NW Caucasus, Russia (43°27' N, 41°42' E; alt. 2800 m a.s.l.). Methods: We conducted a 4-year fertilization experiment (N, P,N+P, lime additions and irrigation) on the alpine tundra in the northwestern Caucasus, Russia. We determined responses of biomass, tissue nutrient concentrations and nutrient pools of the above-ground component of the plant community. Results: Total plant community biomass did not respond to fertilization. However, lichen biomass strongly decreased in response to the N- and N+P treatments, whereas vascular plant biomass increased in response to the N- and even more to the N+P treatment, but not to P or lime addition or irrigation. P-concentrations in vascular plant species were very low, but their biomass production was not principally P-limited, suggesting adaptation to low soil P-availability. The N-limitation of vascular plant biomass production in the community, which in lowlands usually occurs at N:P ratios below 16, could not be predicted from the mean foliar N:P mass ratio in the control (N:P = 29). Conclusions: This Caucasian alpine plant community is an example of N- and P-co-limitation of vascular plant biomass production, with N being the principal and P the secondary limiting nutrient. Critical N:P ratios as determined for lowland communities are not applicable here. © IAVS; Opulus Press.&quot;,&quot;issue&quot;:&quot;4&quot;,&quot;volume&quot;:&quot;16&quot;,&quot;container-title-short&quot;:&quot;&quot;},&quot;isTemporary&quot;:false}]},{&quot;citationID&quot;:&quot;MENDELEY_CITATION_2e4851d9-482f-46a1-8c5c-7c10167f5264&quot;,&quot;properties&quot;:{&quot;noteIndex&quot;:0},&quot;isEdited&quot;:false,&quot;manualOverride&quot;:{&quot;isManuallyOverridden&quot;:false,&quot;citeprocText&quot;:&quot;(Sun et al., 2022)&quot;,&quot;manualOverrideText&quot;:&quot;&quot;},&quot;citationTag&quot;:&quot;MENDELEY_CITATION_v3_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&quot;,&quot;citationItems&quot;:[{&quot;id&quot;:&quot;632a31a5-4fda-337b-a1fa-349e2187b219&quot;,&quot;itemData&quot;:{&quot;type&quot;:&quot;article-journal&quot;,&quot;id&quot;:&quot;632a31a5-4fda-337b-a1fa-349e2187b219&quot;,&quot;title&quot;:&quot;Effects of Nitrogen and Phosphorus Addition on Agronomic Characters, Photosynthetic Performance and Anatomical Structure of Alfalfa in Northern Xinjiang, China&quot;,&quot;author&quot;:[{&quot;family&quot;:&quot;Sun&quot;,&quot;given&quot;:&quot;Yanliang&quot;,&quot;parse-names&quot;:false,&quot;dropping-particle&quot;:&quot;&quot;,&quot;non-dropping-particle&quot;:&quot;&quot;},{&quot;family&quot;:&quot;Wang&quot;,&quot;given&quot;:&quot;Xuzhe&quot;,&quot;parse-names&quot;:false,&quot;dropping-particle&quot;:&quot;&quot;,&quot;non-dropping-particle&quot;:&quot;&quot;},{&quot;family&quot;:&quot;Ma&quot;,&quot;given&quot;:&quot;Chunhui&quot;,&quot;parse-names&quot;:false,&quot;dropping-particle&quot;:&quot;&quot;,&quot;non-dropping-particle&quot;:&quot;&quot;},{&quot;family&quot;:&quot;Zhang&quot;,&quot;given&quot;:&quot;Qianbing&quot;,&quot;parse-names&quot;:false,&quot;dropping-particle&quot;:&quot;&quot;,&quot;non-dropping-particle&quot;:&quot;&quot;}],&quot;container-title&quot;:&quot;Agronomy&quot;,&quot;DOI&quot;:&quot;10.3390/agronomy12071613&quot;,&quot;ISSN&quot;:&quot;2073-4395&quot;,&quot;issued&quot;:{&quot;date-parts&quot;:[[2022,7,4]]},&quot;page&quot;:&quot;1613&quot;,&quot;abstract&quot;:&quot;&lt;p&gt;The productivity of alfalfa is associated with a large amount of nitrogen (N) and phosphorus (P); the addition of exogenous N and P fertilizers can fully exploit the growth potential of alfalfa. However, there is uncertainty about the relationship between changes in alfalfa productivity and photosynthetic physiology and anatomy. We conducted field fertilization experiments on alfalfa in the second and third years under drip irrigation, as well as measurement of the photosynthetic physiology, anatomical structure and agronomic traits of alfalfa at different levels of N (0, 120 kg·ha−1) and different levels of P2O5 (0, 50, 100 and 150 kg·ha−1). The results showed that the dry matter yield (DMY), crude protein (CP), net photosynthetic rate (Pn) and specific leaf weight (SLW) were increased by 2.10~11.82%, 4.95~11.93%, 4.71~7.59% and 2.02~7.12% in the N application treatment compared with the non-N application treatment, while the DMY, CP, Pn and SLW were increased by 3.19~17.46%, 1.99~8.42%, 6.15~24.95% and 2.16~11.90% in the P application treatment compared with the non-P application treatment. N and P increase the thickness of the spongy tissue (ST) of alfalfa, which will facilitate the entry and exit of gas and water, and will further affect the photosynthetic indexes, such as stomatal conductance (Gs) and transpiration rate (Tr), of alfalfa leaves. Increased palisade tissue (PT) thickness will also enhance the adaptability of plant leaves to strong sunlight, thereby increasing the maximum net photosynthetic rate (Pmax) and light saturation point (LSP). Fertilization treatment showed the highest utilization efficiency for low light and better adaptation to strong light, but the Rd decreased. The comprehensive scores of principal component analysis for anatomical structure, photosynthetic performance and agronomic traits were N1P2 &amp;gt; N0P2 &amp;gt; N1P3 &amp;gt; N1P1 &amp;gt; N0P3 &amp;gt; N0P1 &amp;gt; N1P0 &amp;gt; N0P0. Therefore, the application of N and P fertilizers contributed to the adaptive changes in alfalfa leaf anatomy and the improvement of photosynthetic capacity, which were beneficial to the improvement of alfalfa dry matter yield, growth traits and nutritional quality, with the most obvious improvement effect obtained with the application of 120 kg·ha−1 of N and 100 kg·ha−1 of P2O5.&lt;/p&gt;&quot;,&quot;issue&quot;:&quot;7&quot;,&quot;volume&quot;:&quot;12&quot;,&quot;container-title-short&quot;:&quot;&quot;},&quot;isTemporary&quot;:false}]},{&quot;citationID&quot;:&quot;MENDELEY_CITATION_17d82326-e2f9-4c1f-8114-854936afa93b&quot;,&quot;properties&quot;:{&quot;noteIndex&quot;:0},&quot;isEdited&quot;:false,&quot;manualOverride&quot;:{&quot;isManuallyOverridden&quot;:false,&quot;citeprocText&quot;:&quot;(Tischer et al., 2015)&quot;,&quot;manualOverrideText&quot;:&quot;&quot;},&quot;citationTag&quot;:&quot;MENDELEY_CITATION_v3_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&quot;,&quot;citationItems&quot;:[{&quot;id&quot;:&quot;63573cfb-25d8-3d8b-98d4-bc8d60c49b26&quot;,&quot;itemData&quot;:{&quot;type&quot;:&quot;article-journal&quot;,&quot;id&quot;:&quot;63573cfb-25d8-3d8b-98d4-bc8d60c49b26&quot;,&quot;title&quot;:&quot;Above- and belowground linkages of a nitrogen and phosphorus co-limited tropical mountain pasture system – responses to nutrient enrichment&quot;,&quot;author&quot;:[{&quot;family&quot;:&quot;Tischer&quot;,&quot;given&quot;:&quot;Alexander&quot;,&quot;parse-names&quot;:false,&quot;dropping-particle&quot;:&quot;&quot;,&quot;non-dropping-particle&quot;:&quot;&quot;},{&quot;family&quot;:&quot;Werisch&quot;,&quot;given&quot;:&quot;Martin&quot;,&quot;parse-names&quot;:false,&quot;dropping-particle&quot;:&quot;&quot;,&quot;non-dropping-particle&quot;:&quot;&quot;},{&quot;family&quot;:&quot;Döbbelin&quot;,&quot;given&quot;:&quot;Franziska&quot;,&quot;parse-names&quot;:false,&quot;dropping-particle&quot;:&quot;&quot;,&quot;non-dropping-particle&quot;:&quot;&quot;},{&quot;family&quot;:&quot;Camenzind&quot;,&quot;given&quot;:&quot;Tessa&quot;,&quot;parse-names&quot;:false,&quot;dropping-particle&quot;:&quot;&quot;,&quot;non-dropping-particle&quot;:&quot;&quot;},{&quot;family&quot;:&quot;Rillig&quot;,&quot;given&quot;:&quot;Matthias C&quot;,&quot;parse-names&quot;:false,&quot;dropping-particle&quot;:&quot;&quot;,&quot;non-dropping-particle&quot;:&quot;&quot;},{&quot;family&quot;:&quot;Potthast&quot;,&quot;given&quot;:&quot;Karin&quot;,&quot;parse-names&quot;:false,&quot;dropping-particle&quot;:&quot;&quot;,&quot;non-dropping-particle&quot;:&quot;&quot;},{&quot;family&quot;:&quot;Hamer&quot;,&quot;given&quot;:&quot;Ute&quot;,&quot;parse-names&quot;:false,&quot;dropping-particle&quot;:&quot;&quot;,&quot;non-dropping-particle&quot;:&quot;&quot;}],&quot;container-title&quot;:&quot;Plant and Soil&quot;,&quot;container-title-short&quot;:&quot;Plant Soil&quot;,&quot;DOI&quot;:&quot;10.1007/s11104-015-2431-7&quot;,&quot;ISSN&quot;:&quot;0032079X&quot;,&quot;issued&quot;:{&quot;date-parts&quot;:[[2015]]},&quot;page&quot;:&quot;333-352&quot;,&quot;abstract&quot;:&quot;Aim: Little is known about how N and P co-limited ecosystems respond to single nutrient enrichment. This work assesses the susceptibility of above- and belowground ecosystem components and of their linkages in an N and P co-limited pasture to N- and P-enrichment. We tested if the plants’ responses can be explained by the concept of serially linked nutrients introduced by Ågren (Ecol Lett 7:185–191, 2004). In this concept, the control of the growth rate by one nutrient is assumed to depend on the control of a different cellular process by another nutrient. Methods: We investigated the responses of shoot and root biomass and C:N:P stoichiometry of the grass Setaria sphacelata (Schumach.) to moderate N, P, and N + P application over 5 years. In addition, the effects of nutrient enrichment on soil nutrient pools, on arbuscular mycorrhizal fungi (AMF) as well as on microbial biomass, activity, and community structure (phospholipid fatty acids: PLFA) were tested. In order to evaluate the importance of different factors explaining microbial responses, we applied a likelihood-based information-theoretic approach. Results: The application of N + P increased aboveground grass biomass (+61 %). Root biomass was stimulated by P-treatment (+45 %). Grass C:N:P stoichiometry responded by altering the P-uptake (P-treatment) or by translocating P from shoot to root (N-treatment). In particular, root C:N and C:P stoichiometry decreased in P- and in N-treatment. Extractable fractions of soil C, N, and P were significantly affected by nutrient enrichment. P application increased the biomass of Gram-positive bacteria (+22 %) and the abundance of AMF (+46 %), however, results of the IT-approach suggested indirect effects of nutrient enrichment on microbes. Conclusions: The responses of the N and P co-limited pasture to particular nutrient enrichment support the concept of serially linked nutrients. The present study provides evidence for the fundamental importance of P for controlling resource allocation of plants in responses to nutrient enrichment. Resource allocation of the grass rather than direct effects of nutrient additions drives changes in AMF, microbial biomass, community structure, and activity.&quot;,&quot;issue&quot;:&quot;1-2&quot;,&quot;volume&quot;:&quot;391&quot;},&quot;isTemporary&quot;:false}]},{&quot;citationID&quot;:&quot;MENDELEY_CITATION_49c77e8a-6a22-4ac8-948b-8db66c938bb9&quot;,&quot;properties&quot;:{&quot;noteIndex&quot;:0},&quot;isEdited&quot;:false,&quot;manualOverride&quot;:{&quot;isManuallyOverridden&quot;:false,&quot;citeprocText&quot;:&quot;(van Cleve &amp;#38; Oliver, 1982)&quot;,&quot;manualOverrideText&quot;:&quot;&quot;},&quot;citationTag&quot;:&quot;MENDELEY_CITATION_v3_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&quot;,&quot;citationItems&quot;:[{&quot;id&quot;:&quot;47355f5f-f22b-3b26-99a8-c5cc1b3f2335&quot;,&quot;itemData&quot;:{&quot;type&quot;:&quot;article-journal&quot;,&quot;id&quot;:&quot;47355f5f-f22b-3b26-99a8-c5cc1b3f2335&quot;,&quot;title&quot;:&quot;Growth response of postfire quaking aspen ( Populus tremuloides Michx.) to N, P, and K fertilization&quot;,&quot;author&quot;:[{&quot;family&quot;:&quot;Cleve&quot;,&quot;given&quot;:&quot;Keith&quot;,&quot;parse-names&quot;:false,&quot;dropping-particle&quot;:&quot;&quot;,&quot;non-dropping-particle&quot;:&quot;van&quot;},{&quot;family&quot;:&quot;Oliver&quot;,&quot;given&quot;:&quot;Lola K&quot;,&quot;parse-names&quot;:false,&quot;dropping-particle&quot;:&quot;&quot;,&quot;non-dropping-particle&quot;:&quot;&quot;}],&quot;container-title&quot;:&quot;Canadian Journal of Forest Research&quot;,&quot;DOI&quot;:&quot;10.1139/x82-024&quot;,&quot;ISSN&quot;:&quot;0045-5067&quot;,&quot;URL&quot;:&quot;http://scioteca.caf.com/bitstream/handle/123456789/1091/RED2017-Eng-8ene.pdf?sequence=12&amp;isAllowed=y%0Ahttp://dx.doi.org/10.1016/j.regsciurbeco.2008.06.005%0Ahttps://www.researchgate.net/publication/305320484_SISTEM_PEMBETUNGAN_TERPUSAT_STRATEGI_MELESTARI&quot;,&quot;issued&quot;:{&quot;date-parts&quot;:[[1982,6,1]]},&quot;page&quot;:&quot;160-165&quot;,&quot;abstract&quot;:&quot;Yearly applications of N, P, and K fertilizer for a 6-year period to a young, postfire aspen forest, resulted in substantial increases in tree growth primarily in response to nitrogen. The main effect of N was to increase, by at least a factor of two, the stand leaf area index, and bole and total aboveground tree mass. Improved nitrogen nutrition appeared to reduce the efficiency of production per unit of nitrogen incorporated into tree crowns.&quot;,&quot;issue&quot;:&quot;2&quot;,&quot;volume&quot;:&quot;12&quot;,&quot;container-title-short&quot;:&quot;&quot;},&quot;isTemporary&quot;:false}]},{&quot;citationID&quot;:&quot;MENDELEY_CITATION_e08af907-880f-4c14-b0da-376f35eba987&quot;,&quot;properties&quot;:{&quot;noteIndex&quot;:0},&quot;isEdited&quot;:false,&quot;manualOverride&quot;:{&quot;isManuallyOverridden&quot;:false,&quot;citeprocText&quot;:&quot;(van der Hoek et al., 2004)&quot;,&quot;manualOverrideText&quot;:&quot;&quot;},&quot;citationTag&quot;:&quot;MENDELEY_CITATION_v3_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&quot;,&quot;citationItems&quot;:[{&quot;id&quot;:&quot;3b1ac05d-b0f7-3099-aa2a-1e1b4aee259a&quot;,&quot;itemData&quot;:{&quot;type&quot;:&quot;article-journal&quot;,&quot;id&quot;:&quot;3b1ac05d-b0f7-3099-aa2a-1e1b4aee259a&quot;,&quot;title&quot;:&quot;Nutrient limitation and nutrient-driven shifts in plant species composition in a species-rich fen meadow&quot;,&quot;author&quot;:[{&quot;family&quot;:&quot;Hoek&quot;,&quot;given&quot;:&quot;Dick&quot;,&quot;parse-names&quot;:false,&quot;dropping-particle&quot;:&quot;&quot;,&quot;non-dropping-particle&quot;:&quot;van der&quot;},{&quot;family&quot;:&quot;Mierlo&quot;,&quot;given&quot;:&quot;Anita J E M&quot;,&quot;parse-names&quot;:false,&quot;dropping-particle&quot;:&quot;&quot;,&quot;non-dropping-particle&quot;:&quot;van&quot;},{&quot;family&quot;:&quot;Groenendael&quot;,&quot;given&quot;:&quot;Jan M&quot;,&quot;parse-names&quot;:false,&quot;dropping-particle&quot;:&quot;&quot;,&quot;non-dropping-particle&quot;:&quot;van&quot;}],&quot;container-title&quot;:&quot;Journal of Vegetation Science&quot;,&quot;DOI&quot;:&quot;10.1111/j.1654-1103.2004.tb02276.x&quot;,&quot;ISSN&quot;:&quot;11009233&quot;,&quot;issued&quot;:{&quot;date-parts&quot;:[[2004]]},&quot;page&quot;:&quot;389-396&quot;,&quot;abstract&quot;:&quot;Question: We studied the development and persistence of the effects of nutrient pulses on biomass production and species composition in a fen meadow. Location: Nature reserve, central Netherlands, 5 m a.s.l. Methods: Single pulse fertilization with N and P in a factorial design on an undrained central and a drained margin site in a species-rich fen meadow (Cirsio dissecti-Molinietum). Biomass production and species composition were monitored during four years. Results: At the central site, N addition boosted biomass production, but only during one year. The species composition was not changed. P fertilization increased the biomass production and changed the species composition from a vegetation dominated by Carex panicea to a grassland community with abundant Holcus lanatus, but not before the second year. At the margin site, P fertilization changed the species composition in a similar way, but biomass production was not increased. N fertilization had no effect. At both sites the P induced shift in species composition persisted for four years although the P effect declined during the experiment. Conclusions: The biomass responses show that N was limiting in the central site. Another nutrient, besides N and P (probably K) must have been limiting in the marginal site. The fast decline of the N effect on biomass is ascribed to increased denitrification and biomass removal. The delay in the P effect on biomass and species composition and the persistence of the P effect on species composition are ascribed to fast immobilisation and subsequent slow release of fertilizer P in the peat soil. Recurrence of the P pulses is expected to cause permanent changes in species composition.&quot;,&quot;issue&quot;:&quot;3&quot;,&quot;volume&quot;:&quot;15&quot;,&quot;container-title-short&quot;:&quot;&quot;},&quot;isTemporary&quot;:false}]},{&quot;citationID&quot;:&quot;MENDELEY_CITATION_3cc18788-56ee-4600-bdd5-0072290c5a39&quot;,&quot;properties&quot;:{&quot;noteIndex&quot;:0},&quot;isEdited&quot;:false,&quot;manualOverride&quot;:{&quot;isManuallyOverridden&quot;:false,&quot;citeprocText&quot;:&quot;(van der Waal et al., 2011)&quot;,&quot;manualOverrideText&quot;:&quot;&quot;},&quot;citationTag&quot;:&quot;MENDELEY_CITATION_v3_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&quot;,&quot;citationItems&quot;:[{&quot;id&quot;:&quot;7623c1f6-7786-3f59-ab22-fbfb2170a130&quot;,&quot;itemData&quot;:{&quot;type&quot;:&quot;article-journal&quot;,&quot;id&quot;:&quot;7623c1f6-7786-3f59-ab22-fbfb2170a130&quot;,&quot;title&quot;:&quot;Scale of nutrient patchiness mediates resource partitioning between trees and grasses in a semi-arid savanna&quot;,&quot;author&quot;:[{&quot;family&quot;:&quot;Waal&quot;,&quot;given&quot;:&quot;Cornelis&quot;,&quot;parse-names&quot;:false,&quot;dropping-particle&quot;:&quot;&quot;,&quot;non-dropping-particle&quot;:&quot;van der&quot;},{&quot;family&quot;:&quot;Kroon&quot;,&quot;given&quot;:&quot;Hans&quot;,&quot;parse-names&quot;:false,&quot;dropping-particle&quot;:&quot;&quot;,&quot;non-dropping-particle&quot;:&quot;De&quot;},{&quot;family&quot;:&quot;Heitkönig&quot;,&quot;given&quot;:&quot;Ignas M A&quot;,&quot;parse-names&quot;:false,&quot;dropping-particle&quot;:&quot;&quot;,&quot;non-dropping-particle&quot;:&quot;&quot;},{&quot;family&quot;:&quot;Skidmore&quot;,&quot;given&quot;:&quot;Andrew K&quot;,&quot;parse-names&quot;:false,&quot;dropping-particle&quot;:&quot;&quot;,&quot;non-dropping-particle&quot;:&quot;&quot;},{&quot;family&quot;:&quot;Langevelde&quot;,&quot;given&quot;:&quot;Frank&quot;,&quot;parse-names&quot;:false,&quot;dropping-particle&quot;:&quot;&quot;,&quot;non-dropping-particle&quot;:&quot;Van&quot;},{&quot;family&quot;:&quot;Boer&quot;,&quot;given&quot;:&quot;Willem F&quot;,&quot;parse-names&quot;:false,&quot;dropping-particle&quot;:&quot;&quot;,&quot;non-dropping-particle&quot;:&quot;De&quot;},{&quot;family&quot;:&quot;Slotow&quot;,&quot;given&quot;:&quot;Rob&quot;,&quot;parse-names&quot;:false,&quot;dropping-particle&quot;:&quot;&quot;,&quot;non-dropping-particle&quot;:&quot;&quot;},{&quot;family&quot;:&quot;Grant&quot;,&quot;given&quot;:&quot;Rina C.&quot;,&quot;parse-names&quot;:false,&quot;dropping-particle&quot;:&quot;&quot;,&quot;non-dropping-particle&quot;:&quot;&quot;},{&quot;family&quot;:&quot;Peel&quot;,&quot;given&quot;:&quot;Mike P S&quot;,&quot;parse-names&quot;:false,&quot;dropping-particle&quot;:&quot;&quot;,&quot;non-dropping-particle&quot;:&quot;&quot;},{&quot;family&quot;:&quot;Kohi&quot;,&quot;given&quot;:&quot;Edward M&quot;,&quot;parse-names&quot;:false,&quot;dropping-particle&quot;:&quot;&quot;,&quot;non-dropping-particle&quot;:&quot;&quot;},{&quot;family&quot;:&quot;Knegt&quot;,&quot;given&quot;:&quot;Henrik J&quot;,&quot;parse-names&quot;:false,&quot;dropping-particle&quot;:&quot;&quot;,&quot;non-dropping-particle&quot;:&quot;De&quot;},{&quot;family&quot;:&quot;Prins&quot;,&quot;given&quot;:&quot;Herbert H T&quot;,&quot;parse-names&quot;:false,&quot;dropping-particle&quot;:&quot;&quot;,&quot;non-dropping-particle&quot;:&quot;&quot;}],&quot;container-title&quot;:&quot;Journal of Ecology&quot;,&quot;DOI&quot;:&quot;10.1111/j.1365-2745.2011.01832.x&quot;,&quot;ISSN&quot;:&quot;13652745&quot;,&quot;issued&quot;:{&quot;date-parts&quot;:[[2011]]},&quot;page&quot;:&quot;1124-1133&quot;,&quot;abstract&quot;:&quot;1.Scaling theory predicts that organisms respond to different scales of resource patchiness in relation to their own size. We tested the hypothesis that the scale of nutrient patchiness mediates resource partitioning between large trees and small grasses in a semi-arid savanna. 2.In a factorial field experiment, Colophospermum mopane trees and associated grasses were fertilized at either a fine or coarse scale of patchiness with nitrogen (N), phosphorus (P) or N+P. The growth of marked tree shoots, herbaceous biomass and leaf N and P concentrations were monitored for 2years following fertilization. 3.Responses of trees were partly scale dependent. Tree leaf N concentration and shoot length relatively increased with fertilization at a coarse scale. Tree leaf mass decreased when P was supplied at a fine scale of patchiness, suggesting intensified grass competition. 4.Phosphorus fertilization increased leaf P concentrations more in grasses than trees, whereas N fertilization increased leaf N concentration moderately in both trees and grasses. Herbaceous above-ground biomass around focal trees was negatively correlated with tree size when fertilized with N, suggesting intensified tree competition. 5.Synthesis. Our results support the hypothesis that trees benefit more from nutrients supplied at a relatively coarse scale of patchiness. No direct responses of grasses to scale were detected. In trees, the scale effect was surpassed by the effect of sample year, when rainfall varied. © 2011 The Authors. Journal of Ecology © 2011 British Ecological Society.&quot;,&quot;issue&quot;:&quot;5&quot;,&quot;volume&quot;:&quot;99&quot;,&quot;container-title-short&quot;:&quot;&quot;},&quot;isTemporary&quot;:false}]},{&quot;citationID&quot;:&quot;MENDELEY_CITATION_5db7e45d-2a57-4e6d-8fee-c3f9fae9371f&quot;,&quot;properties&quot;:{&quot;noteIndex&quot;:0},&quot;isEdited&quot;:false,&quot;manualOverride&quot;:{&quot;isManuallyOverridden&quot;:false,&quot;citeprocText&quot;:&quot;(van Duren, Boeye, et al., 1997)&quot;,&quot;manualOverrideText&quot;:&quot;&quot;},&quot;citationTag&quot;:&quot;MENDELEY_CITATION_v3_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&quot;,&quot;citationItems&quot;:[{&quot;id&quot;:&quot;6b9b371d-0f29-31f5-bedf-f4ce8a602f0a&quot;,&quot;itemData&quot;:{&quot;type&quot;:&quot;article-journal&quot;,&quot;id&quot;:&quot;6b9b371d-0f29-31f5-bedf-f4ce8a602f0a&quot;,&quot;title&quot;:&quot;Nutrient limitations in an extant and drained poor fen: Implications for restoration&quot;,&quot;author&quot;:[{&quot;family&quot;:&quot;Duren&quot;,&quot;given&quot;:&quot;I C&quot;,&quot;parse-names&quot;:false,&quot;dropping-particle&quot;:&quot;&quot;,&quot;non-dropping-particle&quot;:&quot;van&quot;},{&quot;family&quot;:&quot;Boeye&quot;,&quot;given&quot;:&quot;Dirk&quot;,&quot;parse-names&quot;:false,&quot;dropping-particle&quot;:&quot;&quot;,&quot;non-dropping-particle&quot;:&quot;&quot;},{&quot;family&quot;:&quot;Grootjans&quot;,&quot;given&quot;:&quot;A P&quot;,&quot;parse-names&quot;:false,&quot;dropping-particle&quot;:&quot;&quot;,&quot;non-dropping-particle&quot;:&quot;&quot;}],&quot;container-title&quot;:&quot;Plant Ecology&quot;,&quot;container-title-short&quot;:&quot;Plant Ecol&quot;,&quot;DOI&quot;:&quot;10.1023/A:1009728007279&quot;,&quot;ISSN&quot;:&quot;13850237&quot;,&quot;issued&quot;:{&quot;date-parts&quot;:[[1997]]},&quot;page&quot;:&quot;91-100&quot;,&quot;abstract&quot;:&quot;In a species-rich poor fen (Caricetum nigrae) and a species-poor drained fen, the difference in nutrient limitation of the vegetation was assessed in a full-factorial fertilization experiment with N, P and K. The results were compared to the nutrient ratio of plant material and to chemical analysis of the topsoil. A rewetting experiment with intact sods was carried out in the glasshouse and the results are discussed in view of restoration prospects of drained and degraded peatlands. In the undrained poor fen the above-ground biomass yield was N-limited while the vegetation of the drained fen was K-limited. Experimental rewetting of intact turf samples, taken in the drained site, did not change the biomass yield or the type of nutrient limitation. It was concluded that mire system which have been subjected to prolonged drainage are inclined to pronounced K-deficiency, probably due to washing out of potassium and harvesting the standing crop. This may hamper restoration projects in degraded peat areas where nature conservation tries to restore species-rich vegetation types with a high nature value.&quot;,&quot;issue&quot;:&quot;1&quot;,&quot;volume&quot;:&quot;133&quot;},&quot;isTemporary&quot;:false}]},{&quot;citationID&quot;:&quot;MENDELEY_CITATION_37021cc0-068e-4e9d-8b02-310e8237300e&quot;,&quot;properties&quot;:{&quot;noteIndex&quot;:0},&quot;isEdited&quot;:false,&quot;manualOverride&quot;:{&quot;isManuallyOverridden&quot;:false,&quot;citeprocText&quot;:&quot;(van Duren, Pegtel, et al., 1997)&quot;,&quot;manualOverrideText&quot;:&quot;&quot;},&quot;citationTag&quot;:&quot;MENDELEY_CITATION_v3_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&quot;,&quot;citationItems&quot;:[{&quot;id&quot;:&quot;74559447-5bd7-3cdb-9f77-0a098d18ed35&quot;,&quot;itemData&quot;:{&quot;type&quot;:&quot;article-journal&quot;,&quot;id&quot;:&quot;74559447-5bd7-3cdb-9f77-0a098d18ed35&quot;,&quot;title&quot;:&quot;Nutrient supply in undrained and drained Calthion meadows&quot;,&quot;author&quot;:[{&quot;family&quot;:&quot;Duren&quot;,&quot;given&quot;:&quot;I C&quot;,&quot;parse-names&quot;:false,&quot;dropping-particle&quot;:&quot;&quot;,&quot;non-dropping-particle&quot;:&quot;van&quot;},{&quot;family&quot;:&quot;Pegtel&quot;,&quot;given&quot;:&quot;D M&quot;,&quot;parse-names&quot;:false,&quot;dropping-particle&quot;:&quot;&quot;,&quot;non-dropping-particle&quot;:&quot;&quot;},{&quot;family&quot;:&quot;Aerts&quot;,&quot;given&quot;:&quot;B A&quot;,&quot;parse-names&quot;:false,&quot;dropping-particle&quot;:&quot;&quot;,&quot;non-dropping-particle&quot;:&quot;&quot;},{&quot;family&quot;:&quot;Inberg&quot;,&quot;given&quot;:&quot;J A&quot;,&quot;parse-names&quot;:false,&quot;dropping-particle&quot;:&quot;&quot;,&quot;non-dropping-particle&quot;:&quot;&quot;}],&quot;container-title&quot;:&quot;Journal of Vegetation Science&quot;,&quot;DOI&quot;:&quot;10.2307/3237027&quot;,&quot;ISSN&quot;:&quot;1100-9233&quot;,&quot;issued&quot;:{&quot;date-parts&quot;:[[1997]]},&quot;page&quot;:&quot;829-838&quot;,&quot;abstract&quot;:&quot;Abstract. Plant species‐rich Calthion meadows on mesotrophic fen peat soil extensively cut for hay are among the endangered semi‐natural vegetation types in northwestern Europe. They are often badly affected by lowering the groundwater table (drainage) and fertilization. In a comparative study of an undrained site with a Calthion meadow and an adjacent drained site, availability of N, P and K was biologically assessed under field conditions (for two years) as well as in a greenhouse (for 18 weeks) by measuring shoot responsiveness. Also, experimental wetting of intact turf samples taken from both sites was applied in order to study the interaction between nutrient supply and anaerobic soil conditions. It was concluded that the above‐ground phytomass yield in the undrained site was restricted by a major shortage of N‐supply and a moderate shortage of K‐supply by the fen peat soil. The above‐ground phytomass yield of the drained site was only reduced by a strongly limited supply of K by the soil. The extent of K‐deficiency was larger for the drained site. No P‐deficiency was observed in any of the drained or undrained sites. Rewetting turf samples, taken from the drained site, did not change above‐ground phytomass yields, suggesting that nutrient supplies were not affected by rewetting. Leaching has likely resulted in a strong reduction of K‐supply in the drained site. It is assumed that a shortage in K‐supply from the peat soil may have become an important environmental constraint for characteristic plant species of Calthion meadows. This may hamper the development of this meadow type on drained peat soils after rewetting by groundwater discharge.&quot;,&quot;issue&quot;:&quot;6&quot;,&quot;volume&quot;:&quot;8&quot;,&quot;container-title-short&quot;:&quot;&quot;},&quot;isTemporary&quot;:false}]},{&quot;citationID&quot;:&quot;MENDELEY_CITATION_d1243d13-205b-4700-bb3a-0b06a622389b&quot;,&quot;properties&quot;:{&quot;noteIndex&quot;:0},&quot;isEdited&quot;:false,&quot;manualOverride&quot;:{&quot;isManuallyOverridden&quot;:false,&quot;citeprocText&quot;:&quot;(van Wijnen &amp;#38; Bakker, 1999)&quot;,&quot;manualOverrideText&quot;:&quot;&quot;},&quot;citationTag&quot;:&quot;MENDELEY_CITATION_v3_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&quot;,&quot;citationItems&quot;:[{&quot;id&quot;:&quot;f7aaac3d-6149-3061-aa6b-c31a00b96074&quot;,&quot;itemData&quot;:{&quot;type&quot;:&quot;article-journal&quot;,&quot;id&quot;:&quot;f7aaac3d-6149-3061-aa6b-c31a00b96074&quot;,&quot;title&quot;:&quot;Nitrogen and phosphorus limitation in a coastal barrier salt marsh: The implications for vegetation succession&quot;,&quot;author&quot;:[{&quot;family&quot;:&quot;Wijnen&quot;,&quot;given&quot;:&quot;Harm J&quot;,&quot;parse-names&quot;:false,&quot;dropping-particle&quot;:&quot;&quot;,&quot;non-dropping-particle&quot;:&quot;van&quot;},{&quot;family&quot;:&quot;Bakker&quot;,&quot;given&quot;:&quot;Jan P&quot;,&quot;parse-names&quot;:false,&quot;dropping-particle&quot;:&quot;&quot;,&quot;non-dropping-particle&quot;:&quot;&quot;}],&quot;container-title&quot;:&quot;Journal of Ecology&quot;,&quot;DOI&quot;:&quot;10.1046/j.1365-2745.1999.00349.x&quot;,&quot;ISSN&quot;:&quot;00220477&quot;,&quot;issued&quot;:{&quot;date-parts&quot;:[[1999]]},&quot;page&quot;:&quot;265-272&quot;,&quot;abstract&quot;:&quot;1. A factorial fertilizer experiment was conducted in a 15-year-old coastal barrier salt marsh with a low soil nitrogen content, and in an older 100-year-old marsh with a higher nitrogen content. Plots were fertilized at high and low marsh elevations in both marshes. Nitrogen and phosphorus were applied at low and high concentrations both separately and in combination in each of 3 successive years. 2. Nitrogen limited above-ground plant growth in both young and old salt marshes in all years. Phosphorus limitation of plant growth was apparent in the first year in the young marsh and in the last year in both marshes. In young marshes with low soil organic matter, phosphorus limitation may occur. In addition, phosphorus limitation occurs at both successional stages when a marsh is saturated with nitrogen. 3. Plant species that are typical of nitrogen-rich habitats and late successional stages significantly increased in biomass after fertilization. Limonium vulgare, a low stature species of early and intermediate successional stages, decreased in biomass, whereas the taller Elymus pycnanthus and Artemisia maritima increased. After 3 years of fertilization, plant species composition in a young marsh was similar to the species composition in an unfertilized older marsh. Fertilization of a 100-year-old marsh, however, still resulted in a change in plant species composition, suggesting that succession was still occurring and that, overall, plants in marshes of different age are similar in their response to fertilization.&quot;,&quot;issue&quot;:&quot;2&quot;,&quot;volume&quot;:&quot;87&quot;,&quot;container-title-short&quot;:&quot;&quot;},&quot;isTemporary&quot;:false}]},{&quot;citationID&quot;:&quot;MENDELEY_CITATION_23cede18-b4f9-4e87-9d39-e54d9715ecc5&quot;,&quot;properties&quot;:{&quot;noteIndex&quot;:0},&quot;isEdited&quot;:false,&quot;manualOverride&quot;:{&quot;isManuallyOverridden&quot;:false,&quot;citeprocText&quot;:&quot;(Verlinden et al., 2018)&quot;,&quot;manualOverrideText&quot;:&quot;&quot;},&quot;citationTag&quot;:&quot;MENDELEY_CITATION_v3_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&quot;,&quot;citationItems&quot;:[{&quot;id&quot;:&quot;e160a918-92ac-3722-92ab-061e7c861a6d&quot;,&quot;itemData&quot;:{&quot;type&quot;:&quot;article-journal&quot;,&quot;id&quot;:&quot;e160a918-92ac-3722-92ab-061e7c861a6d&quot;,&quot;title&quot;:&quot;Favorable effect of mycorrhizae on biomass production efficiency exceeds their carbon cost in a fertilization experiment&quot;,&quot;author&quot;:[{&quot;family&quot;:&quot;Verlinden&quot;,&quot;given&quot;:&quot;Melanie S&quot;,&quot;parse-names&quot;:false,&quot;dropping-particle&quot;:&quot;&quot;,&quot;non-dropping-particle&quot;:&quot;&quot;},{&quot;family&quot;:&quot;Ven&quot;,&quot;given&quot;:&quot;Arne&quot;,&quot;parse-names&quot;:false,&quot;dropping-particle&quot;:&quot;&quot;,&quot;non-dropping-particle&quot;:&quot;&quot;},{&quot;family&quot;:&quot;Verbruggen&quot;,&quot;given&quot;:&quot;Erik&quot;,&quot;parse-names&quot;:false,&quot;dropping-particle&quot;:&quot;&quot;,&quot;non-dropping-particle&quot;:&quot;&quot;},{&quot;family&quot;:&quot;Janssens&quot;,&quot;given&quot;:&quot;Ivan A&quot;,&quot;parse-names&quot;:false,&quot;dropping-particle&quot;:&quot;&quot;,&quot;non-dropping-particle&quot;:&quot;&quot;},{&quot;family&quot;:&quot;Wallander&quot;,&quot;given&quot;:&quot;Håkan&quot;,&quot;parse-names&quot;:false,&quot;dropping-particle&quot;:&quot;&quot;,&quot;non-dropping-particle&quot;:&quot;&quot;},{&quot;family&quot;:&quot;Vicca&quot;,&quot;given&quot;:&quot;Sara&quot;,&quot;parse-names&quot;:false,&quot;dropping-particle&quot;:&quot;&quot;,&quot;non-dropping-particle&quot;:&quot;&quot;}],&quot;container-title&quot;:&quot;Ecology&quot;,&quot;container-title-short&quot;:&quot;Ecology&quot;,&quot;DOI&quot;:&quot;10.1002/ecy.2502&quot;,&quot;ISSN&quot;:&quot;00129658&quot;,&quot;PMID&quot;:&quot;30218450&quot;,&quot;issued&quot;:{&quot;date-parts&quot;:[[2018]]},&quot;page&quot;:&quot;2525-2534&quot;,&quot;abstract&quot;:&quot;Biomass production efficiency (BPE), the ratio of biomass production to photosynthesis, varies greatly among ecosystems and typically increases with increasing nutrient availability. Reduced carbon partitioning to mycorrhizal fungi (i.e., per unit photosynthesis) is the hypothesized underlying mechanism, as mycorrhizal abundance and plant dependence on these symbionts typically decrease with increasing nutrient availability. In a mesocosm experiment with Zea mays, we investigated the effect of nitrogen (N) and phosphorus (P) addition and of mycorrhizal inoculation on BPE. Photosynthesis and respiration were measured at mesocosm scale and at leaf scale. The growth of arbuscular mycorrhizal fungi (AMF) was assessed with ingrowth bags while also making use of the difference in δ13C between C4 plants and C3 soil. Mesocosms without AMF, that is, with pasteurized soil, were used to further explore the role of AMF. Plant growth, photosynthesis, and BPE were positively affected by P, but not by N addition. AMF biomass also was slightly higher under P addition, but carbon partitioning to AMF was significantly lower than without P addition. Interestingly, in the absence of AMF, plants that did not receive P died prematurely. Our study confirmed the hypothesis that BPE increases with increasing nutrient availability, and that carbon partitioning to AMF plays a key role in this nutrient effect. The comparison of inoculated vs. pasteurized mesocosms further suggested a lower carbon cost of nutrient uptake via AMF than via other mechanisms under nutrient rich conditions.&quot;,&quot;issue&quot;:&quot;11&quot;,&quot;volume&quot;:&quot;99&quot;},&quot;isTemporary&quot;:false}]},{&quot;citationID&quot;:&quot;MENDELEY_CITATION_f9b3fb5b-730f-4161-b87a-a782117ae6ce&quot;,&quot;properties&quot;:{&quot;noteIndex&quot;:0},&quot;isEdited&quot;:false,&quot;manualOverride&quot;:{&quot;isManuallyOverridden&quot;:false,&quot;citeprocText&quot;:&quot;(Verryckt et al., 2022)&quot;,&quot;manualOverrideText&quot;:&quot;&quot;},&quot;citationTag&quot;:&quot;MENDELEY_CITATION_v3_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&quot;,&quot;citationItems&quot;:[{&quot;id&quot;:&quot;cec88fc5-60c8-3972-90ca-92bf8d467ca9&quot;,&quot;itemData&quot;:{&quot;type&quot;:&quot;article-journal&quot;,&quot;id&quot;:&quot;cec88fc5-60c8-3972-90ca-92bf8d467ca9&quot;,&quot;title&quot;:&quot;Vertical profiles of leaf photosynthesis and leaf traits and soil nutrients in two tropical rainforests in French Guiana before and after a 3-year nitrogen and phosphorus addition experiment&quot;,&quot;author&quot;:[{&quot;family&quot;:&quot;Verryckt&quot;,&quot;given&quot;:&quot;Lore T.&quot;,&quot;parse-names&quot;:false,&quot;dropping-particle&quot;:&quot;&quot;,&quot;non-dropping-particle&quot;:&quot;&quot;},{&quot;family&quot;:&quot;Vicca&quot;,&quot;given&quot;:&quot;Sara&quot;,&quot;parse-names&quot;:false,&quot;dropping-particle&quot;:&quot;&quot;,&quot;non-dropping-particle&quot;:&quot;&quot;},{&quot;family&quot;:&quot;Langenhove&quot;,&quot;given&quot;:&quot;Leandro&quot;,&quot;parse-names&quot;:false,&quot;dropping-particle&quot;:&quot;&quot;,&quot;non-dropping-particle&quot;:&quot;Van&quot;},{&quot;family&quot;:&quot;Stahl&quot;,&quot;given&quot;:&quot;Clément&quot;,&quot;parse-names&quot;:false,&quot;dropping-particle&quot;:&quot;&quot;,&quot;non-dropping-particle&quot;:&quot;&quot;},{&quot;family&quot;:&quot;Asensio&quot;,&quot;given&quot;:&quot;Dolores&quot;,&quot;parse-names&quot;:false,&quot;dropping-particle&quot;:&quot;&quot;,&quot;non-dropping-particle&quot;:&quot;&quot;},{&quot;family&quot;:&quot;Urbina&quot;,&quot;given&quot;:&quot;Ifigenia&quot;,&quot;parse-names&quot;:false,&quot;dropping-particle&quot;:&quot;&quot;,&quot;non-dropping-particle&quot;:&quot;&quot;},{&quot;family&quot;:&quot;Ogaya&quot;,&quot;given&quot;:&quot;Romà&quot;,&quot;parse-names&quot;:false,&quot;dropping-particle&quot;:&quot;&quot;,&quot;non-dropping-particle&quot;:&quot;&quot;},{&quot;family&quot;:&quot;Llusià&quot;,&quot;given&quot;:&quot;Joan&quot;,&quot;parse-names&quot;:false,&quot;dropping-particle&quot;:&quot;&quot;,&quot;non-dropping-particle&quot;:&quot;&quot;},{&quot;family&quot;:&quot;Grau&quot;,&quot;given&quot;:&quot;Oriol&quot;,&quot;parse-names&quot;:false,&quot;dropping-particle&quot;:&quot;&quot;,&quot;non-dropping-particle&quot;:&quot;&quot;},{&quot;family&quot;:&quot;Peguero&quot;,&quot;given&quot;:&quot;Guille&quot;,&quot;parse-names&quot;:false,&quot;dropping-particle&quot;:&quot;&quot;,&quot;non-dropping-particle&quot;:&quot;&quot;},{&quot;family&quot;:&quot;Gargallo-Garriga&quot;,&quot;given&quot;:&quot;Albert&quot;,&quot;parse-names&quot;:false,&quot;dropping-particle&quot;:&quot;&quot;,&quot;non-dropping-particle&quot;:&quot;&quot;},{&quot;family&quot;:&quot;Courtois&quot;,&quot;given&quot;:&quot;Elodie A.&quot;,&quot;parse-names&quot;:false,&quot;dropping-particle&quot;:&quot;&quot;,&quot;non-dropping-particle&quot;:&quot;&quot;},{&quot;family&quot;:&quot;Margalef&quot;,&quot;given&quot;:&quot;Olga&quot;,&quot;parse-names&quot;:false,&quot;dropping-particle&quot;:&quot;&quot;,&quot;non-dropping-particle&quot;:&quot;&quot;},{&quot;family&quot;:&quot;Portillo-Estrada&quot;,&quot;given&quot;:&quot;Miguel&quot;,&quot;parse-names&quot;:false,&quot;dropping-particle&quot;:&quot;&quot;,&quot;non-dropping-particle&quot;:&quot;&quot;},{&quot;family&quot;:&quot;Ciais&quot;,&quot;given&quot;:&quot;Philippe&quot;,&quot;parse-names&quot;:false,&quot;dropping-particle&quot;:&quot;&quot;,&quot;non-dropping-particle&quot;:&quot;&quot;},{&quot;family&quot;:&quot;Obersteiner&quot;,&quot;given&quot;:&quot;Michael&quot;,&quot;parse-names&quot;:false,&quot;dropping-particle&quot;:&quot;&quot;,&quot;non-dropping-particle&quot;:&quot;&quot;},{&quot;family&quot;:&quot;Fuchslueger&quot;,&quot;given&quot;:&quot;Lucia&quot;,&quot;parse-names&quot;:false,&quot;dropping-particle&quot;:&quot;&quot;,&quot;non-dropping-particle&quot;:&quot;&quot;},{&quot;family&quot;:&quot;Lugli&quot;,&quot;given&quot;:&quot;Laynara F.&quot;,&quot;parse-names&quot;:false,&quot;dropping-particle&quot;:&quot;&quot;,&quot;non-dropping-particle&quot;:&quot;&quot;},{&quot;family&quot;:&quot;Fernandez-Garberí&quot;,&quot;given&quot;:&quot;Pere Roc&quot;,&quot;parse-names&quot;:false,&quot;dropping-particle&quot;:&quot;&quot;,&quot;non-dropping-particle&quot;:&quot;&quot;},{&quot;family&quot;:&quot;Vallicrosa&quot;,&quot;given&quot;:&quot;Helena&quot;,&quot;parse-names&quot;:false,&quot;dropping-particle&quot;:&quot;&quot;,&quot;non-dropping-particle&quot;:&quot;&quot;},{&quot;family&quot;:&quot;Verlinden&quot;,&quot;given&quot;:&quot;Melanie&quot;,&quot;parse-names&quot;:false,&quot;dropping-particle&quot;:&quot;&quot;,&quot;non-dropping-particle&quot;:&quot;&quot;},{&quot;family&quot;:&quot;Ranits&quot;,&quot;given&quot;:&quot;Christian&quot;,&quot;parse-names&quot;:false,&quot;dropping-particle&quot;:&quot;&quot;,&quot;non-dropping-particle&quot;:&quot;&quot;},{&quot;family&quot;:&quot;Vermeir&quot;,&quot;given&quot;:&quot;Pieter&quot;,&quot;parse-names&quot;:false,&quot;dropping-particle&quot;:&quot;&quot;,&quot;non-dropping-particle&quot;:&quot;&quot;},{&quot;family&quot;:&quot;Coste&quot;,&quot;given&quot;:&quot;Sabrina&quot;,&quot;parse-names&quot;:false,&quot;dropping-particle&quot;:&quot;&quot;,&quot;non-dropping-particle&quot;:&quot;&quot;},{&quot;family&quot;:&quot;Verbruggen&quot;,&quot;given&quot;:&quot;Erik&quot;,&quot;parse-names&quot;:false,&quot;dropping-particle&quot;:&quot;&quot;,&quot;non-dropping-particle&quot;:&quot;&quot;},{&quot;family&quot;:&quot;Bréchet&quot;,&quot;given&quot;:&quot;Laëtitia&quot;,&quot;parse-names&quot;:false,&quot;dropping-particle&quot;:&quot;&quot;,&quot;non-dropping-particle&quot;:&quot;&quot;},{&quot;family&quot;:&quot;Sardans&quot;,&quot;given&quot;:&quot;Jordi&quot;,&quot;parse-names&quot;:false,&quot;dropping-particle&quot;:&quot;&quot;,&quot;non-dropping-particle&quot;:&quot;&quot;},{&quot;family&quot;:&quot;Chave&quot;,&quot;given&quot;:&quot;Jérôme&quot;,&quot;parse-names&quot;:false,&quot;dropping-particle&quot;:&quot;&quot;,&quot;non-dropping-particle&quot;:&quot;&quot;},{&quot;family&quot;:&quot;Peñuelas&quot;,&quot;given&quot;:&quot;Josep&quot;,&quot;parse-names&quot;:false,&quot;dropping-particle&quot;:&quot;&quot;,&quot;non-dropping-particle&quot;:&quot;&quot;},{&quot;family&quot;:&quot;Janssens&quot;,&quot;given&quot;:&quot;Ivan A.&quot;,&quot;parse-names&quot;:false,&quot;dropping-particle&quot;:&quot;&quot;,&quot;non-dropping-particle&quot;:&quot;&quot;}],&quot;container-title&quot;:&quot;Earth System Science Data&quot;,&quot;container-title-short&quot;:&quot;Earth Syst Sci Data&quot;,&quot;DOI&quot;:&quot;10.5194/essd-14-5-2022&quot;,&quot;ISSN&quot;:&quot;18663516&quot;,&quot;issued&quot;:{&quot;date-parts&quot;:[[2022]]},&quot;page&quot;:&quot;5-18&quot;,&quot;abstract&quot;:&quot;Terrestrial biosphere models typically use the biochemical model of Farquhar, von Caemmerer, and Berry (1980) to simulate photosynthesis, which requires accurate values of photosynthetic capacity of different biomes. However, data on tropical forests are sparse and highly variable due to the high species diversity, and it is still highly uncertain how these tropical forests respond to nutrient limitation in terms of C uptake. Tropical forests often grow on soils low in phosphorus (P) and are, in general, assumed to be P rather than nitrogen (N) limited. However, the relevance of P as a control of photosynthetic capacity is still debated. Here, we provide a comprehensive dataset of vertical profiles of photosynthetic capacity and important leaf traits, including leaf N and P concentrations, from two 3-year, large-scale nutrient addition experiments conducted in two tropical rainforests in French Guiana. These data present a unique source of information to further improve model representations of the roles of N, P, and other leaf nutrients in photosynthesis in tropical forests. To further facilitate the use of our data in syntheses and model studies, we provide an elaborate list of ancillary data, including important soil properties and nutrients, along with the leaf data. As environmental drivers are key to improve our understanding of carbon (C) and nutrient cycle interactions, this comprehensive dataset will aid to further enhance our understanding of how nutrient availability interacts with C uptake in tropical forests. The data are available at 10.5281/zenodo.5638236 (Verryckt, 2021).&quot;,&quot;issue&quot;:&quot;1&quot;,&quot;volume&quot;:&quot;14&quot;},&quot;isTemporary&quot;:false}]},{&quot;citationID&quot;:&quot;MENDELEY_CITATION_7e6e68fe-945b-415d-b237-3f97b93afff0&quot;,&quot;properties&quot;:{&quot;noteIndex&quot;:0},&quot;isEdited&quot;:false,&quot;manualOverride&quot;:{&quot;isManuallyOverridden&quot;:false,&quot;citeprocText&quot;:&quot;(Q. Wang et al., 2017)&quot;,&quot;manualOverrideText&quot;:&quot;&quot;},&quot;citationTag&quot;:&quot;MENDELEY_CITATION_v3_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&quot;,&quot;citationItems&quot;:[{&quot;id&quot;:&quot;5e759c37-0291-3daa-a0f2-8959e3d9812b&quot;,&quot;itemData&quot;:{&quot;type&quot;:&quot;article-journal&quot;,&quot;id&quot;:&quot;5e759c37-0291-3daa-a0f2-8959e3d9812b&quot;,&quot;title&quot;:&quot;N and P fertilization reduced soil autotrophic and heterotrophic respiration in a young Cunninghamia lanceolata forest&quot;,&quot;author&quot;:[{&quot;family&quot;:&quot;Wang&quot;,&quot;given&quot;:&quot;Qingkui&quot;,&quot;parse-names&quot;:false,&quot;dropping-particle&quot;:&quot;&quot;,&quot;non-dropping-particle&quot;:&quot;&quot;},{&quot;family&quot;:&quot;Zhang&quot;,&quot;given&quot;:&quot;Weidong&quot;,&quot;parse-names&quot;:false,&quot;dropping-particle&quot;:&quot;&quot;,&quot;non-dropping-particle&quot;:&quot;&quot;},{&quot;family&quot;:&quot;Sun&quot;,&quot;given&quot;:&quot;Tao&quot;,&quot;parse-names&quot;:false,&quot;dropping-particle&quot;:&quot;&quot;,&quot;non-dropping-particle&quot;:&quot;&quot;},{&quot;family&quot;:&quot;Chen&quot;,&quot;given&quot;:&quot;Longchi&quot;,&quot;parse-names&quot;:false,&quot;dropping-particle&quot;:&quot;&quot;,&quot;non-dropping-particle&quot;:&quot;&quot;},{&quot;family&quot;:&quot;Pang&quot;,&quot;given&quot;:&quot;Xueyong&quot;,&quot;parse-names&quot;:false,&quot;dropping-particle&quot;:&quot;&quot;,&quot;non-dropping-particle&quot;:&quot;&quot;},{&quot;family&quot;:&quot;Wang&quot;,&quot;given&quot;:&quot;Yanping&quot;,&quot;parse-names&quot;:false,&quot;dropping-particle&quot;:&quot;&quot;,&quot;non-dropping-particle&quot;:&quot;&quot;},{&quot;family&quot;:&quot;Xiao&quot;,&quot;given&quot;:&quot;Fuming&quot;,&quot;parse-names&quot;:false,&quot;dropping-particle&quot;:&quot;&quot;,&quot;non-dropping-particle&quot;:&quot;&quot;}],&quot;container-title&quot;:&quot;Agricultural and Forest Meteorology&quot;,&quot;container-title-short&quot;:&quot;Agric For Meteorol&quot;,&quot;DOI&quot;:&quot;10.1016/j.agrformet.2016.08.007&quot;,&quot;ISSN&quot;:&quot;01681923&quot;,&quot;URL&quot;:&quot;http://dx.doi.org/10.1016/j.agrformet.2016.08.007&quot;,&quot;issued&quot;:{&quot;date-parts&quot;:[[2017]]},&quot;page&quot;:&quot;66-73&quot;,&quot;abstract&quot;:&quot;Understanding the response of heterotrophic (Rh) and autotrophic (Ra) components of soil respiration (Rs) to fertilization is important to evaluate the effects of management practices on soil carbon cycling in plantation forest ecosystems. Therefore, we investigated Ra and Rh using a trenching method in a young Cunninghamia lanceolata plantation, subjected to N and P fertilization in subtropical China. Soil CO2 efflux was measured from December 2013 to November 2015. Mean annual Rs, Ra, and Rh rates decreased on average by 18.6%, 23.6%, and 17.1% after fertilization. The contribution of Rh to Rs ranged from 70.9% to 76.7%. This contribution was greater in P-fertilized plots, suggesting that fertilization changed the contribution of Rh and Ra to Rs. The reduced rate of Rh induced by fertilization contributed on average 66.9% to the decrease in Rs rate. This contribution for Rh was higher in NP-fertilized plots than in other plots Based on a bivariate model, 51.2%–69.3% and 53.6%–66.7% of the variations in Rs and Rh among different treatments were explained by soil temperature and moisture. However, temperature sensitivity of Rs and Rh were not affected by fertilization. Ra and Rh were positively related to fine root biomass. Rh was also positively related to soil organic C, dissolved organic C, and microbial biomass C, but negatively related to soil mineral N content. Our results highlight the importance of fertilization on soil CO2 efflux and its significance to the estimation of forest C sink potential.&quot;,&quot;publisher&quot;:&quot;Elsevier B.V.&quot;,&quot;volume&quot;:&quot;232&quot;},&quot;isTemporary&quot;:false}]},{&quot;citationID&quot;:&quot;MENDELEY_CITATION_216a26b5-32e7-4c2e-a52b-fbd702cc57be&quot;,&quot;properties&quot;:{&quot;noteIndex&quot;:0},&quot;isEdited&quot;:false,&quot;manualOverride&quot;:{&quot;isManuallyOverridden&quot;:false,&quot;citeprocText&quot;:&quot;(D. Wang et al., 2018)&quot;,&quot;manualOverrideText&quot;:&quot;&quot;},&quot;citationTag&quot;:&quot;MENDELEY_CITATION_v3_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&quot;,&quot;citationItems&quot;:[{&quot;id&quot;:&quot;d5f03477-f882-3399-b0ec-40952a5e8175&quot;,&quot;itemData&quot;:{&quot;type&quot;:&quot;article-journal&quot;,&quot;id&quot;:&quot;d5f03477-f882-3399-b0ec-40952a5e8175&quot;,&quot;title&quot;:&quot;Effects of 8-year nitrogen and phosphorus treatments on the ecophysiological traits of two key species on tibetan plateau&quot;,&quot;author&quot;:[{&quot;family&quot;:&quot;Wang&quot;,&quot;given&quot;:&quot;Dan&quot;,&quot;parse-names&quot;:false,&quot;dropping-particle&quot;:&quot;&quot;,&quot;non-dropping-particle&quot;:&quot;&quot;},{&quot;family&quot;:&quot;Ling&quot;,&quot;given&quot;:&quot;Tianqi&quot;,&quot;parse-names&quot;:false,&quot;dropping-particle&quot;:&quot;&quot;,&quot;non-dropping-particle&quot;:&quot;&quot;},{&quot;family&quot;:&quot;Wang&quot;,&quot;given&quot;:&quot;Pengpeng&quot;,&quot;parse-names&quot;:false,&quot;dropping-particle&quot;:&quot;&quot;,&quot;non-dropping-particle&quot;:&quot;&quot;},{&quot;family&quot;:&quot;Jing&quot;,&quot;given&quot;:&quot;Panpan&quot;,&quot;parse-names&quot;:false,&quot;dropping-particle&quot;:&quot;&quot;,&quot;non-dropping-particle&quot;:&quot;&quot;},{&quot;family&quot;:&quot;Fan&quot;,&quot;given&quot;:&quot;Jiazhi&quot;,&quot;parse-names&quot;:false,&quot;dropping-particle&quot;:&quot;&quot;,&quot;non-dropping-particle&quot;:&quot;&quot;},{&quot;family&quot;:&quot;Wang&quot;,&quot;given&quot;:&quot;Hao&quot;,&quot;parse-names&quot;:false,&quot;dropping-particle&quot;:&quot;&quot;,&quot;non-dropping-particle&quot;:&quot;&quot;},{&quot;family&quot;:&quot;Zhang&quot;,&quot;given&quot;:&quot;Yaoqi&quot;,&quot;parse-names&quot;:false,&quot;dropping-particle&quot;:&quot;&quot;,&quot;non-dropping-particle&quot;:&quot;&quot;}],&quot;container-title&quot;:&quot;Frontiers in Plant Science&quot;,&quot;container-title-short&quot;:&quot;Front Plant Sci&quot;,&quot;DOI&quot;:&quot;10.3389/fpls.2018.01290&quot;,&quot;ISSN&quot;:&quot;1664462X&quot;,&quot;issued&quot;:{&quot;date-parts&quot;:[[2018]]},&quot;page&quot;:&quot;1-12&quot;,&quot;abstract&quot;:&quot;Understanding how nitrogen (N) and/or phosphorus (P) addition affects plants carbon- and water- related ecophysiological characteristics is essential for predicting the global change impact on the alpine meadow ecosystem structure and function in carbon and water cycling. The Qinghai-Tibetan Plateau (QTP) with the largest alpine meadow in the world is regarded as the third pole in the earth and has been experiencing increased atmospheric N deposition. In this project, we focused on two key species (Elymus dahuricus and Gentiana straminea) of the alpine meadow on the Tibetan Plateau and investigated the variability of photosynthetic and stomatal responses to 8-year N and/or P treatments through field measurements and modeling. We measured photosynthesis- and gs-response curves to generate parameter estimates from individual leaves with two widely used stomatal models (the BWB model and MED model) for validation of growth and ecosystem models and to elucidate the physiological basis for observed differences in productivity and WUE. We assessed WUE by means of gas exchange measurements (WUEi) and stable carbon isotope composition (Δ13C) to get the intrinsic and integrated estimates of WUE of the two species. P and N+P treatments, but not N, improved the photosynthetic capacity (Anet and Vcmax) for both species. Stomatal functions including instaneous measurements of stomatal conductance, intrinsic water-use efficiency and stomatal slope parameters of the two widely used stomatal models were altered by the addition of P or N+P treatment, but the impact varied across years and species. The inconsistent responses across species suggest that an understanding of photosynthetic, stomatal functions and water-use should be evaluated on species separately. WUE estimated by Δ13C values had a positive relationship with Anet and gs and a negative relationship with WUEi. Our findings should be useful for understanding the underlying mechanisms of the response of alpine plants growth and alpine meadow ecosystem to global change.&quot;,&quot;issue&quot;:&quot;September&quot;,&quot;volume&quot;:&quot;9&quot;},&quot;isTemporary&quot;:false}]},{&quot;citationID&quot;:&quot;MENDELEY_CITATION_f0c625d6-807a-4bce-8771-ea242ce5bd7a&quot;,&quot;properties&quot;:{&quot;noteIndex&quot;:0},&quot;isEdited&quot;:false,&quot;manualOverride&quot;:{&quot;isManuallyOverridden&quot;:false,&quot;citeprocText&quot;:&quot;(F. C. Wang et al., 2019)&quot;,&quot;manualOverrideText&quot;:&quot;&quot;},&quot;citationTag&quot;:&quot;MENDELEY_CITATION_v3_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&quot;,&quot;citationItems&quot;:[{&quot;id&quot;:&quot;e727eda5-a0bb-3db3-bec3-511ce3ffbb80&quot;,&quot;itemData&quot;:{&quot;type&quot;:&quot;article-journal&quot;,&quot;id&quot;:&quot;e727eda5-a0bb-3db3-bec3-511ce3ffbb80&quot;,&quot;title&quot;:&quot;Effects of nutrient addition on foliar phosphorus fractions and their resorption in different-aged leaves of Chinese fir in subtropical China&quot;,&quot;author&quot;:[{&quot;family&quot;:&quot;Wang&quot;,&quot;given&quot;:&quot;Fang Chao&quot;,&quot;parse-names&quot;:false,&quot;dropping-particle&quot;:&quot;&quot;,&quot;non-dropping-particle&quot;:&quot;&quot;},{&quot;family&quot;:&quot;Fang&quot;,&quot;given&quot;:&quot;Xiang Min&quot;,&quot;parse-names&quot;:false,&quot;dropping-particle&quot;:&quot;&quot;,&quot;non-dropping-particle&quot;:&quot;&quot;},{&quot;family&quot;:&quot;Wang&quot;,&quot;given&quot;:&quot;G. Geoff&quot;,&quot;parse-names&quot;:false,&quot;dropping-particle&quot;:&quot;&quot;,&quot;non-dropping-particle&quot;:&quot;&quot;},{&quot;family&quot;:&quot;Mao&quot;,&quot;given&quot;:&quot;Rong&quot;,&quot;parse-names&quot;:false,&quot;dropping-particle&quot;:&quot;&quot;,&quot;non-dropping-particle&quot;:&quot;&quot;},{&quot;family&quot;:&quot;Lin&quot;,&quot;given&quot;:&quot;Xiao Fan&quot;,&quot;parse-names&quot;:false,&quot;dropping-particle&quot;:&quot;&quot;,&quot;non-dropping-particle&quot;:&quot;&quot;},{&quot;family&quot;:&quot;Wang&quot;,&quot;given&quot;:&quot;Huimin&quot;,&quot;parse-names&quot;:false,&quot;dropping-particle&quot;:&quot;&quot;,&quot;non-dropping-particle&quot;:&quot;&quot;},{&quot;family&quot;:&quot;Chen&quot;,&quot;given&quot;:&quot;Fu Sheng&quot;,&quot;parse-names&quot;:false,&quot;dropping-particle&quot;:&quot;&quot;,&quot;non-dropping-particle&quot;:&quot;&quot;}],&quot;container-title&quot;:&quot;Plant and Soil&quot;,&quot;container-title-short&quot;:&quot;Plant Soil&quot;,&quot;DOI&quot;:&quot;10.1007/s11104-019-04221-8&quot;,&quot;ISSN&quot;:&quot;15735036&quot;,&quot;issued&quot;:{&quot;date-parts&quot;:[[2019]]},&quot;page&quot;:&quot;41-54&quot;,&quot;abstract&quot;:&quot;Background and aims: Anthropogenic activities have increased nitrogen (N) and phosphorus (P) inputs to terrestrial ecosystems, which may significantly alter P cycle through accumulation and resorption. Methods: We measured the concentrations of four different P fractions (inorganic, nucleic, sugar, and residual P) in both live leaves and senescent leaves in N and P additions in an evergreen plantation forest of subtropical China. Results: Adding moderate N plus P increased total, inorganic, and sugar P concentrations, which sustained the leaf N/P balance and alleviated P limitation in Chinese fir (Cunninghamia lanceolata) plantation. Nitrogen and P (total, nucleic, and residue P) resorption proficiencies did but P (each of various fractions) resorption efficiency did not respond to nutrient addition. The concentrations and resorption efficiencies of most P fractions were lower in the old than young leaves, but their resorption proficiencies except for sugar P weren’t different. Conclusions: Internal P cycles of Chinese fir could be strongly altered through increasing accumulation of inorganic P and sugar P factions in respond to soil P enrichment when combined with suitable N addition. The easily degradable P (inorganic and sugar P) were preferentially resorbed regardless of nutrient addition. Leaf age was a key-factor influencing the resorption extent of P fractions in Chinese fir.&quot;,&quot;publisher&quot;:&quot;Plant and Soil&quot;,&quot;issue&quot;:&quot;1-2&quot;,&quot;volume&quot;:&quot;443&quot;},&quot;isTemporary&quot;:false}]},{&quot;citationID&quot;:&quot;MENDELEY_CITATION_e02156d8-06fc-4178-a1ab-fdf9976c7eb1&quot;,&quot;properties&quot;:{&quot;noteIndex&quot;:0},&quot;isEdited&quot;:false,&quot;manualOverride&quot;:{&quot;isManuallyOverridden&quot;:false,&quot;citeprocText&quot;:&quot;(Warren &amp;#38; Adams, 2002)&quot;,&quot;manualOverrideText&quot;:&quot;&quot;},&quot;citationTag&quot;:&quot;MENDELEY_CITATION_v3_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&quot;,&quot;citationItems&quot;:[{&quot;id&quot;:&quot;3727101d-413e-33fa-bd5e-165bda17cac0&quot;,&quot;itemData&quot;:{&quot;type&quot;:&quot;article-journal&quot;,&quot;id&quot;:&quot;3727101d-413e-33fa-bd5e-165bda17cac0&quot;,&quot;title&quot;:&quot;Phosphorus affects growth and partitioning of nitrogen to Rubisco in Pinus pinaster&quot;,&quot;author&quot;:[{&quot;family&quot;:&quot;Warren&quot;,&quot;given&quot;:&quot;Charles R.&quot;,&quot;parse-names&quot;:false,&quot;dropping-particle&quot;:&quot;&quot;,&quot;non-dropping-particle&quot;:&quot;&quot;},{&quot;family&quot;:&quot;Adams&quot;,&quot;given&quot;:&quot;Mark A.&quot;,&quot;parse-names&quot;:false,&quot;dropping-particle&quot;:&quot;&quot;,&quot;non-dropping-particle&quot;:&quot;&quot;}],&quot;container-title&quot;:&quot;Tree Physiology&quot;,&quot;container-title-short&quot;:&quot;Tree Physiol&quot;,&quot;DOI&quot;:&quot;10.1093/treephys/22.1.11&quot;,&quot;ISSN&quot;:&quot;0829318X&quot;,&quot;PMID&quot;:&quot;11772551&quot;,&quot;issued&quot;:{&quot;date-parts&quot;:[[2002]]},&quot;page&quot;:&quot;11-19&quot;,&quot;abstract&quot;:&quot;We tested the hypothesis that photosynthetic and growth responses to phosphorus (P) are functions of differences in the partitioning of nitrogen (N) among different compounds, particularly ribulose-1,5-bisphosphate carboxylase/oxygenase (Rubisco). We tested this hypothesis in: (a) a greenhouse experiment with mycorrhizal seedlings of Pinus pinaster Ait. grown in sand culture for 4 months with six factorial combinations of N (0.125 and 2.0 mM) and P (0.02, 0.08 and 0.34 mM); and (b) a field study in which P was applied at five rates (up to 175 kg ha-1) to 2-year-old P. pinaster growing on P-deficient siliceous sand. After 4 months of nutrient addition or 2 years after fertilizer application, we measured light-saturated rates of photosynthesis, growth, and N and P allocation in needles. Growth of P. pinaster increased significantly with increasing concentrations of P, as did the concentration of P in needles. Concentrations of P and Rubisco were positively related, whereas those of N and Rubisco were unrelated. At low-P supply, the Rubisco/Chl ratio varied between 8.5 and 12 mmol mol-1. With P supply in excess of requirement (needle N:P ratio = 2-12) the Rubisco/Chl ratio increased to between 24 and 26 mmol mol-1. Rates of light-saturated photosynthesis were unaffected by P supply because adequate concentrations of P were maintained in plants in all treatments. Orthophosphate accumulated in needles of plants receiving a high P supply, which may allow growth to continue for periods under P deficiency, provided that other nutrients also accumulate. In the case of N, Rubisco may fill this role.&quot;,&quot;issue&quot;:&quot;1&quot;,&quot;volume&quot;:&quot;22&quot;},&quot;isTemporary&quot;:false}]},{&quot;citationID&quot;:&quot;MENDELEY_CITATION_61e9e9b4-21d9-40f1-bb10-11d1f08a9018&quot;,&quot;properties&quot;:{&quot;noteIndex&quot;:0},&quot;isEdited&quot;:false,&quot;manualOverride&quot;:{&quot;isManuallyOverridden&quot;:false,&quot;citeprocText&quot;:&quot;(Wigand et al., 2004)&quot;,&quot;manualOverrideText&quot;:&quot;&quot;},&quot;citationTag&quot;:&quot;MENDELEY_CITATION_v3_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&quot;,&quot;citationItems&quot;:[{&quot;id&quot;:&quot;ea112bed-439c-3d7a-ac8a-0eb25f9a4024&quot;,&quot;itemData&quot;:{&quot;type&quot;:&quot;article-journal&quot;,&quot;id&quot;:&quot;ea112bed-439c-3d7a-ac8a-0eb25f9a4024&quot;,&quot;title&quot;:&quot;Response of Spartina patens to dissolved inorganic nutrient additions in the field&quot;,&quot;author&quot;:[{&quot;family&quot;:&quot;Wigand&quot;,&quot;given&quot;:&quot;Cathleen&quot;,&quot;parse-names&quot;:false,&quot;dropping-particle&quot;:&quot;&quot;,&quot;non-dropping-particle&quot;:&quot;&quot;},{&quot;family&quot;:&quot;Thursby&quot;,&quot;given&quot;:&quot;Glen B&quot;,&quot;parse-names&quot;:false,&quot;dropping-particle&quot;:&quot;&quot;,&quot;non-dropping-particle&quot;:&quot;&quot;},{&quot;family&quot;:&quot;McKinney&quot;,&quot;given&quot;:&quot;Richard A&quot;,&quot;parse-names&quot;:false,&quot;dropping-particle&quot;:&quot;&quot;,&quot;non-dropping-particle&quot;:&quot;&quot;},{&quot;family&quot;:&quot;Santos&quot;,&quot;given&quot;:&quot;Antelmo F&quot;,&quot;parse-names&quot;:false,&quot;dropping-particle&quot;:&quot;&quot;,&quot;non-dropping-particle&quot;:&quot;&quot;}],&quot;container-title&quot;:&quot;Journal of Coastal Research&quot;,&quot;container-title-short&quot;:&quot;J Coast Res&quot;,&quot;DOI&quot;:&quot;10.2112/si45-134.1&quot;,&quot;ISSN&quot;:&quot;07490208&quot;,&quot;issued&quot;:{&quot;date-parts&quot;:[[2004]]},&quot;page&quot;:&quot;134-149&quot;,&quot;abstract&quot;:&quot;Salt marshes provide a buffer between the terrestrial landscape and estuaries and may be important in preventing the movement of land-derived nutrients into coastal waters. We examined the response of S. patens in the field to additions of dissolved inorganic nitrogen (N) and phosphorus (P) and found significant (p &lt; 0.05) positive N effects on aboveground biomass, leaf chlorophyll, tissue nutrient concentrations, and induction of fluorescence kinetics of chlorophyll a. Mean endomycorrhizal colonization among treatments was 22%, and fungal colonization ranged from 2% to 61% in the plots. We found no significant effect of N or P on endomycorrhizal colonization, but there was a significant inverse relationship (r = -0.66, p = 0.005) between the belowground biomass and fungal colonization. This study showed that S. patens could sequester 44-100% of the added N and 82-100% of the added P in its leaves, roots, and rhizomes. However, it is unclear how long-term nutrient overenrichment and the resulting changes in the S. patens-microbe-sediment system might alter the marsh buffering capacity.&quot;,&quot;issue&quot;:&quot;SPEC. ISS. 45&quot;,&quot;volume&quot;:&quot;20&quot;},&quot;isTemporary&quot;:false}]},{&quot;citationID&quot;:&quot;MENDELEY_CITATION_058bdb42-f2e4-4dd5-a10d-bca6d7c4c225&quot;,&quot;properties&quot;:{&quot;noteIndex&quot;:0},&quot;isEdited&quot;:false,&quot;manualOverride&quot;:{&quot;isManuallyOverridden&quot;:false,&quot;citeprocText&quot;:&quot;(Wright et al., 2011)&quot;,&quot;manualOverrideText&quot;:&quot;&quot;},&quot;citationTag&quot;:&quot;MENDELEY_CITATION_v3_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&quot;,&quot;citationItems&quot;:[{&quot;id&quot;:&quot;72788bcc-353c-30b4-a6f1-3714d94285fa&quot;,&quot;itemData&quot;:{&quot;type&quot;:&quot;article-journal&quot;,&quot;id&quot;:&quot;72788bcc-353c-30b4-a6f1-3714d94285fa&quot;,&quot;title&quot;:&quot;Potassium, phosphorus, or nitrogen limit root allocation, tree growth, or litter production in a lowland tropical forest&quot;,&quot;author&quot;:[{&quot;family&quot;:&quot;Wright&quot;,&quot;given&quot;:&quot;S Joseph&quot;,&quot;parse-names&quot;:false,&quot;dropping-particle&quot;:&quot;&quot;,&quot;non-dropping-particle&quot;:&quot;&quot;},{&quot;family&quot;:&quot;Yavitt&quot;,&quot;given&quot;:&quot;Joseph B&quot;,&quot;parse-names&quot;:false,&quot;dropping-particle&quot;:&quot;&quot;,&quot;non-dropping-particle&quot;:&quot;&quot;},{&quot;family&quot;:&quot;Wurzburger&quot;,&quot;given&quot;:&quot;Nina&quot;,&quot;parse-names&quot;:false,&quot;dropping-particle&quot;:&quot;&quot;,&quot;non-dropping-particle&quot;:&quot;&quot;},{&quot;family&quot;:&quot;Turner&quot;,&quot;given&quot;:&quot;Benjamin L&quot;,&quot;parse-names&quot;:false,&quot;dropping-particle&quot;:&quot;&quot;,&quot;non-dropping-particle&quot;:&quot;&quot;},{&quot;family&quot;:&quot;Tanner&quot;,&quot;given&quot;:&quot;Edmund V J&quot;,&quot;parse-names&quot;:false,&quot;dropping-particle&quot;:&quot;&quot;,&quot;non-dropping-particle&quot;:&quot;&quot;},{&quot;family&quot;:&quot;Sayer&quot;,&quot;given&quot;:&quot;Emma J&quot;,&quot;parse-names&quot;:false,&quot;dropping-particle&quot;:&quot;&quot;,&quot;non-dropping-particle&quot;:&quot;&quot;},{&quot;family&quot;:&quot;Santiago&quot;,&quot;given&quot;:&quot;Louis S&quot;,&quot;parse-names&quot;:false,&quot;dropping-particle&quot;:&quot;&quot;,&quot;non-dropping-particle&quot;:&quot;&quot;},{&quot;family&quot;:&quot;Kaspari&quot;,&quot;given&quot;:&quot;Michael&quot;,&quot;parse-names&quot;:false,&quot;dropping-particle&quot;:&quot;&quot;,&quot;non-dropping-particle&quot;:&quot;&quot;},{&quot;family&quot;:&quot;Hedin&quot;,&quot;given&quot;:&quot;Lars O&quot;,&quot;parse-names&quot;:false,&quot;dropping-particle&quot;:&quot;&quot;,&quot;non-dropping-particle&quot;:&quot;&quot;},{&quot;family&quot;:&quot;Harms&quot;,&quot;given&quot;:&quot;Kyle E&quot;,&quot;parse-names&quot;:false,&quot;dropping-particle&quot;:&quot;&quot;,&quot;non-dropping-particle&quot;:&quot;&quot;},{&quot;family&quot;:&quot;Garcia&quot;,&quot;given&quot;:&quot;Milton N&quot;,&quot;parse-names&quot;:false,&quot;dropping-particle&quot;:&quot;&quot;,&quot;non-dropping-particle&quot;:&quot;&quot;},{&quot;family&quot;:&quot;Corre&quot;,&quot;given&quot;:&quot;Marife D&quot;,&quot;parse-names&quot;:false,&quot;dropping-particle&quot;:&quot;&quot;,&quot;non-dropping-particle&quot;:&quot;&quot;}],&quot;container-title&quot;:&quot;Ecology&quot;,&quot;container-title-short&quot;:&quot;Ecology&quot;,&quot;DOI&quot;:&quot;10.1890/10-1558.1&quot;,&quot;ISSN&quot;:&quot;00129658&quot;,&quot;PMID&quot;:&quot;21905428&quot;,&quot;issued&quot;:{&quot;date-parts&quot;:[[2011]]},&quot;page&quot;:&quot;1616-1625&quot;,&quot;abstract&quot;:&quot;We maintained a factorial nitrogen (N), phosphorus (P), and potassium (K) addition experiment for 11 years in a humid lowland forest growing on a relatively fertile soil in Panama to evaluate potential nutrient limitation of tree growth rates, fine-litter production, and fine-root biomass. We replicated the eight factorial treatments four times using 32 plots of 40×40 m each. The addition of K was associated with significant decreases in stand-level fineroot biomass and, in a companion study of seedlings, decreases in allocation to roots and increases in height growth rates. The addition of K and N together was associated with significant increases in growth rates of saplings and poles (1-10 cm in diameter at breast height) and a further marginally significant decrease in stand-level fine-root biomass. The addition of P was associated with a marginally significant (P = 0.058) increase in fine-litter production that was consistent across all litter fractions. Our experiment provides evidence that N, P, and K all limit forest plants growing on a relatively fertile soil in the lowland tropics, with the strongest evidence for limitation by K among seedlings, saplings, and poles. © 2011 by the Ecological Society of America.&quot;,&quot;issue&quot;:&quot;8&quot;,&quot;volume&quot;:&quot;92&quot;},&quot;isTemporary&quot;:false}]},{&quot;citationID&quot;:&quot;MENDELEY_CITATION_92e04713-b153-4900-afb2-5595b903b7a9&quot;,&quot;properties&quot;:{&quot;noteIndex&quot;:0},&quot;isEdited&quot;:false,&quot;manualOverride&quot;:{&quot;isManuallyOverridden&quot;:false,&quot;citeprocText&quot;:&quot;(Yang et al., 2014)&quot;,&quot;manualOverrideText&quot;:&quot;&quot;},&quot;citationTag&quot;:&quot;MENDELEY_CITATION_v3_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&quot;,&quot;citationItems&quot;:[{&quot;id&quot;:&quot;12fccfce-6b77-3e06-8107-6fdab33dc444&quot;,&quot;itemData&quot;:{&quot;type&quot;:&quot;article-journal&quot;,&quot;id&quot;:&quot;12fccfce-6b77-3e06-8107-6fdab33dc444&quot;,&quot;title&quot;:&quot;Responses of plant community biomass to nitrogen and phosphorus additions in an alpine meadow on the Qinghai-Xizang Plateau&quot;,&quot;author&quot;:[{&quot;family&quot;:&quot;Yang&quot;,&quot;given&quot;:&quot;Xiaoxia&quot;,&quot;parse-names&quot;:false,&quot;dropping-particle&quot;:&quot;&quot;,&quot;non-dropping-particle&quot;:&quot;&quot;},{&quot;family&quot;:&quot;Ren&quot;,&quot;given&quot;:&quot;Fei&quot;,&quot;parse-names&quot;:false,&quot;dropping-particle&quot;:&quot;&quot;,&quot;non-dropping-particle&quot;:&quot;&quot;},{&quot;family&quot;:&quot;Zhou&quot;,&quot;given&quot;:&quot;Huakun&quot;,&quot;parse-names&quot;:false,&quot;dropping-particle&quot;:&quot;&quot;,&quot;non-dropping-particle&quot;:&quot;&quot;},{&quot;family&quot;:&quot;He&quot;,&quot;given&quot;:&quot;Jin Sheng&quot;,&quot;parse-names&quot;:false,&quot;dropping-particle&quot;:&quot;&quot;,&quot;non-dropping-particle&quot;:&quot;&quot;}],&quot;container-title&quot;:&quot;Chinese Journal of Plant Ecology&quot;,&quot;DOI&quot;:&quot;10.3724/sp.j.1258.2014.00014&quot;,&quot;ISSN&quot;:&quot;1005-264X&quot;,&quot;issued&quot;:{&quot;date-parts&quot;:[[2014]]},&quot;page&quot;:&quot;159-166&quot;,&quot;abstract&quot;:&quot;Aims Rising soil temperature under the warming process stimulates microbial activity in soils on the Qinghai- Xizang Plateau. Moreover, the eastern edge of Qinghai-Xizang Plateau has been experiencing distinct atmospheric nitrogen deposition with an increasing trend. All of these have led to an increase in the available nutrients in soils. This study was aimed to determine the responses of carbon fixation in the alpine meadow to nitrogen and phosphorus additions on the Qinghai-Xizang Plateau. Methods The study was conducted in an alpine meadow ecosystem at the Haibei National Field Research Station of Alpine Grassland Ecosystem, Northwest Institute of Plateau Biology, Chinese Academy of Sciences. Four treatments were set up in 2009, including control, nitrogen addition only (N), phosphorus addition only (P), and combined nitrogen and phosphorus additions (NP). Nutrients were added in June or July each year. The aboveground biomass of functional groups and the above- and belowground biomass of plant communities were measured by harvesting in 2012. Important findings (1) N and P additions increased the aboveground biomass of grass, and the proportion of grass biomass in the community, but decreased the proportion of forb biomass in the community. Only P addition decreased the aboveground biomass of sedge, and the proportion of sedge biomass in the community. (2) N and P additions increased the aboveground biomass by 24% and 52%, respectively, compared with the control. (3) N addition had no effect on the belowground biomass, whereas P addition slightly increased the belowground biomass. (4) N addition had no effect on the total biomass, whereas P addition significantly increased the total biomass. Therefore, N and P additions could relieve the nutrient limitation and stimulate plant growth.&quot;,&quot;issue&quot;:&quot;2&quot;,&quot;volume&quot;:&quot;38&quot;,&quot;container-title-short&quot;:&quot;&quot;},&quot;isTemporary&quot;:false}]},{&quot;citationID&quot;:&quot;MENDELEY_CITATION_e9edfc1e-2662-49fe-b68b-bef2a6d94a17&quot;,&quot;properties&quot;:{&quot;noteIndex&quot;:0},&quot;isEdited&quot;:false,&quot;manualOverride&quot;:{&quot;isManuallyOverridden&quot;:false,&quot;citeprocText&quot;:&quot;(Ye et al., 2022)&quot;,&quot;manualOverrideText&quot;:&quot;&quot;},&quot;citationTag&quot;:&quot;MENDELEY_CITATION_v3_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&quot;,&quot;citationItems&quot;:[{&quot;id&quot;:&quot;b164c90c-8476-391b-91b9-fd26ac98e9a3&quot;,&quot;itemData&quot;:{&quot;type&quot;:&quot;article-journal&quot;,&quot;id&quot;:&quot;b164c90c-8476-391b-91b9-fd26ac98e9a3&quot;,&quot;title&quot;:&quot;Experimental Approach Alters N and P Addition Effects on Leaf Traits and Growth Rate of Subtropical Schima superba (Reinw. ex Blume) Seedlings&quot;,&quot;author&quot;:[{&quot;family&quot;:&quot;Ye&quot;,&quot;given&quot;:&quot;Xuemin&quot;,&quot;parse-names&quot;:false,&quot;dropping-particle&quot;:&quot;&quot;,&quot;non-dropping-particle&quot;:&quot;&quot;},{&quot;family&quot;:&quot;Wang&quot;,&quot;given&quot;:&quot;Fangchao&quot;,&quot;parse-names&quot;:false,&quot;dropping-particle&quot;:&quot;&quot;,&quot;non-dropping-particle&quot;:&quot;&quot;},{&quot;family&quot;:&quot;Hu&quot;,&quot;given&quot;:&quot;Xiaofei&quot;,&quot;parse-names&quot;:false,&quot;dropping-particle&quot;:&quot;&quot;,&quot;non-dropping-particle&quot;:&quot;&quot;},{&quot;family&quot;:&quot;Lin&quot;,&quot;given&quot;:&quot;Yong&quot;,&quot;parse-names&quot;:false,&quot;dropping-particle&quot;:&quot;&quot;,&quot;non-dropping-particle&quot;:&quot;&quot;},{&quot;family&quot;:&quot;Sun&quot;,&quot;given&quot;:&quot;Rongxi&quot;,&quot;parse-names&quot;:false,&quot;dropping-particle&quot;:&quot;&quot;,&quot;non-dropping-particle&quot;:&quot;&quot;},{&quot;family&quot;:&quot;Liang&quot;,&quot;given&quot;:&quot;Xingyun&quot;,&quot;parse-names&quot;:false,&quot;dropping-particle&quot;:&quot;&quot;,&quot;non-dropping-particle&quot;:&quot;&quot;},{&quot;family&quot;:&quot;Chen&quot;,&quot;given&quot;:&quot;Fusheng&quot;,&quot;parse-names&quot;:false,&quot;dropping-particle&quot;:&quot;&quot;,&quot;non-dropping-particle&quot;:&quot;&quot;}],&quot;container-title&quot;:&quot;Forests&quot;,&quot;container-title-short&quot;:&quot;Forests&quot;,&quot;DOI&quot;:&quot;10.3390/f13020141&quot;,&quot;ISBN&quot;:&quot;8607918381324&quot;,&quot;issued&quot;:{&quot;date-parts&quot;:[[2022]]},&quot;page&quot;:&quot;141&quot;,&quot;abstract&quot;:&quot;Nitrogen (N) and/or phosphorus (P) addition has controversial effects on tree functional traits and growth; however, this experimental approach may clarify these controversial results. In this study, field and pot experiments were designed with +N (100 kg N ha−1 yr−1), +P (50 kg P ha−1 yr−1), +NP (100 kg N plus 50 kg P ha−1 yr−1), and a control (no N or P addition) to comparatively investigate the effects of N and P addition on 24 leaf traits and the growth rate of Schima superba (Reinw. ex Blume ) seedlings in subtropical China. We found that the experimental approach alters N and P addition effects on leaf traits and tree growth. Nitrogen addition strongly altered leaf biochemical and physiological traits and limited tree growth compared to P addition in the pot experiment, while the effects of N and P addition on leaf traits and tree growth were weaker in the field, since the seedlings might be mainly limited by light availability rather than nutrient supplies. The inference from the pot experiment might amplify the impact of N deposition on forest plants in complicated natural systems. These findings will help guide refining pot fertilization experiments to simulate trees in the field under environmental change. Future directions should consider reducing the confounding effects of biotic and abiotic factors on fertilization in the field, and refinement of the control seedlings’ genetic diversity, mycorrhizal symbiont, and root competition for long-term fertilization experiments are required.&quot;,&quot;issue&quot;:&quot;2&quot;,&quot;volume&quot;:&quot;13&quot;},&quot;isTemporary&quot;:false}]},{&quot;citationID&quot;:&quot;MENDELEY_CITATION_d90b0aa2-9a11-488d-b716-a40c90801db8&quot;,&quot;properties&quot;:{&quot;noteIndex&quot;:0},&quot;isEdited&quot;:false,&quot;manualOverride&quot;:{&quot;isManuallyOverridden&quot;:false,&quot;citeprocText&quot;:&quot;(Ye et al., 2023)&quot;,&quot;manualOverrideText&quot;:&quot;&quot;},&quot;citationTag&quot;:&quot;MENDELEY_CITATION_v3_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&quot;,&quot;citationItems&quot;:[{&quot;id&quot;:&quot;ca0bfe36-3a08-3509-a004-30f2d3b5a2a9&quot;,&quot;itemData&quot;:{&quot;type&quot;:&quot;article-journal&quot;,&quot;id&quot;:&quot;ca0bfe36-3a08-3509-a004-30f2d3b5a2a9&quot;,&quot;title&quot;:&quot;Species divergence in seedling leaf traits and tree growth response to nitrogen and phosphorus additions in an evergreen broadleaved forest of subtropical China&quot;,&quot;author&quot;:[{&quot;family&quot;:&quot;Ye&quot;,&quot;given&quot;:&quot;Xuemin&quot;,&quot;parse-names&quot;:false,&quot;dropping-particle&quot;:&quot;&quot;,&quot;non-dropping-particle&quot;:&quot;&quot;},{&quot;family&quot;:&quot;Bu&quot;,&quot;given&quot;:&quot;Wensheng&quot;,&quot;parse-names&quot;:false,&quot;dropping-particle&quot;:&quot;&quot;,&quot;non-dropping-particle&quot;:&quot;&quot;},{&quot;family&quot;:&quot;Hu&quot;,&quot;given&quot;:&quot;Xiaofei&quot;,&quot;parse-names&quot;:false,&quot;dropping-particle&quot;:&quot;&quot;,&quot;non-dropping-particle&quot;:&quot;&quot;},{&quot;family&quot;:&quot;Liu&quot;,&quot;given&quot;:&quot;Bin&quot;,&quot;parse-names&quot;:false,&quot;dropping-particle&quot;:&quot;&quot;,&quot;non-dropping-particle&quot;:&quot;&quot;},{&quot;family&quot;:&quot;Liang&quot;,&quot;given&quot;:&quot;Kuan&quot;,&quot;parse-names&quot;:false,&quot;dropping-particle&quot;:&quot;&quot;,&quot;non-dropping-particle&quot;:&quot;&quot;},{&quot;family&quot;:&quot;Chen&quot;,&quot;given&quot;:&quot;Fusheng&quot;,&quot;parse-names&quot;:false,&quot;dropping-particle&quot;:&quot;&quot;,&quot;non-dropping-particle&quot;:&quot;&quot;}],&quot;container-title&quot;:&quot;Journal of Forestry Research&quot;,&quot;container-title-short&quot;:&quot;J For Res (Harbin)&quot;,&quot;DOI&quot;:&quot;10.1007/s11676-021-01437-2&quot;,&quot;ISBN&quot;:&quot;0123456789&quot;,&quot;ISSN&quot;:&quot;19930607&quot;,&quot;URL&quot;:&quot;https://doi.org/10.1007/s11676-021-01437-2&quot;,&quot;issued&quot;:{&quot;date-parts&quot;:[[2023]]},&quot;page&quot;:&quot;137-150&quot;,&quot;abstract&quot;:&quot;Tree competitiveness generally depends on trait plasticity in response to environmental change. The effects of nitrogen (N) and phosphorus (P) on leaf trait variability by species is poorly understood, especially in China’s subtropical forests. This study examined the seedling leaf traits and net primary productivity of all trees ˃5 cm DBH of two dominant species, Schima superba and Castanopsis carlesii, in an evergreen broadleaved forest fertilized with nitrogen (+ N), phosphorus (+ P), and nitrogen plus phosphorus (N + P). The effect of N on seedling leaf traits was stronger than P, while fertilization in general was species dependent. Leaf mass per unit area decreased with N for S. superba seedlings but not for C. carlesii. Leaf N, P, and N/P ratios changed with N addition for both species. All four N fractions of carboxylation, bioenergetics, cell wall, and other N metabolites in C. carlesii leaves responded significantly to fertilization, while only the cell wall in S. superba leaves responded. Other leaf functional traits, including light-saturated photosynthetic rates, water, N, and P use efficiencies, chlorophyll and nonstructural carbohydrate contents increased with N addition in S. superba and by P addition in C. carlesii. Canopy closure at the stand-level increased due to N. Litter biomass and relative growth rate of S. superba was not affected by any treatments, while both for C. carlesii significantly decreased with N + P addition. Collectively, nutrient limitation may vary at a small scale among species in a subtropical forest based on their responses of seedling traits and net primary productivity to fertilization. Seedling traits are not correlated with the net primary productivity of larger trees except for N fractions, because low light conditions induced by fertilization reduces the proportion of N allocated to photosynthesis in seedlings. In addition, acclimation differences of tree species may increase the uncertainty of community succession.&quot;,&quot;publisher&quot;:&quot;Springer Singapore&quot;,&quot;issue&quot;:&quot;1&quot;,&quot;volume&quot;:&quot;34&quot;},&quot;isTemporary&quot;:false}]},{&quot;citationID&quot;:&quot;MENDELEY_CITATION_d758c5a4-e966-4bde-a5a7-9ba4bc912573&quot;,&quot;properties&quot;:{&quot;noteIndex&quot;:0},&quot;isEdited&quot;:false,&quot;manualOverride&quot;:{&quot;isManuallyOverridden&quot;:false,&quot;citeprocText&quot;:&quot;(Z. Y. Yu et al., 2009)&quot;,&quot;manualOverrideText&quot;:&quot;&quot;},&quot;citationTag&quot;:&quot;MENDELEY_CITATION_v3_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&quot;,&quot;citationItems&quot;:[{&quot;id&quot;:&quot;0192fd0f-f16d-3b3e-a2ad-3e248f737f77&quot;,&quot;itemData&quot;:{&quot;type&quot;:&quot;article-journal&quot;,&quot;id&quot;:&quot;0192fd0f-f16d-3b3e-a2ad-3e248f737f77&quot;,&quot;title&quot;:&quot;Responses of biomass to the addition of water, nitrogen and phosphorus in Keerqin sandy grassland, Inner Mongolia, China&quot;,&quot;author&quot;:[{&quot;family&quot;:&quot;Yu&quot;,&quot;given&quot;:&quot;Zhan Yuan&quot;,&quot;parse-names&quot;:false,&quot;dropping-particle&quot;:&quot;&quot;,&quot;non-dropping-particle&quot;:&quot;&quot;},{&quot;family&quot;:&quot;Zeng&quot;,&quot;given&quot;:&quot;De Hui&quot;,&quot;parse-names&quot;:false,&quot;dropping-particle&quot;:&quot;&quot;,&quot;non-dropping-particle&quot;:&quot;&quot;},{&quot;family&quot;:&quot;Jiang&quot;,&quot;given&quot;:&quot;Feng Qi&quot;,&quot;parse-names&quot;:false,&quot;dropping-particle&quot;:&quot;&quot;,&quot;non-dropping-particle&quot;:&quot;&quot;},{&quot;family&quot;:&quot;Zhao&quot;,&quot;given&quot;:&quot;Qiong&quot;,&quot;parse-names&quot;:false,&quot;dropping-particle&quot;:&quot;&quot;,&quot;non-dropping-particle&quot;:&quot;&quot;}],&quot;container-title&quot;:&quot;Journal of Forestry Research&quot;,&quot;container-title-short&quot;:&quot;J For Res (Harbin)&quot;,&quot;DOI&quot;:&quot;10.1007/s11676-009-0004-4&quot;,&quot;ISBN&quot;:&quot;1167600900044&quot;,&quot;ISSN&quot;:&quot;19930607&quot;,&quot;issued&quot;:{&quot;date-parts&quot;:[[2009]]},&quot;page&quot;:&quot;23-26&quot;,&quot;abstract&quot;:&quot;The effects of water, nitrogen and phosphorus on productivity of sandy grassland were investigated with a fully factorial experiment to find out the main factors limiting natural restoration of grassland productivity in the southeastern Keerqin sandy land. In total, eight treatments were designed as water addition (W), nitrogen fertilizer addition (N), phosphorus fertilizer addition (P), water + nitrogen fertilizer addition (WN), water + phosphorus fertilizer addition (WP), nitrogen fertilizer + phosphorus fertilizer addition (NP), water + nitrogen fertilizer + phosphorus fertilizer addition (WNP) and control (CK). Each treatment was replicated six times and randomly assigned to 48 plots (4 m × 4 m) that were separated by a 2-m buffer. Results show that restoration of productivity is only limited by nitrogen factor for sandy grassland of Keerqin sandy land and not limited by water and phosphorus. Relative to CK plots, the biomass and the aboveground net primary productivity (ANPP) of all the plots added with nitrogen fertilizer were significantly enhanced (P &lt; 0.05) in 2005 growing season. Grass root mass is dominant in underground biomass. The present study possibly underestimates net primary productivity of grassland in northern China, due to limitation of underground biomass measurements. © 2009 Northeast Forestry University and Springer-Verlag GmbH.&quot;,&quot;issue&quot;:&quot;1&quot;,&quot;volume&quot;:&quot;20&quot;},&quot;isTemporary&quot;:false}]},{&quot;citationID&quot;:&quot;MENDELEY_CITATION_6ef4a46b-cafe-49a1-a001-10d3cc6e3d44&quot;,&quot;properties&quot;:{&quot;noteIndex&quot;:0},&quot;isEdited&quot;:false,&quot;manualOverride&quot;:{&quot;isManuallyOverridden&quot;:false,&quot;citeprocText&quot;:&quot;(L. Yu et al., 2015)&quot;,&quot;manualOverrideText&quot;:&quot;&quot;},&quot;citationTag&quot;:&quot;MENDELEY_CITATION_v3_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&quot;,&quot;citationItems&quot;:[{&quot;id&quot;:&quot;56edce76-4eee-380a-9d55-e3ad2d67ec50&quot;,&quot;itemData&quot;:{&quot;type&quot;:&quot;article-journal&quot;,&quot;id&quot;:&quot;56edce76-4eee-380a-9d55-e3ad2d67ec50&quot;,&quot;title&quot;:&quot;Responses of plant diversity and primary productivity to nutrient addition in a Stipa baicalensis grassland, China&quot;,&quot;author&quot;:[{&quot;family&quot;:&quot;Yu&quot;,&quot;given&quot;:&quot;Li&quot;,&quot;parse-names&quot;:false,&quot;dropping-particle&quot;:&quot;&quot;,&quot;non-dropping-particle&quot;:&quot;&quot;},{&quot;family&quot;:&quot;Song&quot;,&quot;given&quot;:&quot;Xiao Long&quot;,&quot;parse-names&quot;:false,&quot;dropping-particle&quot;:&quot;&quot;,&quot;non-dropping-particle&quot;:&quot;&quot;},{&quot;family&quot;:&quot;Zhao&quot;,&quot;given&quot;:&quot;Jian Ning&quot;,&quot;parse-names&quot;:false,&quot;dropping-particle&quot;:&quot;&quot;,&quot;non-dropping-particle&quot;:&quot;&quot;},{&quot;family&quot;:&quot;Wang&quot;,&quot;given&quot;:&quot;Hui&quot;,&quot;parse-names&quot;:false,&quot;dropping-particle&quot;:&quot;&quot;,&quot;non-dropping-particle&quot;:&quot;&quot;},{&quot;family&quot;:&quot;Bai&quot;,&quot;given&quot;:&quot;Long&quot;,&quot;parse-names&quot;:false,&quot;dropping-particle&quot;:&quot;&quot;,&quot;non-dropping-particle&quot;:&quot;&quot;},{&quot;family&quot;:&quot;Yang&quot;,&quot;given&quot;:&quot;Dian Lin&quot;,&quot;parse-names&quot;:false,&quot;dropping-particle&quot;:&quot;&quot;,&quot;non-dropping-particle&quot;:&quot;&quot;}],&quot;container-title&quot;:&quot;Journal of Integrative Agriculture&quot;,&quot;container-title-short&quot;:&quot;J Integr Agric&quot;,&quot;DOI&quot;:&quot;10.1016/S2095-3119(14)61001-7&quot;,&quot;ISSN&quot;:&quot;20953119&quot;,&quot;issued&quot;:{&quot;date-parts&quot;:[[2015]]},&quot;page&quot;:&quot;2099-2108&quot;,&quot;abstract&quot;:&quot;Nutrient addition can affect the structure and diversity of grassland plant communities, thus alter the grassland productivity. Studies on grassland plant community composition, structure and diversity in response to nutrient addition have an important theoretical and practical significance for the scientific management of grassland, protection of plant diversity and the recovery of degraded grassland. A randomized block design experiment was conducted with six blocks of eight treatments each: control (no nutrient addition) and K, P, N, PK, NK, NP, and NPK addition. We evaluated plant composition, height, coverage, density, and aboveground biomass to estimate primary productivity and plant diversity. Results showed that all treatments increased primary productivity significantly (P&lt;0.05) with the exception of the K and the NPK treatments had the greatest effect, increasing aboveground biomass 2.46 times compared with the control (P&lt;0.05). One-way ANOVA and factorial analysis were used for the species richness, Shannon-Wiener index, Pielou index and aboveground biomass, and the relationships between the diversity indices and aboveground biomass were determined through linear regression. We found that fertilization altered the community structure; N (but not P or K) addition increased the proportion of perennial rhizome grasses and significantly reduced that of perennial forbs (P&lt;0.05), thus it presented a trend of decrease in species richness, Shannon-Wiener and Pielou indexex, respectively. Only the main effects of N had significant impacts on both the diversity indices and the aboveground biomass (P&lt;0.05), and the interactions between N-P, N-K, P-K and N-P-K could be neglected. With fertilization, plant diversity (correlation coefficient, -0.61), species richness (-0.49), and species evenness (-0.51) were all negatively linearly correlated with primary productivity. The correlations were all significant (P&lt;0.01). Scientific nutrient management is an effective way to improve grassland productivity, protect the plant diversity as well as recover the degraded grassland.&quot;,&quot;issue&quot;:&quot;10&quot;,&quot;volume&quot;:&quot;14&quot;},&quot;isTemporary&quot;:false}]},{&quot;citationID&quot;:&quot;MENDELEY_CITATION_6514df61-14b7-41fb-b7c1-e20b9d429cc8&quot;,&quot;properties&quot;:{&quot;noteIndex&quot;:0},&quot;isEdited&quot;:false,&quot;manualOverride&quot;:{&quot;isManuallyOverridden&quot;:false,&quot;citeprocText&quot;:&quot;(Q. Yu et al., 2022)&quot;,&quot;manualOverrideText&quot;:&quot;&quot;},&quot;citationTag&quot;:&quot;MENDELEY_CITATION_v3_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&quot;,&quot;citationItems&quot;:[{&quot;id&quot;:&quot;377bb0f0-7d76-3e5e-ab21-6edbcf331bb4&quot;,&quot;itemData&quot;:{&quot;type&quot;:&quot;article-journal&quot;,&quot;id&quot;:&quot;377bb0f0-7d76-3e5e-ab21-6edbcf331bb4&quot;,&quot;title&quot;:&quot;Foliar phosphorus allocation and photosynthesis reveal plants' adaptative strategies to phosphorus limitation in tropical forests at different successional stages&quot;,&quot;author&quot;:[{&quot;family&quot;:&quot;Yu&quot;,&quot;given&quot;:&quot;Qingshui&quot;,&quot;parse-names&quot;:false,&quot;dropping-particle&quot;:&quot;&quot;,&quot;non-dropping-particle&quot;:&quot;&quot;},{&quot;family&quot;:&quot;Ni&quot;,&quot;given&quot;:&quot;Xiaofeng&quot;,&quot;parse-names&quot;:false,&quot;dropping-particle&quot;:&quot;&quot;,&quot;non-dropping-particle&quot;:&quot;&quot;},{&quot;family&quot;:&quot;Cheng&quot;,&quot;given&quot;:&quot;Xiaoli&quot;,&quot;parse-names&quot;:false,&quot;dropping-particle&quot;:&quot;&quot;,&quot;non-dropping-particle&quot;:&quot;&quot;},{&quot;family&quot;:&quot;Ma&quot;,&quot;given&quot;:&quot;Suhui&quot;,&quot;parse-names&quot;:false,&quot;dropping-particle&quot;:&quot;&quot;,&quot;non-dropping-particle&quot;:&quot;&quot;},{&quot;family&quot;:&quot;Tian&quot;,&quot;given&quot;:&quot;Di&quot;,&quot;parse-names&quot;:false,&quot;dropping-particle&quot;:&quot;&quot;,&quot;non-dropping-particle&quot;:&quot;&quot;},{&quot;family&quot;:&quot;Zhu&quot;,&quot;given&quot;:&quot;Biao&quot;,&quot;parse-names&quot;:false,&quot;dropping-particle&quot;:&quot;&quot;,&quot;non-dropping-particle&quot;:&quot;&quot;},{&quot;family&quot;:&quot;Zhu&quot;,&quot;given&quot;:&quot;Jiangling&quot;,&quot;parse-names&quot;:false,&quot;dropping-particle&quot;:&quot;&quot;,&quot;non-dropping-particle&quot;:&quot;&quot;},{&quot;family&quot;:&quot;Ji&quot;,&quot;given&quot;:&quot;Chengjun&quot;,&quot;parse-names&quot;:false,&quot;dropping-particle&quot;:&quot;&quot;,&quot;non-dropping-particle&quot;:&quot;&quot;},{&quot;family&quot;:&quot;Tang&quot;,&quot;given&quot;:&quot;Zhiyao&quot;,&quot;parse-names&quot;:false,&quot;dropping-particle&quot;:&quot;&quot;,&quot;non-dropping-particle&quot;:&quot;&quot;},{&quot;family&quot;:&quot;Fang&quot;,&quot;given&quot;:&quot;Jingyun&quot;,&quot;parse-names&quot;:false,&quot;dropping-particle&quot;:&quot;&quot;,&quot;non-dropping-particle&quot;:&quot;&quot;}],&quot;container-title&quot;:&quot;Science of the Total Environment&quot;,&quot;DOI&quot;:&quot;10.1016/j.scitotenv.2022.157456&quot;,&quot;ISSN&quot;:&quot;18791026&quot;,&quot;PMID&quot;:&quot;35863563&quot;,&quot;URL&quot;:&quot;https://doi.org/10.1016/j.scitotenv.2022.157456&quot;,&quot;issued&quot;:{&quot;date-parts&quot;:[[2022]]},&quot;page&quot;:&quot;157456&quot;,&quot;abstract&quot;:&quot;High atmospheric nitrogen (N) deposition and low soil phosphorus (P) availability occur simultaneously in tropical areas, and thus tropical plants need to adapt nutrient-use strategies to maintain growth and survival. Therefore, identifying the adaptative strategies of tropical plants at different successional stages under low soil P availability is indispensable. Here, we separately investigated foliar traits, photosynthetic characteristics, and P fractions of 8 species in the primary and secondary tropical forests after 10 years of N and P fertilization. P addition increased foliar P concentrations and deceased N:P ratio in the primary forest and secondary forest. The foliar photosynthetic rates did not significantly respond to nutrient additions, and the foliar photosynthetic P-use efficiency (PPUE) reduced under the P addition in the primary forest. In contrast, the foliar photosynthetic rates and photosynthetic nitrogen (N)-use efficiency (PNUE) were enhanced with nutrient additions in the secondary forest. The allocations of foliar nucleic acid P and residual P were reduced by P addition in the primary forest, whereas the allocation of metabolic P was enhanced and the allocation of residual P was reduced by P addition in the secondary forest. Additionally, a higher proportion of structural P was found in the primary forest, and a higher proportion of metabolic P was observed in the secondary forest. Interesting, structural equation model analysis revealed that the plants decreased the allocation of foliar nucleic acid P and increased the allocation of structural P in the primary forest, thereby reducing photosynthetic rates. Whereas the plants enhanced photosynthetic rates by promoting PPUE and the allocation of foliar metabolic P in the secondary forest. Our findings highlighted tropical plants at different successional stages can reasonably allocate foliar P to regulate photosynthetic rates and acclimate to low P environments.&quot;,&quot;publisher&quot;:&quot;Elsevier B.V.&quot;,&quot;issue&quot;:&quot;May&quot;,&quot;volume&quot;:&quot;846&quot;,&quot;container-title-short&quot;:&quot;&quot;},&quot;isTemporary&quot;:false}]},{&quot;citationID&quot;:&quot;MENDELEY_CITATION_52828835-9add-46d2-82b3-50f2747581a2&quot;,&quot;properties&quot;:{&quot;noteIndex&quot;:0},&quot;isEdited&quot;:false,&quot;manualOverride&quot;:{&quot;isManuallyOverridden&quot;:false,&quot;citeprocText&quot;:&quot;(Zeng &amp;#38; Wang, 2015)&quot;,&quot;manualOverrideText&quot;:&quot;&quot;},&quot;citationTag&quot;:&quot;MENDELEY_CITATION_v3_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&quot;,&quot;citationItems&quot;:[{&quot;id&quot;:&quot;9c3b6d76-294c-3efd-93f5-4511b61bb355&quot;,&quot;itemData&quot;:{&quot;type&quot;:&quot;article-journal&quot;,&quot;id&quot;:&quot;9c3b6d76-294c-3efd-93f5-4511b61bb355&quot;,&quot;title&quot;:&quot;Combination of nitrogen and phosphorus fertilization enhance ecosystem carbon sequestration in a nitrogen-limited temperate plantation of Northern China&quot;,&quot;author&quot;:[{&quot;family&quot;:&quot;Zeng&quot;,&quot;given&quot;:&quot;Wenjing&quot;,&quot;parse-names&quot;:false,&quot;dropping-particle&quot;:&quot;&quot;,&quot;non-dropping-particle&quot;:&quot;&quot;},{&quot;family&quot;:&quot;Wang&quot;,&quot;given&quot;:&quot;Wei&quot;,&quot;parse-names&quot;:false,&quot;dropping-particle&quot;:&quot;&quot;,&quot;non-dropping-particle&quot;:&quot;&quot;}],&quot;container-title&quot;:&quot;Forest Ecology and Management&quot;,&quot;container-title-short&quot;:&quot;For Ecol Manage&quot;,&quot;DOI&quot;:&quot;10.1016/j.foreco.2015.01.004&quot;,&quot;ISSN&quot;:&quot;03781127&quot;,&quot;URL&quot;:&quot;http://dx.doi.org/10.1016/j.foreco.2015.01.004&quot;,&quot;issued&quot;:{&quot;date-parts&quot;:[[2015]]},&quot;page&quot;:&quot;59-66&quot;,&quot;abstract&quot;:&quot;Numerous studies have shown that nitrogen (N) addition can increase net ecosystem production (NEP) in N-limited ecosystems, but it is still not clear how increasing phosphorus (P) availability affects carbon sequestration by N-limited ecosystems. A 3-year field experiment was established in May 2010 to compare the control (no fertilization), N fertilized (5gNm-2yr-1), P fertilized (5gPm-2yr-1), and N+P fertilized (5gNm-2yr-1 and 5gPm-2yr-1) treatments in N-limited Pinus sylvestris plantations of the Saihanba Forestry Center located in Hebei Province in northern China, which is the largest area of plantations in China. Net primary production (NPP), soil respiration (SR) and its autotrophic and heterotrophic components, plant tissues carbon (C) and N concentrations, soil organic carbon (SOC) and soil total nitrogen (STN), microbial biomass and community composition and the soil pH were measured. Addition of N or P alone had no significant effect on autotrophic respiration (AR) or heterotrophic respiration (HR); however, when applied in combination, AR increased and HR decreased significantly. Moreover, while N addition increased NPP by 10.16% and P addition had no significant effect on NPP, combined N and P fertilization increased NPP by 21.97%. NEP was unchanged by the addition of P, but increased significantly in response to combined N and P fertilization (510.23gCm-2yr-1), nearly 50% higher than that observed in response to the addition of N (339.63gCm-2yr-1). Taken together, our results indicate that simultaneous addition of both N and P promoted C storage in N-limited ecosystems and that simultaneously increasing in N and P availability is an effective method of expanding the C sequestration capacity of N-limited plantations.&quot;,&quot;publisher&quot;:&quot;Elsevier B.V.&quot;,&quot;volume&quot;:&quot;341&quot;},&quot;isTemporary&quot;:false}]}]"/>
    <we:property name="MENDELEY_CITATIONS_LOCALE_CODE" value="&quot;en-GB&quot;"/>
    <we:property name="MENDELEY_CITATIONS_STYLE" value="{&quot;id&quot;:&quot;https://www.zotero.org/styles/global-change-biology&quot;,&quot;title&quot;:&quot;Global Change Biology&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99E9B-870C-0C44-A1D9-103288EF1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33</Pages>
  <Words>9403</Words>
  <Characters>53601</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46</cp:revision>
  <dcterms:created xsi:type="dcterms:W3CDTF">2025-07-28T14:44:00Z</dcterms:created>
  <dcterms:modified xsi:type="dcterms:W3CDTF">2025-09-23T21:58:00Z</dcterms:modified>
</cp:coreProperties>
</file>