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left"/>
      </w:pPr>
      <w:r>
        <w:t xml:space="preserve">MARCO TEÓRICO: RAÇA, ESTRUTURA E DIFERENCIAÇÃO FUNCIONAL</w:t>
      </w:r>
    </w:p>
    <w:p>
      <w:pPr>
        <w:pBdr>
          <w:left w:val="single" w:color="7F7F7F" w:sz="18" w:space="8"/>
        </w:pBdr>
        <w:shd w:fill="F2F2F2" w:color="auto" w:val="clear"/>
        <w:spacing w:after="240" w:before="120" w:line="300"/>
        <w:jc w:val="both"/>
      </w:pPr>
      <w:r>
        <w:rPr>
          <w:b/>
          <w:bCs/>
          <w:sz w:val="22"/>
          <w:szCs w:val="22"/>
        </w:rPr>
        <w:t xml:space="preserve">Nota de verificação.</w:t>
      </w:r>
      <w:r>
        <w:rPr>
          <w:sz w:val="22"/>
          <w:szCs w:val="22"/>
        </w:rPr>
        <w:t xml:space="preserve"> Texto redigido sem consulta direta às obras. As indicações de página marcadas com </w:t>
      </w:r>
      <w:r>
        <w:rPr>
          <w:b/>
          <w:bCs/>
          <w:sz w:val="22"/>
          <w:szCs w:val="22"/>
        </w:rPr>
        <w:t xml:space="preserve">[conferir]</w:t>
      </w:r>
      <w:r>
        <w:rPr>
          <w:sz w:val="22"/>
          <w:szCs w:val="22"/>
        </w:rPr>
        <w:t xml:space="preserve"> e as passagens atribuídas a Luhmann e Neves devem ser confrontadas com as edições utilizadas na tese. Não há citações diretas; todas as remissões são paráfrases, a serem convertidas em citações literais após a leitura dos originais, quando conveniente.</w:t>
      </w:r>
    </w:p>
    <w:p>
      <w:pPr>
        <w:spacing w:after="120" w:line="360"/>
        <w:ind w:firstLine="709"/>
        <w:jc w:val="both"/>
      </w:pPr>
      <w:r>
        <w:t xml:space="preserve">Esta seção estabelece o marco teórico da pesquisa, cujo problema consiste em explicar a persistência da exclusão racial no Brasil a despeito da densificação normativa antirracista inaugurada pela Constituição de 1988. A estratégia adotada combina duas matrizes de estatuto epistemológico distinto. A primeira é a sociologia estrutural do racismo, na formulação de Eduardo Bonilla-Silva (1997) e no debate que ela suscitou com Mara Loveman (1999). A segunda é a teoria dos sistemas sociais de Niklas Luhmann, na recepção crítica que dela faz Marcelo Neves para a modernidade periférica.</w:t>
      </w:r>
    </w:p>
    <w:p>
      <w:pPr>
        <w:spacing w:after="120" w:line="360"/>
        <w:ind w:firstLine="709"/>
        <w:jc w:val="both"/>
      </w:pPr>
      <w:r>
        <w:t xml:space="preserve">A divisão de trabalho entre as duas matrizes é deliberada. A sociologia estrutural do racismo fornece a </w:t>
      </w:r>
      <w:r>
        <w:rPr>
          <w:b/>
          <w:bCs/>
        </w:rPr>
        <w:t xml:space="preserve">qualificação</w:t>
      </w:r>
      <w:r>
        <w:t xml:space="preserve"> do fenômeno: permite designá-lo como racismo, isto é, como ordem de dominação que distribui desigualmente vantagens materiais e simbólicas segundo a classificação racial. A teoria dos sistemas fornece o </w:t>
      </w:r>
      <w:r>
        <w:rPr>
          <w:b/>
          <w:bCs/>
        </w:rPr>
        <w:t xml:space="preserve">mecanismo</w:t>
      </w:r>
      <w:r>
        <w:t xml:space="preserve">: permite descrever como essa ordem se reproduz em uma sociedade funcionalmente diferenciada, inclusive quando os programas jurídicos passam a proibi-la expressamente. A articulação não apaga a diferença entre descrição funcional e crítica normativa; ao contrário, a tematiza como condição de rigor do argumento.</w:t>
      </w:r>
    </w:p>
    <w:p>
      <w:pPr>
        <w:pStyle w:val="Heading2"/>
      </w:pPr>
      <w:r>
        <w:t xml:space="preserve">1 Delimitação da escolha teórica</w:t>
      </w:r>
    </w:p>
    <w:p>
      <w:pPr>
        <w:spacing w:after="120" w:line="360"/>
        <w:ind w:firstLine="709"/>
        <w:jc w:val="both"/>
      </w:pPr>
      <w:r>
        <w:t xml:space="preserve">A opção por uma matriz não decolonial não decorre de recusa à produção dos estudos decoloniais, cuja contribuição para a historicização da categoria raça é inegável. Decorre, antes, do nível explicativo exigido pelo problema de pesquisa. A pergunta central não é pela gênese histórica da classificação racial moderna, mas pelos </w:t>
      </w:r>
      <w:r>
        <w:rPr>
          <w:b/>
          <w:bCs/>
        </w:rPr>
        <w:t xml:space="preserve">mecanismos contemporâneos</w:t>
      </w:r>
      <w:r>
        <w:t xml:space="preserve"> de sua reprodução em um contexto normativo que a proscreve. Para responder a ela, é preciso uma teoria do funcionamento presente da sociedade, capaz de especificar em que operações, organizações e estruturas a desigualdade racial é reproduzida.</w:t>
      </w:r>
    </w:p>
    <w:p>
      <w:pPr>
        <w:spacing w:after="120" w:line="360"/>
        <w:ind w:firstLine="709"/>
        <w:jc w:val="both"/>
      </w:pPr>
      <w:r>
        <w:t xml:space="preserve">Essa exigência tem precedente na sociologia brasileira. Florestan Fernandes (1965) interpretou o preconceito e a discriminação raciais como sobrevivências de uma ordem estamental e escravocrata, destinadas a perder eficácia à medida que a sociedade de classes se consolidasse. Carlos Hasenbalg (1979) contestou essa leitura: a desigualdade racial não seria resíduo do passado, mas resultado de mecanismos atuais de discriminação e de desvantagens cumulativas ao longo do ciclo de vida, funcionais à reprodução das posições da população branca. É nessa linha, que desloca a explicação da herança para a reprodução, que se inscreve o marco aqui proposto.</w:t>
      </w:r>
    </w:p>
    <w:p>
      <w:pPr>
        <w:pStyle w:val="Heading2"/>
      </w:pPr>
      <w:r>
        <w:t xml:space="preserve">2 O racismo como estrutura: a proposta de Bonilla-Silva</w:t>
      </w:r>
    </w:p>
    <w:p>
      <w:pPr>
        <w:spacing w:after="120" w:line="360"/>
        <w:ind w:firstLine="709"/>
        <w:jc w:val="both"/>
      </w:pPr>
      <w:r>
        <w:t xml:space="preserve">Em artigo programático, Bonilla-Silva (1997) sustenta que a noção dominante de racismo, concebido como ideologia, preconceito ou atitude individual, compromete a capacidade explicativa das ciências sociais. O enfoque que o autor denomina idealista incorre em limites recorrentes: situa o racismo fora dos fundamentos da ordem social, trata-o como fenômeno estático e irracional, reduz sua manifestação ao comportamento individual e explícito, interpreta suas formas contemporâneas como resquício do passado e explica o comportamento racista pelo próprio racismo, em raciocínio circular (BONILLA-SILVA, 1997, p. 466-469 [conferir]).</w:t>
      </w:r>
    </w:p>
    <w:p>
      <w:pPr>
        <w:spacing w:after="120" w:line="360"/>
        <w:ind w:firstLine="709"/>
        <w:jc w:val="both"/>
      </w:pPr>
      <w:r>
        <w:t xml:space="preserve">Em substituição, o autor propõe o conceito de </w:t>
      </w:r>
      <w:r>
        <w:rPr>
          <w:b/>
          <w:bCs/>
        </w:rPr>
        <w:t xml:space="preserve">sistemas sociais racializados</w:t>
      </w:r>
      <w:r>
        <w:t xml:space="preserve">: sociedades cujas esferas econômica, política, social e ideológica são parcialmente estruturadas pela alocação dos atores em categorias raciais (BONILLA-SILVA, 1997, p. 469 [conferir]). A raça é aí compreendida como construção social, sem fundamento biológico, mas dotada de efeitos objetivos. O conjunto das relações e práticas que reproduzem a posição diferencial dos grupos constitui a </w:t>
      </w:r>
      <w:r>
        <w:rPr>
          <w:b/>
          <w:bCs/>
        </w:rPr>
        <w:t xml:space="preserve">estrutura racial</w:t>
      </w:r>
      <w:r>
        <w:t xml:space="preserve">; a </w:t>
      </w:r>
      <w:r>
        <w:rPr>
          <w:b/>
          <w:bCs/>
        </w:rPr>
        <w:t xml:space="preserve">ideologia racial</w:t>
      </w:r>
      <w:r>
        <w:t xml:space="preserve"> é o quadro de sentido que a organiza e legitima, e dela deriva, não o contrário; a </w:t>
      </w:r>
      <w:r>
        <w:rPr>
          <w:b/>
          <w:bCs/>
        </w:rPr>
        <w:t xml:space="preserve">contestação racial</w:t>
      </w:r>
      <w:r>
        <w:t xml:space="preserve"> designa as lutas em torno da distribuição de recompensas, que tornam a estrutura historicamente variável.</w:t>
      </w:r>
    </w:p>
    <w:p>
      <w:pPr>
        <w:spacing w:after="120" w:line="360"/>
        <w:ind w:firstLine="709"/>
        <w:jc w:val="both"/>
      </w:pPr>
      <w:r>
        <w:t xml:space="preserve">Duas consequências do modelo são decisivas para esta pesquisa. A primeira é que o racismo deixa de ser tratado como desvio irracional e passa a ser compreendido como prática socialmente racional, na medida em que reproduz vantagens efetivas. A segunda é que a transformação histórica do racismo não implica sua dissolução, mas sua </w:t>
      </w:r>
      <w:r>
        <w:rPr>
          <w:b/>
          <w:bCs/>
        </w:rPr>
        <w:t xml:space="preserve">reconfiguração</w:t>
      </w:r>
      <w:r>
        <w:t xml:space="preserve">. O próprio autor desenvolveria essa tese ao analisar o racismo daltônico (</w:t>
      </w:r>
      <w:r>
        <w:rPr>
          <w:i/>
          <w:iCs/>
        </w:rPr>
        <w:t xml:space="preserve">color-blind racism</w:t>
      </w:r>
      <w:r>
        <w:t xml:space="preserve">) nos Estados Unidos pós-direitos civis: a desigualdade reproduz-se por práticas encobertas, institucionais e aparentemente não raciais, legitimadas por uma ideologia que nega a relevância da raça (BONILLA-SILVA, 2022). A analogia com a função da ideologia da democracia racial no Brasil é evidente e foi tematizada pela sociologia brasileira (GUIMARÃES, 1999).</w:t>
      </w:r>
    </w:p>
    <w:p>
      <w:pPr>
        <w:pStyle w:val="Heading2"/>
      </w:pPr>
      <w:r>
        <w:t xml:space="preserve">3 A objeção classificatória e a réplica</w:t>
      </w:r>
    </w:p>
    <w:p>
      <w:pPr>
        <w:spacing w:after="120" w:line="360"/>
        <w:ind w:firstLine="709"/>
        <w:jc w:val="both"/>
      </w:pPr>
      <w:r>
        <w:t xml:space="preserve">A proposta de Bonilla-Silva foi objeto de crítica incisiva de Mara Loveman (1999). A autora reconhece o mérito do deslocamento das atitudes para as estruturas, mas sustenta que o modelo </w:t>
      </w:r>
      <w:r>
        <w:rPr>
          <w:b/>
          <w:bCs/>
        </w:rPr>
        <w:t xml:space="preserve">reifica a raça</w:t>
      </w:r>
      <w:r>
        <w:t xml:space="preserve">: ao postular "raças" como coletividades dotadas de interesses objetivos, converte uma categoria de prática, mobilizada pelos próprios atores sociais, em categoria de análise, pressupondo aquilo que deveria ser explicado. Em lugar disso, propõe investigar os processos de classificação e de construção de fronteiras pelos quais distinções raciais são produzidas, institucionalizadas, inclusive pelo Estado, e tornadas socialmente eficazes, em perspectiva comparada com outras formas de classificação etnorracial.</w:t>
      </w:r>
    </w:p>
    <w:p>
      <w:pPr>
        <w:spacing w:after="120" w:line="360"/>
        <w:ind w:firstLine="709"/>
        <w:jc w:val="both"/>
      </w:pPr>
      <w:r>
        <w:t xml:space="preserve">Na réplica, Bonilla-Silva (1999) defende a raça como </w:t>
      </w:r>
      <w:r>
        <w:rPr>
          <w:b/>
          <w:bCs/>
        </w:rPr>
        <w:t xml:space="preserve">fato social</w:t>
      </w:r>
      <w:r>
        <w:t xml:space="preserve">: embora de origem histórica e socialmente construída, ela se torna realidade objetiva ao ser incorporada em estruturas de dominação. Dissolver a raça em processos classificatórios deslocaria a análise da estrutura para a cognição e aproximaria a teoria, ainda que involuntariamente, da lógica daltônica que se pretende criticar. O autor sustenta ainda que a fluidez classificatória latino-americana não elimina a hierarquia racial [conferir], argumento de especial interesse para o caso brasileiro.</w:t>
      </w:r>
    </w:p>
    <w:p>
      <w:pPr>
        <w:spacing w:after="120" w:line="360"/>
        <w:ind w:firstLine="709"/>
        <w:jc w:val="both"/>
      </w:pPr>
      <w:r>
        <w:t xml:space="preserve">O debate expõe um dilema entre substancialismo e nominalismo. Se a raça é tratada como grupo real, a teoria arrisca naturalizar fronteiras que são contingentes. Se é tratada apenas como categoria classificatória, arrisca perder de vista a durabilidade material da desigualdade. A posição adotada nesta pesquisa acolhe a exigência epistemológica de Loveman (a raça é </w:t>
      </w:r>
      <w:r>
        <w:rPr>
          <w:i/>
          <w:iCs/>
        </w:rPr>
        <w:t xml:space="preserve">explanandum</w:t>
      </w:r>
      <w:r>
        <w:t xml:space="preserve">, não pressuposto) e a exigência de objetividade de Bonilla-Silva (seus efeitos são estruturais e duráveis). A teoria dos sistemas oferece o vocabulário para sustentar ambas simultaneamente.</w:t>
      </w:r>
    </w:p>
    <w:p>
      <w:pPr>
        <w:pStyle w:val="Heading2"/>
      </w:pPr>
      <w:r>
        <w:t xml:space="preserve">4 Teoria dos sistemas: inclusão, exclusão e distinção</w:t>
      </w:r>
    </w:p>
    <w:p>
      <w:pPr>
        <w:spacing w:after="120" w:line="360"/>
        <w:ind w:firstLine="709"/>
        <w:jc w:val="both"/>
      </w:pPr>
      <w:r>
        <w:t xml:space="preserve">Na teoria de Luhmann, a sociedade é o sistema abrangente de todas as comunicações, e a sociedade moderna caracteriza-se pelo primado da diferenciação funcional: sistemas parciais como direito, economia, política, educação e ciência operam de modo autopoiético, cada qual orientado por um código binário próprio (no direito, lícito/ilícito) e por programas que definem as condições de atribuição de cada valor do código (LUHMANN, 1993; 1997). Os seres humanos não integram a sociedade como elementos; são incluídos na comunicação como </w:t>
      </w:r>
      <w:r>
        <w:rPr>
          <w:b/>
          <w:bCs/>
        </w:rPr>
        <w:t xml:space="preserve">pessoas</w:t>
      </w:r>
      <w:r>
        <w:t xml:space="preserve">, formas semânticas por meio das quais os sistemas atribuem relevância a indivíduos.</w:t>
      </w:r>
    </w:p>
    <w:p>
      <w:pPr>
        <w:spacing w:after="120" w:line="360"/>
        <w:ind w:firstLine="709"/>
        <w:jc w:val="both"/>
      </w:pPr>
      <w:r>
        <w:t xml:space="preserve">A inclusão e a exclusão constituem, assim, os dois lados de uma forma. Em princípio, a diferenciação funcional postula a inclusão universal: cada sistema regula por critérios próprios o acesso às suas prestações, sem que a pertença a um estrato ou grupo de origem seja, em si, condição de acesso. Em texto dedicado ao tema, porém, Luhmann (1995) reconhece, a partir da observação das periferias urbanas, inclusive brasileiras, que a exclusão tende a ser </w:t>
      </w:r>
      <w:r>
        <w:rPr>
          <w:b/>
          <w:bCs/>
        </w:rPr>
        <w:t xml:space="preserve">cumulativa</w:t>
      </w:r>
      <w:r>
        <w:t xml:space="preserve">: a exclusão de um sistema implica a exclusão de outros, e o domínio da exclusão revela-se fortemente integrado, ao passo que o da inclusão é frouxamente integrado [conferir]. O autor chega a especular que a distinção inclusão/exclusão poderia operar como uma espécie de metacódigo, mediatizando os códigos dos sistemas funcionais (LUHMANN, 1993, cap. 12 [conferir]; STICHWEH, 2005).</w:t>
      </w:r>
    </w:p>
    <w:p>
      <w:pPr>
        <w:spacing w:after="120" w:line="360"/>
        <w:ind w:firstLine="709"/>
        <w:jc w:val="both"/>
      </w:pPr>
      <w:r>
        <w:t xml:space="preserve">Luhmann não tematiza a raça. É possível, contudo, reconstruí-la em sua gramática como uma </w:t>
      </w:r>
      <w:r>
        <w:rPr>
          <w:b/>
          <w:bCs/>
        </w:rPr>
        <w:t xml:space="preserve">distinção</w:t>
      </w:r>
      <w:r>
        <w:t xml:space="preserve">: uma forma de observação que, operada em comunicações (interações, decisões organizacionais, classificações estatais, programas jurídicos), atribui às pessoas marcas que condicionam as expectativas dirigidas a elas. Essa reconstrução satisfaz a exigência de Loveman, pois a raça não é um grupo pressuposto, mas o produto de observações. Satisfaz também a de Bonilla-Silva, pois, na teoria dos sistemas, </w:t>
      </w:r>
      <w:r>
        <w:rPr>
          <w:b/>
          <w:bCs/>
        </w:rPr>
        <w:t xml:space="preserve">estruturas são expectativas</w:t>
      </w:r>
      <w:r>
        <w:t xml:space="preserve">: quando a distinção racial é reiterada e condensada, ela se converte em estrutura de expectativas cognitivas e normativas que seleciona, de modo estável e objetivo, as chances de inclusão. A "estrutura racial" de Bonilla-Silva pode, assim, ser retraduzida como o conjunto de estruturas de expectativa racialmente marcadas que atravessam os sistemas funcionais.</w:t>
      </w:r>
    </w:p>
    <w:p>
      <w:pPr>
        <w:spacing w:after="120" w:line="360"/>
        <w:ind w:firstLine="709"/>
        <w:jc w:val="both"/>
      </w:pPr>
      <w:r>
        <w:t xml:space="preserve">Nessa retradução, as </w:t>
      </w:r>
      <w:r>
        <w:rPr>
          <w:b/>
          <w:bCs/>
        </w:rPr>
        <w:t xml:space="preserve">organizações</w:t>
      </w:r>
      <w:r>
        <w:t xml:space="preserve"> assumem posição central. Diferentemente dos sistemas funcionais, que se orientam pela inclusão universal, as organizações operam por decisões de admissão e demissão de membros, sendo o lugar em que a exclusão pode ser praticada de modo legítimo e rotineiro (LUHMANN, 2000). Escolas, empresas, polícias, tribunais e universidades são, portanto, os pontos em que a distinção racial pode converter-se em decisão, sem necessidade de intenção discriminatória explícita. Isso permite reformular a noção de racismo institucional sem recorrer à atribuição de intencionalidade a sistemas sociais.</w:t>
      </w:r>
    </w:p>
    <w:p>
      <w:pPr>
        <w:pStyle w:val="Heading2"/>
      </w:pPr>
      <w:r>
        <w:t xml:space="preserve">5 A modernidade periférica: Marcelo Neves</w:t>
      </w:r>
    </w:p>
    <w:p>
      <w:pPr>
        <w:spacing w:after="120" w:line="360"/>
        <w:ind w:firstLine="709"/>
        <w:jc w:val="both"/>
      </w:pPr>
      <w:r>
        <w:t xml:space="preserve">Marcelo Neves desloca a teoria dos sistemas para a observação da modernidade periférica. Nesse contexto, a diferenciação funcional é insuficiente: a reprodução autopoiética do direito é bloqueada por injunções particularistas oriundas do poder econômico, das relações pessoais e da política, fenômeno que o autor denomina </w:t>
      </w:r>
      <w:r>
        <w:rPr>
          <w:b/>
          <w:bCs/>
        </w:rPr>
        <w:t xml:space="preserve">alopoiese</w:t>
      </w:r>
      <w:r>
        <w:t xml:space="preserve"> do direito (NEVES, 2006; 2011). A consequência é a generalização de relações de </w:t>
      </w:r>
      <w:r>
        <w:rPr>
          <w:b/>
          <w:bCs/>
        </w:rPr>
        <w:t xml:space="preserve">subintegração</w:t>
      </w:r>
      <w:r>
        <w:t xml:space="preserve"> e </w:t>
      </w:r>
      <w:r>
        <w:rPr>
          <w:b/>
          <w:bCs/>
        </w:rPr>
        <w:t xml:space="preserve">sobreintegração</w:t>
      </w:r>
      <w:r>
        <w:t xml:space="preserve">. Os subintegrados dependem das prestações restritivas do sistema jurídico (deveres, sanções, responsabilidades), sem acesso efetivo aos direitos e às garantias. Os sobreintegrados, ao contrário, dispõem dos direitos e dos procedimentos, mas escapam às restrições, utilizando o direito de modo instrumental e seletivo (NEVES, 2006 [conferir]).</w:t>
      </w:r>
    </w:p>
    <w:p>
      <w:pPr>
        <w:spacing w:after="120" w:line="360"/>
        <w:ind w:firstLine="709"/>
        <w:jc w:val="both"/>
      </w:pPr>
      <w:r>
        <w:t xml:space="preserve">Na mesma direção, a noção de </w:t>
      </w:r>
      <w:r>
        <w:rPr>
          <w:b/>
          <w:bCs/>
        </w:rPr>
        <w:t xml:space="preserve">constitucionalização simbólica</w:t>
      </w:r>
      <w:r>
        <w:t xml:space="preserve"> designa a hipertrofia da função político-simbólica do texto constitucional em detrimento de sua concretização jurídico-normativa (NEVES, 2011). A legislação simbólica pode confirmar valores sociais, adiar conflitos por meio de compromissos dilatórios ou funcionar como álibi, demonstrando a capacidade de ação do Estado sem alterar as condições que motivaram a norma.</w:t>
      </w:r>
    </w:p>
    <w:p>
      <w:pPr>
        <w:spacing w:after="120" w:line="360"/>
        <w:ind w:firstLine="709"/>
        <w:jc w:val="both"/>
      </w:pPr>
      <w:r>
        <w:t xml:space="preserve">A hipótese que orienta esta pesquisa é que, no Brasil, a distinção racial opera como </w:t>
      </w:r>
      <w:r>
        <w:rPr>
          <w:b/>
          <w:bCs/>
        </w:rPr>
        <w:t xml:space="preserve">um dos principais operadores da subintegração e da sobreintegração</w:t>
      </w:r>
      <w:r>
        <w:t xml:space="preserve">. A persistência de padrões de seletividade penal e de acesso desigual a direitos, em contraste com a abundância de programas antirracistas (CF, art. 3º, IV, e art. 5º, XLII; Lei nº 7.716/1989; Lei nº 12.288/2010), é compatível com uma leitura em termos de constitucionalização simbólica. A trajetória da qualificação jurídica da injúria racial é ilustrativa: a prática decisória de desclassificar condutas racistas para a figura da injúria, sujeita a regime mais brando, só foi contida pelo reconhecimento de sua imprescritibilidade pelo STF (HC 154.248, 2021) e pela Lei nº 14.532/2023.</w:t>
      </w:r>
    </w:p>
    <w:p>
      <w:pPr>
        <w:spacing w:after="120" w:line="360"/>
        <w:ind w:firstLine="709"/>
        <w:jc w:val="both"/>
      </w:pPr>
      <w:r>
        <w:t xml:space="preserve">A hipótese exige, contudo, uma cautela: a leitura simbólica não pode ser totalizante. Decisões como a ADPF 186 (2012) e a ADC 41 (2017), que reconheceram a constitucionalidade das ações afirmativas, e os efeitos redistributivos da Lei nº 12.711/2012 indicam que a contestação racial produziu irritações capazes de alterar programas </w:t>
      </w:r>
      <w:r>
        <w:rPr>
          <w:b/>
          <w:bCs/>
        </w:rPr>
        <w:t xml:space="preserve">e</w:t>
      </w:r>
      <w:r>
        <w:t xml:space="preserve"> padrões de decisão. O objeto empírico da pesquisa é justamente a variação entre esses dois resultados.</w:t>
      </w:r>
    </w:p>
    <w:p>
      <w:pPr>
        <w:pStyle w:val="Heading2"/>
      </w:pPr>
      <w:r>
        <w:t xml:space="preserve">6 Articulação entre as matrizes</w:t>
      </w:r>
    </w:p>
    <w:p>
      <w:pPr>
        <w:spacing w:after="120" w:line="360"/>
        <w:ind w:firstLine="709"/>
        <w:jc w:val="both"/>
      </w:pPr>
      <w:r>
        <w:t xml:space="preserve">O quadro a seguir sintetiza a retradução dos conceitos de Bonilla-Silva na gramática sistêmica e as perguntas de pesquisa que dela decorrem.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3350"/>
        <w:gridCol w:w="3120"/>
      </w:tblGrid>
      <w:tr>
        <w:trPr>
          <w:tblHeader/>
        </w:trPr>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60"/>
            </w:pPr>
            <w:r>
              <w:rPr>
                <w:b/>
                <w:bCs/>
                <w:sz w:val="20"/>
                <w:szCs w:val="20"/>
              </w:rPr>
              <w:t xml:space="preserve">Bonilla-Silva (1997)</w:t>
            </w:r>
          </w:p>
        </w:tc>
        <w:tc>
          <w:tcPr>
            <w:tcW w:type="dxa" w:w="335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60"/>
            </w:pPr>
            <w:r>
              <w:rPr>
                <w:b/>
                <w:bCs/>
                <w:sz w:val="20"/>
                <w:szCs w:val="20"/>
              </w:rPr>
              <w:t xml:space="preserve">Retradução sistêmica</w:t>
            </w:r>
          </w:p>
        </w:tc>
        <w:tc>
          <w:tcPr>
            <w:tcW w:type="dxa" w:w="312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60"/>
            </w:pPr>
            <w:r>
              <w:rPr>
                <w:b/>
                <w:bCs/>
                <w:sz w:val="20"/>
                <w:szCs w:val="20"/>
              </w:rPr>
              <w:t xml:space="preserve">Pergunta de pesquisa</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60"/>
            </w:pPr>
            <w:r>
              <w:rPr>
                <w:sz w:val="20"/>
                <w:szCs w:val="20"/>
              </w:rPr>
              <w:t xml:space="preserve">Estrutura racial</w:t>
            </w:r>
          </w:p>
        </w:tc>
        <w:tc>
          <w:tcPr>
            <w:tcW w:type="dxa" w:w="3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60"/>
            </w:pPr>
            <w:r>
              <w:rPr>
                <w:sz w:val="20"/>
                <w:szCs w:val="20"/>
              </w:rPr>
              <w:t xml:space="preserve">Estruturas de expectativa racialmente marcadas, que selecionam chances de inclusão nos sistemas funcionais</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60"/>
            </w:pPr>
            <w:r>
              <w:rPr>
                <w:sz w:val="20"/>
                <w:szCs w:val="20"/>
              </w:rPr>
              <w:t xml:space="preserve">Onde a distinção racial condiciona o acesso a prestações jurídicas, educacionais e econômicas?</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60"/>
            </w:pPr>
            <w:r>
              <w:rPr>
                <w:sz w:val="20"/>
                <w:szCs w:val="20"/>
              </w:rPr>
              <w:t xml:space="preserve">Práticas institucionais</w:t>
            </w:r>
          </w:p>
        </w:tc>
        <w:tc>
          <w:tcPr>
            <w:tcW w:type="dxa" w:w="3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60"/>
            </w:pPr>
            <w:r>
              <w:rPr>
                <w:sz w:val="20"/>
                <w:szCs w:val="20"/>
              </w:rPr>
              <w:t xml:space="preserve">Decisões de organizações (admissão, seleção, abordagem policial, julgamento)</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60"/>
            </w:pPr>
            <w:r>
              <w:rPr>
                <w:sz w:val="20"/>
                <w:szCs w:val="20"/>
              </w:rPr>
              <w:t xml:space="preserve">Em quais organizações a distinção racial converte-se em decisão rotineira?</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60"/>
            </w:pPr>
            <w:r>
              <w:rPr>
                <w:sz w:val="20"/>
                <w:szCs w:val="20"/>
              </w:rPr>
              <w:t xml:space="preserve">Ideologia racial (daltonismo; democracia racial)</w:t>
            </w:r>
          </w:p>
        </w:tc>
        <w:tc>
          <w:tcPr>
            <w:tcW w:type="dxa" w:w="3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60"/>
            </w:pPr>
            <w:r>
              <w:rPr>
                <w:sz w:val="20"/>
                <w:szCs w:val="20"/>
              </w:rPr>
              <w:t xml:space="preserve">Semântica e autodescrição da sociedade que tornam a distinção latente</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60"/>
            </w:pPr>
            <w:r>
              <w:rPr>
                <w:sz w:val="20"/>
                <w:szCs w:val="20"/>
              </w:rPr>
              <w:t xml:space="preserve">Como a semântica da democracia racial opera na fundamentação das decisões judiciais?</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60"/>
            </w:pPr>
            <w:r>
              <w:rPr>
                <w:sz w:val="20"/>
                <w:szCs w:val="20"/>
              </w:rPr>
              <w:t xml:space="preserve">Contestação racial</w:t>
            </w:r>
          </w:p>
        </w:tc>
        <w:tc>
          <w:tcPr>
            <w:tcW w:type="dxa" w:w="3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60"/>
            </w:pPr>
            <w:r>
              <w:rPr>
                <w:sz w:val="20"/>
                <w:szCs w:val="20"/>
              </w:rPr>
              <w:t xml:space="preserve">Comunicação de protesto e movimentos sociais que irritam o sistema político e o jurídico</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60"/>
            </w:pPr>
            <w:r>
              <w:rPr>
                <w:sz w:val="20"/>
                <w:szCs w:val="20"/>
              </w:rPr>
              <w:t xml:space="preserve">Em que condições a irritação produz mudança de programa e de padrão decisório?</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60"/>
            </w:pPr>
            <w:r>
              <w:rPr>
                <w:sz w:val="20"/>
                <w:szCs w:val="20"/>
              </w:rPr>
              <w:t xml:space="preserve">Persistência apesar da mudança normativa</w:t>
            </w:r>
          </w:p>
        </w:tc>
        <w:tc>
          <w:tcPr>
            <w:tcW w:type="dxa" w:w="3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60"/>
            </w:pPr>
            <w:r>
              <w:rPr>
                <w:sz w:val="20"/>
                <w:szCs w:val="20"/>
              </w:rPr>
              <w:t xml:space="preserve">Mudança de programa sem mudança do padrão de output; constitucionalização simbólica; subintegração</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60"/>
            </w:pPr>
            <w:r>
              <w:rPr>
                <w:sz w:val="20"/>
                <w:szCs w:val="20"/>
              </w:rPr>
              <w:t xml:space="preserve">Quando a norma antirracista é simbólica e quando é normativamente concretizada?</w:t>
            </w:r>
          </w:p>
        </w:tc>
      </w:tr>
    </w:tbl>
    <w:p>
      <w:pPr>
        <w:spacing w:after="240" w:before="60"/>
      </w:pPr>
      <w:r>
        <w:rPr>
          <w:sz w:val="20"/>
          <w:szCs w:val="20"/>
        </w:rPr>
        <w:t xml:space="preserve">Fonte: elaboração própria.</w:t>
      </w:r>
    </w:p>
    <w:p>
      <w:pPr>
        <w:spacing w:after="120" w:line="360"/>
        <w:ind w:firstLine="709"/>
        <w:jc w:val="both"/>
      </w:pPr>
      <w:r>
        <w:t xml:space="preserve">A retradução exige três ajustes conceituais que devem ficar explícitos. </w:t>
      </w:r>
      <w:r>
        <w:rPr>
          <w:b/>
          <w:bCs/>
        </w:rPr>
        <w:t xml:space="preserve">Primeiro</w:t>
      </w:r>
      <w:r>
        <w:t xml:space="preserve">, a teoria dos sistemas não reconhece atores coletivos, exceto as organizações. A tese de Bonilla-Silva sobre os interesses dos grupos raciais deve, portanto, ser reformulada: as "vantagens" da população branca são observáveis como distribuição desigual de chances de inclusão, produzida por operações comunicativas, e não como produto da vontade de um sujeito coletivo. </w:t>
      </w:r>
      <w:r>
        <w:rPr>
          <w:b/>
          <w:bCs/>
        </w:rPr>
        <w:t xml:space="preserve">Segundo</w:t>
      </w:r>
      <w:r>
        <w:t xml:space="preserve">, sistemas sociais não têm intencionalidade; a reprodução da desigualdade racial não pressupõe intenção discriminatória, o que converge com a crítica de Bonilla-Silva ao modelo individualista e intencional de racismo. </w:t>
      </w:r>
      <w:r>
        <w:rPr>
          <w:b/>
          <w:bCs/>
        </w:rPr>
        <w:t xml:space="preserve">Terceiro</w:t>
      </w:r>
      <w:r>
        <w:t xml:space="preserve">, e mais importante, a teoria dos sistemas é descritivo-funcional e não fornece, por si, um vocabulário de denúncia. Designar como racismo o padrão descrito é um ato de qualificação normativa que se apoia na sociologia estrutural do racismo e nos compromissos constitucionais de igualdade. A pesquisa assume essa dualidade: a teoria dos sistemas explica </w:t>
      </w:r>
      <w:r>
        <w:rPr>
          <w:b/>
          <w:bCs/>
        </w:rPr>
        <w:t xml:space="preserve">como</w:t>
      </w:r>
      <w:r>
        <w:t xml:space="preserve"> a exclusão se reproduz; a teoria estrutural do racismo explica </w:t>
      </w:r>
      <w:r>
        <w:rPr>
          <w:b/>
          <w:bCs/>
        </w:rPr>
        <w:t xml:space="preserve">por que</w:t>
      </w:r>
      <w:r>
        <w:t xml:space="preserve"> essa reprodução constitui dominação racial, e não mera disfunção neutra.</w:t>
      </w:r>
    </w:p>
    <w:p>
      <w:pPr>
        <w:pStyle w:val="Heading2"/>
      </w:pPr>
      <w:r>
        <w:t xml:space="preserve">7 Síntese</w:t>
      </w:r>
    </w:p>
    <w:p>
      <w:pPr>
        <w:spacing w:after="120" w:line="360"/>
        <w:ind w:firstLine="709"/>
        <w:jc w:val="both"/>
      </w:pPr>
      <w:r>
        <w:t xml:space="preserve">O marco teórico proposto sustenta que a raça, na sociedade brasileira contemporânea, deve ser compreendida como uma distinção socialmente produzida que, reiterada por organizações, pelo Estado e pelo direito, condensa-se em estruturas de expectativa com efeitos objetivos sobre as chances de inclusão nos sistemas funcionais. Em contexto de modernidade periférica, essa distinção opera como fator de subintegração e sobreintegração, e a densificação normativa antirracista oscila entre a função simbólica e a concretização jurídico-normativa. A tarefa empírica da pesquisa é identificar em que condições cada um desses resultados prevalece.</w:t>
      </w:r>
    </w:p>
    <w:p>
      <w:pPr>
        <w:pStyle w:val="Heading1"/>
      </w:pPr>
      <w:r>
        <w:t xml:space="preserve">REFERÊNCIAS</w:t>
      </w:r>
    </w:p>
    <w:p>
      <w:pPr>
        <w:spacing w:after="240" w:line="240"/>
        <w:jc w:val="left"/>
      </w:pPr>
      <w:r>
        <w:t xml:space="preserve">BONILLA-SILVA, Eduardo. Rethinking racism: toward a structural interpretation. </w:t>
      </w:r>
      <w:r>
        <w:rPr>
          <w:b/>
          <w:bCs/>
        </w:rPr>
        <w:t xml:space="preserve">American Sociological Review</w:t>
      </w:r>
      <w:r>
        <w:t xml:space="preserve">, Washington, v. 62, n. 3, p. 465-480, 1997.</w:t>
      </w:r>
    </w:p>
    <w:p>
      <w:pPr>
        <w:spacing w:after="240" w:line="240"/>
        <w:jc w:val="left"/>
      </w:pPr>
      <w:r>
        <w:t xml:space="preserve">BONILLA-SILVA, Eduardo. The essential social fact of race. </w:t>
      </w:r>
      <w:r>
        <w:rPr>
          <w:b/>
          <w:bCs/>
        </w:rPr>
        <w:t xml:space="preserve">American Sociological Review</w:t>
      </w:r>
      <w:r>
        <w:t xml:space="preserve">, Washington, v. 64, n. 6, p. 899-906, 1999.</w:t>
      </w:r>
    </w:p>
    <w:p>
      <w:pPr>
        <w:spacing w:after="240" w:line="240"/>
        <w:jc w:val="left"/>
      </w:pPr>
      <w:r>
        <w:t xml:space="preserve">BONILLA-SILVA, Eduardo. </w:t>
      </w:r>
      <w:r>
        <w:rPr>
          <w:b/>
          <w:bCs/>
        </w:rPr>
        <w:t xml:space="preserve">Racism without racists</w:t>
      </w:r>
      <w:r>
        <w:t xml:space="preserve">: color-blind racism and the persistence of racial inequality in America. 6. ed. Lanham: Rowman &amp; Littlefield, 2022.</w:t>
      </w:r>
    </w:p>
    <w:p>
      <w:pPr>
        <w:spacing w:after="240" w:line="240"/>
        <w:jc w:val="left"/>
      </w:pPr>
      <w:r>
        <w:t xml:space="preserve">BRASIL. Supremo Tribunal Federal. </w:t>
      </w:r>
      <w:r>
        <w:rPr>
          <w:b/>
          <w:bCs/>
        </w:rPr>
        <w:t xml:space="preserve">Arguição de Descumprimento de Preceito Fundamental 186/DF</w:t>
      </w:r>
      <w:r>
        <w:t xml:space="preserve">. Relator: Min. Ricardo Lewandowski. Brasília, julgado em 26 abr. 2012.</w:t>
      </w:r>
    </w:p>
    <w:p>
      <w:pPr>
        <w:spacing w:after="240" w:line="240"/>
        <w:jc w:val="left"/>
      </w:pPr>
      <w:r>
        <w:t xml:space="preserve">BRASIL. Supremo Tribunal Federal. </w:t>
      </w:r>
      <w:r>
        <w:rPr>
          <w:b/>
          <w:bCs/>
        </w:rPr>
        <w:t xml:space="preserve">Ação Declaratória de Constitucionalidade 41/DF</w:t>
      </w:r>
      <w:r>
        <w:t xml:space="preserve">. Relator: Min. Roberto Barroso. Brasília, julgado em 8 jun. 2017.</w:t>
      </w:r>
    </w:p>
    <w:p>
      <w:pPr>
        <w:spacing w:after="240" w:line="240"/>
        <w:jc w:val="left"/>
      </w:pPr>
      <w:r>
        <w:t xml:space="preserve">BRASIL. Supremo Tribunal Federal. </w:t>
      </w:r>
      <w:r>
        <w:rPr>
          <w:b/>
          <w:bCs/>
        </w:rPr>
        <w:t xml:space="preserve">Habeas Corpus 154.248/DF</w:t>
      </w:r>
      <w:r>
        <w:t xml:space="preserve">. Relator: Min. Edson Fachin. Brasília, julgado em 28 out. 2021.</w:t>
      </w:r>
    </w:p>
    <w:p>
      <w:pPr>
        <w:spacing w:after="240" w:line="240"/>
        <w:jc w:val="left"/>
      </w:pPr>
      <w:r>
        <w:t xml:space="preserve">FERNANDES, Florestan. </w:t>
      </w:r>
      <w:r>
        <w:rPr>
          <w:b/>
          <w:bCs/>
        </w:rPr>
        <w:t xml:space="preserve">A integração do negro na sociedade de classes</w:t>
      </w:r>
      <w:r>
        <w:t xml:space="preserve">. São Paulo: Dominus; Edusp, 1965. 2 v.</w:t>
      </w:r>
    </w:p>
    <w:p>
      <w:pPr>
        <w:spacing w:after="240" w:line="240"/>
        <w:jc w:val="left"/>
      </w:pPr>
      <w:r>
        <w:t xml:space="preserve">GUIMARÃES, Antonio Sérgio Alfredo. </w:t>
      </w:r>
      <w:r>
        <w:rPr>
          <w:b/>
          <w:bCs/>
        </w:rPr>
        <w:t xml:space="preserve">Racismo e anti-racismo no Brasil</w:t>
      </w:r>
      <w:r>
        <w:t xml:space="preserve">. São Paulo: Editora 34, 1999.</w:t>
      </w:r>
    </w:p>
    <w:p>
      <w:pPr>
        <w:spacing w:after="240" w:line="240"/>
        <w:jc w:val="left"/>
      </w:pPr>
      <w:r>
        <w:t xml:space="preserve">HASENBALG, Carlos Alfredo. </w:t>
      </w:r>
      <w:r>
        <w:rPr>
          <w:b/>
          <w:bCs/>
        </w:rPr>
        <w:t xml:space="preserve">Discriminação e desigualdades raciais no Brasil</w:t>
      </w:r>
      <w:r>
        <w:t xml:space="preserve">. Rio de Janeiro: Graal, 1979.</w:t>
      </w:r>
    </w:p>
    <w:p>
      <w:pPr>
        <w:spacing w:after="240" w:line="240"/>
        <w:jc w:val="left"/>
      </w:pPr>
      <w:r>
        <w:t xml:space="preserve">LOVEMAN, Mara. Is "race" essential? </w:t>
      </w:r>
      <w:r>
        <w:rPr>
          <w:b/>
          <w:bCs/>
        </w:rPr>
        <w:t xml:space="preserve">American Sociological Review</w:t>
      </w:r>
      <w:r>
        <w:t xml:space="preserve">, Washington, v. 64, n. 6, p. 891-898, 1999.</w:t>
      </w:r>
    </w:p>
    <w:p>
      <w:pPr>
        <w:spacing w:after="240" w:line="240"/>
        <w:jc w:val="left"/>
      </w:pPr>
      <w:r>
        <w:t xml:space="preserve">LUHMANN, Niklas. </w:t>
      </w:r>
      <w:r>
        <w:rPr>
          <w:b/>
          <w:bCs/>
        </w:rPr>
        <w:t xml:space="preserve">Das Recht der Gesellschaft</w:t>
      </w:r>
      <w:r>
        <w:t xml:space="preserve">. Frankfurt am Main: Suhrkamp, 1993.</w:t>
      </w:r>
    </w:p>
    <w:p>
      <w:pPr>
        <w:spacing w:after="240" w:line="240"/>
        <w:jc w:val="left"/>
      </w:pPr>
      <w:r>
        <w:t xml:space="preserve">LUHMANN, Niklas. Inklusion und Exklusion. In: LUHMANN, Niklas. </w:t>
      </w:r>
      <w:r>
        <w:rPr>
          <w:b/>
          <w:bCs/>
        </w:rPr>
        <w:t xml:space="preserve">Soziologische Aufklärung 6</w:t>
      </w:r>
      <w:r>
        <w:t xml:space="preserve">: die Soziologie und der Mensch. Opladen: Westdeutscher Verlag, 1995. p. 237-264.</w:t>
      </w:r>
    </w:p>
    <w:p>
      <w:pPr>
        <w:spacing w:after="240" w:line="240"/>
        <w:jc w:val="left"/>
      </w:pPr>
      <w:r>
        <w:t xml:space="preserve">LUHMANN, Niklas. </w:t>
      </w:r>
      <w:r>
        <w:rPr>
          <w:b/>
          <w:bCs/>
        </w:rPr>
        <w:t xml:space="preserve">Die Gesellschaft der Gesellschaft</w:t>
      </w:r>
      <w:r>
        <w:t xml:space="preserve">. Frankfurt am Main: Suhrkamp, 1997.</w:t>
      </w:r>
    </w:p>
    <w:p>
      <w:pPr>
        <w:spacing w:after="240" w:line="240"/>
        <w:jc w:val="left"/>
      </w:pPr>
      <w:r>
        <w:t xml:space="preserve">LUHMANN, Niklas. </w:t>
      </w:r>
      <w:r>
        <w:rPr>
          <w:b/>
          <w:bCs/>
        </w:rPr>
        <w:t xml:space="preserve">Organisation und Entscheidung</w:t>
      </w:r>
      <w:r>
        <w:t xml:space="preserve">. Opladen: Westdeutscher Verlag, 2000.</w:t>
      </w:r>
    </w:p>
    <w:p>
      <w:pPr>
        <w:spacing w:after="240" w:line="240"/>
        <w:jc w:val="left"/>
      </w:pPr>
      <w:r>
        <w:t xml:space="preserve">NEVES, Marcelo. </w:t>
      </w:r>
      <w:r>
        <w:rPr>
          <w:b/>
          <w:bCs/>
        </w:rPr>
        <w:t xml:space="preserve">Entre Têmis e Leviatã</w:t>
      </w:r>
      <w:r>
        <w:t xml:space="preserve">: uma relação difícil. São Paulo: Martins Fontes, 2006.</w:t>
      </w:r>
    </w:p>
    <w:p>
      <w:pPr>
        <w:spacing w:after="240" w:line="240"/>
        <w:jc w:val="left"/>
      </w:pPr>
      <w:r>
        <w:t xml:space="preserve">NEVES, Marcelo. </w:t>
      </w:r>
      <w:r>
        <w:rPr>
          <w:b/>
          <w:bCs/>
        </w:rPr>
        <w:t xml:space="preserve">A constitucionalização simbólica</w:t>
      </w:r>
      <w:r>
        <w:t xml:space="preserve">. 3. ed. São Paulo: WMF Martins Fontes, 2011.</w:t>
      </w:r>
    </w:p>
    <w:p>
      <w:pPr>
        <w:spacing w:after="240" w:line="240"/>
        <w:jc w:val="left"/>
      </w:pPr>
      <w:r>
        <w:t xml:space="preserve">STICHWEH, Rudolf. </w:t>
      </w:r>
      <w:r>
        <w:rPr>
          <w:b/>
          <w:bCs/>
        </w:rPr>
        <w:t xml:space="preserve">Inklusion und Exklusion</w:t>
      </w:r>
      <w:r>
        <w:t xml:space="preserve">: Studien zur Gesellschaftstheorie. Bielefeld: transcript, 2005.</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357"/>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20" w:before="3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 teórico — raça, estrutura e diferenciação funcional</dc:title>
  <dc:creator>Un-named</dc:creator>
  <cp:lastModifiedBy>Un-named</cp:lastModifiedBy>
  <cp:revision>1</cp:revision>
  <dcterms:created xsi:type="dcterms:W3CDTF">2026-09-25T17:25:18.832Z</dcterms:created>
  <dcterms:modified xsi:type="dcterms:W3CDTF">2026-09-25T17:25:18.835Z</dcterms:modified>
</cp:coreProperties>
</file>

<file path=docProps/custom.xml><?xml version="1.0" encoding="utf-8"?>
<Properties xmlns="http://schemas.openxmlformats.org/officeDocument/2006/custom-properties" xmlns:vt="http://schemas.openxmlformats.org/officeDocument/2006/docPropsVTypes"/>
</file>