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CC1BD" w14:textId="77777777" w:rsidR="00DA19FA" w:rsidRDefault="00DA19FA"/>
    <w:p w14:paraId="6A0DD93B" w14:textId="227912C4" w:rsidR="00327CDF" w:rsidRDefault="00F254AF" w:rsidP="00327CDF">
      <w:pPr>
        <w:pStyle w:val="Title"/>
      </w:pPr>
      <w:r>
        <w:t>Embodied emissions in UK industrial supply chains: A feasibility study</w:t>
      </w:r>
    </w:p>
    <w:p w14:paraId="150EB329" w14:textId="6A4CD1F3" w:rsidR="005C1826" w:rsidRDefault="005C1826" w:rsidP="005C1826">
      <w:pPr>
        <w:pStyle w:val="Subtitle"/>
      </w:pPr>
      <w:r>
        <w:t>Jonathan Norman, Anne Owen, Lena Kilian</w:t>
      </w:r>
    </w:p>
    <w:p w14:paraId="5F440A2A" w14:textId="714EC3D5" w:rsidR="00683A54" w:rsidRDefault="00683A54" w:rsidP="00683A54">
      <w:pPr>
        <w:pStyle w:val="Heading1"/>
      </w:pPr>
      <w:r>
        <w:t>Introduction and background</w:t>
      </w:r>
    </w:p>
    <w:p w14:paraId="0B3F2A44" w14:textId="6CC0EB0B" w:rsidR="00C951CF" w:rsidRDefault="00683A54" w:rsidP="00683A54">
      <w:r>
        <w:t>The University of Leeds (</w:t>
      </w:r>
      <w:proofErr w:type="spellStart"/>
      <w:r>
        <w:t>UoL</w:t>
      </w:r>
      <w:proofErr w:type="spellEnd"/>
      <w:r>
        <w:t xml:space="preserve">) has developed the UK MRIO database that is used to calculate the Consumption-based GHG emissions for the </w:t>
      </w:r>
      <w:r w:rsidR="009763D8">
        <w:t>UK</w:t>
      </w:r>
      <w:r>
        <w:t>. Th</w:t>
      </w:r>
      <w:r w:rsidR="00A93EDC">
        <w:t>is</w:t>
      </w:r>
      <w:r>
        <w:t xml:space="preserve"> global model considers the emissions embodied in </w:t>
      </w:r>
      <w:r w:rsidR="00A93EDC">
        <w:t xml:space="preserve">industrial supply chains, including </w:t>
      </w:r>
      <w:r>
        <w:t>trade in and out of the UK</w:t>
      </w:r>
      <w:r w:rsidR="00A93EDC">
        <w:t xml:space="preserve"> and </w:t>
      </w:r>
      <w:r w:rsidR="005C141C">
        <w:t xml:space="preserve">is used to measure the impact of the UK’s final consumption. </w:t>
      </w:r>
      <w:r w:rsidR="002121A3">
        <w:t xml:space="preserve">It is most sophisticated model in the UK to consider the impact of UK consumption irrespective of where the </w:t>
      </w:r>
      <w:r w:rsidR="00E85FEE">
        <w:t>emissions</w:t>
      </w:r>
      <w:r w:rsidR="002121A3">
        <w:t xml:space="preserve"> were produced. </w:t>
      </w:r>
    </w:p>
    <w:p w14:paraId="2BF2DF69" w14:textId="207006A5" w:rsidR="005C141C" w:rsidRDefault="005C141C" w:rsidP="00683A54">
      <w:commentRangeStart w:id="0"/>
      <w:commentRangeStart w:id="1"/>
      <w:r>
        <w:t>Recently</w:t>
      </w:r>
      <w:commentRangeEnd w:id="0"/>
      <w:r>
        <w:rPr>
          <w:rStyle w:val="CommentReference"/>
        </w:rPr>
        <w:commentReference w:id="0"/>
      </w:r>
      <w:commentRangeEnd w:id="1"/>
      <w:r w:rsidR="00E57812">
        <w:rPr>
          <w:rStyle w:val="CommentReference"/>
        </w:rPr>
        <w:commentReference w:id="1"/>
      </w:r>
      <w:r>
        <w:t xml:space="preserve">, </w:t>
      </w:r>
      <w:r w:rsidR="00B94FD4">
        <w:t xml:space="preserve">the </w:t>
      </w:r>
      <w:proofErr w:type="spellStart"/>
      <w:r w:rsidR="00B94FD4">
        <w:t>UoL</w:t>
      </w:r>
      <w:proofErr w:type="spellEnd"/>
      <w:r w:rsidR="00B94FD4">
        <w:t xml:space="preserve"> has </w:t>
      </w:r>
      <w:r w:rsidR="004069B2">
        <w:t>p</w:t>
      </w:r>
      <w:r w:rsidR="00091B02">
        <w:t>ublished</w:t>
      </w:r>
      <w:r w:rsidR="004069B2">
        <w:t xml:space="preserve"> additional metrics </w:t>
      </w:r>
      <w:r w:rsidR="00CB1023">
        <w:t xml:space="preserve">to understand reasons for the </w:t>
      </w:r>
      <w:r w:rsidR="00A62C94">
        <w:t xml:space="preserve">changes seen in the consumption emissions of UK households over time. </w:t>
      </w:r>
      <w:r w:rsidR="00B340C6">
        <w:t xml:space="preserve">This feasibility study will assess the potential for a </w:t>
      </w:r>
      <w:r w:rsidR="00F60955">
        <w:t>suite of similar metrics that track the emissions embodied in UK industrial supply chains</w:t>
      </w:r>
      <w:r w:rsidR="00765781">
        <w:t xml:space="preserve">. This will be undertaken for a small number of industrial subsectors to assess the potential value of such metrics and the feasibility of </w:t>
      </w:r>
      <w:r w:rsidR="00794372">
        <w:t>publishing them annually for the whole UK industry sector.</w:t>
      </w:r>
    </w:p>
    <w:p w14:paraId="486D4371" w14:textId="2D253095" w:rsidR="00683A54" w:rsidRDefault="00683A54" w:rsidP="00683A54">
      <w:r>
        <w:t xml:space="preserve">This proposal outlines the work programme to </w:t>
      </w:r>
      <w:r w:rsidR="00D877F6">
        <w:t>undertake this feasibility study</w:t>
      </w:r>
      <w:r>
        <w:t>.</w:t>
      </w:r>
    </w:p>
    <w:p w14:paraId="5F6978E6" w14:textId="33820046" w:rsidR="001E4ABD" w:rsidRDefault="001E4ABD" w:rsidP="001E4ABD">
      <w:pPr>
        <w:pStyle w:val="Heading1"/>
      </w:pPr>
      <w:r>
        <w:t xml:space="preserve">Work Package 1 – </w:t>
      </w:r>
      <w:r w:rsidR="003A5906">
        <w:t>Method development</w:t>
      </w:r>
    </w:p>
    <w:p w14:paraId="367FF511" w14:textId="79388132" w:rsidR="00041636" w:rsidRDefault="00C459C0" w:rsidP="00041636">
      <w:r>
        <w:t xml:space="preserve">The UK MRIO is principally </w:t>
      </w:r>
      <w:r w:rsidR="00BB2B1F">
        <w:t xml:space="preserve">utilised in assigning emissions to final consumption in the UK. </w:t>
      </w:r>
      <w:r w:rsidR="009D36D4">
        <w:t>Initial work</w:t>
      </w:r>
      <w:r w:rsidR="0006044F">
        <w:t xml:space="preserve"> will develop, assess and refine a methodology for </w:t>
      </w:r>
      <w:r w:rsidR="00BC7387">
        <w:t xml:space="preserve">assigning emissions to the supply chain of UK industries. This will include </w:t>
      </w:r>
      <w:r w:rsidR="001D3F11">
        <w:t xml:space="preserve">options </w:t>
      </w:r>
      <w:r w:rsidR="00EE7B24">
        <w:t xml:space="preserve">for separating </w:t>
      </w:r>
      <w:r w:rsidR="00126E33">
        <w:t xml:space="preserve">supply chain </w:t>
      </w:r>
      <w:r w:rsidR="00EE7B24">
        <w:t>emissions by GHG accounting scopes</w:t>
      </w:r>
      <w:r w:rsidR="003932DD">
        <w:t xml:space="preserve"> and</w:t>
      </w:r>
      <w:r w:rsidR="00EE7B24">
        <w:t xml:space="preserve"> </w:t>
      </w:r>
      <w:r w:rsidR="00854719">
        <w:t xml:space="preserve">the contributing industries </w:t>
      </w:r>
      <w:r w:rsidR="00E96E47">
        <w:t xml:space="preserve">(including a split between </w:t>
      </w:r>
      <w:r w:rsidR="003932DD">
        <w:t xml:space="preserve">the </w:t>
      </w:r>
      <w:r w:rsidR="00E96E47">
        <w:t>UK and overseas)</w:t>
      </w:r>
      <w:r w:rsidR="003932DD">
        <w:t xml:space="preserve">. Changes in supply chain emissions over time will be </w:t>
      </w:r>
      <w:r w:rsidR="00E55710">
        <w:t xml:space="preserve">decomposed into different drivers – for example, a change in overall level of purchasing of the industries, </w:t>
      </w:r>
      <w:r w:rsidR="00100F18">
        <w:t xml:space="preserve">the </w:t>
      </w:r>
      <w:proofErr w:type="spellStart"/>
      <w:r w:rsidR="00100F18">
        <w:t>make up</w:t>
      </w:r>
      <w:proofErr w:type="spellEnd"/>
      <w:r w:rsidR="00100F18">
        <w:t xml:space="preserve"> of that purchasing, and the emissions intensity of </w:t>
      </w:r>
      <w:r w:rsidR="00826436">
        <w:t xml:space="preserve">supply chains. </w:t>
      </w:r>
    </w:p>
    <w:p w14:paraId="3B0E7550" w14:textId="2D55ED23" w:rsidR="001E4ABD" w:rsidRDefault="001E4ABD" w:rsidP="001E4ABD">
      <w:pPr>
        <w:pStyle w:val="Heading1"/>
      </w:pPr>
      <w:r>
        <w:t>Work Package 2 – Reporting</w:t>
      </w:r>
    </w:p>
    <w:p w14:paraId="27B7C52D" w14:textId="7E3DFC17" w:rsidR="009F626C" w:rsidRDefault="00B115FE">
      <w:r>
        <w:t xml:space="preserve">A report will be produced presenting the produced metrics for a </w:t>
      </w:r>
      <w:r w:rsidR="00A8630A">
        <w:t>small number of industrial subsectors</w:t>
      </w:r>
      <w:r w:rsidR="00A8630A">
        <w:rPr>
          <w:rStyle w:val="FootnoteReference"/>
        </w:rPr>
        <w:footnoteReference w:id="1"/>
      </w:r>
      <w:r w:rsidR="0083273F">
        <w:t xml:space="preserve"> and assessing the feasibility to </w:t>
      </w:r>
      <w:r w:rsidR="008D7941">
        <w:t>annual</w:t>
      </w:r>
      <w:r w:rsidR="005250ED">
        <w:t xml:space="preserve">ly release similar metrics for the </w:t>
      </w:r>
      <w:r w:rsidR="009F626C">
        <w:t>wider UK industrial sector. This</w:t>
      </w:r>
      <w:r w:rsidR="008C5C50">
        <w:t xml:space="preserve"> report</w:t>
      </w:r>
      <w:r w:rsidR="009F626C">
        <w:t xml:space="preserve"> will incl</w:t>
      </w:r>
      <w:r w:rsidR="000460AA">
        <w:t>ude:</w:t>
      </w:r>
    </w:p>
    <w:p w14:paraId="130DCA1D" w14:textId="1CDB08A0" w:rsidR="000C0F54" w:rsidRDefault="000C0F54" w:rsidP="000460AA">
      <w:pPr>
        <w:pStyle w:val="ListParagraph"/>
        <w:numPr>
          <w:ilvl w:val="0"/>
          <w:numId w:val="3"/>
        </w:numPr>
      </w:pPr>
      <w:r>
        <w:t xml:space="preserve">The potential for the metrics to </w:t>
      </w:r>
      <w:r w:rsidR="007A57BF">
        <w:t>indicate areas of potential for resource efficiency, and to track improvements in resource efficiency</w:t>
      </w:r>
      <w:r w:rsidR="00B31D38">
        <w:t>.</w:t>
      </w:r>
    </w:p>
    <w:p w14:paraId="6A64F348" w14:textId="16C1D486" w:rsidR="000460AA" w:rsidRDefault="000460AA" w:rsidP="000460AA">
      <w:pPr>
        <w:pStyle w:val="ListParagraph"/>
        <w:numPr>
          <w:ilvl w:val="0"/>
          <w:numId w:val="3"/>
        </w:numPr>
      </w:pPr>
      <w:r>
        <w:t>The advantages and limitations of the method.</w:t>
      </w:r>
      <w:r w:rsidR="00A915EA">
        <w:t xml:space="preserve"> Including extensions that may overcome such limitations.</w:t>
      </w:r>
    </w:p>
    <w:p w14:paraId="4B6D19C0" w14:textId="4485D435" w:rsidR="000C0F54" w:rsidRDefault="00B31D38" w:rsidP="000460AA">
      <w:pPr>
        <w:pStyle w:val="ListParagraph"/>
        <w:numPr>
          <w:ilvl w:val="0"/>
          <w:numId w:val="3"/>
        </w:numPr>
      </w:pPr>
      <w:r>
        <w:t>The possibility to extend the method to</w:t>
      </w:r>
      <w:r w:rsidR="00A845D7">
        <w:t xml:space="preserve"> related metrics and</w:t>
      </w:r>
      <w:r>
        <w:t xml:space="preserve"> additional impacts (beyond emissions).</w:t>
      </w:r>
    </w:p>
    <w:p w14:paraId="10C89E73" w14:textId="3AF7F58D" w:rsidR="00D20162" w:rsidRDefault="00D20162" w:rsidP="000460AA">
      <w:pPr>
        <w:pStyle w:val="ListParagraph"/>
        <w:numPr>
          <w:ilvl w:val="0"/>
          <w:numId w:val="3"/>
        </w:numPr>
      </w:pPr>
      <w:r>
        <w:t xml:space="preserve">The feasibility of undertaking this method </w:t>
      </w:r>
      <w:r w:rsidR="000C7E3E">
        <w:t xml:space="preserve">annually </w:t>
      </w:r>
      <w:r>
        <w:t>for the full industrial sector.</w:t>
      </w:r>
    </w:p>
    <w:p w14:paraId="5B1A24F2" w14:textId="77999002" w:rsidR="001157C5" w:rsidRDefault="00570522" w:rsidP="00D60BD1">
      <w:r>
        <w:lastRenderedPageBreak/>
        <w:t xml:space="preserve">The focus of this work will be the upstream </w:t>
      </w:r>
      <w:r w:rsidR="001157C5">
        <w:t>emissions of the industrial sectors.</w:t>
      </w:r>
    </w:p>
    <w:p w14:paraId="012B5A54" w14:textId="50D0667D" w:rsidR="00415AEB" w:rsidRDefault="00415AEB" w:rsidP="00EE1EFA">
      <w:pPr>
        <w:pStyle w:val="Heading1"/>
      </w:pPr>
      <w:commentRangeStart w:id="2"/>
      <w:r>
        <w:t>Costings</w:t>
      </w:r>
      <w:r w:rsidR="00C36D8A">
        <w:t xml:space="preserve"> </w:t>
      </w:r>
      <w:commentRangeEnd w:id="2"/>
      <w:r w:rsidR="004E77EC">
        <w:rPr>
          <w:rStyle w:val="CommentReference"/>
          <w:rFonts w:asciiTheme="minorHAnsi" w:eastAsiaTheme="minorHAnsi" w:hAnsiTheme="minorHAnsi" w:cstheme="minorBidi"/>
          <w:color w:val="auto"/>
          <w:kern w:val="2"/>
          <w14:ligatures w14:val="standardContextual"/>
        </w:rPr>
        <w:commentReference w:id="2"/>
      </w:r>
      <w:r w:rsidR="00C36D8A">
        <w:t>and timeline</w:t>
      </w:r>
    </w:p>
    <w:p w14:paraId="3F7392E0" w14:textId="77777777" w:rsidR="001E4ABD" w:rsidRPr="001E4ABD" w:rsidRDefault="001E4ABD" w:rsidP="001E4A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5"/>
        <w:gridCol w:w="1111"/>
        <w:gridCol w:w="1112"/>
        <w:gridCol w:w="1112"/>
      </w:tblGrid>
      <w:tr w:rsidR="00415AEB" w14:paraId="6DABD3A5" w14:textId="77777777" w:rsidTr="00677C42">
        <w:tc>
          <w:tcPr>
            <w:tcW w:w="2345" w:type="dxa"/>
          </w:tcPr>
          <w:p w14:paraId="7734EF1A" w14:textId="77777777" w:rsidR="00415AEB" w:rsidRPr="00F2264D" w:rsidRDefault="00415AEB" w:rsidP="00677C42">
            <w:pPr>
              <w:rPr>
                <w:b/>
              </w:rPr>
            </w:pPr>
            <w:r w:rsidRPr="00F2264D">
              <w:rPr>
                <w:b/>
              </w:rPr>
              <w:t>Staff member</w:t>
            </w:r>
          </w:p>
        </w:tc>
        <w:tc>
          <w:tcPr>
            <w:tcW w:w="3335" w:type="dxa"/>
            <w:gridSpan w:val="3"/>
          </w:tcPr>
          <w:p w14:paraId="44C5A731" w14:textId="77777777" w:rsidR="00415AEB" w:rsidRPr="00F2264D" w:rsidRDefault="00415AEB" w:rsidP="00677C42">
            <w:pPr>
              <w:rPr>
                <w:b/>
              </w:rPr>
            </w:pPr>
            <w:r w:rsidRPr="00F2264D">
              <w:rPr>
                <w:b/>
              </w:rPr>
              <w:t>Days allocated</w:t>
            </w:r>
          </w:p>
        </w:tc>
      </w:tr>
      <w:tr w:rsidR="00415AEB" w14:paraId="3BEA363A" w14:textId="77777777" w:rsidTr="00677C42">
        <w:tc>
          <w:tcPr>
            <w:tcW w:w="2345" w:type="dxa"/>
          </w:tcPr>
          <w:p w14:paraId="73E360C4" w14:textId="77777777" w:rsidR="00415AEB" w:rsidRDefault="00415AEB" w:rsidP="00677C42"/>
        </w:tc>
        <w:tc>
          <w:tcPr>
            <w:tcW w:w="1111" w:type="dxa"/>
          </w:tcPr>
          <w:p w14:paraId="75043AE8" w14:textId="77777777" w:rsidR="00415AEB" w:rsidRPr="00F2264D" w:rsidRDefault="00415AEB" w:rsidP="00677C42">
            <w:pPr>
              <w:jc w:val="center"/>
              <w:rPr>
                <w:i/>
              </w:rPr>
            </w:pPr>
            <w:r w:rsidRPr="00F2264D">
              <w:rPr>
                <w:i/>
              </w:rPr>
              <w:t>WP 1</w:t>
            </w:r>
          </w:p>
        </w:tc>
        <w:tc>
          <w:tcPr>
            <w:tcW w:w="1112" w:type="dxa"/>
          </w:tcPr>
          <w:p w14:paraId="3E54D24A" w14:textId="77777777" w:rsidR="00415AEB" w:rsidRPr="00F2264D" w:rsidRDefault="00415AEB" w:rsidP="00677C42">
            <w:pPr>
              <w:jc w:val="center"/>
              <w:rPr>
                <w:i/>
              </w:rPr>
            </w:pPr>
            <w:r w:rsidRPr="00F2264D">
              <w:rPr>
                <w:i/>
              </w:rPr>
              <w:t>WP 2</w:t>
            </w:r>
          </w:p>
        </w:tc>
        <w:tc>
          <w:tcPr>
            <w:tcW w:w="1112" w:type="dxa"/>
          </w:tcPr>
          <w:p w14:paraId="57142C09" w14:textId="77777777" w:rsidR="00415AEB" w:rsidRPr="00F2264D" w:rsidRDefault="00415AEB" w:rsidP="00677C42">
            <w:pPr>
              <w:jc w:val="center"/>
              <w:rPr>
                <w:b/>
              </w:rPr>
            </w:pPr>
            <w:r w:rsidRPr="00F2264D">
              <w:rPr>
                <w:b/>
              </w:rPr>
              <w:t>Total</w:t>
            </w:r>
          </w:p>
        </w:tc>
      </w:tr>
      <w:tr w:rsidR="00415AEB" w14:paraId="4EBCF60A" w14:textId="77777777" w:rsidTr="00677C42">
        <w:tc>
          <w:tcPr>
            <w:tcW w:w="2345" w:type="dxa"/>
          </w:tcPr>
          <w:p w14:paraId="232F2A8F" w14:textId="796D6082" w:rsidR="00415AEB" w:rsidRDefault="00415AEB" w:rsidP="00677C42">
            <w:r>
              <w:t xml:space="preserve">Jonathan Norman </w:t>
            </w:r>
          </w:p>
        </w:tc>
        <w:tc>
          <w:tcPr>
            <w:tcW w:w="1111" w:type="dxa"/>
          </w:tcPr>
          <w:p w14:paraId="63808178" w14:textId="121AAB1D" w:rsidR="00415AEB" w:rsidRDefault="00415AEB" w:rsidP="00677C42">
            <w:pPr>
              <w:jc w:val="center"/>
            </w:pPr>
          </w:p>
        </w:tc>
        <w:tc>
          <w:tcPr>
            <w:tcW w:w="1112" w:type="dxa"/>
          </w:tcPr>
          <w:p w14:paraId="53F3CA69" w14:textId="44D3F2E9" w:rsidR="00415AEB" w:rsidRDefault="00415AEB" w:rsidP="00677C42">
            <w:pPr>
              <w:jc w:val="center"/>
            </w:pPr>
          </w:p>
        </w:tc>
        <w:tc>
          <w:tcPr>
            <w:tcW w:w="1112" w:type="dxa"/>
          </w:tcPr>
          <w:p w14:paraId="4AA8F49D" w14:textId="057DC3FA" w:rsidR="00415AEB" w:rsidRPr="00F2264D" w:rsidRDefault="00415AEB" w:rsidP="00677C42">
            <w:pPr>
              <w:jc w:val="center"/>
              <w:rPr>
                <w:b/>
              </w:rPr>
            </w:pPr>
          </w:p>
        </w:tc>
      </w:tr>
      <w:tr w:rsidR="00415AEB" w14:paraId="431BF8A6" w14:textId="77777777" w:rsidTr="00677C42">
        <w:tc>
          <w:tcPr>
            <w:tcW w:w="2345" w:type="dxa"/>
          </w:tcPr>
          <w:p w14:paraId="4237B0A7" w14:textId="536DF227" w:rsidR="00415AEB" w:rsidRDefault="001E4ABD" w:rsidP="00677C42">
            <w:r>
              <w:t>Lena Kilian</w:t>
            </w:r>
          </w:p>
        </w:tc>
        <w:tc>
          <w:tcPr>
            <w:tcW w:w="1111" w:type="dxa"/>
          </w:tcPr>
          <w:p w14:paraId="6D80DA65" w14:textId="14CD6AE7" w:rsidR="00415AEB" w:rsidRDefault="00415AEB" w:rsidP="00677C42">
            <w:pPr>
              <w:jc w:val="center"/>
            </w:pPr>
          </w:p>
        </w:tc>
        <w:tc>
          <w:tcPr>
            <w:tcW w:w="1112" w:type="dxa"/>
          </w:tcPr>
          <w:p w14:paraId="03474BD5" w14:textId="77BC7B26" w:rsidR="00415AEB" w:rsidRDefault="00415AEB" w:rsidP="00677C42">
            <w:pPr>
              <w:jc w:val="center"/>
            </w:pPr>
          </w:p>
        </w:tc>
        <w:tc>
          <w:tcPr>
            <w:tcW w:w="1112" w:type="dxa"/>
          </w:tcPr>
          <w:p w14:paraId="6134D6A9" w14:textId="2423428A" w:rsidR="00415AEB" w:rsidRDefault="00415AEB" w:rsidP="00677C42">
            <w:pPr>
              <w:jc w:val="center"/>
              <w:rPr>
                <w:b/>
              </w:rPr>
            </w:pPr>
          </w:p>
        </w:tc>
      </w:tr>
      <w:tr w:rsidR="001E4ABD" w14:paraId="11B43063" w14:textId="77777777" w:rsidTr="00677C42">
        <w:tc>
          <w:tcPr>
            <w:tcW w:w="2345" w:type="dxa"/>
          </w:tcPr>
          <w:p w14:paraId="6B087CB6" w14:textId="3F784F0F" w:rsidR="001E4ABD" w:rsidRDefault="001E4ABD" w:rsidP="00677C42">
            <w:r>
              <w:t>Anne Owen</w:t>
            </w:r>
          </w:p>
        </w:tc>
        <w:tc>
          <w:tcPr>
            <w:tcW w:w="1111" w:type="dxa"/>
          </w:tcPr>
          <w:p w14:paraId="3FA53CAA" w14:textId="77777777" w:rsidR="001E4ABD" w:rsidRDefault="001E4ABD" w:rsidP="00677C42">
            <w:pPr>
              <w:jc w:val="center"/>
            </w:pPr>
          </w:p>
        </w:tc>
        <w:tc>
          <w:tcPr>
            <w:tcW w:w="1112" w:type="dxa"/>
          </w:tcPr>
          <w:p w14:paraId="41152AFC" w14:textId="77777777" w:rsidR="001E4ABD" w:rsidRDefault="001E4ABD" w:rsidP="00677C42">
            <w:pPr>
              <w:jc w:val="center"/>
            </w:pPr>
          </w:p>
        </w:tc>
        <w:tc>
          <w:tcPr>
            <w:tcW w:w="1112" w:type="dxa"/>
          </w:tcPr>
          <w:p w14:paraId="641EEE98" w14:textId="77777777" w:rsidR="001E4ABD" w:rsidRDefault="001E4ABD" w:rsidP="00677C42">
            <w:pPr>
              <w:jc w:val="center"/>
              <w:rPr>
                <w:b/>
              </w:rPr>
            </w:pPr>
          </w:p>
        </w:tc>
      </w:tr>
      <w:tr w:rsidR="00415AEB" w14:paraId="302599D4" w14:textId="77777777" w:rsidTr="00677C42">
        <w:tc>
          <w:tcPr>
            <w:tcW w:w="2345" w:type="dxa"/>
          </w:tcPr>
          <w:p w14:paraId="231ECE53" w14:textId="77777777" w:rsidR="00415AEB" w:rsidRPr="00F2264D" w:rsidRDefault="00415AEB" w:rsidP="00677C42">
            <w:pPr>
              <w:rPr>
                <w:b/>
              </w:rPr>
            </w:pPr>
            <w:r w:rsidRPr="00F2264D">
              <w:rPr>
                <w:b/>
              </w:rPr>
              <w:t>Total</w:t>
            </w:r>
          </w:p>
        </w:tc>
        <w:tc>
          <w:tcPr>
            <w:tcW w:w="1111" w:type="dxa"/>
          </w:tcPr>
          <w:p w14:paraId="6FDE0DB5" w14:textId="603F754B" w:rsidR="00415AEB" w:rsidRPr="00F2264D" w:rsidRDefault="00415AEB" w:rsidP="00677C42">
            <w:pPr>
              <w:jc w:val="center"/>
              <w:rPr>
                <w:b/>
              </w:rPr>
            </w:pPr>
          </w:p>
        </w:tc>
        <w:tc>
          <w:tcPr>
            <w:tcW w:w="1112" w:type="dxa"/>
          </w:tcPr>
          <w:p w14:paraId="34C0C480" w14:textId="1283AAE3" w:rsidR="00415AEB" w:rsidRPr="00F2264D" w:rsidRDefault="00415AEB" w:rsidP="00677C42">
            <w:pPr>
              <w:jc w:val="center"/>
              <w:rPr>
                <w:b/>
              </w:rPr>
            </w:pPr>
          </w:p>
        </w:tc>
        <w:tc>
          <w:tcPr>
            <w:tcW w:w="1112" w:type="dxa"/>
          </w:tcPr>
          <w:p w14:paraId="623F4421" w14:textId="278ACA67" w:rsidR="00415AEB" w:rsidRPr="00F2264D" w:rsidRDefault="00415AEB" w:rsidP="00677C42">
            <w:pPr>
              <w:jc w:val="center"/>
              <w:rPr>
                <w:b/>
              </w:rPr>
            </w:pPr>
          </w:p>
        </w:tc>
      </w:tr>
    </w:tbl>
    <w:p w14:paraId="2D8B2CD0" w14:textId="77777777" w:rsidR="00415AEB" w:rsidRDefault="00415AEB" w:rsidP="00415AEB"/>
    <w:p w14:paraId="07D8A0AD" w14:textId="2CBA8BB4" w:rsidR="00EE1EFA" w:rsidRDefault="00415AEB" w:rsidP="00C36D8A">
      <w:r>
        <w:t>The project can be delivered for the price of £10,000 excluding VAT</w:t>
      </w:r>
      <w:r w:rsidR="00EE1EFA">
        <w:t>.</w:t>
      </w:r>
      <w:r w:rsidR="00C36D8A">
        <w:t xml:space="preserve"> </w:t>
      </w:r>
    </w:p>
    <w:p w14:paraId="56DE38DC" w14:textId="5A560305" w:rsidR="00C36D8A" w:rsidRPr="00C36D8A" w:rsidRDefault="00C36D8A" w:rsidP="00C36D8A">
      <w:r>
        <w:t xml:space="preserve">The work will be undertaken between December 2024 and March 2025. </w:t>
      </w:r>
      <w:r w:rsidR="00CB0B38">
        <w:t>The report will be completed b</w:t>
      </w:r>
      <w:r w:rsidR="00A85385">
        <w:t>y</w:t>
      </w:r>
      <w:r w:rsidR="00CB0B38">
        <w:t xml:space="preserve"> the end of March 2025.</w:t>
      </w:r>
    </w:p>
    <w:sectPr w:rsidR="00C36D8A" w:rsidRPr="00C36D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Jonathan Norman" w:date="2024-11-11T11:20:00Z" w:initials="JN">
    <w:p w14:paraId="6709B773" w14:textId="77777777" w:rsidR="00C951CF" w:rsidRDefault="005C141C" w:rsidP="00C951CF">
      <w:pPr>
        <w:pStyle w:val="CommentText"/>
      </w:pPr>
      <w:r>
        <w:rPr>
          <w:rStyle w:val="CommentReference"/>
        </w:rPr>
        <w:annotationRef/>
      </w:r>
      <w:r w:rsidR="00C951CF">
        <w:t>Is it just recently, or has this been produced for a while?</w:t>
      </w:r>
    </w:p>
  </w:comment>
  <w:comment w:id="1" w:author="Author" w:date="2024-11-12T09:41:00Z" w:initials="AO">
    <w:p w14:paraId="564EEA48" w14:textId="77777777" w:rsidR="00E57812" w:rsidRDefault="00E57812" w:rsidP="00E57812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Just one year so far.</w:t>
      </w:r>
    </w:p>
  </w:comment>
  <w:comment w:id="2" w:author="Author" w:date="2024-11-12T09:43:00Z" w:initials="AO">
    <w:p w14:paraId="756C09BE" w14:textId="77777777" w:rsidR="004E77EC" w:rsidRDefault="004E77EC" w:rsidP="004E77EC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If there is space for a day for Lena and I that would be great. But with the plan to try and increase our rates this might not be feasible. You might get best value from just having lena!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709B773" w15:done="0"/>
  <w15:commentEx w15:paraId="564EEA48" w15:paraIdParent="6709B773" w15:done="0"/>
  <w15:commentEx w15:paraId="756C09B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ADC66E9" w16cex:dateUtc="2024-11-11T11:20:00Z"/>
  <w16cex:commentExtensible w16cex:durableId="43D42F24" w16cex:dateUtc="2024-11-12T09:41:00Z"/>
  <w16cex:commentExtensible w16cex:durableId="51D330AB" w16cex:dateUtc="2024-11-12T09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709B773" w16cid:durableId="2ADC66E9"/>
  <w16cid:commentId w16cid:paraId="564EEA48" w16cid:durableId="43D42F24"/>
  <w16cid:commentId w16cid:paraId="756C09BE" w16cid:durableId="51D330A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A476F6" w14:textId="77777777" w:rsidR="00317BFC" w:rsidRDefault="00317BFC" w:rsidP="00A8630A">
      <w:pPr>
        <w:spacing w:after="0" w:line="240" w:lineRule="auto"/>
      </w:pPr>
      <w:r>
        <w:separator/>
      </w:r>
    </w:p>
  </w:endnote>
  <w:endnote w:type="continuationSeparator" w:id="0">
    <w:p w14:paraId="721174FE" w14:textId="77777777" w:rsidR="00317BFC" w:rsidRDefault="00317BFC" w:rsidP="00A86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7BC69" w14:textId="77777777" w:rsidR="00317BFC" w:rsidRDefault="00317BFC" w:rsidP="00A8630A">
      <w:pPr>
        <w:spacing w:after="0" w:line="240" w:lineRule="auto"/>
      </w:pPr>
      <w:r>
        <w:separator/>
      </w:r>
    </w:p>
  </w:footnote>
  <w:footnote w:type="continuationSeparator" w:id="0">
    <w:p w14:paraId="68788718" w14:textId="77777777" w:rsidR="00317BFC" w:rsidRDefault="00317BFC" w:rsidP="00A8630A">
      <w:pPr>
        <w:spacing w:after="0" w:line="240" w:lineRule="auto"/>
      </w:pPr>
      <w:r>
        <w:continuationSeparator/>
      </w:r>
    </w:p>
  </w:footnote>
  <w:footnote w:id="1">
    <w:p w14:paraId="68E40C3C" w14:textId="049B092F" w:rsidR="00A8630A" w:rsidRDefault="00A8630A">
      <w:pPr>
        <w:pStyle w:val="FootnoteText"/>
      </w:pPr>
      <w:r>
        <w:rPr>
          <w:rStyle w:val="FootnoteReference"/>
        </w:rPr>
        <w:footnoteRef/>
      </w:r>
      <w:r>
        <w:t xml:space="preserve"> The </w:t>
      </w:r>
      <w:r w:rsidR="007D5832">
        <w:t xml:space="preserve">proposed </w:t>
      </w:r>
      <w:r>
        <w:t xml:space="preserve">subsectors for initial analysis </w:t>
      </w:r>
      <w:r w:rsidR="007D5832">
        <w:t>will be UK construction sectors (</w:t>
      </w:r>
      <w:r w:rsidR="00E52639">
        <w:t>Construction of Buildings, Civil Engineering and Specialised Construction Activities, SIC 41, 42 and 43 respectively).</w:t>
      </w:r>
      <w:r w:rsidR="007A789A">
        <w:t xml:space="preserve"> This will be confirmed</w:t>
      </w:r>
      <w:r>
        <w:t xml:space="preserve"> with DESNZ</w:t>
      </w:r>
      <w:r w:rsidR="007A789A">
        <w:t>.</w:t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D368C"/>
    <w:multiLevelType w:val="hybridMultilevel"/>
    <w:tmpl w:val="C686B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11E08"/>
    <w:multiLevelType w:val="hybridMultilevel"/>
    <w:tmpl w:val="C24A387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E091ED5"/>
    <w:multiLevelType w:val="hybridMultilevel"/>
    <w:tmpl w:val="F7F40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8435688">
    <w:abstractNumId w:val="1"/>
  </w:num>
  <w:num w:numId="2" w16cid:durableId="271983102">
    <w:abstractNumId w:val="0"/>
  </w:num>
  <w:num w:numId="3" w16cid:durableId="226234858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Jonathan Norman">
    <w15:presenceInfo w15:providerId="AD" w15:userId="S::earjnor@leeds.ac.uk::05672f9a-66e9-4a43-81a2-927d1d571d2a"/>
  </w15:person>
  <w15:person w15:author="Author">
    <w15:presenceInfo w15:providerId="None" w15:userId="Autho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210"/>
    <w:rsid w:val="00011B55"/>
    <w:rsid w:val="00041636"/>
    <w:rsid w:val="000460AA"/>
    <w:rsid w:val="0006044F"/>
    <w:rsid w:val="00060DA2"/>
    <w:rsid w:val="00091B02"/>
    <w:rsid w:val="000A30F8"/>
    <w:rsid w:val="000C0F54"/>
    <w:rsid w:val="000C7E3E"/>
    <w:rsid w:val="00100F18"/>
    <w:rsid w:val="001157C5"/>
    <w:rsid w:val="00126D5E"/>
    <w:rsid w:val="00126E33"/>
    <w:rsid w:val="00196537"/>
    <w:rsid w:val="001D3F11"/>
    <w:rsid w:val="001E4ABD"/>
    <w:rsid w:val="002121A3"/>
    <w:rsid w:val="0021756D"/>
    <w:rsid w:val="00257F7B"/>
    <w:rsid w:val="0026620E"/>
    <w:rsid w:val="002F1A74"/>
    <w:rsid w:val="00300CDA"/>
    <w:rsid w:val="00317BFC"/>
    <w:rsid w:val="00327CDF"/>
    <w:rsid w:val="00337924"/>
    <w:rsid w:val="003628BF"/>
    <w:rsid w:val="00376C31"/>
    <w:rsid w:val="003932DD"/>
    <w:rsid w:val="003A5906"/>
    <w:rsid w:val="003A7B95"/>
    <w:rsid w:val="003D6EB5"/>
    <w:rsid w:val="003E7412"/>
    <w:rsid w:val="004069B2"/>
    <w:rsid w:val="00415AEB"/>
    <w:rsid w:val="00442B35"/>
    <w:rsid w:val="004C5F04"/>
    <w:rsid w:val="004E77EC"/>
    <w:rsid w:val="005250ED"/>
    <w:rsid w:val="00526D30"/>
    <w:rsid w:val="00570522"/>
    <w:rsid w:val="00585E13"/>
    <w:rsid w:val="005C141C"/>
    <w:rsid w:val="005C1826"/>
    <w:rsid w:val="005F6FF1"/>
    <w:rsid w:val="0060200F"/>
    <w:rsid w:val="00603210"/>
    <w:rsid w:val="006231D7"/>
    <w:rsid w:val="00683A54"/>
    <w:rsid w:val="00684F27"/>
    <w:rsid w:val="006A4AF6"/>
    <w:rsid w:val="006C7587"/>
    <w:rsid w:val="006D0ACD"/>
    <w:rsid w:val="006F38BC"/>
    <w:rsid w:val="00701C93"/>
    <w:rsid w:val="00765781"/>
    <w:rsid w:val="00794372"/>
    <w:rsid w:val="007A57BF"/>
    <w:rsid w:val="007A789A"/>
    <w:rsid w:val="007B57A5"/>
    <w:rsid w:val="007D5832"/>
    <w:rsid w:val="00826436"/>
    <w:rsid w:val="0083273F"/>
    <w:rsid w:val="00854719"/>
    <w:rsid w:val="0085485B"/>
    <w:rsid w:val="008C5C50"/>
    <w:rsid w:val="008D7941"/>
    <w:rsid w:val="009037F0"/>
    <w:rsid w:val="00903D37"/>
    <w:rsid w:val="00911822"/>
    <w:rsid w:val="0091684D"/>
    <w:rsid w:val="0096629A"/>
    <w:rsid w:val="0097010D"/>
    <w:rsid w:val="009763D8"/>
    <w:rsid w:val="009B4B14"/>
    <w:rsid w:val="009D36D4"/>
    <w:rsid w:val="009F626C"/>
    <w:rsid w:val="00A62C94"/>
    <w:rsid w:val="00A649FA"/>
    <w:rsid w:val="00A76136"/>
    <w:rsid w:val="00A7723D"/>
    <w:rsid w:val="00A845D7"/>
    <w:rsid w:val="00A85385"/>
    <w:rsid w:val="00A8630A"/>
    <w:rsid w:val="00A915EA"/>
    <w:rsid w:val="00A93EDC"/>
    <w:rsid w:val="00B115FE"/>
    <w:rsid w:val="00B21768"/>
    <w:rsid w:val="00B31D38"/>
    <w:rsid w:val="00B340C6"/>
    <w:rsid w:val="00B72068"/>
    <w:rsid w:val="00B82476"/>
    <w:rsid w:val="00B94FD4"/>
    <w:rsid w:val="00BA387E"/>
    <w:rsid w:val="00BB2B1F"/>
    <w:rsid w:val="00BC7387"/>
    <w:rsid w:val="00C36D8A"/>
    <w:rsid w:val="00C459C0"/>
    <w:rsid w:val="00C951CF"/>
    <w:rsid w:val="00CA2738"/>
    <w:rsid w:val="00CA3181"/>
    <w:rsid w:val="00CB0B38"/>
    <w:rsid w:val="00CB1023"/>
    <w:rsid w:val="00CF4CF7"/>
    <w:rsid w:val="00D066A5"/>
    <w:rsid w:val="00D20162"/>
    <w:rsid w:val="00D378E0"/>
    <w:rsid w:val="00D539CA"/>
    <w:rsid w:val="00D60BD1"/>
    <w:rsid w:val="00D877F6"/>
    <w:rsid w:val="00DA19FA"/>
    <w:rsid w:val="00DE721F"/>
    <w:rsid w:val="00E52639"/>
    <w:rsid w:val="00E531B1"/>
    <w:rsid w:val="00E55710"/>
    <w:rsid w:val="00E5690C"/>
    <w:rsid w:val="00E57812"/>
    <w:rsid w:val="00E85FEE"/>
    <w:rsid w:val="00E96E47"/>
    <w:rsid w:val="00EE1EFA"/>
    <w:rsid w:val="00EE7B24"/>
    <w:rsid w:val="00F123D1"/>
    <w:rsid w:val="00F15C9D"/>
    <w:rsid w:val="00F254AF"/>
    <w:rsid w:val="00F33D63"/>
    <w:rsid w:val="00F60955"/>
    <w:rsid w:val="00FA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714CD"/>
  <w15:chartTrackingRefBased/>
  <w15:docId w15:val="{C5087BD4-C8CC-4F61-9B2D-1DE7447A1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3A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5A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29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7C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327CDF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1826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5C1826"/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683A5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5A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15AE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14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C14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C14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4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41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8630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8630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863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D31178-DF23-455C-9414-F9B38FAA2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434</Words>
  <Characters>2477</Characters>
  <Application>Microsoft Office Word</Application>
  <DocSecurity>0</DocSecurity>
  <Lines>20</Lines>
  <Paragraphs>5</Paragraphs>
  <ScaleCrop>false</ScaleCrop>
  <Company>University of Leeds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Norman</dc:creator>
  <cp:keywords/>
  <dc:description/>
  <cp:lastModifiedBy>Author</cp:lastModifiedBy>
  <cp:revision>4</cp:revision>
  <dcterms:created xsi:type="dcterms:W3CDTF">2024-11-12T09:41:00Z</dcterms:created>
  <dcterms:modified xsi:type="dcterms:W3CDTF">2024-11-12T09:43:00Z</dcterms:modified>
</cp:coreProperties>
</file>