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1A2E"/>
          <w:sz w:val="72"/>
        </w:rPr>
        <w:t>PlotLot v2</w:t>
      </w:r>
    </w:p>
    <w:p>
      <w:pPr>
        <w:jc w:val="center"/>
      </w:pPr>
      <w:r>
        <w:rPr>
          <w:b/>
          <w:color w:val="555577"/>
          <w:sz w:val="32"/>
        </w:rPr>
        <w:t>AI-Powered Zoning Analysis Platform</w:t>
        <w:br/>
        <w:t>Architecture &amp; System Design</w:t>
      </w:r>
    </w:p>
    <w:p>
      <w:pPr>
        <w:jc w:val="center"/>
      </w:pPr>
      <w:r>
        <w:rPr>
          <w:color w:val="777799"/>
          <w:sz w:val="22"/>
        </w:rPr>
        <w:t>Earl Perry | EP Engineering Lab</w:t>
        <w:br/>
        <w:t>South Florida Tri-County Coverage: Miami-Dade, Broward, Palm Beach</w:t>
        <w:br/>
        <w:t>104 Municipalities | 8,100+ Ordinance Chunks | Hybrid RAG Pipeline</w:t>
      </w:r>
    </w:p>
    <w:p>
      <w:r>
        <w:br w:type="page"/>
      </w:r>
    </w:p>
    <w:p>
      <w:pPr>
        <w:pStyle w:val="Heading1"/>
      </w:pPr>
      <w:r>
        <w:rPr>
          <w:color w:val="1A1A2E"/>
        </w:rPr>
        <w:t>Table of Contents</w:t>
      </w:r>
    </w:p>
    <w:p>
      <w:pPr>
        <w:spacing w:after="40"/>
      </w:pPr>
      <w:r>
        <w:t>1. Executive Summary</w:t>
      </w:r>
    </w:p>
    <w:p>
      <w:pPr>
        <w:spacing w:after="40"/>
      </w:pPr>
      <w:r>
        <w:t>2. System Overview</w:t>
      </w:r>
    </w:p>
    <w:p>
      <w:pPr>
        <w:spacing w:after="40"/>
      </w:pPr>
      <w:r>
        <w:t>3. Flow 1: Address Analysis Pipeline</w:t>
      </w:r>
    </w:p>
    <w:p>
      <w:pPr>
        <w:spacing w:after="40"/>
      </w:pPr>
      <w:r>
        <w:t>4. Flow 2: Data Ingestion Pipeline</w:t>
      </w:r>
    </w:p>
    <w:p>
      <w:pPr>
        <w:spacing w:after="40"/>
      </w:pPr>
      <w:r>
        <w:t>5. Flow 3: Conversational Chat Agent</w:t>
      </w:r>
    </w:p>
    <w:p>
      <w:pPr>
        <w:spacing w:after="40"/>
      </w:pPr>
      <w:r>
        <w:t>6. Complete Tech Stack</w:t>
      </w:r>
    </w:p>
    <w:p>
      <w:pPr>
        <w:spacing w:after="40"/>
      </w:pPr>
      <w:r>
        <w:t>7. LLM Provider Strategy</w:t>
      </w:r>
    </w:p>
    <w:p>
      <w:pPr>
        <w:spacing w:after="40"/>
      </w:pPr>
      <w:r>
        <w:t>8. Retrieval Architecture (Hybrid RAG)</w:t>
      </w:r>
    </w:p>
    <w:p>
      <w:pPr>
        <w:spacing w:after="40"/>
      </w:pPr>
      <w:r>
        <w:t>9. Data Model &amp; Storage</w:t>
      </w:r>
    </w:p>
    <w:p>
      <w:pPr>
        <w:spacing w:after="40"/>
      </w:pPr>
      <w:r>
        <w:t>10. Observability &amp; Tracing</w:t>
      </w:r>
    </w:p>
    <w:p>
      <w:pPr>
        <w:spacing w:after="40"/>
      </w:pPr>
      <w:r>
        <w:t>11. Deployment Architecture</w:t>
      </w:r>
    </w:p>
    <w:p>
      <w:pPr>
        <w:spacing w:after="40"/>
      </w:pPr>
      <w:r>
        <w:t>12. Prefect Orchestration (Pipeline Layer)</w:t>
      </w:r>
    </w:p>
    <w:p>
      <w:pPr>
        <w:spacing w:after="40"/>
      </w:pPr>
      <w:r>
        <w:t>13. Production Patterns Applied</w:t>
      </w:r>
    </w:p>
    <w:p>
      <w:pPr>
        <w:spacing w:after="40"/>
      </w:pPr>
      <w:r>
        <w:t>14. Current Data Coverage</w:t>
      </w:r>
    </w:p>
    <w:p>
      <w:r>
        <w:br w:type="page"/>
      </w:r>
    </w:p>
    <w:p>
      <w:pPr>
        <w:pStyle w:val="Heading1"/>
      </w:pPr>
      <w:r>
        <w:rPr>
          <w:color w:val="1A1A2E"/>
        </w:rPr>
        <w:t>1. Executive Summary</w:t>
      </w:r>
    </w:p>
    <w:p>
      <w:r>
        <w:t>PlotLot v2 is a production-grade AI zoning analysis platform that answers the question: "What can I build on this lot?" for any property in South Florida's tri-county area (Miami-Dade, Broward, Palm Beach — 104 municipalities).</w:t>
      </w:r>
    </w:p>
    <w:p>
      <w:r>
        <w:t>The system combines deterministic data gathering (geocoding, county ArcGIS APIs, property appraiser records) with agentic LLM analysis (NVIDIA NIM + Gemini fallback) and a hybrid RAG retrieval pipeline (pgvector + full-text search + Reciprocal Rank Fusion) to deliver structured zoning reports with numeric dimensional standards and max-units calculations.</w:t>
      </w:r>
    </w:p>
    <w:p>
      <w:pPr>
        <w:pStyle w:val="Heading3"/>
      </w:pPr>
      <w:r>
        <w:t>Key Metrics</w:t>
      </w:r>
    </w:p>
    <w:tbl>
      <w:tblPr>
        <w:tblStyle w:val="LightGrid-Accent1"/>
        <w:tblW w:type="auto" w:w="0"/>
        <w:jc w:val="center"/>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Municipalities Covered</w:t>
            </w:r>
          </w:p>
        </w:tc>
        <w:tc>
          <w:tcPr>
            <w:tcW w:type="dxa" w:w="4320"/>
          </w:tcPr>
          <w:p>
            <w:r>
              <w:t>104 across 3 counties</w:t>
            </w:r>
          </w:p>
        </w:tc>
      </w:tr>
      <w:tr>
        <w:tc>
          <w:tcPr>
            <w:tcW w:type="dxa" w:w="4320"/>
          </w:tcPr>
          <w:p>
            <w:r>
              <w:t>Ordinance Chunks in DB</w:t>
            </w:r>
          </w:p>
        </w:tc>
        <w:tc>
          <w:tcPr>
            <w:tcW w:type="dxa" w:w="4320"/>
          </w:tcPr>
          <w:p>
            <w:r>
              <w:t>8,100+ across 5 municipalities (88 discoverable)</w:t>
            </w:r>
          </w:p>
        </w:tc>
      </w:tr>
      <w:tr>
        <w:tc>
          <w:tcPr>
            <w:tcW w:type="dxa" w:w="4320"/>
          </w:tcPr>
          <w:p>
            <w:r>
              <w:t>Embedding Model</w:t>
            </w:r>
          </w:p>
        </w:tc>
        <w:tc>
          <w:tcPr>
            <w:tcW w:type="dxa" w:w="4320"/>
          </w:tcPr>
          <w:p>
            <w:r>
              <w:t>NVIDIA NIM nv-embedqa-e5-v5 (1024 dimensions)</w:t>
            </w:r>
          </w:p>
        </w:tc>
      </w:tr>
      <w:tr>
        <w:tc>
          <w:tcPr>
            <w:tcW w:type="dxa" w:w="4320"/>
          </w:tcPr>
          <w:p>
            <w:r>
              <w:t>LLM Primary</w:t>
            </w:r>
          </w:p>
        </w:tc>
        <w:tc>
          <w:tcPr>
            <w:tcW w:type="dxa" w:w="4320"/>
          </w:tcPr>
          <w:p>
            <w:r>
              <w:t>NVIDIA NIM Llama 3.3 70B Instruct</w:t>
            </w:r>
          </w:p>
        </w:tc>
      </w:tr>
      <w:tr>
        <w:tc>
          <w:tcPr>
            <w:tcW w:type="dxa" w:w="4320"/>
          </w:tcPr>
          <w:p>
            <w:r>
              <w:t>LLM Fallback</w:t>
            </w:r>
          </w:p>
        </w:tc>
        <w:tc>
          <w:tcPr>
            <w:tcW w:type="dxa" w:w="4320"/>
          </w:tcPr>
          <w:p>
            <w:r>
              <w:t>Google Gemini 2.5 Flash</w:t>
            </w:r>
          </w:p>
        </w:tc>
      </w:tr>
      <w:tr>
        <w:tc>
          <w:tcPr>
            <w:tcW w:type="dxa" w:w="4320"/>
          </w:tcPr>
          <w:p>
            <w:r>
              <w:t>Response Time (P50)</w:t>
            </w:r>
          </w:p>
        </w:tc>
        <w:tc>
          <w:tcPr>
            <w:tcW w:type="dxa" w:w="4320"/>
          </w:tcPr>
          <w:p>
            <w:r>
              <w:t>15-25 seconds end-to-end</w:t>
            </w:r>
          </w:p>
        </w:tc>
      </w:tr>
      <w:tr>
        <w:tc>
          <w:tcPr>
            <w:tcW w:type="dxa" w:w="4320"/>
          </w:tcPr>
          <w:p>
            <w:r>
              <w:t>Confidence Scoring</w:t>
            </w:r>
          </w:p>
        </w:tc>
        <w:tc>
          <w:tcPr>
            <w:tcW w:type="dxa" w:w="4320"/>
          </w:tcPr>
          <w:p>
            <w:r>
              <w:t>3-tier: high / medium / low with constraint breakdown</w:t>
            </w:r>
          </w:p>
        </w:tc>
      </w:tr>
      <w:tr>
        <w:tc>
          <w:tcPr>
            <w:tcW w:type="dxa" w:w="4320"/>
          </w:tcPr>
          <w:p>
            <w:r>
              <w:t>Deployment Cost</w:t>
            </w:r>
          </w:p>
        </w:tc>
        <w:tc>
          <w:tcPr>
            <w:tcW w:type="dxa" w:w="4320"/>
          </w:tcPr>
          <w:p>
            <w:r>
              <w:t>$0/month (all free tiers)</w:t>
            </w:r>
          </w:p>
        </w:tc>
      </w:tr>
    </w:tbl>
    <w:p>
      <w:r>
        <w:br w:type="page"/>
      </w:r>
    </w:p>
    <w:p>
      <w:pPr>
        <w:pStyle w:val="Heading1"/>
      </w:pPr>
      <w:r>
        <w:rPr>
          <w:color w:val="1A1A2E"/>
        </w:rPr>
        <w:t>2. System Overview</w:t>
      </w:r>
    </w:p>
    <w:p>
      <w:r>
        <w:t>PlotLot follows a hybrid architecture that separates deterministic data gathering from agentic AI reasoning. This is more reliable than pure agentic approaches — the data gathering steps are always the same, so we don't waste LLM turns on orchestration. The LLM focuses on what it's good at: reasoning over the collected data.</w:t>
      </w:r>
    </w:p>
    <w:p>
      <w:pPr>
        <w:pStyle w:val="Heading3"/>
      </w:pPr>
      <w:r>
        <w:t>Three Core Flows</w:t>
      </w:r>
    </w:p>
    <w:p>
      <w:r>
        <w:rPr>
          <w:b/>
        </w:rPr>
        <w:t xml:space="preserve">Address Analysis (Pipeline): </w:t>
      </w:r>
      <w:r>
        <w:t>User enters address → geocode → property lookup → hybrid search → agentic LLM analysis → deterministic calculation → structured report</w:t>
      </w:r>
    </w:p>
    <w:p>
      <w:r>
        <w:rPr>
          <w:b/>
        </w:rPr>
        <w:t xml:space="preserve">Data Ingestion: </w:t>
      </w:r>
      <w:r>
        <w:t>Municode auto-discovery → scrape ordinance text → semantic chunking → NVIDIA NIM embedding → validation → pgvector storage</w:t>
      </w:r>
    </w:p>
    <w:p>
      <w:r>
        <w:rPr>
          <w:b/>
        </w:rPr>
        <w:t xml:space="preserve">Conversational Chat: </w:t>
      </w:r>
      <w:r>
        <w:t>User asks questions → agentic tool use (10 tools) → hybrid RAG retrieval → streaming SSE response</w:t>
      </w:r>
    </w:p>
    <w:p>
      <w:r>
        <w:br w:type="page"/>
      </w:r>
    </w:p>
    <w:p>
      <w:pPr>
        <w:pStyle w:val="Heading1"/>
      </w:pPr>
      <w:r>
        <w:rPr>
          <w:color w:val="1A1A2E"/>
        </w:rPr>
        <w:t>3. Flow 1: Address Analysis Pipeline</w:t>
      </w:r>
    </w:p>
    <w:p>
      <w:r>
        <w:t>The address analysis pipeline is the core product. When a user submits a property address, the system executes a 3-phase pipeline: deterministic data gathering, agentic LLM analysis, and deterministic max-units calculation.</w:t>
      </w:r>
    </w:p>
    <w:p>
      <w:pPr>
        <w:pStyle w:val="Heading3"/>
      </w:pPr>
      <w:r>
        <w:t>Pipeline Flow</w:t>
      </w:r>
    </w:p>
    <w:p>
      <w:pPr>
        <w:spacing w:before="80" w:after="160"/>
      </w:pPr>
      <w:r>
        <w:rPr>
          <w:rFonts w:ascii="Courier New" w:hAnsi="Courier New"/>
          <w:color w:val="333333"/>
          <w:sz w:val="16"/>
        </w:rPr>
        <w:br/>
        <w:t>USER (Browser)</w:t>
        <w:br/>
        <w:t xml:space="preserve">  |</w:t>
        <w:br/>
        <w:t xml:space="preserve">  | HTTPS POST /api/v1/analyze/stream (SSE)</w:t>
        <w:br/>
        <w:t xml:space="preserve">  v</w:t>
        <w:br/>
        <w:t>VERCEL (Next.js 16 + React 19 + Tailwind CSS 4)</w:t>
        <w:br/>
        <w:t xml:space="preserve">  |</w:t>
        <w:br/>
        <w:t xml:space="preserve">  | Server-Sent Events</w:t>
        <w:br/>
        <w:t xml:space="preserve">  v</w:t>
        <w:br/>
        <w:t>RENDER (FastAPI + Docker + Uvicorn)</w:t>
        <w:br/>
        <w:t xml:space="preserve">  |</w:t>
        <w:br/>
        <w:t xml:space="preserve">  +-- VALIDATION GATE</w:t>
        <w:br/>
        <w:t xml:space="preserve">  |   - County boundary check (Miami-Dade, Broward, Palm Beach only)</w:t>
        <w:br/>
        <w:t xml:space="preserve">  |   - Geocode accuracy check (reject &lt; 0.8)</w:t>
        <w:br/>
        <w:t xml:space="preserve">  |</w:t>
        <w:br/>
        <w:t xml:space="preserve">  +-- MLflow TRACING START (@trace decorator)</w:t>
        <w:br/>
        <w:t xml:space="preserve">  |   - Experiment: "plotlot-rag"</w:t>
        <w:br/>
        <w:t xml:space="preserve">  |   - Backend: Neon PostgreSQL (persistent)</w:t>
        <w:br/>
        <w:t xml:space="preserve">  |</w:t>
        <w:br/>
        <w:t xml:space="preserve">  =============================================</w:t>
        <w:br/>
        <w:t xml:space="preserve">  PHASE 1: DETERMINISTIC DATA GATHERING</w:t>
        <w:br/>
        <w:t xml:space="preserve">  =============================================</w:t>
        <w:br/>
        <w:t xml:space="preserve">  |</w:t>
        <w:br/>
        <w:t xml:space="preserve">  +-- Step 1: GEOCODE (Geocodio API)</w:t>
        <w:br/>
        <w:t xml:space="preserve">  |   - Input:  "123 Main St, Miami, FL"</w:t>
        <w:br/>
        <w:t xml:space="preserve">  |   - Output: municipality, county, lat, lng, accuracy</w:t>
        <w:br/>
        <w:t xml:space="preserve">  |   - Cache:  In-memory, SHA256 key, 1hr TTL</w:t>
        <w:br/>
        <w:t xml:space="preserve">  |</w:t>
        <w:br/>
        <w:t xml:space="preserve">  +-- Step 2: PROPERTY LOOKUP (County ArcGIS REST APIs)</w:t>
        <w:br/>
        <w:t xml:space="preserve">  |   - Miami-Dade:  2-layer (property + spatial zoning)</w:t>
        <w:br/>
        <w:t xml:space="preserve">  |   - Broward:     Parcel layer + directional prefix handling</w:t>
        <w:br/>
        <w:t xml:space="preserve">  |   - Palm Beach:  Spatial zoning endpoint</w:t>
        <w:br/>
        <w:t xml:space="preserve">  |   - Output: PropertyRecord (folio, zoning_code, lot_size,</w:t>
        <w:br/>
        <w:t xml:space="preserve">  |             owner, bedrooms, assessed_value, etc.)</w:t>
        <w:br/>
        <w:t xml:space="preserve">  |</w:t>
        <w:br/>
        <w:t xml:space="preserve">  +-- Step 3: HYBRID SEARCH (Neon PostgreSQL + pgvector)</w:t>
        <w:br/>
        <w:t xml:space="preserve">  |   - Query: property's zoning code (e.g., "RS-1")</w:t>
        <w:br/>
        <w:t xml:space="preserve">  |   - Vector: NVIDIA NIM embedding (1024d) &lt;=&gt; query embedding</w:t>
        <w:br/>
        <w:t xml:space="preserve">  |   - Full-text: tsvector @@ plainto_tsquery</w:t>
        <w:br/>
        <w:t xml:space="preserve">  |   - Fusion: RRF (k=60), pool_size = 45 candidates</w:t>
        <w:br/>
        <w:t xml:space="preserve">  |   - Output: Top 15 ordinance chunks</w:t>
        <w:br/>
        <w:t xml:space="preserve">  |</w:t>
        <w:br/>
        <w:t xml:space="preserve">  =============================================</w:t>
        <w:br/>
        <w:t xml:space="preserve">  PHASE 2: AGENTIC LLM ANALYSIS (max 3 turns)</w:t>
        <w:br/>
        <w:t xml:space="preserve">  =============================================</w:t>
        <w:br/>
        <w:t xml:space="preserve">  |</w:t>
        <w:br/>
        <w:t xml:space="preserve">  +-- LLM PROVIDER: NVIDIA NIM Llama 3.3 70B (primary)</w:t>
        <w:br/>
        <w:t xml:space="preserve">  |   - Intra-model fallback: Llama 3.3 -&gt; Kimi K2.5</w:t>
        <w:br/>
        <w:t xml:space="preserve">  |   - Provider fallback: NVIDIA -&gt; Google Gemini 2.5 Flash</w:t>
        <w:br/>
        <w:t xml:space="preserve">  |   - Circuit breakers per provider/model</w:t>
        <w:br/>
        <w:t xml:space="preserve">  |   - Config: temp=0.1, max_tokens=4000</w:t>
        <w:br/>
        <w:t xml:space="preserve">  |   - Retry: 2x exponential backoff</w:t>
        <w:br/>
        <w:t xml:space="preserve">  |</w:t>
        <w:br/>
        <w:t xml:space="preserve">  +-- TOOLS AVAILABLE:</w:t>
        <w:br/>
        <w:t xml:space="preserve">  |   - search_zoning_ordinance -&gt; hybrid_search() for more data</w:t>
        <w:br/>
        <w:t xml:space="preserve">  |   - submit_report -&gt; NumericZoningParams extraction</w:t>
        <w:br/>
        <w:t xml:space="preserve">  |</w:t>
        <w:br/>
        <w:t xml:space="preserve">  +-- OUTPUT: ZoningReport with NumericZoningParams</w:t>
        <w:br/>
        <w:t xml:space="preserve">  |   (setbacks, density, FAR, height, lot coverage, etc.)</w:t>
        <w:br/>
        <w:t xml:space="preserve">  |</w:t>
        <w:br/>
        <w:t xml:space="preserve">  =============================================</w:t>
        <w:br/>
        <w:t xml:space="preserve">  PHASE 3: DETERMINISTIC CALCULATION</w:t>
        <w:br/>
        <w:t xml:space="preserve">  =============================================</w:t>
        <w:br/>
        <w:t xml:space="preserve">  |</w:t>
        <w:br/>
        <w:t xml:space="preserve">  +-- DENSITY CALCULATOR</w:t>
        <w:br/>
        <w:t xml:space="preserve">  |   - Constraint 1: Density (units/acre x lot_sqft / 43,560)</w:t>
        <w:br/>
        <w:t xml:space="preserve">  |   - Constraint 2: Min Lot Area (lot_sqft / min_per_unit)</w:t>
        <w:br/>
        <w:t xml:space="preserve">  |   - Constraint 3: FAR ((FAR x lot_sqft) / min_unit_size)</w:t>
        <w:br/>
        <w:t xml:space="preserve">  |   - Constraint 4: Buildable Envelope (setback-reduced area)</w:t>
        <w:br/>
        <w:t xml:space="preserve">  |   - Governing = min(all constraints)</w:t>
        <w:br/>
        <w:t xml:space="preserve">  |   - Confidence: 3+ constraints = high, 2 = medium, 1 = low</w:t>
        <w:br/>
        <w:t xml:space="preserve">  |</w:t>
        <w:br/>
        <w:t xml:space="preserve">  v</w:t>
        <w:br/>
        <w:t>RESPONSE (ZoningReportResponse via Pydantic)</w:t>
        <w:br/>
        <w:t xml:space="preserve">  - zoning_district, description, setbacks</w:t>
        <w:br/>
        <w:t xml:space="preserve">  - numeric_params (all extracted values)</w:t>
        <w:br/>
        <w:t xml:space="preserve">  - density_analysis (max_units + constraint breakdown)</w:t>
        <w:br/>
        <w:t xml:space="preserve">  - property_record, confidence, sources</w:t>
        <w:br/>
        <w:t xml:space="preserve">  |</w:t>
        <w:br/>
        <w:t xml:space="preserve">  v</w:t>
        <w:br/>
        <w:t>USER (Browser) -- rendered via SSE stream</w:t>
        <w:br/>
      </w:r>
    </w:p>
    <w:p>
      <w:r>
        <w:br w:type="page"/>
      </w:r>
    </w:p>
    <w:p>
      <w:pPr>
        <w:pStyle w:val="Heading1"/>
      </w:pPr>
      <w:r>
        <w:rPr>
          <w:color w:val="1A1A2E"/>
        </w:rPr>
        <w:t>4. Flow 2: Data Ingestion Pipeline</w:t>
      </w:r>
    </w:p>
    <w:p>
      <w:r>
        <w:t>The ingestion pipeline populates the ordinance database. It discovers municipalities on Municode, scrapes their zoning chapters, chunks the text semantically, embeds with NVIDIA NIM, validates quality, and stores in pgvector. The pipeline supports both CLI execution and remote triggering via admin API endpoints.</w:t>
      </w:r>
    </w:p>
    <w:p>
      <w:pPr>
        <w:pStyle w:val="Heading3"/>
      </w:pPr>
      <w:r>
        <w:t>Ingestion Flow</w:t>
      </w:r>
    </w:p>
    <w:p>
      <w:pPr>
        <w:spacing w:before="80" w:after="160"/>
      </w:pPr>
      <w:r>
        <w:rPr>
          <w:rFonts w:ascii="Courier New" w:hAnsi="Courier New"/>
          <w:color w:val="333333"/>
          <w:sz w:val="16"/>
        </w:rPr>
        <w:br/>
        <w:t>TRIGGER:</w:t>
        <w:br/>
        <w:t xml:space="preserve">  - CLI:  plotlot-ingest --all | plotlot-ingest miami_gardens</w:t>
        <w:br/>
        <w:t xml:space="preserve">  - API:  POST /admin/ingest?municipality_key=miami_gardens</w:t>
        <w:br/>
        <w:t xml:space="preserve">  - API:  POST /admin/ingest/batch?skip_existing=true</w:t>
        <w:br/>
        <w:t xml:space="preserve">  |</w:t>
        <w:br/>
        <w:t xml:space="preserve">  v</w:t>
        <w:br/>
        <w:t>STEP 1: DISCOVER (Municode Library API)</w:t>
        <w:br/>
        <w:t xml:space="preserve">  - GET library.municode.com/api/Clients/stateAbbr?stateAbbr=FL</w:t>
        <w:br/>
        <w:t xml:space="preserve">  - Match 104 target municipalities to Municode client IDs</w:t>
        <w:br/>
        <w:t xml:space="preserve">  - Walk TOC tree to find zoning chapters</w:t>
        <w:br/>
        <w:t xml:space="preserve">  - Verify children &gt; 0 (not a stub page)</w:t>
        <w:br/>
        <w:t xml:space="preserve">  - Cache: disk (24hr TTL) + memory</w:t>
        <w:br/>
        <w:t xml:space="preserve">  - Output: Dict[str, MunicodeConfig] (88 municipalities found)</w:t>
        <w:br/>
        <w:t xml:space="preserve">  |</w:t>
        <w:br/>
        <w:t xml:space="preserve">  v</w:t>
        <w:br/>
        <w:t>STEP 2: SCRAPE (Municode Content API)</w:t>
        <w:br/>
        <w:t xml:space="preserve">  - Prefect @task(retries=2, retry_delay=30s)</w:t>
        <w:br/>
        <w:t xml:space="preserve">  - Walk TOC recursively from zoning_node_id</w:t>
        <w:br/>
        <w:t xml:space="preserve">  - Fetch HTML content for each leaf node</w:t>
        <w:br/>
        <w:t xml:space="preserve">  - Output: List[RawSection] (heading, html_content, depth)</w:t>
        <w:br/>
        <w:t xml:space="preserve">  |</w:t>
        <w:br/>
        <w:t xml:space="preserve">  v</w:t>
        <w:br/>
        <w:t>STEP 3: CHUNK (Semantic Chunking)</w:t>
        <w:br/>
        <w:t xml:space="preserve">  - Target: 1500 chars per chunk, 200 char overlap</w:t>
        <w:br/>
        <w:t xml:space="preserve">  - Preserve: section number, zone_codes, municipality</w:t>
        <w:br/>
        <w:t xml:space="preserve">  - Extract zone codes from text (regex: R-1, RS-4, BU-2, etc.)</w:t>
        <w:br/>
        <w:t xml:space="preserve">  - Output: List[TextChunk] with ChunkMetadata</w:t>
        <w:br/>
        <w:t xml:space="preserve">  |</w:t>
        <w:br/>
        <w:t xml:space="preserve">  v</w:t>
        <w:br/>
        <w:t>STEP 4: EMBED (NVIDIA NIM Inference API)</w:t>
        <w:br/>
        <w:t xml:space="preserve">  - Prefect @task(retries=3, retry_delay=10s,</w:t>
        <w:br/>
        <w:t xml:space="preserve">                  cache_key_fn=task_input_hash,</w:t>
        <w:br/>
        <w:t xml:space="preserve">                  cache_expiration=24h)</w:t>
        <w:br/>
        <w:t xml:space="preserve">  - Model: nvidia/nv-embedqa-e5-v5</w:t>
        <w:br/>
        <w:t xml:space="preserve">  - Dimensions: 1024</w:t>
        <w:br/>
        <w:t xml:space="preserve">  - Batch size: 32</w:t>
        <w:br/>
        <w:t xml:space="preserve">  - input_type: "passage" (documents) / "query" (search)</w:t>
        <w:br/>
        <w:t xml:space="preserve">  - Output: List[vector(1024)]</w:t>
        <w:br/>
        <w:t xml:space="preserve">  |</w:t>
        <w:br/>
        <w:t xml:space="preserve">  v</w:t>
        <w:br/>
        <w:t>STEP 5: VALIDATE (Quality Gate)</w:t>
        <w:br/>
        <w:t xml:space="preserve">  - Check embedding dimension = 1024</w:t>
        <w:br/>
        <w:t xml:space="preserve">  - Reject zero vectors (API failure)</w:t>
        <w:br/>
        <w:t xml:space="preserve">  - Reject chunks &lt; 50 chars (too short)</w:t>
        <w:br/>
        <w:t xml:space="preserve">  - Output: filtered (valid_chunks, valid_embeddings)</w:t>
        <w:br/>
        <w:t xml:space="preserve">  |</w:t>
        <w:br/>
        <w:t xml:space="preserve">  v</w:t>
        <w:br/>
        <w:t>STEP 6: STORE (Neon PostgreSQL + pgvector)</w:t>
        <w:br/>
        <w:t xml:space="preserve">  - Table: ordinance_chunks</w:t>
        <w:br/>
        <w:t xml:space="preserve">  - Columns: embedding(vector1024), search_vector(tsvector)</w:t>
        <w:br/>
        <w:t xml:space="preserve">  - Auto-populate search_vector via PostgreSQL trigger</w:t>
        <w:br/>
        <w:t xml:space="preserve">  - SQLAlchemy 2.0 async + asyncpg driver</w:t>
        <w:br/>
      </w:r>
    </w:p>
    <w:p>
      <w:r>
        <w:br w:type="page"/>
      </w:r>
    </w:p>
    <w:p>
      <w:pPr>
        <w:pStyle w:val="Heading1"/>
      </w:pPr>
      <w:r>
        <w:rPr>
          <w:color w:val="1A1A2E"/>
        </w:rPr>
        <w:t>5. Flow 3: Conversational Chat Agent</w:t>
      </w:r>
    </w:p>
    <w:p>
      <w:r>
        <w:t>The chat agent provides a conversational interface for exploring zoning data. It has 10 tools for geocoding, property lookup, ordinance search, web search, property database queries, and Google Workspace document creation. The agent follows a mandatory 3-step workflow for address analysis.</w:t>
      </w:r>
    </w:p>
    <w:p>
      <w:pPr>
        <w:pStyle w:val="Heading3"/>
      </w:pPr>
      <w:r>
        <w:t>Chat Agent Flow</w:t>
      </w:r>
    </w:p>
    <w:p>
      <w:pPr>
        <w:spacing w:before="80" w:after="160"/>
      </w:pPr>
      <w:r>
        <w:rPr>
          <w:rFonts w:ascii="Courier New" w:hAnsi="Courier New"/>
          <w:color w:val="333333"/>
          <w:sz w:val="16"/>
        </w:rPr>
        <w:br/>
        <w:t>USER (Browser)</w:t>
        <w:br/>
        <w:t xml:space="preserve">  |</w:t>
        <w:br/>
        <w:t xml:space="preserve">  | POST /api/v1/chat (SSE streaming)</w:t>
        <w:br/>
        <w:t xml:space="preserve">  v</w:t>
        <w:br/>
        <w:t>CHAT AGENT (chat.py)</w:t>
        <w:br/>
        <w:t xml:space="preserve">  - MAX_AGENT_TURNS = 8</w:t>
        <w:br/>
        <w:t xml:space="preserve">  - MAX_MEMORY_MESSAGES = 50</w:t>
        <w:br/>
        <w:t xml:space="preserve">  - MAX_TOKENS_PER_SESSION = 50,000</w:t>
        <w:br/>
        <w:t xml:space="preserve">  - MLflow span: "chat_request"</w:t>
        <w:br/>
        <w:t xml:space="preserve">  |</w:t>
        <w:br/>
        <w:t xml:space="preserve">  | System prompt + conversation history + dynamic tools</w:t>
        <w:br/>
        <w:t xml:space="preserve">  v</w:t>
        <w:br/>
        <w:t>LLM (NVIDIA NIM / Gemini fallback)</w:t>
        <w:br/>
        <w:t xml:space="preserve">  - Circuit breaker per provider</w:t>
        <w:br/>
        <w:t xml:space="preserve">  - Token budget per session</w:t>
        <w:br/>
        <w:t xml:space="preserve">  |</w:t>
        <w:br/>
        <w:t xml:space="preserve">  | Tool calls (dynamically masked per turn):</w:t>
        <w:br/>
        <w:t xml:space="preserve">  |</w:t>
        <w:br/>
        <w:t xml:space="preserve">  +-- CORE TOOLS (always available):</w:t>
        <w:br/>
        <w:t xml:space="preserve">  |   1. geocode_address       -&gt; Geocodio API</w:t>
        <w:br/>
        <w:t xml:space="preserve">  |   2. lookup_property_info  -&gt; County ArcGIS APIs</w:t>
        <w:br/>
        <w:t xml:space="preserve">  |   3. search_zoning_ordinance -&gt; pgvector hybrid RAG (15 results)</w:t>
        <w:br/>
        <w:t xml:space="preserve">  |   4. web_search            -&gt; Jina.ai Search API</w:t>
        <w:br/>
        <w:t xml:space="preserve">  |   5. search_properties     -&gt; County ArcGIS bulk search</w:t>
        <w:br/>
        <w:t xml:space="preserve">  |</w:t>
        <w:br/>
        <w:t xml:space="preserve">  +-- DATASET TOOLS (when dataset exists in session):</w:t>
        <w:br/>
        <w:t xml:space="preserve">  |   6. filter_dataset        -&gt; in-memory filter/sort/slice</w:t>
        <w:br/>
        <w:t xml:space="preserve">  |   7. get_dataset_info      -&gt; summary stats</w:t>
        <w:br/>
        <w:t xml:space="preserve">  |   8. export_dataset        -&gt; Google Sheets export</w:t>
        <w:br/>
        <w:t xml:space="preserve">  |</w:t>
        <w:br/>
        <w:t xml:space="preserve">  +-- CREATION TOOLS (on keyword match):</w:t>
        <w:br/>
        <w:t xml:space="preserve">  |   9. create_spreadsheet    -&gt; Google Sheets API</w:t>
        <w:br/>
        <w:t xml:space="preserve">  |  10. create_document       -&gt; Google Docs API</w:t>
        <w:br/>
        <w:t xml:space="preserve">  |</w:t>
        <w:br/>
        <w:t xml:space="preserve">  v</w:t>
        <w:br/>
        <w:t>SSE STREAM -&gt; USER</w:t>
        <w:br/>
        <w:t xml:space="preserve">  - event: tool_use   (shows which tool is being called)</w:t>
        <w:br/>
        <w:t xml:space="preserve">  - event: tool_result (tool finished)</w:t>
        <w:br/>
        <w:t xml:space="preserve">  - event: token      (LLM text chunks)</w:t>
        <w:br/>
        <w:t xml:space="preserve">  - event: done       (conversation turn complete)</w:t>
        <w:br/>
        <w:br/>
        <w:t>ADDRESS WORKFLOW (mandatory 3-step):</w:t>
        <w:br/>
        <w:t xml:space="preserve">  Step 1: geocode_address -&gt; municipality, county, lat/lng</w:t>
        <w:br/>
        <w:t xml:space="preserve">  Step 2: lookup_property_info -&gt; zoning_code, lot_size, owner</w:t>
        <w:br/>
        <w:t xml:space="preserve">  Step 3: search_zoning_ordinance -&gt; specific regulations for that code</w:t>
        <w:br/>
      </w:r>
    </w:p>
    <w:p>
      <w:r>
        <w:br w:type="page"/>
      </w:r>
    </w:p>
    <w:p>
      <w:pPr>
        <w:pStyle w:val="Heading1"/>
      </w:pPr>
      <w:r>
        <w:rPr>
          <w:color w:val="1A1A2E"/>
        </w:rPr>
        <w:t>6. Complete Tech Stack</w:t>
      </w:r>
    </w:p>
    <w:p>
      <w:pPr>
        <w:pStyle w:val="Heading3"/>
      </w:pPr>
      <w:r>
        <w:t>Stack Layers</w:t>
      </w:r>
    </w:p>
    <w:p>
      <w:pPr>
        <w:spacing w:before="80" w:after="160"/>
      </w:pPr>
      <w:r>
        <w:rPr>
          <w:rFonts w:ascii="Courier New" w:hAnsi="Courier New"/>
          <w:color w:val="333333"/>
          <w:sz w:val="16"/>
        </w:rPr>
        <w:br/>
        <w:t>+================================================================+</w:t>
        <w:br/>
        <w:t>|                      SERVING LAYER                              |</w:t>
        <w:br/>
        <w:t>|  Vercel (Next.js 16 + React 19 + Tailwind CSS 4)               |</w:t>
        <w:br/>
        <w:t>|  SSE client for real-time streaming                             |</w:t>
        <w:br/>
        <w:t>+================================================================+</w:t>
        <w:br/>
        <w:t xml:space="preserve">                           |</w:t>
        <w:br/>
        <w:t>+================================================================+</w:t>
        <w:br/>
        <w:t>|                      API LAYER                                  |</w:t>
        <w:br/>
        <w:t>|  Render (FastAPI + Uvicorn + Docker)                            |</w:t>
        <w:br/>
        <w:t>|  Pydantic v2 (request/response validation)                     |</w:t>
        <w:br/>
        <w:t>|  Structured logging (JSON + correlation IDs via ContextVar)     |</w:t>
        <w:br/>
        <w:t>+================================================================+</w:t>
        <w:br/>
        <w:t xml:space="preserve">                           |</w:t>
        <w:br/>
        <w:t>+=============+=================+================+===============+</w:t>
        <w:br/>
        <w:t>| EXTERNAL    | RETRIEVAL       | LLM INFERENCE  | OBSERVABILITY |</w:t>
        <w:br/>
        <w:t>| APIS        | LAYER           | LAYER          | LAYER         |</w:t>
        <w:br/>
        <w:t>+-------------+-----------------+----------------+---------------+</w:t>
        <w:br/>
        <w:t>| Geocodio    | Neon PostgreSQL | NVIDIA NIM     | MLflow        |</w:t>
        <w:br/>
        <w:t>| (geocoding) | + pgvector      | Llama 3.3 70B  | Tracing +     |</w:t>
        <w:br/>
        <w:t>|             | Hybrid search:  | (primary)      | Metrics +     |</w:t>
        <w:br/>
        <w:t>| County      |  - Vector (L2)  |                | Prompt        |</w:t>
        <w:br/>
        <w:t>| ArcGIS APIs |  - FTS (tsv)    | Kimi K2.5      | Versioning    |</w:t>
        <w:br/>
        <w:t>| (property)  |  - RRF fusion   | (intra-model   |               |</w:t>
        <w:br/>
        <w:t>|             |                 |  fallback)     | Backend:      |</w:t>
        <w:br/>
        <w:t>| HuggingFace | SQLAlchemy 2.0  |                | Neon PG       |</w:t>
        <w:br/>
        <w:t>| (embeddings)| + asyncpg       | Gemini 2.5     | (persistent)  |</w:t>
        <w:br/>
        <w:t>|             |                 | Flash          |               |</w:t>
        <w:br/>
        <w:t>| Jina.ai     |                 | (provider      |               |</w:t>
        <w:br/>
        <w:t>| (web search)|                 |  fallback)     |               |</w:t>
        <w:br/>
        <w:t>|             |                 |                |               |</w:t>
        <w:br/>
        <w:t>| Google APIs |                 | Circuit        |               |</w:t>
        <w:br/>
        <w:t>| (Sheets/    |                 | breakers per   |               |</w:t>
        <w:br/>
        <w:t>|  Docs)      |                 | provider       |               |</w:t>
        <w:br/>
        <w:t>+-------------+-----------------+----------------+---------------+</w:t>
        <w:br/>
        <w:t xml:space="preserve">                           |</w:t>
        <w:br/>
        <w:t>+================================================================+</w:t>
        <w:br/>
        <w:t>|                   PIPELINE LAYER                                |</w:t>
        <w:br/>
        <w:t>|  Prefect 3 (optional orchestration)                             |</w:t>
        <w:br/>
        <w:t>|  - Task-level retries (scrape: 2x, embed: 3x)                  |</w:t>
        <w:br/>
        <w:t>|  - Task-level caching (24h for embeddings)                      |</w:t>
        <w:br/>
        <w:t>|  - Flow: discover -&gt; scrape -&gt; chunk -&gt; embed -&gt; validate       |</w:t>
        <w:br/>
        <w:t>|  - Graceful no-op when Prefect not running                      |</w:t>
        <w:br/>
        <w:t>+================================================================+</w:t>
        <w:br/>
        <w:t xml:space="preserve">                           |</w:t>
        <w:br/>
        <w:t>+================================================================+</w:t>
        <w:br/>
        <w:t>|                   QUALITY LAYER                                 |</w:t>
        <w:br/>
        <w:t>|  Eval: golden_data.json + 7 deterministic scorers               |</w:t>
        <w:br/>
        <w:t>|  CI: ruff + mypy + pytest + eval quality gate                   |</w:t>
        <w:br/>
        <w:t>|  Docker: multi-stage build + docker-compose (local dev)         |</w:t>
        <w:br/>
        <w:t>+================================================================+</w:t>
        <w:br/>
      </w:r>
    </w:p>
    <w:p>
      <w:r>
        <w:br w:type="page"/>
      </w:r>
    </w:p>
    <w:p>
      <w:pPr>
        <w:pStyle w:val="Heading1"/>
      </w:pPr>
      <w:r>
        <w:rPr>
          <w:color w:val="1A1A2E"/>
        </w:rPr>
        <w:t>7. LLM Provider Strategy</w:t>
      </w:r>
    </w:p>
    <w:p>
      <w:r>
        <w:t>PlotLot uses a multi-level fallback strategy for LLM inference. All providers expose OpenAI-compatible chat completions endpoints, making the switching logic clean.</w:t>
      </w:r>
    </w:p>
    <w:p>
      <w:pPr>
        <w:pStyle w:val="Heading3"/>
      </w:pPr>
      <w:r>
        <w:t>Provider Hierarchy</w:t>
      </w:r>
    </w:p>
    <w:p>
      <w:r>
        <w:rPr>
          <w:b/>
        </w:rPr>
        <w:t xml:space="preserve">1. NVIDIA NIM — Llama 3.3 70B Instruct — </w:t>
      </w:r>
      <w:r>
        <w:t>Primary model. Fast, reliable tool use. Free tier via NVIDIA's NIM API.</w:t>
      </w:r>
    </w:p>
    <w:p>
      <w:r>
        <w:rPr>
          <w:b/>
        </w:rPr>
        <w:t xml:space="preserve">2. NVIDIA NIM — Kimi K2.5 — </w:t>
      </w:r>
      <w:r>
        <w:t>Intra-provider fallback. Strong reasoning but sometimes slower. Only used if Llama 3.3 fails.</w:t>
      </w:r>
    </w:p>
    <w:p>
      <w:r>
        <w:rPr>
          <w:b/>
        </w:rPr>
        <w:t xml:space="preserve">3. Google Gemini 2.5 Flash — </w:t>
      </w:r>
      <w:r>
        <w:t>Provider-level fallback. Used when all NVIDIA models fail (rate limits, outages). Google's OpenAI-compatible endpoint.</w:t>
      </w:r>
    </w:p>
    <w:p>
      <w:pPr>
        <w:pStyle w:val="Heading3"/>
      </w:pPr>
      <w:r>
        <w:t>Circuit Breaker Pattern</w:t>
      </w:r>
    </w:p>
    <w:p>
      <w:r>
        <w:t>Each provider/model combination has its own CircuitBreaker instance following Stripe's 'contain, verify, restrict' pattern. States: CLOSED (normal) -&gt; OPEN (5 failures, skip for 60s) -&gt; HALF_OPEN (allow one test request). This prevents wasting retry budget on providers that are already failing.</w:t>
      </w:r>
    </w:p>
    <w:p>
      <w:pPr>
        <w:pStyle w:val="Heading3"/>
      </w:pPr>
      <w:r>
        <w:t>Retry Strategy</w:t>
      </w:r>
    </w:p>
    <w:p>
      <w:r>
        <w:t>2x exponential backoff per provider attempt. Timeouts: 10s connect, 60s read (generous for LLM generation). On 429 (rate limit) or 5xx: retry with backoff. On 4xx (client error): fail immediately, record failure in circuit breaker.</w:t>
      </w:r>
    </w:p>
    <w:p>
      <w:r>
        <w:br w:type="page"/>
      </w:r>
    </w:p>
    <w:p>
      <w:pPr>
        <w:pStyle w:val="Heading1"/>
      </w:pPr>
      <w:r>
        <w:rPr>
          <w:color w:val="1A1A2E"/>
        </w:rPr>
        <w:t>8. Retrieval Architecture (Hybrid RAG)</w:t>
      </w:r>
    </w:p>
    <w:p>
      <w:r>
        <w:t>PlotLot uses hybrid retrieval combining vector similarity search with full-text keyword search, fused via Reciprocal Rank Fusion (RRF). This approach consistently outperforms single-method retrieval in production systems.</w:t>
      </w:r>
    </w:p>
    <w:p>
      <w:pPr>
        <w:pStyle w:val="Heading3"/>
      </w:pPr>
      <w:r>
        <w:t>Hybrid Search SQL (Simplified)</w:t>
      </w:r>
    </w:p>
    <w:p>
      <w:pPr>
        <w:spacing w:before="80" w:after="160"/>
      </w:pPr>
      <w:r>
        <w:rPr>
          <w:rFonts w:ascii="Courier New" w:hAnsi="Courier New"/>
          <w:color w:val="333333"/>
          <w:sz w:val="16"/>
        </w:rPr>
        <w:br/>
        <w:t>WITH vector_results AS (</w:t>
        <w:br/>
        <w:t xml:space="preserve">    -- Semantic similarity: query embedding &lt;=&gt; document embeddings</w:t>
        <w:br/>
        <w:t xml:space="preserve">    SELECT id, chunk_text, zone_codes,</w:t>
        <w:br/>
        <w:t xml:space="preserve">           ROW_NUMBER() OVER (ORDER BY embedding &lt;=&gt; query_vector) AS vrank</w:t>
        <w:br/>
        <w:t xml:space="preserve">    FROM ordinance_chunks</w:t>
        <w:br/>
        <w:t xml:space="preserve">    WHERE municipality ILIKE '%Miami Gardens%'</w:t>
        <w:br/>
        <w:t xml:space="preserve">    LIMIT 45  -- pool_size = limit * 3</w:t>
        <w:br/>
        <w:t>),</w:t>
        <w:br/>
        <w:t>keyword_results AS (</w:t>
        <w:br/>
        <w:t xml:space="preserve">    -- Full-text match: tsvector @@ tsquery</w:t>
        <w:br/>
        <w:t xml:space="preserve">    SELECT id, chunk_text, zone_codes,</w:t>
        <w:br/>
        <w:t xml:space="preserve">           ROW_NUMBER() OVER (ORDER BY ts_rank(search_vector, query)) AS krank</w:t>
        <w:br/>
        <w:t xml:space="preserve">    FROM ordinance_chunks</w:t>
        <w:br/>
        <w:t xml:space="preserve">    WHERE municipality ILIKE '%Miami Gardens%'</w:t>
        <w:br/>
        <w:t xml:space="preserve">      AND (search_vector @@ plainto_tsquery('RS-1 setbacks')</w:t>
        <w:br/>
        <w:t xml:space="preserve">           OR 'RS-1' = ANY(zone_codes))</w:t>
        <w:br/>
        <w:t xml:space="preserve">    LIMIT 45</w:t>
        <w:br/>
        <w:t>),</w:t>
        <w:br/>
        <w:t>fused AS (</w:t>
        <w:br/>
        <w:t xml:space="preserve">    -- Reciprocal Rank Fusion (k=60)</w:t>
        <w:br/>
        <w:t xml:space="preserve">    SELECT COALESCE(v.id, k.id) AS id,</w:t>
        <w:br/>
        <w:t xml:space="preserve">           1.0/(60 + v.vrank) + 1.0/(60 + k.krank) AS rrf_score</w:t>
        <w:br/>
        <w:t xml:space="preserve">    FROM vector_results v</w:t>
        <w:br/>
        <w:t xml:space="preserve">    FULL OUTER JOIN keyword_results k ON v.id = k.id</w:t>
        <w:br/>
        <w:t>)</w:t>
        <w:br/>
        <w:t>SELECT * FROM fused ORDER BY rrf_score DESC LIMIT 15</w:t>
        <w:br/>
      </w:r>
    </w:p>
    <w:p>
      <w:pPr>
        <w:pStyle w:val="Heading3"/>
      </w:pPr>
      <w:r>
        <w:t>Why Hybrid Beats Single-Method</w:t>
      </w:r>
    </w:p>
    <w:p>
      <w:r>
        <w:rPr>
          <w:b/>
        </w:rPr>
        <w:t xml:space="preserve">Vector-only misses: </w:t>
      </w:r>
      <w:r>
        <w:t>Semantic search finds conceptually similar text but can miss exact zone code matches like 'RS-1' or 'BU-2'</w:t>
      </w:r>
    </w:p>
    <w:p>
      <w:r>
        <w:rPr>
          <w:b/>
        </w:rPr>
        <w:t xml:space="preserve">Keyword-only misses: </w:t>
      </w:r>
      <w:r>
        <w:t>Full-text search matches exact terms but can't understand that 'single-family residential' relates to 'RS-1 district'</w:t>
      </w:r>
    </w:p>
    <w:p>
      <w:r>
        <w:rPr>
          <w:b/>
        </w:rPr>
        <w:t xml:space="preserve">Zone code array match: </w:t>
      </w:r>
      <w:r>
        <w:t>The zone_codes column (extracted during chunking) provides a third signal — direct array containment check</w:t>
      </w:r>
    </w:p>
    <w:p>
      <w:r>
        <w:rPr>
          <w:b/>
        </w:rPr>
        <w:t xml:space="preserve">RRF fusion: </w:t>
      </w:r>
      <w:r>
        <w:t>Reciprocal Rank Fusion (k=60) is parameter-free and robust — it doesn't need score normalization between the two methods</w:t>
      </w:r>
    </w:p>
    <w:p>
      <w:r>
        <w:br w:type="page"/>
      </w:r>
    </w:p>
    <w:p>
      <w:pPr>
        <w:pStyle w:val="Heading1"/>
      </w:pPr>
      <w:r>
        <w:rPr>
          <w:color w:val="1A1A2E"/>
        </w:rPr>
        <w:t>9. Data Model &amp; Storage</w:t>
      </w:r>
    </w:p>
    <w:p>
      <w:pPr>
        <w:pStyle w:val="Heading3"/>
      </w:pPr>
      <w:r>
        <w:t>Core Domain Types</w:t>
      </w:r>
    </w:p>
    <w:tbl>
      <w:tblPr>
        <w:tblStyle w:val="LightGrid-Accent1"/>
        <w:tblW w:type="auto" w:w="0"/>
        <w:tblLook w:firstColumn="1" w:firstRow="1" w:lastColumn="0" w:lastRow="0" w:noHBand="0" w:noVBand="1" w:val="04A0"/>
      </w:tblPr>
      <w:tblGrid>
        <w:gridCol w:w="4320"/>
        <w:gridCol w:w="4320"/>
      </w:tblGrid>
      <w:tr>
        <w:tc>
          <w:tcPr>
            <w:tcW w:type="dxa" w:w="4320"/>
          </w:tcPr>
          <w:p>
            <w:r>
              <w:t>Type</w:t>
            </w:r>
          </w:p>
        </w:tc>
        <w:tc>
          <w:tcPr>
            <w:tcW w:type="dxa" w:w="4320"/>
          </w:tcPr>
          <w:p>
            <w:r>
              <w:t>Description</w:t>
            </w:r>
          </w:p>
        </w:tc>
      </w:tr>
      <w:tr>
        <w:tc>
          <w:tcPr>
            <w:tcW w:type="dxa" w:w="4320"/>
          </w:tcPr>
          <w:p>
            <w:r>
              <w:t>ZoningReport</w:t>
            </w:r>
          </w:p>
        </w:tc>
        <w:tc>
          <w:tcPr>
            <w:tcW w:type="dxa" w:w="4320"/>
          </w:tcPr>
          <w:p>
            <w:r>
              <w:t>Primary output of the analysis pipeline. Contains zoning classification, dimensional standards, uses, property record, numeric params, and density analysis.</w:t>
            </w:r>
          </w:p>
        </w:tc>
      </w:tr>
      <w:tr>
        <w:tc>
          <w:tcPr>
            <w:tcW w:type="dxa" w:w="4320"/>
          </w:tcPr>
          <w:p>
            <w:r>
              <w:t>PropertyRecord</w:t>
            </w:r>
          </w:p>
        </w:tc>
        <w:tc>
          <w:tcPr>
            <w:tcW w:type="dxa" w:w="4320"/>
          </w:tcPr>
          <w:p>
            <w:r>
              <w:t>Data from county Property Appraiser ArcGIS APIs. Includes folio, zoning code, lot size, owner, bedrooms, assessed value, year built.</w:t>
            </w:r>
          </w:p>
        </w:tc>
      </w:tr>
      <w:tr>
        <w:tc>
          <w:tcPr>
            <w:tcW w:type="dxa" w:w="4320"/>
          </w:tcPr>
          <w:p>
            <w:r>
              <w:t>NumericZoningParams</w:t>
            </w:r>
          </w:p>
        </w:tc>
        <w:tc>
          <w:tcPr>
            <w:tcW w:type="dxa" w:w="4320"/>
          </w:tcPr>
          <w:p>
            <w:r>
              <w:t>LLM-extracted numeric values: density (units/acre), min lot area, FAR, lot coverage, height, stories, setbacks, unit size, lot width, parking.</w:t>
            </w:r>
          </w:p>
        </w:tc>
      </w:tr>
      <w:tr>
        <w:tc>
          <w:tcPr>
            <w:tcW w:type="dxa" w:w="4320"/>
          </w:tcPr>
          <w:p>
            <w:r>
              <w:t>DensityAnalysis</w:t>
            </w:r>
          </w:p>
        </w:tc>
        <w:tc>
          <w:tcPr>
            <w:tcW w:type="dxa" w:w="4320"/>
          </w:tcPr>
          <w:p>
            <w:r>
              <w:t>Deterministic max-units calculation with 4 constraint breakdown (density, min lot area, FAR, buildable envelope) and governing constraint identification.</w:t>
            </w:r>
          </w:p>
        </w:tc>
      </w:tr>
      <w:tr>
        <w:tc>
          <w:tcPr>
            <w:tcW w:type="dxa" w:w="4320"/>
          </w:tcPr>
          <w:p>
            <w:r>
              <w:t>SearchResult</w:t>
            </w:r>
          </w:p>
        </w:tc>
        <w:tc>
          <w:tcPr>
            <w:tcW w:type="dxa" w:w="4320"/>
          </w:tcPr>
          <w:p>
            <w:r>
              <w:t>Single result from hybrid search with section, title, zone codes, chunk text, RRF score, and municipality.</w:t>
            </w:r>
          </w:p>
        </w:tc>
      </w:tr>
      <w:tr>
        <w:tc>
          <w:tcPr>
            <w:tcW w:type="dxa" w:w="4320"/>
          </w:tcPr>
          <w:p>
            <w:r>
              <w:t>OrdinanceChunk (DB)</w:t>
            </w:r>
          </w:p>
        </w:tc>
        <w:tc>
          <w:tcPr>
            <w:tcW w:type="dxa" w:w="4320"/>
          </w:tcPr>
          <w:p>
            <w:r>
              <w:t>PostgreSQL table with embedding(vector1024), search_vector(tsvector), chunk_text, section, zone_codes[], municipality, county.</w:t>
            </w:r>
          </w:p>
        </w:tc>
      </w:tr>
    </w:tbl>
    <w:p>
      <w:pPr>
        <w:pStyle w:val="Heading3"/>
      </w:pPr>
      <w:r>
        <w:t>Database Schema</w:t>
      </w:r>
    </w:p>
    <w:p>
      <w:pPr>
        <w:pStyle w:val="Heading3"/>
      </w:pPr>
      <w:r>
        <w:t>ordinance_chunks table</w:t>
      </w:r>
    </w:p>
    <w:p>
      <w:pPr>
        <w:spacing w:before="80" w:after="160"/>
      </w:pPr>
      <w:r>
        <w:rPr>
          <w:rFonts w:ascii="Courier New" w:hAnsi="Courier New"/>
          <w:color w:val="333333"/>
          <w:sz w:val="16"/>
        </w:rPr>
        <w:br/>
        <w:t>Column           | Type           | Description</w:t>
        <w:br/>
        <w:t>-----------------+----------------+--------------------------------</w:t>
        <w:br/>
        <w:t>id               | SERIAL PK     | Auto-increment ID</w:t>
        <w:br/>
        <w:t>municipality     | TEXT           | e.g., "Miami Gardens"</w:t>
        <w:br/>
        <w:t>county           | TEXT           | e.g., "miami_dade"</w:t>
        <w:br/>
        <w:t>chapter          | TEXT           | Chapter number</w:t>
        <w:br/>
        <w:t>section          | TEXT           | Section number (e.g., "34-342")</w:t>
        <w:br/>
        <w:t>section_title    | TEXT           | Section heading</w:t>
        <w:br/>
        <w:t>zone_codes       | TEXT[]         | Extracted codes: {"RS-1","RS-2"}</w:t>
        <w:br/>
        <w:t>chunk_text       | TEXT           | Raw ordinance text (1500 chars)</w:t>
        <w:br/>
        <w:t>chunk_index      | INT            | Position within section</w:t>
        <w:br/>
        <w:t>embedding        | VECTOR(1024)   | NVIDIA NIM nv-embedqa-e5-v5</w:t>
        <w:br/>
        <w:t>search_vector    | TSVECTOR       | Auto-populated by trigger</w:t>
        <w:br/>
        <w:t>municode_node_id | TEXT           | Municode TOC node reference</w:t>
        <w:br/>
        <w:t>created_at       | TIMESTAMPTZ    | Insertion timestamp</w:t>
        <w:br/>
      </w:r>
    </w:p>
    <w:p>
      <w:r>
        <w:br w:type="page"/>
      </w:r>
    </w:p>
    <w:p>
      <w:pPr>
        <w:pStyle w:val="Heading1"/>
      </w:pPr>
      <w:r>
        <w:rPr>
          <w:color w:val="1A1A2E"/>
        </w:rPr>
        <w:t>10. Observability &amp; Tracing</w:t>
      </w:r>
    </w:p>
    <w:p>
      <w:r>
        <w:t>Every pipeline run, LLM call, and chat interaction is traced via MLflow. This follows the Notion pattern: any production AI run can be located and replayed with modifications. The MLflow backend uses Neon PostgreSQL for persistence across Render deploys.</w:t>
      </w:r>
    </w:p>
    <w:p>
      <w:pPr>
        <w:pStyle w:val="Heading3"/>
      </w:pPr>
      <w:r>
        <w:t>What Gets Traced</w:t>
      </w:r>
    </w:p>
    <w:tbl>
      <w:tblPr>
        <w:tblStyle w:val="LightGrid-Accent1"/>
        <w:tblW w:type="auto" w:w="0"/>
        <w:tblLook w:firstColumn="1" w:firstRow="1" w:lastColumn="0" w:lastRow="0" w:noHBand="0" w:noVBand="1" w:val="04A0"/>
      </w:tblPr>
      <w:tblGrid>
        <w:gridCol w:w="4320"/>
        <w:gridCol w:w="4320"/>
      </w:tblGrid>
      <w:tr>
        <w:tc>
          <w:tcPr>
            <w:tcW w:type="dxa" w:w="4320"/>
          </w:tcPr>
          <w:p>
            <w:r>
              <w:t>Span (Type)</w:t>
            </w:r>
          </w:p>
        </w:tc>
        <w:tc>
          <w:tcPr>
            <w:tcW w:type="dxa" w:w="4320"/>
          </w:tcPr>
          <w:p>
            <w:r>
              <w:t>Logged Data</w:t>
            </w:r>
          </w:p>
        </w:tc>
      </w:tr>
      <w:tr>
        <w:tc>
          <w:tcPr>
            <w:tcW w:type="dxa" w:w="4320"/>
          </w:tcPr>
          <w:p>
            <w:r>
              <w:t>lookup_address (CHAIN)</w:t>
            </w:r>
          </w:p>
        </w:tc>
        <w:tc>
          <w:tcPr>
            <w:tcW w:type="dxa" w:w="4320"/>
          </w:tcPr>
          <w:p>
            <w:r>
              <w:t>Full pipeline run — address, municipality, county, zoning code, search result count, confidence score, max units</w:t>
            </w:r>
          </w:p>
        </w:tc>
      </w:tr>
      <w:tr>
        <w:tc>
          <w:tcPr>
            <w:tcW w:type="dxa" w:w="4320"/>
          </w:tcPr>
          <w:p>
            <w:r>
              <w:t>agentic_analysis (AGENT)</w:t>
            </w:r>
          </w:p>
        </w:tc>
        <w:tc>
          <w:tcPr>
            <w:tcW w:type="dxa" w:w="4320"/>
          </w:tcPr>
          <w:p>
            <w:r>
              <w:t>LLM analysis loop — each turn logged with tool calls and responses</w:t>
            </w:r>
          </w:p>
        </w:tc>
      </w:tr>
      <w:tr>
        <w:tc>
          <w:tcPr>
            <w:tcW w:type="dxa" w:w="4320"/>
          </w:tcPr>
          <w:p>
            <w:r>
              <w:t>llm_provider_* (CHAT_MODEL)</w:t>
            </w:r>
          </w:p>
        </w:tc>
        <w:tc>
          <w:tcPr>
            <w:tcW w:type="dxa" w:w="4320"/>
          </w:tcPr>
          <w:p>
            <w:r>
              <w:t>Per-provider call — model, prompt/completion tokens, latency, retries, circuit breaker state</w:t>
            </w:r>
          </w:p>
        </w:tc>
      </w:tr>
      <w:tr>
        <w:tc>
          <w:tcPr>
            <w:tcW w:type="dxa" w:w="4320"/>
          </w:tcPr>
          <w:p>
            <w:r>
              <w:t>hybrid_search (RETRIEVER)</w:t>
            </w:r>
          </w:p>
        </w:tc>
        <w:tc>
          <w:tcPr>
            <w:tcW w:type="dxa" w:w="4320"/>
          </w:tcPr>
          <w:p>
            <w:r>
              <w:t>Search execution — query, municipality, result count</w:t>
            </w:r>
          </w:p>
        </w:tc>
      </w:tr>
      <w:tr>
        <w:tc>
          <w:tcPr>
            <w:tcW w:type="dxa" w:w="4320"/>
          </w:tcPr>
          <w:p>
            <w:r>
              <w:t>geocode_address (TOOL)</w:t>
            </w:r>
          </w:p>
        </w:tc>
        <w:tc>
          <w:tcPr>
            <w:tcW w:type="dxa" w:w="4320"/>
          </w:tcPr>
          <w:p>
            <w:r>
              <w:t>Geocoding — address, municipality, county, coordinates</w:t>
            </w:r>
          </w:p>
        </w:tc>
      </w:tr>
      <w:tr>
        <w:tc>
          <w:tcPr>
            <w:tcW w:type="dxa" w:w="4320"/>
          </w:tcPr>
          <w:p>
            <w:r>
              <w:t>chat_request (CHAIN)</w:t>
            </w:r>
          </w:p>
        </w:tc>
        <w:tc>
          <w:tcPr>
            <w:tcW w:type="dxa" w:w="4320"/>
          </w:tcPr>
          <w:p>
            <w:r>
              <w:t>Chat agent — session ID, message, tool calls, token usage</w:t>
            </w:r>
          </w:p>
        </w:tc>
      </w:tr>
    </w:tbl>
    <w:p>
      <w:pPr>
        <w:pStyle w:val="Heading3"/>
      </w:pPr>
      <w:r>
        <w:t>Key Metrics Tracked</w:t>
      </w:r>
    </w:p>
    <w:p>
      <w:pPr>
        <w:pStyle w:val="ListBullet"/>
      </w:pPr>
      <w:r>
        <w:t>confidence_score (0.33 / 0.66 / 1.0 mapped from low/medium/high)</w:t>
      </w:r>
    </w:p>
    <w:p>
      <w:pPr>
        <w:pStyle w:val="ListBullet"/>
      </w:pPr>
      <w:r>
        <w:t>source_count (number of ordinance sources used)</w:t>
      </w:r>
    </w:p>
    <w:p>
      <w:pPr>
        <w:pStyle w:val="ListBullet"/>
      </w:pPr>
      <w:r>
        <w:t>has_numeric_params (1.0 if LLM extracted numeric values)</w:t>
      </w:r>
    </w:p>
    <w:p>
      <w:pPr>
        <w:pStyle w:val="ListBullet"/>
      </w:pPr>
      <w:r>
        <w:t>max_units (calculated max allowable dwelling units)</w:t>
      </w:r>
    </w:p>
    <w:p>
      <w:pPr>
        <w:pStyle w:val="ListBullet"/>
      </w:pPr>
      <w:r>
        <w:t>Per-provider token usage (prompt_tokens, completion_tokens, total_tokens)</w:t>
      </w:r>
    </w:p>
    <w:p>
      <w:r>
        <w:br w:type="page"/>
      </w:r>
    </w:p>
    <w:p>
      <w:pPr>
        <w:pStyle w:val="Heading1"/>
      </w:pPr>
      <w:r>
        <w:rPr>
          <w:color w:val="1A1A2E"/>
        </w:rPr>
        <w:t>11. Deployment Architecture</w:t>
      </w:r>
    </w:p>
    <w:p>
      <w:pPr>
        <w:pStyle w:val="Heading3"/>
      </w:pPr>
      <w:r>
        <w:t>Deployment Topology</w:t>
      </w:r>
    </w:p>
    <w:p>
      <w:pPr>
        <w:spacing w:before="80" w:after="160"/>
      </w:pPr>
      <w:r>
        <w:rPr>
          <w:rFonts w:ascii="Courier New" w:hAnsi="Courier New"/>
          <w:color w:val="333333"/>
          <w:sz w:val="16"/>
        </w:rPr>
        <w:br/>
        <w:t xml:space="preserve">                    INTERNET</w:t>
        <w:br/>
        <w:t xml:space="preserve">                       |</w:t>
        <w:br/>
        <w:t xml:space="preserve">           +-----------+-----------+</w:t>
        <w:br/>
        <w:t xml:space="preserve">           |                       |</w:t>
        <w:br/>
        <w:t xml:space="preserve">     VERCEL (Free)           RENDER (Free)</w:t>
        <w:br/>
        <w:t xml:space="preserve">     Next.js 16              FastAPI + Docker</w:t>
        <w:br/>
        <w:t xml:space="preserve">     React 19                Uvicorn, 1 worker</w:t>
        <w:br/>
        <w:t xml:space="preserve">     Tailwind CSS 4          512MB RAM</w:t>
        <w:br/>
        <w:t xml:space="preserve">     Static + SSR            Auto-deploy on push</w:t>
        <w:br/>
        <w:t xml:space="preserve">           |                       |</w:t>
        <w:br/>
        <w:t xml:space="preserve">           |     HTTPS/SSE         |</w:t>
        <w:br/>
        <w:t xml:space="preserve">           +-----------+-----------+</w:t>
        <w:br/>
        <w:t xml:space="preserve">                       |</w:t>
        <w:br/>
        <w:t xml:space="preserve">              NEON PostgreSQL (Free)</w:t>
        <w:br/>
        <w:t xml:space="preserve">              pgvector extension</w:t>
        <w:br/>
        <w:t xml:space="preserve">              8,100+ chunks</w:t>
        <w:br/>
        <w:t xml:space="preserve">              MLflow tracking data</w:t>
        <w:br/>
        <w:t xml:space="preserve">              0.5 compute units</w:t>
        <w:br/>
      </w:r>
    </w:p>
    <w:p>
      <w:pPr>
        <w:pStyle w:val="Heading3"/>
      </w:pPr>
      <w:r>
        <w:t>Render Constraints &amp; Patterns</w:t>
      </w:r>
    </w:p>
    <w:p>
      <w:r>
        <w:rPr>
          <w:b/>
        </w:rPr>
        <w:t xml:space="preserve">30s proxy timeout: </w:t>
      </w:r>
      <w:r>
        <w:t>SSE heartbeat pattern — send status events every 15s to keep the connection alive during LLM analysis</w:t>
      </w:r>
    </w:p>
    <w:p>
      <w:r>
        <w:rPr>
          <w:b/>
        </w:rPr>
        <w:t xml:space="preserve">512MB RAM: </w:t>
      </w:r>
      <w:r>
        <w:t>Single-worker uvicorn, sequential ingestion (one municipality at a time), no concurrent LLM calls</w:t>
      </w:r>
    </w:p>
    <w:p>
      <w:r>
        <w:rPr>
          <w:b/>
        </w:rPr>
        <w:t xml:space="preserve">15-min sleep on free tier: </w:t>
      </w:r>
      <w:r>
        <w:t>Service spins down after inactivity. Cold start takes 30-90 seconds for Docker container.</w:t>
      </w:r>
    </w:p>
    <w:p>
      <w:r>
        <w:rPr>
          <w:b/>
        </w:rPr>
        <w:t xml:space="preserve">Deploy kills running tasks: </w:t>
      </w:r>
      <w:r>
        <w:t>Background ingestion tasks are killed on deploy. Ingestion is idempotent — safe to restart.</w:t>
      </w:r>
    </w:p>
    <w:p>
      <w:r>
        <w:br w:type="page"/>
      </w:r>
    </w:p>
    <w:p>
      <w:pPr>
        <w:pStyle w:val="Heading1"/>
      </w:pPr>
      <w:r>
        <w:rPr>
          <w:color w:val="1A1A2E"/>
        </w:rPr>
        <w:t>12. Prefect Orchestration (Pipeline Layer)</w:t>
      </w:r>
    </w:p>
    <w:p>
      <w:r>
        <w:t>Prefect 3 is wired into the ingestion pipeline with @flow and @task decorators. The architecture uses a graceful no-op pattern — when Prefect isn't installed or no server is running, decorators are replaced with identity functions. The pipeline works identically either way, but gains retries, caching, and observability when Prefect is active.</w:t>
      </w:r>
    </w:p>
    <w:p>
      <w:pPr>
        <w:pStyle w:val="Heading3"/>
      </w:pPr>
      <w:r>
        <w:t>Current State</w:t>
      </w:r>
    </w:p>
    <w:p>
      <w:r>
        <w:t>Prefect is included in the Docker image (uv sync --extra prefect) but no Prefect server or workers are deployed. All @flow and @task decorators are currently no-ops. The pipeline runs as plain async functions via the CLI or admin API endpoints.</w:t>
      </w:r>
    </w:p>
    <w:p>
      <w:pPr>
        <w:pStyle w:val="Heading3"/>
      </w:pPr>
      <w:r>
        <w:t>What Prefect Will Add (When Deployed)</w:t>
      </w:r>
    </w:p>
    <w:p>
      <w:r>
        <w:rPr>
          <w:b/>
        </w:rPr>
        <w:t xml:space="preserve">Automatic retries: </w:t>
      </w:r>
      <w:r>
        <w:t>scrape_municipality_task: 2x retries with 30s delay. embed_chunks_task: 3x retries with 10s delay.</w:t>
      </w:r>
    </w:p>
    <w:p>
      <w:r>
        <w:rPr>
          <w:b/>
        </w:rPr>
        <w:t xml:space="preserve">Embedding cache: </w:t>
      </w:r>
      <w:r>
        <w:t>24-hour cache on embed_chunks_task via task_input_hash. Re-ingesting unchanged municipalities skips the embedding step entirely.</w:t>
      </w:r>
    </w:p>
    <w:p>
      <w:r>
        <w:rPr>
          <w:b/>
        </w:rPr>
        <w:t xml:space="preserve">Scheduled runs: </w:t>
      </w:r>
      <w:r>
        <w:t>ingest-weekly: Sundays at 2am. eval-nightly: Daily at 4am.</w:t>
      </w:r>
    </w:p>
    <w:p>
      <w:r>
        <w:rPr>
          <w:b/>
        </w:rPr>
        <w:t xml:space="preserve">DAG visualization: </w:t>
      </w:r>
      <w:r>
        <w:t>Prefect UI shows the flow: scrape -&gt; chunk -&gt; embed -&gt; validate -&gt; store</w:t>
      </w:r>
    </w:p>
    <w:p>
      <w:r>
        <w:rPr>
          <w:b/>
        </w:rPr>
        <w:t xml:space="preserve">Execution history: </w:t>
      </w:r>
      <w:r>
        <w:t>Every flow run logged with task-level status, duration, retries</w:t>
      </w:r>
    </w:p>
    <w:p>
      <w:pPr>
        <w:pStyle w:val="Heading3"/>
      </w:pPr>
      <w:r>
        <w:t>Prefect Task Definitions</w:t>
      </w:r>
    </w:p>
    <w:p>
      <w:pPr>
        <w:pStyle w:val="Heading3"/>
      </w:pPr>
      <w:r>
        <w:t>Ingestion Flow with Prefect</w:t>
      </w:r>
    </w:p>
    <w:p>
      <w:pPr>
        <w:spacing w:before="80" w:after="160"/>
      </w:pPr>
      <w:r>
        <w:rPr>
          <w:rFonts w:ascii="Courier New" w:hAnsi="Courier New"/>
          <w:color w:val="333333"/>
          <w:sz w:val="16"/>
        </w:rPr>
        <w:br/>
        <w:t>@flow(name="ingest-municipality", log_prints=True)</w:t>
        <w:br/>
        <w:t>async def ingest_municipality_flow(key: str) -&gt; int:</w:t>
        <w:br/>
        <w:t xml:space="preserve">    sections  = await scrape_municipality_task(key)       # @task(retries=2)</w:t>
        <w:br/>
        <w:t xml:space="preserve">    chunks    = await chunk_sections_task(sections)        # @task</w:t>
        <w:br/>
        <w:t xml:space="preserve">    embeddings = await embed_chunks_task(chunks)           # @task(retries=3, cache=24h)</w:t>
        <w:br/>
        <w:t xml:space="preserve">    chunks, embeddings = await validate_chunks_task(...)   # @task</w:t>
        <w:br/>
        <w:t xml:space="preserve">    count     = await store_chunks_task(chunks, embeddings) # @task</w:t>
        <w:br/>
        <w:t xml:space="preserve">    return count</w:t>
        <w:br/>
        <w:br/>
        <w:t>@flow(name="ingest-all", log_prints=True)</w:t>
        <w:br/>
        <w:t>async def ingest_all_flow() -&gt; dict[str, int]:</w:t>
        <w:br/>
        <w:t xml:space="preserve">    configs = await _resolve_all_configs()  # Discovery + fallback</w:t>
        <w:br/>
        <w:t xml:space="preserve">    for key in configs:</w:t>
        <w:br/>
        <w:t xml:space="preserve">        count = await ingest_municipality_flow(key)</w:t>
        <w:br/>
        <w:t xml:space="preserve">    return results</w:t>
        <w:br/>
      </w:r>
    </w:p>
    <w:p>
      <w:r>
        <w:br w:type="page"/>
      </w:r>
    </w:p>
    <w:p>
      <w:pPr>
        <w:pStyle w:val="Heading1"/>
      </w:pPr>
      <w:r>
        <w:rPr>
          <w:color w:val="1A1A2E"/>
        </w:rPr>
        <w:t>13. Production Patterns Applied</w:t>
      </w:r>
    </w:p>
    <w:p>
      <w:r>
        <w:t>PlotLot applies patterns from 1,200+ production LLM deployments (ZenML LLMOps Database, 2025). Each pattern is mapped to the company that pioneered it in production.</w:t>
      </w:r>
    </w:p>
    <w:p>
      <w:r>
        <w:rPr>
          <w:b/>
        </w:rPr>
        <w:t xml:space="preserve">Circuit Breakers (Stripe): </w:t>
      </w:r>
      <w:r>
        <w:t>Per-provider/model circuit breakers prevent cascading failures. If NVIDIA returns 429s, the breaker opens and traffic routes to Gemini without wasting retries on a dead provider.</w:t>
      </w:r>
    </w:p>
    <w:p>
      <w:r>
        <w:rPr>
          <w:b/>
        </w:rPr>
        <w:t xml:space="preserve">Hybrid Retrieval (Production consensus): </w:t>
      </w:r>
      <w:r>
        <w:t>Vector + full-text + RRF fusion. Single-approach retrieval fails at production quality. The zone_codes array match adds a third signal specific to the zoning domain.</w:t>
      </w:r>
    </w:p>
    <w:p>
      <w:r>
        <w:rPr>
          <w:b/>
        </w:rPr>
        <w:t xml:space="preserve">SSE Heartbeat (Render): </w:t>
      </w:r>
      <w:r>
        <w:t>Keep SSE connections alive through Render's 30s proxy timeout by sending status events every 15s during long-running LLM analysis.</w:t>
      </w:r>
    </w:p>
    <w:p>
      <w:r>
        <w:rPr>
          <w:b/>
        </w:rPr>
        <w:t xml:space="preserve">Prompt Caching (Care Access): </w:t>
      </w:r>
      <w:r>
        <w:t>In-memory caching of geocode results (1hr TTL) and pipeline results (30min TTL). Reduced redundant API calls significantly.</w:t>
      </w:r>
    </w:p>
    <w:p>
      <w:r>
        <w:rPr>
          <w:b/>
        </w:rPr>
        <w:t xml:space="preserve">Progressive Autonomy (Klarna/DoorDash): </w:t>
      </w:r>
      <w:r>
        <w:t>Confidence-tier system with warnings and suggested next steps for low/medium confidence results. Users see amber banners when results may be incomplete.</w:t>
      </w:r>
    </w:p>
    <w:p>
      <w:r>
        <w:rPr>
          <w:b/>
        </w:rPr>
        <w:t xml:space="preserve">Tools as Prompts (CloudQuery): </w:t>
      </w:r>
      <w:r>
        <w:t>Tool descriptions are written as directives, not descriptions: 'MANDATORY Step 1 of 3 for ANY address' instead of 'Resolves an address'. Tool masking reduces context bloat per turn.</w:t>
      </w:r>
    </w:p>
    <w:p>
      <w:r>
        <w:rPr>
          <w:b/>
        </w:rPr>
        <w:t xml:space="preserve">Eval as Regression Tests (Ramp): </w:t>
      </w:r>
      <w:r>
        <w:t>Every production failure becomes a golden dataset entry. Seven deterministic scorers run in CI on every PR.</w:t>
      </w:r>
    </w:p>
    <w:p>
      <w:r>
        <w:rPr>
          <w:b/>
        </w:rPr>
        <w:t xml:space="preserve">Durable Execution (Background Tasks): </w:t>
      </w:r>
      <w:r>
        <w:t>Long-running ingestion uses FastAPI BackgroundTasks pattern for Render's 30s proxy timeout. Status tracking via in-memory dict.</w:t>
      </w:r>
    </w:p>
    <w:p>
      <w:r>
        <w:rPr>
          <w:b/>
        </w:rPr>
        <w:t xml:space="preserve">Internal LLM Proxy (Stripe): </w:t>
      </w:r>
      <w:r>
        <w:t>All LLM traffic routes through call_llm() which handles provider selection, fallback, circuit breaking, and token tracking in one place.</w:t>
      </w:r>
    </w:p>
    <w:p>
      <w:r>
        <w:br w:type="page"/>
      </w:r>
    </w:p>
    <w:p>
      <w:pPr>
        <w:pStyle w:val="Heading1"/>
      </w:pPr>
      <w:r>
        <w:rPr>
          <w:color w:val="1A1A2E"/>
        </w:rPr>
        <w:t>14. Current Data Coverage</w:t>
      </w:r>
    </w:p>
    <w:p>
      <w:pPr>
        <w:pStyle w:val="Heading3"/>
      </w:pPr>
      <w:r>
        <w:t>Ingested Municipalities (5)</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Municipality</w:t>
            </w:r>
          </w:p>
        </w:tc>
        <w:tc>
          <w:tcPr>
            <w:tcW w:type="dxa" w:w="2160"/>
          </w:tcPr>
          <w:p>
            <w:r>
              <w:t>County</w:t>
            </w:r>
          </w:p>
        </w:tc>
        <w:tc>
          <w:tcPr>
            <w:tcW w:type="dxa" w:w="2160"/>
          </w:tcPr>
          <w:p>
            <w:r>
              <w:t>Chunks</w:t>
            </w:r>
          </w:p>
        </w:tc>
        <w:tc>
          <w:tcPr>
            <w:tcW w:type="dxa" w:w="2160"/>
          </w:tcPr>
          <w:p>
            <w:r>
              <w:t>Coverage</w:t>
            </w:r>
          </w:p>
        </w:tc>
      </w:tr>
      <w:tr>
        <w:tc>
          <w:tcPr>
            <w:tcW w:type="dxa" w:w="2160"/>
          </w:tcPr>
          <w:p>
            <w:r>
              <w:t>Miami Gardens</w:t>
            </w:r>
          </w:p>
        </w:tc>
        <w:tc>
          <w:tcPr>
            <w:tcW w:type="dxa" w:w="2160"/>
          </w:tcPr>
          <w:p>
            <w:r>
              <w:t>Miami-Dade</w:t>
            </w:r>
          </w:p>
        </w:tc>
        <w:tc>
          <w:tcPr>
            <w:tcW w:type="dxa" w:w="2160"/>
          </w:tcPr>
          <w:p>
            <w:r>
              <w:t>3,561</w:t>
            </w:r>
          </w:p>
        </w:tc>
        <w:tc>
          <w:tcPr>
            <w:tcW w:type="dxa" w:w="2160"/>
          </w:tcPr>
          <w:p>
            <w:r>
              <w:t>Residential zoning (RS, RM, etc.)</w:t>
            </w:r>
          </w:p>
        </w:tc>
      </w:tr>
      <w:tr>
        <w:tc>
          <w:tcPr>
            <w:tcW w:type="dxa" w:w="2160"/>
          </w:tcPr>
          <w:p>
            <w:r>
              <w:t>Unincorporated Miami-Dade</w:t>
            </w:r>
          </w:p>
        </w:tc>
        <w:tc>
          <w:tcPr>
            <w:tcW w:type="dxa" w:w="2160"/>
          </w:tcPr>
          <w:p>
            <w:r>
              <w:t>Miami-Dade</w:t>
            </w:r>
          </w:p>
        </w:tc>
        <w:tc>
          <w:tcPr>
            <w:tcW w:type="dxa" w:w="2160"/>
          </w:tcPr>
          <w:p>
            <w:r>
              <w:t>2,666</w:t>
            </w:r>
          </w:p>
        </w:tc>
        <w:tc>
          <w:tcPr>
            <w:tcW w:type="dxa" w:w="2160"/>
          </w:tcPr>
          <w:p>
            <w:r>
              <w:t>Chapter 33 zoning ordinance</w:t>
            </w:r>
          </w:p>
        </w:tc>
      </w:tr>
      <w:tr>
        <w:tc>
          <w:tcPr>
            <w:tcW w:type="dxa" w:w="2160"/>
          </w:tcPr>
          <w:p>
            <w:r>
              <w:t>Boca Raton</w:t>
            </w:r>
          </w:p>
        </w:tc>
        <w:tc>
          <w:tcPr>
            <w:tcW w:type="dxa" w:w="2160"/>
          </w:tcPr>
          <w:p>
            <w:r>
              <w:t>Palm Beach</w:t>
            </w:r>
          </w:p>
        </w:tc>
        <w:tc>
          <w:tcPr>
            <w:tcW w:type="dxa" w:w="2160"/>
          </w:tcPr>
          <w:p>
            <w:r>
              <w:t>1,538</w:t>
            </w:r>
          </w:p>
        </w:tc>
        <w:tc>
          <w:tcPr>
            <w:tcW w:type="dxa" w:w="2160"/>
          </w:tcPr>
          <w:p>
            <w:r>
              <w:t>Mixed use, downtown districts</w:t>
            </w:r>
          </w:p>
        </w:tc>
      </w:tr>
      <w:tr>
        <w:tc>
          <w:tcPr>
            <w:tcW w:type="dxa" w:w="2160"/>
          </w:tcPr>
          <w:p>
            <w:r>
              <w:t>Miramar</w:t>
            </w:r>
          </w:p>
        </w:tc>
        <w:tc>
          <w:tcPr>
            <w:tcW w:type="dxa" w:w="2160"/>
          </w:tcPr>
          <w:p>
            <w:r>
              <w:t>Broward</w:t>
            </w:r>
          </w:p>
        </w:tc>
        <w:tc>
          <w:tcPr>
            <w:tcW w:type="dxa" w:w="2160"/>
          </w:tcPr>
          <w:p>
            <w:r>
              <w:t>241</w:t>
            </w:r>
          </w:p>
        </w:tc>
        <w:tc>
          <w:tcPr>
            <w:tcW w:type="dxa" w:w="2160"/>
          </w:tcPr>
          <w:p>
            <w:r>
              <w:t>Residential zoning</w:t>
            </w:r>
          </w:p>
        </w:tc>
      </w:tr>
      <w:tr>
        <w:tc>
          <w:tcPr>
            <w:tcW w:type="dxa" w:w="2160"/>
          </w:tcPr>
          <w:p>
            <w:r>
              <w:t>Fort Lauderdale</w:t>
            </w:r>
          </w:p>
        </w:tc>
        <w:tc>
          <w:tcPr>
            <w:tcW w:type="dxa" w:w="2160"/>
          </w:tcPr>
          <w:p>
            <w:r>
              <w:t>Broward</w:t>
            </w:r>
          </w:p>
        </w:tc>
        <w:tc>
          <w:tcPr>
            <w:tcW w:type="dxa" w:w="2160"/>
          </w:tcPr>
          <w:p>
            <w:r>
              <w:t>136</w:t>
            </w:r>
          </w:p>
        </w:tc>
        <w:tc>
          <w:tcPr>
            <w:tcW w:type="dxa" w:w="2160"/>
          </w:tcPr>
          <w:p>
            <w:r>
              <w:t>Zoning districts</w:t>
            </w:r>
          </w:p>
        </w:tc>
      </w:tr>
    </w:tbl>
    <w:p>
      <w:pPr>
        <w:pStyle w:val="Heading3"/>
      </w:pPr>
      <w:r>
        <w:t>Discoverable on Municode (88)</w:t>
      </w:r>
    </w:p>
    <w:p>
      <w:r>
        <w:t>Auto-discovery identifies 88 municipalities with zoning data on Municode across all three counties. The batch ingestion endpoint (POST /admin/ingest/batch) can ingest all of them sequentially.</w:t>
      </w:r>
    </w:p>
    <w:p>
      <w:pPr>
        <w:pStyle w:val="Heading3"/>
      </w:pPr>
      <w:r>
        <w:t>Known Gaps</w:t>
      </w:r>
    </w:p>
    <w:p>
      <w:pPr>
        <w:pStyle w:val="ListBullet"/>
      </w:pPr>
      <w:r>
        <w:t>West Palm Beach moved to enCodePlus (not on Municode) — requires separate scraper</w:t>
      </w:r>
    </w:p>
    <w:p>
      <w:pPr>
        <w:pStyle w:val="ListBullet"/>
      </w:pPr>
      <w:r>
        <w:t>Unincorporated Broward and Palm Beach not discoverable on Municode</w:t>
      </w:r>
    </w:p>
    <w:p>
      <w:pPr>
        <w:pStyle w:val="ListBullet"/>
      </w:pPr>
      <w:r>
        <w:t>Some small municipalities (Cloud Lake, Glen Ridge) may have no digital code</w:t>
      </w:r>
    </w:p>
    <w:p>
      <w:pPr>
        <w:pStyle w:val="ListBullet"/>
      </w:pPr>
      <w:r>
        <w:t>~16 municipalities not found on Municode (may use alternative code publishers)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