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Logosfield V4 — Session Handoff</w:t>
      </w:r>
    </w:p>
    <w:p>
      <w:pPr>
        <w:spacing w:after="80"/>
        <w:jc w:val="center"/>
      </w:pPr>
      <w:r>
        <w:rPr>
          <w:i/>
          <w:iCs/>
          <w:color w:val="666666"/>
          <w:sz w:val="22"/>
          <w:szCs w:val="22"/>
        </w:rPr>
        <w:t xml:space="preserve">Upload with: Logosfield_V4_Final_Sessions1and2.docx</w:t>
      </w:r>
    </w:p>
    <w:p>
      <w:pPr>
        <w:spacing w:after="200"/>
        <w:jc w:val="center"/>
      </w:pPr>
      <w:r>
        <w:rPr>
          <w:color w:val="666666"/>
          <w:sz w:val="20"/>
          <w:szCs w:val="20"/>
        </w:rPr>
        <w:t xml:space="preserve">Earl Treloar · June 22, 2026</w:t>
      </w:r>
    </w:p>
    <w:p>
      <w:pPr>
        <w:pBdr>
          <w:top w:val="single" w:color="1B5E20" w:sz="4"/>
          <w:bottom w:val="single" w:color="1B5E20" w:sz="4"/>
        </w:pBdr>
        <w:spacing w:after="80"/>
        <w:jc w:val="center"/>
      </w:pPr>
      <w:r>
        <w:rPr>
          <w:b/>
          <w:bCs/>
          <w:color w:val="1B5E20"/>
          <w:sz w:val="24"/>
          <w:szCs w:val="24"/>
        </w:rPr>
        <w:t xml:space="preserve">FOUNDATION CLEAN. LAYER 2 CLOSED. Q4B: β AND C₄ COUPLED — BRIDGE FORMULA IS THE TARGET.</w:t>
      </w:r>
    </w:p>
    <w:p>
      <w:pPr>
        <w:spacing w:after="240"/>
        <w:jc w:val="center"/>
      </w:pPr>
      <w:r>
        <w:rPr>
          <w:i/>
          <w:iCs/>
          <w:color w:val="1B5E20"/>
          <w:sz w:val="20"/>
          <w:szCs w:val="20"/>
        </w:rPr>
        <w:t xml:space="preserve">Hauptvermutung may be prerequisite, not parallel track. β, C₄, and τ→T relationship are inseparable.</w:t>
      </w:r>
    </w:p>
    <w:p>
      <w:pPr>
        <w:pStyle w:val="Heading1"/>
        <w:spacing w:after="100" w:before="160"/>
      </w:pPr>
      <w:r>
        <w:t xml:space="preserve">1. Opening Protocol</w:t>
      </w:r>
    </w:p>
    <w:p>
      <w:pPr>
        <w:spacing w:after="200"/>
      </w:pPr>
      <w:r>
        <w:rPr>
          <w:b/>
          <w:bCs/>
          <w:sz w:val="24"/>
          <w:szCs w:val="24"/>
        </w:rPr>
        <w:t xml:space="preserve">Say to Claude: </w:t>
      </w:r>
      <w:r>
        <w:rPr>
          <w:i/>
          <w:iCs/>
          <w:sz w:val="24"/>
          <w:szCs w:val="24"/>
        </w:rPr>
        <w:t xml:space="preserve">"Read Sections 2.0, 2.5, 2.7, 2.7b, Part 4, and Part 5 (all sections 5.1–5.11) completely. Carry the V4 discipline line. The next target is: (1) improved Path F — identify the correct V4-internal thermodynamic quantity; (2) attempt a V4-internal Hauptvermutung; (3) examine whether β running with scale is consistent with FP."</w:t>
      </w:r>
    </w:p>
    <w:p>
      <w:pPr>
        <w:pStyle w:val="Heading1"/>
        <w:spacing w:after="100" w:before="160"/>
      </w:pPr>
      <w:r>
        <w:t xml:space="preserve">2. Key Findings From Q4b Sessions</w:t>
      </w:r>
    </w:p>
    <w:p>
      <w:pPr>
        <w:spacing w:after="60"/>
      </w:pPr>
      <w:r>
        <w:rPr>
          <w:b/>
          <w:bCs/>
          <w:sz w:val="24"/>
          <w:szCs w:val="24"/>
        </w:rPr>
        <w:t xml:space="preserve">The coupled pair (β, C₄) — Path B fixed point equation:</w:t>
      </w:r>
    </w:p>
    <w:p>
      <w:pPr>
        <w:spacing w:after="80"/>
        <w:jc w:val="center"/>
      </w:pPr>
      <w:r>
        <w:rPr>
          <w:b/>
          <w:bCs/>
          <w:sz w:val="26"/>
          <w:szCs w:val="26"/>
        </w:rPr>
        <w:t xml:space="preserve">C₄ · exp(−β)·(1+4exp(−β)+exp(−2β)) / (1−exp(−β))⁴ = 1</w:t>
      </w:r>
    </w:p>
    <w:p>
      <w:pPr>
        <w:spacing w:after="120"/>
      </w:pPr>
      <w:r>
        <w:rPr>
          <w:sz w:val="24"/>
          <w:szCs w:val="24"/>
        </w:rPr>
        <w:t xml:space="preserve">One confirmed equation. One open slot. Bridge formula = second condition.</w:t>
      </w:r>
    </w:p>
    <w:p>
      <w:pPr>
        <w:spacing w:after="60"/>
      </w:pPr>
      <w:r>
        <w:rPr>
          <w:b/>
          <w:bCs/>
          <w:sz w:val="24"/>
          <w:szCs w:val="24"/>
        </w:rPr>
        <w:t xml:space="preserve">The algebraic identity (exact):</w:t>
      </w:r>
    </w:p>
    <w:p>
      <w:pPr>
        <w:spacing w:after="80"/>
        <w:jc w:val="center"/>
      </w:pPr>
      <w:r>
        <w:rPr>
          <w:b/>
          <w:bCs/>
          <w:sz w:val="26"/>
          <w:szCs w:val="26"/>
        </w:rPr>
        <w:t xml:space="preserve">C₄·exp(−4β) = u³(1−u)⁴/(1+4u+u²) = deficit ratio    [u = exp(−β)]</w:t>
      </w:r>
    </w:p>
    <w:p>
      <w:pPr>
        <w:spacing w:after="120"/>
      </w:pPr>
      <w:r>
        <w:rPr>
          <w:sz w:val="24"/>
          <w:szCs w:val="24"/>
        </w:rPr>
        <w:t xml:space="preserve">The τ⁴ geometric coefficient of S and the deficit ratio are the same object. They were never two separate quantities.</w:t>
      </w:r>
    </w:p>
    <w:p>
      <w:pPr>
        <w:spacing w:after="60"/>
      </w:pPr>
      <w:r>
        <w:rPr>
          <w:b/>
          <w:bCs/>
          <w:sz w:val="24"/>
          <w:szCs w:val="24"/>
        </w:rPr>
        <w:t xml:space="preserve">The geometric/baryon tension:</w:t>
      </w:r>
    </w:p>
    <w:p>
      <w:pPr>
        <w:spacing w:after="40"/>
      </w:pPr>
      <w:r>
        <w:rPr>
          <w:sz w:val="24"/>
          <w:szCs w:val="24"/>
        </w:rPr>
        <w:t xml:space="preserve">Geometric recovery needs: deficit ratio ≈ π ≈ 3.14  (Lorentzian coefficient π/24)</w:t>
      </w:r>
    </w:p>
    <w:p>
      <w:pPr>
        <w:spacing w:after="40"/>
      </w:pPr>
      <w:r>
        <w:rPr>
          <w:sz w:val="24"/>
          <w:szCs w:val="24"/>
        </w:rPr>
        <w:t xml:space="preserve">Baryon observation needs: deficit ratio ≈ η ≈ 6×10⁻¹⁰</w:t>
      </w:r>
    </w:p>
    <w:p>
      <w:pPr>
        <w:spacing w:after="200"/>
      </w:pPr>
      <w:r>
        <w:rPr>
          <w:color w:val="BA7517"/>
          <w:sz w:val="24"/>
          <w:szCs w:val="24"/>
        </w:rPr>
        <w:t xml:space="preserve">These are 13 orders of magnitude apart. Cannot both hold at the same β. Tension must be resolved.</w:t>
      </w:r>
    </w:p>
    <w:p>
      <w:pPr>
        <w:pStyle w:val="Heading1"/>
        <w:spacing w:after="100" w:before="160"/>
      </w:pPr>
      <w:r>
        <w:t xml:space="preserve">3. Path Status —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tcPr>
          <w:p>
            <w:r>
              <w:rPr>
                <w:b/>
                <w:bCs/>
                <w:sz w:val="20"/>
                <w:szCs w:val="20"/>
              </w:rPr>
              <w:t xml:space="preserve">Path</w:t>
            </w:r>
          </w:p>
        </w:tc>
        <w:tc>
          <w:tcPr>
            <w:tcW w:type="dxa" w:w="2800"/>
          </w:tcPr>
          <w:p>
            <w:r>
              <w:rPr>
                <w:b/>
                <w:bCs/>
                <w:sz w:val="20"/>
                <w:szCs w:val="20"/>
              </w:rPr>
              <w:t xml:space="preserve">Description</w:t>
            </w:r>
          </w:p>
        </w:tc>
        <w:tc>
          <w:tcPr>
            <w:tcW w:type="dxa" w:w="5400"/>
          </w:tcPr>
          <w:p>
            <w:r>
              <w:rPr>
                <w:b/>
                <w:bCs/>
                <w:sz w:val="20"/>
                <w:szCs w:val="20"/>
              </w:rPr>
              <w:t xml:space="preserve">Status</w:t>
            </w:r>
          </w:p>
        </w:tc>
      </w:tr>
      <w:tr>
        <w:tc>
          <w:tcPr>
            <w:tcW w:type="dxa" w:w="800"/>
          </w:tcPr>
          <w:p>
            <w:r>
              <w:rPr>
                <w:sz w:val="20"/>
                <w:szCs w:val="20"/>
              </w:rPr>
              <w:t xml:space="preserve">A</w:t>
            </w:r>
          </w:p>
        </w:tc>
        <w:tc>
          <w:tcPr>
            <w:tcW w:type="dxa" w:w="2800"/>
          </w:tcPr>
          <w:p>
            <w:r>
              <w:rPr>
                <w:sz w:val="20"/>
                <w:szCs w:val="20"/>
              </w:rPr>
              <w:t xml:space="preserve">Discrete null solid angle</w:t>
            </w:r>
          </w:p>
        </w:tc>
        <w:tc>
          <w:tcPr>
            <w:tcW w:type="dxa" w:w="5400"/>
          </w:tcPr>
          <w:p>
            <w:r>
              <w:rPr>
                <w:sz w:val="20"/>
                <w:szCs w:val="20"/>
              </w:rPr>
              <w:t xml:space="preserve">[OPEN — primary] New math needed. Hard frontier.</w:t>
            </w:r>
          </w:p>
        </w:tc>
      </w:tr>
      <w:tr>
        <w:tc>
          <w:tcPr>
            <w:tcW w:type="dxa" w:w="800"/>
          </w:tcPr>
          <w:p>
            <w:r>
              <w:rPr>
                <w:sz w:val="20"/>
                <w:szCs w:val="20"/>
              </w:rPr>
              <w:t xml:space="preserve">B</w:t>
            </w:r>
          </w:p>
        </w:tc>
        <w:tc>
          <w:tcPr>
            <w:tcW w:type="dxa" w:w="2800"/>
          </w:tcPr>
          <w:p>
            <w:r>
              <w:rPr>
                <w:sz w:val="20"/>
                <w:szCs w:val="20"/>
              </w:rPr>
              <w:t xml:space="preserve">Self-registration fixed point</w:t>
            </w:r>
          </w:p>
        </w:tc>
        <w:tc>
          <w:tcPr>
            <w:tcW w:type="dxa" w:w="5400"/>
          </w:tcPr>
          <w:p>
            <w:r>
              <w:rPr>
                <w:sz w:val="20"/>
                <w:szCs w:val="20"/>
              </w:rPr>
              <w:t xml:space="preserve">[IDENTIFIED] Confirmed coupling equation. One slot open.</w:t>
            </w:r>
          </w:p>
        </w:tc>
      </w:tr>
      <w:tr>
        <w:tc>
          <w:tcPr>
            <w:tcW w:type="dxa" w:w="800"/>
          </w:tcPr>
          <w:p>
            <w:r>
              <w:rPr>
                <w:sz w:val="20"/>
                <w:szCs w:val="20"/>
              </w:rPr>
              <w:t xml:space="preserve">C</w:t>
            </w:r>
          </w:p>
        </w:tc>
        <w:tc>
          <w:tcPr>
            <w:tcW w:type="dxa" w:w="2800"/>
          </w:tcPr>
          <w:p>
            <w:r>
              <w:rPr>
                <w:sz w:val="20"/>
                <w:szCs w:val="20"/>
              </w:rPr>
              <w:t xml:space="preserve">Iteration convergence</w:t>
            </w:r>
          </w:p>
        </w:tc>
        <w:tc>
          <w:tcPr>
            <w:tcW w:type="dxa" w:w="5400"/>
          </w:tcPr>
          <w:p>
            <w:r>
              <w:rPr>
                <w:sz w:val="20"/>
                <w:szCs w:val="20"/>
              </w:rPr>
              <w:t xml:space="preserve">[INCONSISTENT — needs replacement] Geometric mean wrong.</w:t>
            </w:r>
          </w:p>
        </w:tc>
      </w:tr>
      <w:tr>
        <w:tc>
          <w:tcPr>
            <w:tcW w:type="dxa" w:w="800"/>
          </w:tcPr>
          <w:p>
            <w:r>
              <w:rPr>
                <w:sz w:val="20"/>
                <w:szCs w:val="20"/>
              </w:rPr>
              <w:t xml:space="preserve">D</w:t>
            </w:r>
          </w:p>
        </w:tc>
        <w:tc>
          <w:tcPr>
            <w:tcW w:type="dxa" w:w="2800"/>
          </w:tcPr>
          <w:p>
            <w:r>
              <w:rPr>
                <w:sz w:val="20"/>
                <w:szCs w:val="20"/>
              </w:rPr>
              <w:t xml:space="preserve">Covering relation geometry</w:t>
            </w:r>
          </w:p>
        </w:tc>
        <w:tc>
          <w:tcPr>
            <w:tcW w:type="dxa" w:w="5400"/>
          </w:tcPr>
          <w:p>
            <w:r>
              <w:rPr>
                <w:sz w:val="20"/>
                <w:szCs w:val="20"/>
              </w:rPr>
              <w:t xml:space="preserve">[OPEN — parallel to A]</w:t>
            </w:r>
          </w:p>
        </w:tc>
      </w:tr>
      <w:tr>
        <w:tc>
          <w:tcPr>
            <w:tcW w:type="dxa" w:w="800"/>
          </w:tcPr>
          <w:p>
            <w:r>
              <w:rPr>
                <w:sz w:val="20"/>
                <w:szCs w:val="20"/>
              </w:rPr>
              <w:t xml:space="preserve">E</w:t>
            </w:r>
          </w:p>
        </w:tc>
        <w:tc>
          <w:tcPr>
            <w:tcW w:type="dxa" w:w="2800"/>
          </w:tcPr>
          <w:p>
            <w:r>
              <w:rPr>
                <w:sz w:val="20"/>
                <w:szCs w:val="20"/>
              </w:rPr>
              <w:t xml:space="preserve">Spectral condition</w:t>
            </w:r>
          </w:p>
        </w:tc>
        <w:tc>
          <w:tcPr>
            <w:tcW w:type="dxa" w:w="5400"/>
          </w:tcPr>
          <w:p>
            <w:r>
              <w:rPr>
                <w:sz w:val="20"/>
                <w:szCs w:val="20"/>
              </w:rPr>
              <w:t xml:space="preserve">[RULED OUT] 2πi period ≠ Re(β)=2π.</w:t>
            </w:r>
          </w:p>
        </w:tc>
      </w:tr>
      <w:tr>
        <w:tc>
          <w:tcPr>
            <w:tcW w:type="dxa" w:w="800"/>
          </w:tcPr>
          <w:p>
            <w:r>
              <w:rPr>
                <w:sz w:val="20"/>
                <w:szCs w:val="20"/>
              </w:rPr>
              <w:t xml:space="preserve">F</w:t>
            </w:r>
          </w:p>
        </w:tc>
        <w:tc>
          <w:tcPr>
            <w:tcW w:type="dxa" w:w="2800"/>
          </w:tcPr>
          <w:p>
            <w:r>
              <w:rPr>
                <w:sz w:val="20"/>
                <w:szCs w:val="20"/>
              </w:rPr>
              <w:t xml:space="preserve">Unruh internal</w:t>
            </w:r>
          </w:p>
        </w:tc>
        <w:tc>
          <w:tcPr>
            <w:tcW w:type="dxa" w:w="5400"/>
          </w:tcPr>
          <w:p>
            <w:r>
              <w:rPr>
                <w:sz w:val="20"/>
                <w:szCs w:val="20"/>
              </w:rPr>
              <w:t xml:space="preserve">[OPEN — reformulation needed] Memory gradient ≠ T_U gives β≠2π.</w:t>
            </w:r>
          </w:p>
        </w:tc>
      </w:tr>
      <w:tr>
        <w:tc>
          <w:tcPr>
            <w:tcW w:type="dxa" w:w="800"/>
          </w:tcPr>
          <w:p>
            <w:r>
              <w:rPr>
                <w:sz w:val="20"/>
                <w:szCs w:val="20"/>
              </w:rPr>
              <w:t xml:space="preserve">G</w:t>
            </w:r>
          </w:p>
        </w:tc>
        <w:tc>
          <w:tcPr>
            <w:tcW w:type="dxa" w:w="2800"/>
          </w:tcPr>
          <w:p>
            <w:r>
              <w:rPr>
                <w:sz w:val="20"/>
                <w:szCs w:val="20"/>
              </w:rPr>
              <w:t xml:space="preserve">Causal Green's function</w:t>
            </w:r>
          </w:p>
        </w:tc>
        <w:tc>
          <w:tcPr>
            <w:tcW w:type="dxa" w:w="5400"/>
          </w:tcPr>
          <w:p>
            <w:r>
              <w:rPr>
                <w:sz w:val="20"/>
                <w:szCs w:val="20"/>
              </w:rPr>
              <w:t xml:space="preserve">[OPEN — high import risk]</w:t>
            </w:r>
          </w:p>
        </w:tc>
      </w:tr>
      <w:tr>
        <w:tc>
          <w:tcPr>
            <w:tcW w:type="dxa" w:w="800"/>
          </w:tcPr>
          <w:p>
            <w:r>
              <w:rPr>
                <w:sz w:val="20"/>
                <w:szCs w:val="20"/>
              </w:rPr>
              <w:t xml:space="preserve">H</w:t>
            </w:r>
          </w:p>
        </w:tc>
        <w:tc>
          <w:tcPr>
            <w:tcW w:type="dxa" w:w="2800"/>
          </w:tcPr>
          <w:p>
            <w:r>
              <w:rPr>
                <w:sz w:val="20"/>
                <w:szCs w:val="20"/>
              </w:rPr>
              <w:t xml:space="preserve">Maximum entropy</w:t>
            </w:r>
          </w:p>
        </w:tc>
        <w:tc>
          <w:tcPr>
            <w:tcW w:type="dxa" w:w="5400"/>
          </w:tcPr>
          <w:p>
            <w:r>
              <w:rPr>
                <w:sz w:val="20"/>
                <w:szCs w:val="20"/>
              </w:rPr>
              <w:t xml:space="preserve">[DOES NOT FIX β] τ-dependent. Confirms Poisson only.</w:t>
            </w:r>
          </w:p>
        </w:tc>
      </w:tr>
    </w:tbl>
    <w:p>
      <w:pPr>
        <w:pStyle w:val="Heading1"/>
        <w:spacing w:after="100" w:before="240"/>
      </w:pPr>
      <w:r>
        <w:t xml:space="preserve">4. Next Session Targets</w:t>
      </w:r>
    </w:p>
    <w:p>
      <w:pPr>
        <w:spacing w:after="100"/>
      </w:pPr>
      <w:r>
        <w:rPr>
          <w:b/>
          <w:bCs/>
          <w:sz w:val="24"/>
          <w:szCs w:val="24"/>
        </w:rPr>
        <w:t xml:space="preserve">1. Improved Path F: </w:t>
      </w:r>
      <w:r>
        <w:rPr>
          <w:sz w:val="24"/>
          <w:szCs w:val="24"/>
        </w:rPr>
        <w:t xml:space="preserve">Find the correct V4-internal thermodynamic quantity. The memory gradient dM/dk is wrong. What is the right analog of temperature in the discrete causal order? The partition function Z(β) = exp(ρτ·exp(−β)) may be the entry point.</w:t>
      </w:r>
    </w:p>
    <w:p>
      <w:pPr>
        <w:spacing w:after="100"/>
      </w:pPr>
      <w:r>
        <w:rPr>
          <w:b/>
          <w:bCs/>
          <w:sz w:val="24"/>
          <w:szCs w:val="24"/>
        </w:rPr>
        <w:t xml:space="preserve">2. V4-internal Hauptvermutung: </w:t>
      </w:r>
      <w:r>
        <w:rPr>
          <w:sz w:val="24"/>
          <w:szCs w:val="24"/>
        </w:rPr>
        <w:t xml:space="preserve">Attempt to show the d=4 Poisson-homogeneous order is consistent with exactly one Lorentzian manifold structure. This may be prerequisite for the continuum limit, not just a parallel track.</w:t>
      </w:r>
    </w:p>
    <w:p>
      <w:pPr>
        <w:spacing w:after="200"/>
      </w:pPr>
      <w:r>
        <w:rPr>
          <w:b/>
          <w:bCs/>
          <w:sz w:val="24"/>
          <w:szCs w:val="24"/>
        </w:rPr>
        <w:t xml:space="preserve">3. Running β: </w:t>
      </w:r>
      <w:r>
        <w:rPr>
          <w:sz w:val="24"/>
          <w:szCs w:val="24"/>
        </w:rPr>
        <w:t xml:space="preserve">Examine whether β = β(τ) — a scale-dependent decay rate — is consistent with the founding principle. If β runs, the geometric/baryon tension resolves naturally at different scales. This would make β = 2π the IR (large scale) value and the baryon asymmetry a UV (early universe) feature.</w:t>
      </w:r>
    </w:p>
    <w:p>
      <w:pPr>
        <w:pStyle w:val="Heading1"/>
        <w:spacing w:after="100" w:before="160"/>
      </w:pPr>
      <w:r>
        <w:t xml:space="preserve">5. The Deepest Honest Finding</w:t>
      </w:r>
    </w:p>
    <w:p>
      <w:pPr>
        <w:spacing w:after="120"/>
      </w:pPr>
      <w:r>
        <w:rPr>
          <w:sz w:val="24"/>
          <w:szCs w:val="24"/>
        </w:rPr>
        <w:t xml:space="preserve">β, C₄, and the τ→T relationship are not separable. The bridge formula must fix all three simultaneously. This may require the Hauptvermutung as a prerequisite — not as a parallel track but as the necessary foundation for the continuum limit. This is the precise location of the remaining difficulty. It is shared with causal set theory, which has not solved it in decades of work. V4's Poisson form and homogeneity give a cleaner entry point, but the gate is the same gate.</w:t>
      </w:r>
    </w:p>
    <w:p>
      <w:pPr>
        <w:spacing w:after="200"/>
      </w:pPr>
      <w:r>
        <w:rPr>
          <w:color w:val="534AB7"/>
          <w:sz w:val="24"/>
          <w:szCs w:val="24"/>
        </w:rPr>
        <w:t xml:space="preserve">The author's instinct that a new mathematical formula is needed remains confirmed. The bridge formula — whatever it is — must emerge from V4 primitives and fix β, C₄, and the continuum identification simultaneously. It does not yet exist in V4 or in the CST literature.</w:t>
      </w:r>
    </w:p>
    <w:p>
      <w:pPr>
        <w:pBdr>
          <w:top w:val="single" w:color="CCCCCC" w:sz="1"/>
        </w:pBdr>
        <w:spacing w:before="200"/>
        <w:jc w:val="center"/>
      </w:pPr>
      <w:r>
        <w:rPr>
          <w:color w:val="999999"/>
          <w:sz w:val="20"/>
          <w:szCs w:val="20"/>
        </w:rPr>
        <w:t xml:space="preserve">V4 Final Sessions 1 and 2 · June 22,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2026-07-09T22:37:46.348Z</dcterms:created>
  <dcterms:modified xsi:type="dcterms:W3CDTF">2026-07-09T22:37:46.360Z</dcterms:modified>
</cp:coreProperties>
</file>

<file path=docProps/custom.xml><?xml version="1.0" encoding="utf-8"?>
<Properties xmlns="http://schemas.openxmlformats.org/officeDocument/2006/custom-properties" xmlns:vt="http://schemas.openxmlformats.org/officeDocument/2006/docPropsVTypes"/>
</file>