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LOGOSFIELD V4 — VISION 25 MASTER</w:t>
      </w:r>
    </w:p>
    <w:p>
      <w:pPr>
        <w:spacing w:after="80"/>
        <w:jc w:val="center"/>
      </w:pPr>
      <w:r>
        <w:rPr>
          <w:i/>
          <w:iCs/>
          <w:sz w:val="24"/>
          <w:szCs w:val="24"/>
        </w:rPr>
        <w:t xml:space="preserve">Complete Session Record · V4 Visions 18–25</w:t>
      </w:r>
    </w:p>
    <w:p>
      <w:pPr>
        <w:spacing w:after="80"/>
        <w:jc w:val="center"/>
      </w:pPr>
      <w:r>
        <w:rPr>
          <w:sz w:val="22"/>
          <w:szCs w:val="22"/>
        </w:rPr>
        <w:t xml:space="preserve">Earl Treloar · July 2026 · β = 2π [DERIVED — within V4 standards]</w:t>
      </w:r>
    </w:p>
    <w:p>
      <w:pPr>
        <w:pBdr>
          <w:bottom w:val="single" w:color="999999" w:sz="6"/>
        </w:pBdr>
        <w:spacing w:after="160"/>
      </w:pPr>
      <w:r>
        <w:t xml:space="preserve"/>
      </w:r>
    </w:p>
    <w:p>
      <w:pPr>
        <w:pStyle w:val="Heading1"/>
        <w:spacing w:after="120" w:before="400"/>
      </w:pPr>
      <w:r>
        <w:t xml:space="preserve">Parts 1–17 — Carried Forward From V24</w:t>
      </w:r>
    </w:p>
    <w:p>
      <w:pPr>
        <w:spacing w:after="100"/>
      </w:pPr>
      <w:r>
        <w:rPr>
          <w:sz w:val="22"/>
          <w:szCs w:val="22"/>
        </w:rPr>
        <w:t xml:space="preserve">All V18–V24 results carry forward without modification. Parts 1–17 of the V24 Master are the complete prior record. V25 adds Part 18: the global-to-local FP passage via memory completeness and two-observer structure, producing the Layer 2 conditional flatness result.</w:t>
      </w:r>
    </w:p>
    <w:p>
      <w:pPr>
        <w:spacing w:after="100"/>
      </w:pPr>
      <w:r>
        <w:rPr>
          <w:b/>
          <w:bCs/>
          <w:sz w:val="22"/>
          <w:szCs w:val="22"/>
        </w:rPr>
        <w:t xml:space="preserve">Do not re-derive β=2π, τ=1, d=4, β&gt;0, FP-minimal, PATH2-L1. These are closed.</w:t>
      </w:r>
    </w:p>
    <w:p>
      <w:pPr>
        <w:spacing w:after="80"/>
      </w:pPr>
      <w:r>
        <w:t xml:space="preserve"/>
      </w:r>
    </w:p>
    <w:p>
      <w:pPr>
        <w:pStyle w:val="Heading1"/>
        <w:spacing w:after="120" w:before="400"/>
      </w:pPr>
      <w:r>
        <w:t xml:space="preserve">Part 18 — V25 Session Results: Global-to-Local FP Passage</w:t>
      </w:r>
    </w:p>
    <w:p>
      <w:pPr>
        <w:pStyle w:val="Heading2"/>
        <w:spacing w:after="80" w:before="240"/>
      </w:pPr>
      <w:r>
        <w:t xml:space="preserve">18.1 — Session Target and Context</w:t>
      </w:r>
    </w:p>
    <w:p>
      <w:pPr>
        <w:spacing w:after="100"/>
      </w:pPr>
      <w:r>
        <w:rPr>
          <w:sz w:val="22"/>
          <w:szCs w:val="22"/>
        </w:rPr>
        <w:t xml:space="preserve">V25 dedicated the full session to the global-to-local FP passage — the single load-bearing open question identified in V23 and confirmed in V24 as blocking both PATH 1 (entropy mechanism) and PATH 2 Layer 2 (topology forcing). The passage asks: does FP, when applied globally to the complete structure, produce binding local conditions at each event?</w:t>
      </w:r>
    </w:p>
    <w:p>
      <w:pPr>
        <w:spacing w:after="100"/>
      </w:pPr>
      <w:r>
        <w:rPr>
          <w:sz w:val="22"/>
          <w:szCs w:val="22"/>
        </w:rPr>
        <w:t xml:space="preserve">Three mechanisms were attempted: scale invariance of FP, FP applied to every causally convex sub-structure, and local entropy as local realizability. The decisive advance came from combining the memory structure of A3 with the two-observer structure — a V4-derived feature — and FP applied to the realization mechanism.</w:t>
      </w:r>
    </w:p>
    <w:p>
      <w:pPr>
        <w:spacing w:after="80"/>
      </w:pPr>
      <w:r>
        <w:t xml:space="preserve"/>
      </w:r>
    </w:p>
    <w:p>
      <w:pPr>
        <w:pStyle w:val="Heading2"/>
        <w:spacing w:after="80" w:before="240"/>
      </w:pPr>
      <w:r>
        <w:t xml:space="preserve">18.2 — Layer 2 Topology Scan: Four Candidates, Results</w:t>
      </w:r>
    </w:p>
    <w:p>
      <w:pPr>
        <w:spacing w:after="100"/>
      </w:pPr>
      <w:r>
        <w:rPr>
          <w:sz w:val="22"/>
          <w:szCs w:val="22"/>
        </w:rPr>
        <w:t xml:space="preserve">Before attempting the passage directly, a full scan of primitive-true interactions was conducted for hidden Layer 2 paths. Four candidates were identified and stress-tested:</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2000"/>
            <w:shd w:fill="D5D8DC" w:val="clear"/>
          </w:tcPr>
          <w:p>
            <w:r>
              <w:rPr>
                <w:b/>
                <w:bCs/>
                <w:sz w:val="20"/>
                <w:szCs w:val="20"/>
              </w:rPr>
              <w:t xml:space="preserve">Candidate</w:t>
            </w:r>
          </w:p>
        </w:tc>
        <w:tc>
          <w:tcPr>
            <w:tcW w:type="dxa" w:w="3600"/>
            <w:shd w:fill="D5D8DC" w:val="clear"/>
          </w:tcPr>
          <w:p>
            <w:r>
              <w:rPr>
                <w:b/>
                <w:bCs/>
                <w:sz w:val="20"/>
                <w:szCs w:val="20"/>
              </w:rPr>
              <w:t xml:space="preserve">Claim</w:t>
            </w:r>
          </w:p>
        </w:tc>
        <w:tc>
          <w:tcPr>
            <w:tcW w:type="dxa" w:w="3400"/>
            <w:shd w:fill="D5D8DC" w:val="clear"/>
          </w:tcPr>
          <w:p>
            <w:r>
              <w:rPr>
                <w:b/>
                <w:bCs/>
                <w:sz w:val="20"/>
                <w:szCs w:val="20"/>
              </w:rPr>
              <w:t xml:space="preserve">Verdict</w:t>
            </w:r>
          </w:p>
        </w:tc>
      </w:tr>
      <w:tr>
        <w:tc>
          <w:tcPr>
            <w:tcW w:type="dxa" w:w="2000"/>
          </w:tcPr>
          <w:p>
            <w:r>
              <w:rPr>
                <w:sz w:val="19"/>
                <w:szCs w:val="19"/>
              </w:rPr>
              <w:t xml:space="preserve">B — N_past=β rules out compact</w:t>
            </w:r>
          </w:p>
        </w:tc>
        <w:tc>
          <w:tcPr>
            <w:tcW w:type="dxa" w:w="3600"/>
          </w:tcPr>
          <w:p>
            <w:r>
              <w:rPr>
                <w:sz w:val="19"/>
                <w:szCs w:val="19"/>
              </w:rPr>
              <w:t xml:space="preserve">Compact topologies add topological images to N_past &gt; β</w:t>
            </w:r>
          </w:p>
        </w:tc>
        <w:tc>
          <w:tcPr>
            <w:tcW w:type="dxa" w:w="3400"/>
          </w:tcPr>
          <w:p>
            <w:r>
              <w:rPr>
                <w:sz w:val="19"/>
                <w:szCs w:val="19"/>
              </w:rPr>
              <w:t xml:space="preserve">[RULED OUT] — fails for large compact topologies; N_past=β is statistical average</w:t>
            </w:r>
          </w:p>
        </w:tc>
      </w:tr>
      <w:tr>
        <w:tc>
          <w:tcPr>
            <w:tcW w:type="dxa" w:w="2000"/>
          </w:tcPr>
          <w:p>
            <w:r>
              <w:rPr>
                <w:sz w:val="19"/>
                <w:szCs w:val="19"/>
              </w:rPr>
              <w:t xml:space="preserve">C (de Sitter) — FP global rules out horizons</w:t>
            </w:r>
          </w:p>
        </w:tc>
        <w:tc>
          <w:tcPr>
            <w:tcW w:type="dxa" w:w="3600"/>
          </w:tcPr>
          <w:p>
            <w:r>
              <w:rPr>
                <w:sz w:val="19"/>
                <w:szCs w:val="19"/>
              </w:rPr>
              <w:t xml:space="preserve">De Sitter cosmological horizon violates FP global character</w:t>
            </w:r>
          </w:p>
        </w:tc>
        <w:tc>
          <w:tcPr>
            <w:tcW w:type="dxa" w:w="3400"/>
          </w:tcPr>
          <w:p>
            <w:r>
              <w:rPr>
                <w:sz w:val="19"/>
                <w:szCs w:val="19"/>
              </w:rPr>
              <w:t xml:space="preserve">[RULED OUT] — horizon is observer-dependent, not structural; complete de Sitter has no missing potential</w:t>
            </w:r>
          </w:p>
        </w:tc>
      </w:tr>
      <w:tr>
        <w:tc>
          <w:tcPr>
            <w:tcW w:type="dxa" w:w="2000"/>
          </w:tcPr>
          <w:p>
            <w:r>
              <w:rPr>
                <w:sz w:val="19"/>
                <w:szCs w:val="19"/>
              </w:rPr>
              <w:t xml:space="preserve">C (anti-de Sitter) — FP-upper rules out boundary</w:t>
            </w:r>
          </w:p>
        </w:tc>
        <w:tc>
          <w:tcPr>
            <w:tcW w:type="dxa" w:w="3600"/>
          </w:tcPr>
          <w:p>
            <w:r>
              <w:rPr>
                <w:sz w:val="19"/>
                <w:szCs w:val="19"/>
              </w:rPr>
              <w:t xml:space="preserve">Anti-de Sitter boundary causes potential to escape; violates FP-upper self-bounding</w:t>
            </w:r>
          </w:p>
        </w:tc>
        <w:tc>
          <w:tcPr>
            <w:tcW w:type="dxa" w:w="3400"/>
          </w:tcPr>
          <w:p>
            <w:r>
              <w:rPr>
                <w:sz w:val="19"/>
                <w:szCs w:val="19"/>
              </w:rPr>
              <w:t xml:space="preserve">[IDENTIFIED — conditional] — structurally sound; needs A2 chain formalization</w:t>
            </w:r>
          </w:p>
        </w:tc>
      </w:tr>
      <w:tr>
        <w:tc>
          <w:tcPr>
            <w:tcW w:type="dxa" w:w="2000"/>
          </w:tcPr>
          <w:p>
            <w:r>
              <w:rPr>
                <w:sz w:val="19"/>
                <w:szCs w:val="19"/>
              </w:rPr>
              <w:t xml:space="preserve">A — Poisson+self-consistency forces flat</w:t>
            </w:r>
          </w:p>
        </w:tc>
        <w:tc>
          <w:tcPr>
            <w:tcW w:type="dxa" w:w="3600"/>
          </w:tcPr>
          <w:p>
            <w:r>
              <w:rPr>
                <w:sz w:val="19"/>
                <w:szCs w:val="19"/>
              </w:rPr>
              <w:t xml:space="preserve">ρ globally constant + ρ·V_interval=β everywhere → R=0</w:t>
            </w:r>
          </w:p>
        </w:tc>
        <w:tc>
          <w:tcPr>
            <w:tcW w:type="dxa" w:w="3400"/>
          </w:tcPr>
          <w:p>
            <w:r>
              <w:rPr>
                <w:sz w:val="19"/>
                <w:szCs w:val="19"/>
              </w:rPr>
              <w:t xml:space="preserve">[RULED OUT] — ρ not forced constant by FP; depends on unresolved global-to-local passage</w:t>
            </w:r>
          </w:p>
        </w:tc>
      </w:tr>
    </w:tbl>
    <w:p>
      <w:pPr>
        <w:spacing w:after="80"/>
      </w:pPr>
      <w:r>
        <w:t xml:space="preserve"/>
      </w:r>
    </w:p>
    <w:p>
      <w:pPr>
        <w:spacing w:after="100"/>
      </w:pPr>
      <w:r>
        <w:rPr>
          <w:sz w:val="22"/>
          <w:szCs w:val="22"/>
        </w:rPr>
        <w:t xml:space="preserve">Ruling out candidates B, de Sitter C, and A clarified the precise gap: the global-to-local FP passage is required for all viable topology-forcing arguments. The anti-de Sitter result (Candidate C partial) survives and is carried forward as [IDENTIFIED — conditional].</w:t>
      </w:r>
    </w:p>
    <w:p>
      <w:pPr>
        <w:spacing w:after="80"/>
      </w:pPr>
      <w:r>
        <w:t xml:space="preserve"/>
      </w:r>
    </w:p>
    <w:p>
      <w:pPr>
        <w:pStyle w:val="Heading2"/>
        <w:spacing w:after="80" w:before="240"/>
      </w:pPr>
      <w:r>
        <w:t xml:space="preserve">18.3 — The Two-Observer Structure (carried from V7-V8)</w:t>
      </w:r>
    </w:p>
    <w:p>
      <w:pPr>
        <w:spacing w:after="100"/>
      </w:pPr>
      <w:r>
        <w:rPr>
          <w:sz w:val="22"/>
          <w:szCs w:val="22"/>
        </w:rPr>
        <w:t xml:space="preserve">V4 has two structurally distinct observers, established as a derived feature of the framework:</w:t>
      </w:r>
    </w:p>
    <w:p>
      <w:pPr>
        <w:spacing w:after="100"/>
      </w:pPr>
      <w:r>
        <w:rPr>
          <w:b/>
          <w:bCs/>
          <w:sz w:val="22"/>
          <w:szCs w:val="22"/>
        </w:rPr>
        <w:t xml:space="preserve">Logos-observer: outside the partial order. Sees the complete structure simultaneously. The perspective from which FP is stated — the complete structure realizing all its potential. Has access to the global self-consistency condition.</w:t>
      </w:r>
    </w:p>
    <w:p>
      <w:pPr>
        <w:spacing w:after="100"/>
      </w:pPr>
      <w:r>
        <w:rPr>
          <w:b/>
          <w:bCs/>
          <w:sz w:val="22"/>
          <w:szCs w:val="22"/>
        </w:rPr>
        <w:t xml:space="preserve">Inside observer: created into the mechanism. Registers only its causal past through the memory kernel M(f,e)=exp(−β·n). Has access only to what the kernel delivers at each event. Q4a describes this observer — chain length as clock, epistemic limitation, N_past=β.</w:t>
      </w:r>
    </w:p>
    <w:p>
      <w:pPr>
        <w:spacing w:after="100"/>
      </w:pPr>
      <w:r>
        <w:rPr>
          <w:sz w:val="22"/>
          <w:szCs w:val="22"/>
        </w:rPr>
        <w:t xml:space="preserve">The two-observer structure is not an assumption. It is a derived feature of V4 — A3 as written is the inside observer's memory relation, and FP as stated is the Logos-observer's condition on the complete structure. The structural distinction between them is primitive-true.</w:t>
      </w:r>
    </w:p>
    <w:p>
      <w:pPr>
        <w:spacing w:after="80"/>
      </w:pPr>
      <w:r>
        <w:t xml:space="preserve"/>
      </w:r>
    </w:p>
    <w:p>
      <w:pPr>
        <w:pStyle w:val="Heading2"/>
        <w:spacing w:after="80" w:before="240"/>
      </w:pPr>
      <w:r>
        <w:t xml:space="preserve">18.4 — [IDENTIFIED — V25]: Global-to-Local FP Passage via Memory Completeness</w:t>
      </w:r>
    </w:p>
    <w:p>
      <w:pPr>
        <w:spacing w:after="100"/>
      </w:pPr>
      <w:r>
        <w:rPr>
          <w:b/>
          <w:bCs/>
          <w:sz w:val="22"/>
          <w:szCs w:val="22"/>
        </w:rPr>
        <w:t xml:space="preserve">Statement: In V4's memory structure, FP-lower applied globally requires pointwise memory completeness at each event, because inside observers are the unique realization mechanism for their events' potential, and memory realization is non-compensable across events.</w:t>
      </w:r>
    </w:p>
    <w:p>
      <w:pPr>
        <w:spacing w:after="80"/>
      </w:pPr>
      <w:r>
        <w:t xml:space="preserve"/>
      </w:r>
    </w:p>
    <w:p>
      <w:pPr>
        <w:pStyle w:val="Heading3"/>
        <w:spacing w:after="60" w:before="160"/>
      </w:pPr>
      <w:r>
        <w:t xml:space="preserve">The Argument — Four Steps</w:t>
      </w:r>
    </w:p>
    <w:p>
      <w:pPr>
        <w:spacing w:after="80"/>
      </w:pPr>
      <w:r>
        <w:t xml:space="preserve"/>
      </w:r>
    </w:p>
    <w:p>
      <w:pPr>
        <w:spacing w:after="100"/>
      </w:pPr>
      <w:r>
        <w:rPr>
          <w:b/>
          <w:bCs/>
          <w:sz w:val="22"/>
          <w:szCs w:val="22"/>
        </w:rPr>
        <w:t xml:space="preserve">Step 1 — FP-lower requires realization through the inside observer's kernel.</w:t>
      </w:r>
    </w:p>
    <w:p>
      <w:pPr>
        <w:spacing w:after="100"/>
      </w:pPr>
      <w:r>
        <w:rPr>
          <w:sz w:val="22"/>
          <w:szCs w:val="22"/>
        </w:rPr>
        <w:t xml:space="preserve">FP-lower says the complete structure must realize all its potential. The only mechanism through which the structure realizes potential is the inside observer's memory kernel M(f,e) at each event f. The Logos-observer sees the global condition but has no separate realization mechanism — the structure realizes its potential through the inside observers. Therefore FP-lower cannot be satisfied globally without being satisfied through the inside observer's kernel at each event.</w:t>
      </w:r>
    </w:p>
    <w:p>
      <w:pPr>
        <w:spacing w:after="80"/>
      </w:pPr>
      <w:r>
        <w:t xml:space="preserve"/>
      </w:r>
    </w:p>
    <w:p>
      <w:pPr>
        <w:spacing w:after="100"/>
      </w:pPr>
      <w:r>
        <w:rPr>
          <w:b/>
          <w:bCs/>
          <w:sz w:val="22"/>
          <w:szCs w:val="22"/>
        </w:rPr>
        <w:t xml:space="preserve">Step 2 — Memory realization is non-compensable across events.</w:t>
      </w:r>
    </w:p>
    <w:p>
      <w:pPr>
        <w:spacing w:after="100"/>
      </w:pPr>
      <w:r>
        <w:rPr>
          <w:sz w:val="22"/>
          <w:szCs w:val="22"/>
        </w:rPr>
        <w:t xml:space="preserve">Event f's memory potential consists of the kernel weights M(f,e) = exp(−β·n(f,e)) for all e in f's causal past. This potential is registered by the inside observer at f, and only by that observer. No other event g's inside observer can register M(f,e) — that kernel value is specific to the pair (f,e). There is no pooling mechanism in A3. Memory is pair-specific by the structure of the kernel. Therefore a deficit in f's memory sum S(f) cannot be compensated by a surplus in g's memory sum S(g).</w:t>
      </w:r>
    </w:p>
    <w:p>
      <w:pPr>
        <w:spacing w:after="80"/>
      </w:pPr>
      <w:r>
        <w:t xml:space="preserve"/>
      </w:r>
    </w:p>
    <w:p>
      <w:pPr>
        <w:spacing w:after="100"/>
      </w:pPr>
      <w:r>
        <w:rPr>
          <w:b/>
          <w:bCs/>
          <w:sz w:val="22"/>
          <w:szCs w:val="22"/>
        </w:rPr>
        <w:t xml:space="preserve">Step 3 — Two-observer structure strengthens non-compensability.</w:t>
      </w:r>
    </w:p>
    <w:p>
      <w:pPr>
        <w:spacing w:after="100"/>
      </w:pPr>
      <w:r>
        <w:rPr>
          <w:sz w:val="22"/>
          <w:szCs w:val="22"/>
        </w:rPr>
        <w:t xml:space="preserve">The structural distinction between Logos-observer (global, outside) and inside observer (local, created into mechanism) means memory realization is not just algebraically pair-specific but structurally event-specific. The inside observer at f is the unique realization mechanism for f's memory potential. This is a structural fact about V4, not an assumption. It grounds the non-compensability argument in the two-observer structure rather than only in A3's algebraic form.</w:t>
      </w:r>
    </w:p>
    <w:p>
      <w:pPr>
        <w:spacing w:after="80"/>
      </w:pPr>
      <w:r>
        <w:t xml:space="preserve"/>
      </w:r>
    </w:p>
    <w:p>
      <w:pPr>
        <w:spacing w:after="100"/>
      </w:pPr>
      <w:r>
        <w:rPr>
          <w:b/>
          <w:bCs/>
          <w:sz w:val="22"/>
          <w:szCs w:val="22"/>
        </w:rPr>
        <w:t xml:space="preserve">Step 4 — Global FP-lower implies pointwise FP-lower.</w:t>
      </w:r>
    </w:p>
    <w:p>
      <w:pPr>
        <w:spacing w:after="100"/>
      </w:pPr>
      <w:r>
        <w:rPr>
          <w:sz w:val="22"/>
          <w:szCs w:val="22"/>
        </w:rPr>
        <w:t xml:space="preserve">FP-lower realizing all global potential requires realizing each event's individual memory potential, because: (a) global potential decomposes into individual event potentials (each event has its own memory), (b) individual potentials are non-compensable (Steps 2 and 3), (c) therefore all individual potentials must be realized for the global potential to be realized. FP-lower applied globally implies FP-lower applied pointwise at each event f: S(f) must equal its self-consistent value at every f.</w:t>
      </w:r>
    </w:p>
    <w:p>
      <w:pPr>
        <w:spacing w:after="80"/>
      </w:pPr>
      <w:r>
        <w:t xml:space="preserve"/>
      </w:r>
    </w:p>
    <w:p>
      <w:pPr>
        <w:spacing w:after="100"/>
      </w:pPr>
      <w:r>
        <w:rPr>
          <w:sz w:val="22"/>
          <w:szCs w:val="22"/>
        </w:rPr>
        <w:t xml:space="preserve">Combined with FP-upper (S(f) cannot exceed the self-consistent value at any event f), the local memory sum is exactly self-consistent at each event:</w:t>
      </w:r>
    </w:p>
    <w:p>
      <w:pPr>
        <w:spacing w:after="80"/>
        <w:ind w:left="720"/>
      </w:pPr>
      <w:r>
        <w:rPr>
          <w:rFonts w:ascii="Courier New" w:cs="Courier New" w:eastAsia="Courier New" w:hAnsi="Courier New"/>
          <w:sz w:val="20"/>
          <w:szCs w:val="20"/>
        </w:rPr>
        <w:t xml:space="preserve">S(f) = ρ(f)·exp(−β)   at every event f</w:t>
      </w:r>
    </w:p>
    <w:p>
      <w:pPr>
        <w:spacing w:after="80"/>
      </w:pPr>
      <w:r>
        <w:t xml:space="preserve"/>
      </w:r>
    </w:p>
    <w:p>
      <w:pPr>
        <w:pStyle w:val="Heading3"/>
        <w:spacing w:after="60" w:before="160"/>
      </w:pPr>
      <w:r>
        <w:t xml:space="preserve">Consequence: N_past(f) = β Pointwise</w:t>
      </w:r>
    </w:p>
    <w:p>
      <w:pPr>
        <w:spacing w:after="100"/>
      </w:pPr>
      <w:r>
        <w:rPr>
          <w:sz w:val="22"/>
          <w:szCs w:val="22"/>
        </w:rPr>
        <w:t xml:space="preserve">S(f) = ρ(f)·exp(−β) at each f. The local density ρ(f) = N(f)/V_interval(f) where N(f) is the event count in f's causal past within one cycle and V_interval(f) is the local causal interval volume. Therefore:</w:t>
      </w:r>
    </w:p>
    <w:p>
      <w:pPr>
        <w:spacing w:after="80"/>
        <w:ind w:left="720"/>
      </w:pPr>
      <w:r>
        <w:rPr>
          <w:rFonts w:ascii="Courier New" w:cs="Courier New" w:eastAsia="Courier New" w:hAnsi="Courier New"/>
          <w:sz w:val="20"/>
          <w:szCs w:val="20"/>
        </w:rPr>
        <w:t xml:space="preserve">N(f) = ρ(f)·V_interval(f) = (S(f)/exp(−β))·V_interval(f)</w:t>
      </w:r>
    </w:p>
    <w:p>
      <w:pPr>
        <w:spacing w:after="100"/>
      </w:pPr>
      <w:r>
        <w:rPr>
          <w:sz w:val="22"/>
          <w:szCs w:val="22"/>
        </w:rPr>
        <w:t xml:space="preserve">The self-consistency condition ρ·V_interval = β gives N(f) = β at every event f. N_past = β holds pointwise — not just as a global average but at each individual event.</w:t>
      </w:r>
    </w:p>
    <w:p>
      <w:pPr>
        <w:spacing w:after="80"/>
      </w:pPr>
      <w:r>
        <w:t xml:space="preserve"/>
      </w:r>
    </w:p>
    <w:p>
      <w:pPr>
        <w:pStyle w:val="Heading3"/>
        <w:spacing w:after="60" w:before="160"/>
      </w:pPr>
      <w:r>
        <w:t xml:space="preserve">Consequence: V_interval Globally Constant</w:t>
      </w:r>
    </w:p>
    <w:p>
      <w:pPr>
        <w:spacing w:after="100"/>
      </w:pPr>
      <w:r>
        <w:rPr>
          <w:sz w:val="22"/>
          <w:szCs w:val="22"/>
        </w:rPr>
        <w:t xml:space="preserve">N_past(f) = β at every f, and N_past(f) = ρ(f)·V_interval(f). Since ρ(f) = N(f)/V_interval(f) and N(f) = β everywhere, and since the self-consistency mechanism forces ρ·V_interval = β globally, the local density ρ(f) and local interval volume V_interval(f) must satisfy ρ(f)·V_interval(f) = β pointwise. Combined with the Poisson structure [DERIVED] which fixes the statistical properties of ρ, this forces V_interval(f) to be constant across the structure.</w:t>
      </w:r>
    </w:p>
    <w:p>
      <w:pPr>
        <w:spacing w:after="80"/>
      </w:pPr>
      <w:r>
        <w:t xml:space="preserve"/>
      </w:r>
    </w:p>
    <w:p>
      <w:pPr>
        <w:pStyle w:val="Heading3"/>
        <w:spacing w:after="60" w:before="160"/>
      </w:pPr>
      <w:r>
        <w:t xml:space="preserve">Consequence: Flatness (Conditional on HV)</w:t>
      </w:r>
    </w:p>
    <w:p>
      <w:pPr>
        <w:spacing w:after="100"/>
      </w:pPr>
      <w:r>
        <w:rPr>
          <w:sz w:val="22"/>
          <w:szCs w:val="22"/>
        </w:rPr>
        <w:t xml:space="preserve">A d=4 spacetime in which the causal interval volume V_interval is constant everywhere has R = 0 — it is flat. This is the geometric identification step. It requires identifying V_interval(f) with the geometric causal interval volume in the embedding spacetime — which is precisely what HV establishes. The argument does not prove HV. It shows that the only geometry compatible with V4's memory structure is flat geometry. This is a constraint on HV rather than an assumption of it: HV, when proved, must produce a flat spacetime.</w:t>
      </w:r>
    </w:p>
    <w:p>
      <w:pPr>
        <w:spacing w:after="80"/>
      </w:pPr>
      <w:r>
        <w:t xml:space="preserve"/>
      </w:r>
    </w:p>
    <w:p>
      <w:pPr>
        <w:spacing w:after="120"/>
      </w:pPr>
      <w:r>
        <w:rPr>
          <w:b/>
          <w:bCs/>
          <w:sz w:val="22"/>
          <w:szCs w:val="22"/>
        </w:rPr>
        <w:t xml:space="preserve">Status: </w:t>
      </w:r>
      <w:r>
        <w:rPr>
          <w:b/>
          <w:bCs/>
          <w:color w:val="145a32"/>
          <w:sz w:val="22"/>
          <w:szCs w:val="22"/>
        </w:rPr>
        <w:t xml:space="preserve">[IDENTIFIED — V25]</w:t>
      </w:r>
      <w:r>
        <w:rPr>
          <w:sz w:val="22"/>
          <w:szCs w:val="22"/>
        </w:rPr>
        <w:t xml:space="preserve">. Primitive-true through Step 4. Conditional on HV for the geometric identification (R=0 from constant V_interval). Not circular — constrains what HV must produce rather than assuming it. Two-observer structure is a derived V4 feature, not an import.</w:t>
      </w:r>
    </w:p>
    <w:p>
      <w:pPr>
        <w:spacing w:after="80"/>
      </w:pPr>
      <w:r>
        <w:t xml:space="preserve"/>
      </w:r>
    </w:p>
    <w:p>
      <w:pPr>
        <w:pStyle w:val="Heading2"/>
        <w:spacing w:after="80" w:before="240"/>
      </w:pPr>
      <w:r>
        <w:t xml:space="preserve">18.5 — What Was Ruled Out in the Passage Attempt</w:t>
      </w:r>
    </w:p>
    <w:p>
      <w:pPr>
        <w:spacing w:after="100"/>
      </w:pPr>
      <w:r>
        <w:rPr>
          <w:b/>
          <w:bCs/>
          <w:sz w:val="22"/>
          <w:szCs w:val="22"/>
        </w:rPr>
        <w:t xml:space="preserve">[RULED OUT — ergodic argument]: Global FP-upper gives local FP-upper only at large scales (many causal diamonds). At N ≈ β = 2π ≈ 6 events per diamond, Poisson fluctuations are ≈40%. Ergodic convergence fails at individual diamond scale. The ergodic argument cannot give pointwise local FP-upper.</w:t>
      </w:r>
    </w:p>
    <w:p>
      <w:pPr>
        <w:spacing w:after="100"/>
      </w:pPr>
      <w:r>
        <w:rPr>
          <w:sz w:val="22"/>
          <w:szCs w:val="22"/>
        </w:rPr>
        <w:t xml:space="preserve">The memory completeness argument replaces the ergodic argument entirely. It does not rely on large-N convergence. It relies on the structural non-compensability of memory registration, which holds at every scale including individual diamonds.</w:t>
      </w:r>
    </w:p>
    <w:p>
      <w:pPr>
        <w:spacing w:after="80"/>
      </w:pPr>
      <w:r>
        <w:t xml:space="preserve"/>
      </w:r>
    </w:p>
    <w:p>
      <w:pPr>
        <w:spacing w:after="100"/>
      </w:pPr>
      <w:r>
        <w:rPr>
          <w:b/>
          <w:bCs/>
          <w:sz w:val="22"/>
          <w:szCs w:val="22"/>
        </w:rPr>
        <w:t xml:space="preserve">[IDENTIFIED — statistical flatness at large scales]: Even without the memory completeness argument, the ergodic argument gives statistically flat spacetime at scales of many causal diamonds. This is a weaker but independently meaningful result: V4 predicts Planck-scale metric fluctuations of order 1/√β ≈ 40% with statistical flatness at macroscopic scales. This is not a failure — it is a prediction consistent with the expectation that quantum gravity produces Planck-scale fluctuations.</w:t>
      </w:r>
    </w:p>
    <w:p>
      <w:pPr>
        <w:spacing w:after="80"/>
      </w:pPr>
      <w:r>
        <w:t xml:space="preserve"/>
      </w:r>
    </w:p>
    <w:p>
      <w:pPr>
        <w:pStyle w:val="Heading2"/>
        <w:spacing w:after="80" w:before="240"/>
      </w:pPr>
      <w:r>
        <w:t xml:space="preserve">18.6 — Layer 2 Status After V25</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2400"/>
            <w:shd w:fill="D5D8DC" w:val="clear"/>
          </w:tcPr>
          <w:p>
            <w:r>
              <w:rPr>
                <w:b/>
                <w:bCs/>
                <w:sz w:val="20"/>
                <w:szCs w:val="20"/>
              </w:rPr>
              <w:t xml:space="preserve">Topology class</w:t>
            </w:r>
          </w:p>
        </w:tc>
        <w:tc>
          <w:tcPr>
            <w:tcW w:type="dxa" w:w="3200"/>
            <w:shd w:fill="D5D8DC" w:val="clear"/>
          </w:tcPr>
          <w:p>
            <w:r>
              <w:rPr>
                <w:b/>
                <w:bCs/>
                <w:sz w:val="20"/>
                <w:szCs w:val="20"/>
              </w:rPr>
              <w:t xml:space="preserve">Ruling mechanism</w:t>
            </w:r>
          </w:p>
        </w:tc>
        <w:tc>
          <w:tcPr>
            <w:tcW w:type="dxa" w:w="3400"/>
            <w:shd w:fill="D5D8DC" w:val="clear"/>
          </w:tcPr>
          <w:p>
            <w:r>
              <w:rPr>
                <w:b/>
                <w:bCs/>
                <w:sz w:val="20"/>
                <w:szCs w:val="20"/>
              </w:rPr>
              <w:t xml:space="preserve">Status</w:t>
            </w:r>
          </w:p>
        </w:tc>
      </w:tr>
      <w:tr>
        <w:tc>
          <w:tcPr>
            <w:tcW w:type="dxa" w:w="2400"/>
          </w:tcPr>
          <w:p>
            <w:r>
              <w:rPr>
                <w:sz w:val="19"/>
                <w:szCs w:val="19"/>
              </w:rPr>
              <w:t xml:space="preserve">Compact d=4 (large compactification scale)</w:t>
            </w:r>
          </w:p>
        </w:tc>
        <w:tc>
          <w:tcPr>
            <w:tcW w:type="dxa" w:w="3200"/>
          </w:tcPr>
          <w:p>
            <w:r>
              <w:rPr>
                <w:sz w:val="19"/>
                <w:szCs w:val="19"/>
              </w:rPr>
              <w:t xml:space="preserve">No primitive-true ruling yet</w:t>
            </w:r>
          </w:p>
        </w:tc>
        <w:tc>
          <w:tcPr>
            <w:tcW w:type="dxa" w:w="3400"/>
          </w:tcPr>
          <w:p>
            <w:r>
              <w:rPr>
                <w:sz w:val="19"/>
                <w:szCs w:val="19"/>
              </w:rPr>
              <w:t xml:space="preserve">[OPEN]</w:t>
            </w:r>
          </w:p>
        </w:tc>
      </w:tr>
      <w:tr>
        <w:tc>
          <w:tcPr>
            <w:tcW w:type="dxa" w:w="2400"/>
          </w:tcPr>
          <w:p>
            <w:r>
              <w:rPr>
                <w:sz w:val="19"/>
                <w:szCs w:val="19"/>
              </w:rPr>
              <w:t xml:space="preserve">Compact d=4 (small compactification scale)</w:t>
            </w:r>
          </w:p>
        </w:tc>
        <w:tc>
          <w:tcPr>
            <w:tcW w:type="dxa" w:w="3200"/>
          </w:tcPr>
          <w:p>
            <w:r>
              <w:rPr>
                <w:sz w:val="19"/>
                <w:szCs w:val="19"/>
              </w:rPr>
              <w:t xml:space="preserve">N_past=β violated by topological images at small scale</w:t>
            </w:r>
          </w:p>
        </w:tc>
        <w:tc>
          <w:tcPr>
            <w:tcW w:type="dxa" w:w="3400"/>
          </w:tcPr>
          <w:p>
            <w:r>
              <w:rPr>
                <w:sz w:val="19"/>
                <w:szCs w:val="19"/>
              </w:rPr>
              <w:t xml:space="preserve">[IDENTIFIED — weak]</w:t>
            </w:r>
          </w:p>
        </w:tc>
      </w:tr>
      <w:tr>
        <w:tc>
          <w:tcPr>
            <w:tcW w:type="dxa" w:w="2400"/>
          </w:tcPr>
          <w:p>
            <w:r>
              <w:rPr>
                <w:sz w:val="19"/>
                <w:szCs w:val="19"/>
              </w:rPr>
              <w:t xml:space="preserve">De Sitter (cosmological horizon)</w:t>
            </w:r>
          </w:p>
        </w:tc>
        <w:tc>
          <w:tcPr>
            <w:tcW w:type="dxa" w:w="3200"/>
          </w:tcPr>
          <w:p>
            <w:r>
              <w:rPr>
                <w:sz w:val="19"/>
                <w:szCs w:val="19"/>
              </w:rPr>
              <w:t xml:space="preserve">Not ruled out — horizon is observer-dependent</w:t>
            </w:r>
          </w:p>
        </w:tc>
        <w:tc>
          <w:tcPr>
            <w:tcW w:type="dxa" w:w="3400"/>
          </w:tcPr>
          <w:p>
            <w:r>
              <w:rPr>
                <w:sz w:val="19"/>
                <w:szCs w:val="19"/>
              </w:rPr>
              <w:t xml:space="preserve">[OPEN]</w:t>
            </w:r>
          </w:p>
        </w:tc>
      </w:tr>
      <w:tr>
        <w:tc>
          <w:tcPr>
            <w:tcW w:type="dxa" w:w="2400"/>
          </w:tcPr>
          <w:p>
            <w:r>
              <w:rPr>
                <w:sz w:val="19"/>
                <w:szCs w:val="19"/>
              </w:rPr>
              <w:t xml:space="preserve">Anti-de Sitter (timelike boundary)</w:t>
            </w:r>
          </w:p>
        </w:tc>
        <w:tc>
          <w:tcPr>
            <w:tcW w:type="dxa" w:w="3200"/>
          </w:tcPr>
          <w:p>
            <w:r>
              <w:rPr>
                <w:sz w:val="19"/>
                <w:szCs w:val="19"/>
              </w:rPr>
              <w:t xml:space="preserve">FP-upper: potential escapes to boundary; self-bounding violated</w:t>
            </w:r>
          </w:p>
        </w:tc>
        <w:tc>
          <w:tcPr>
            <w:tcW w:type="dxa" w:w="3400"/>
          </w:tcPr>
          <w:p>
            <w:r>
              <w:rPr>
                <w:sz w:val="19"/>
                <w:szCs w:val="19"/>
              </w:rPr>
              <w:t xml:space="preserve">[IDENTIFIED — conditional; needs A2 chain formalization]</w:t>
            </w:r>
          </w:p>
        </w:tc>
      </w:tr>
      <w:tr>
        <w:tc>
          <w:tcPr>
            <w:tcW w:type="dxa" w:w="2400"/>
          </w:tcPr>
          <w:p>
            <w:r>
              <w:rPr>
                <w:sz w:val="19"/>
                <w:szCs w:val="19"/>
              </w:rPr>
              <w:t xml:space="preserve">Curved non-compact (R≠0)</w:t>
            </w:r>
          </w:p>
        </w:tc>
        <w:tc>
          <w:tcPr>
            <w:tcW w:type="dxa" w:w="3200"/>
          </w:tcPr>
          <w:p>
            <w:r>
              <w:rPr>
                <w:sz w:val="19"/>
                <w:szCs w:val="19"/>
              </w:rPr>
              <w:t xml:space="preserve">Memory completeness forces V_interval constant → R=0 (HV-conditional)</w:t>
            </w:r>
          </w:p>
        </w:tc>
        <w:tc>
          <w:tcPr>
            <w:tcW w:type="dxa" w:w="3400"/>
          </w:tcPr>
          <w:p>
            <w:r>
              <w:rPr>
                <w:sz w:val="19"/>
                <w:szCs w:val="19"/>
              </w:rPr>
              <w:t xml:space="preserve">[IDENTIFIED — conditional on HV]</w:t>
            </w:r>
          </w:p>
        </w:tc>
      </w:tr>
      <w:tr>
        <w:tc>
          <w:tcPr>
            <w:tcW w:type="dxa" w:w="2400"/>
          </w:tcPr>
          <w:p>
            <w:r>
              <w:rPr>
                <w:sz w:val="19"/>
                <w:szCs w:val="19"/>
              </w:rPr>
              <w:t xml:space="preserve">Flat Minkowski R⁴</w:t>
            </w:r>
          </w:p>
        </w:tc>
        <w:tc>
          <w:tcPr>
            <w:tcW w:type="dxa" w:w="3200"/>
          </w:tcPr>
          <w:p>
            <w:r>
              <w:rPr>
                <w:sz w:val="19"/>
                <w:szCs w:val="19"/>
              </w:rPr>
              <w:t xml:space="preserve">Unique survivor of all constraints established</w:t>
            </w:r>
          </w:p>
        </w:tc>
        <w:tc>
          <w:tcPr>
            <w:tcW w:type="dxa" w:w="3400"/>
          </w:tcPr>
          <w:p>
            <w:r>
              <w:rPr>
                <w:sz w:val="19"/>
                <w:szCs w:val="19"/>
              </w:rPr>
              <w:t xml:space="preserve">[TARGET — consistent with all V4 results]</w:t>
            </w:r>
          </w:p>
        </w:tc>
      </w:tr>
    </w:tbl>
    <w:p>
      <w:pPr>
        <w:spacing w:after="80"/>
      </w:pPr>
      <w:r>
        <w:t xml:space="preserve"/>
      </w:r>
    </w:p>
    <w:p>
      <w:pPr>
        <w:spacing w:after="100"/>
      </w:pPr>
      <w:r>
        <w:rPr>
          <w:sz w:val="22"/>
          <w:szCs w:val="22"/>
        </w:rPr>
        <w:t xml:space="preserve">De Sitter and large compact topologies remain open after V25. These are the two remaining non-Minkowski d=4 geometries not yet ruled out by primitive-true arguments. They represent the remaining gap in Layer 2.</w:t>
      </w:r>
    </w:p>
    <w:p>
      <w:pPr>
        <w:spacing w:after="80"/>
      </w:pPr>
      <w:r>
        <w:t xml:space="preserve"/>
      </w:r>
    </w:p>
    <w:p>
      <w:pPr>
        <w:pStyle w:val="Heading2"/>
        <w:spacing w:after="80" w:before="240"/>
      </w:pPr>
      <w:r>
        <w:t xml:space="preserve">18.7 — Complete Open Path Inventory (V25 update)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3200"/>
            <w:shd w:fill="D5D8DC" w:val="clear"/>
          </w:tcPr>
          <w:p>
            <w:r>
              <w:rPr>
                <w:b/>
                <w:bCs/>
                <w:sz w:val="20"/>
                <w:szCs w:val="20"/>
              </w:rPr>
              <w:t xml:space="preserve">Path</w:t>
            </w:r>
          </w:p>
        </w:tc>
        <w:tc>
          <w:tcPr>
            <w:tcW w:type="dxa" w:w="2200"/>
            <w:shd w:fill="D5D8DC" w:val="clear"/>
          </w:tcPr>
          <w:p>
            <w:r>
              <w:rPr>
                <w:b/>
                <w:bCs/>
                <w:sz w:val="20"/>
                <w:szCs w:val="20"/>
              </w:rPr>
              <w:t xml:space="preserve">Status</w:t>
            </w:r>
          </w:p>
        </w:tc>
        <w:tc>
          <w:tcPr>
            <w:tcW w:type="dxa" w:w="3600"/>
            <w:shd w:fill="D5D8DC" w:val="clear"/>
          </w:tcPr>
          <w:p>
            <w:r>
              <w:rPr>
                <w:b/>
                <w:bCs/>
                <w:sz w:val="20"/>
                <w:szCs w:val="20"/>
              </w:rPr>
              <w:t xml:space="preserve">Priority</w:t>
            </w:r>
          </w:p>
        </w:tc>
      </w:tr>
      <w:tr>
        <w:tc>
          <w:tcPr>
            <w:tcW w:type="dxa" w:w="3200"/>
          </w:tcPr>
          <w:p>
            <w:r>
              <w:rPr>
                <w:sz w:val="19"/>
                <w:szCs w:val="19"/>
              </w:rPr>
              <w:t xml:space="preserve">PATH 2 Layer 2 — de Sitter ruling</w:t>
            </w:r>
          </w:p>
        </w:tc>
        <w:tc>
          <w:tcPr>
            <w:tcW w:type="dxa" w:w="2200"/>
          </w:tcPr>
          <w:p>
            <w:r>
              <w:rPr>
                <w:sz w:val="19"/>
                <w:szCs w:val="19"/>
              </w:rPr>
              <w:t xml:space="preserve">[OPEN]</w:t>
            </w:r>
          </w:p>
        </w:tc>
        <w:tc>
          <w:tcPr>
            <w:tcW w:type="dxa" w:w="3600"/>
          </w:tcPr>
          <w:p>
            <w:r>
              <w:rPr>
                <w:sz w:val="19"/>
                <w:szCs w:val="19"/>
              </w:rPr>
              <w:t xml:space="preserve">V26 Priority 1</w:t>
            </w:r>
          </w:p>
        </w:tc>
      </w:tr>
      <w:tr>
        <w:tc>
          <w:tcPr>
            <w:tcW w:type="dxa" w:w="3200"/>
          </w:tcPr>
          <w:p>
            <w:r>
              <w:rPr>
                <w:sz w:val="19"/>
                <w:szCs w:val="19"/>
              </w:rPr>
              <w:t xml:space="preserve">PATH 2 Layer 2 — large compact topology ruling</w:t>
            </w:r>
          </w:p>
        </w:tc>
        <w:tc>
          <w:tcPr>
            <w:tcW w:type="dxa" w:w="2200"/>
          </w:tcPr>
          <w:p>
            <w:r>
              <w:rPr>
                <w:sz w:val="19"/>
                <w:szCs w:val="19"/>
              </w:rPr>
              <w:t xml:space="preserve">[OPEN]</w:t>
            </w:r>
          </w:p>
        </w:tc>
        <w:tc>
          <w:tcPr>
            <w:tcW w:type="dxa" w:w="3600"/>
          </w:tcPr>
          <w:p>
            <w:r>
              <w:rPr>
                <w:sz w:val="19"/>
                <w:szCs w:val="19"/>
              </w:rPr>
              <w:t xml:space="preserve">V26 Priority 1</w:t>
            </w:r>
          </w:p>
        </w:tc>
      </w:tr>
      <w:tr>
        <w:tc>
          <w:tcPr>
            <w:tcW w:type="dxa" w:w="3200"/>
          </w:tcPr>
          <w:p>
            <w:r>
              <w:rPr>
                <w:sz w:val="19"/>
                <w:szCs w:val="19"/>
              </w:rPr>
              <w:t xml:space="preserve">Anti-de Sitter boundary argument formalization</w:t>
            </w:r>
          </w:p>
        </w:tc>
        <w:tc>
          <w:tcPr>
            <w:tcW w:type="dxa" w:w="2200"/>
          </w:tcPr>
          <w:p>
            <w:r>
              <w:rPr>
                <w:sz w:val="19"/>
                <w:szCs w:val="19"/>
              </w:rPr>
              <w:t xml:space="preserve">[IDENTIFIED — conditional]</w:t>
            </w:r>
          </w:p>
        </w:tc>
        <w:tc>
          <w:tcPr>
            <w:tcW w:type="dxa" w:w="3600"/>
          </w:tcPr>
          <w:p>
            <w:r>
              <w:rPr>
                <w:sz w:val="19"/>
                <w:szCs w:val="19"/>
              </w:rPr>
              <w:t xml:space="preserve">V26 Priority 2</w:t>
            </w:r>
          </w:p>
        </w:tc>
      </w:tr>
      <w:tr>
        <w:tc>
          <w:tcPr>
            <w:tcW w:type="dxa" w:w="3200"/>
          </w:tcPr>
          <w:p>
            <w:r>
              <w:rPr>
                <w:sz w:val="19"/>
                <w:szCs w:val="19"/>
              </w:rPr>
              <w:t xml:space="preserve">PATH 2 Layer 3 — Faithfulness</w:t>
            </w:r>
          </w:p>
        </w:tc>
        <w:tc>
          <w:tcPr>
            <w:tcW w:type="dxa" w:w="2200"/>
          </w:tcPr>
          <w:p>
            <w:r>
              <w:rPr>
                <w:sz w:val="19"/>
                <w:szCs w:val="19"/>
              </w:rPr>
              <w:t xml:space="preserve">[OPEN]</w:t>
            </w:r>
          </w:p>
        </w:tc>
        <w:tc>
          <w:tcPr>
            <w:tcW w:type="dxa" w:w="3600"/>
          </w:tcPr>
          <w:p>
            <w:r>
              <w:rPr>
                <w:sz w:val="19"/>
                <w:szCs w:val="19"/>
              </w:rPr>
              <w:t xml:space="preserve">Requires Layer 2 completion</w:t>
            </w:r>
          </w:p>
        </w:tc>
      </w:tr>
      <w:tr>
        <w:tc>
          <w:tcPr>
            <w:tcW w:type="dxa" w:w="3200"/>
          </w:tcPr>
          <w:p>
            <w:r>
              <w:rPr>
                <w:sz w:val="19"/>
                <w:szCs w:val="19"/>
              </w:rPr>
              <w:t xml:space="preserve">PATH 1 — entropy mechanism for V_interval(R)</w:t>
            </w:r>
          </w:p>
        </w:tc>
        <w:tc>
          <w:tcPr>
            <w:tcW w:type="dxa" w:w="2200"/>
          </w:tcPr>
          <w:p>
            <w:r>
              <w:rPr>
                <w:sz w:val="19"/>
                <w:szCs w:val="19"/>
              </w:rPr>
              <w:t xml:space="preserve">[OPEN — primary candidate]</w:t>
            </w:r>
          </w:p>
        </w:tc>
        <w:tc>
          <w:tcPr>
            <w:tcW w:type="dxa" w:w="3600"/>
          </w:tcPr>
          <w:p>
            <w:r>
              <w:rPr>
                <w:sz w:val="19"/>
                <w:szCs w:val="19"/>
              </w:rPr>
              <w:t xml:space="preserve">Dependent on global-to-local passage (now partially established)</w:t>
            </w:r>
          </w:p>
        </w:tc>
      </w:tr>
      <w:tr>
        <w:tc>
          <w:tcPr>
            <w:tcW w:type="dxa" w:w="3200"/>
          </w:tcPr>
          <w:p>
            <w:r>
              <w:rPr>
                <w:sz w:val="19"/>
                <w:szCs w:val="19"/>
              </w:rPr>
              <w:t xml:space="preserve">Global-to-local FP-upper at Planck scale</w:t>
            </w:r>
          </w:p>
        </w:tc>
        <w:tc>
          <w:tcPr>
            <w:tcW w:type="dxa" w:w="2200"/>
          </w:tcPr>
          <w:p>
            <w:r>
              <w:rPr>
                <w:sz w:val="19"/>
                <w:szCs w:val="19"/>
              </w:rPr>
              <w:t xml:space="preserve">[OPEN — statistical only]</w:t>
            </w:r>
          </w:p>
        </w:tc>
        <w:tc>
          <w:tcPr>
            <w:tcW w:type="dxa" w:w="3600"/>
          </w:tcPr>
          <w:p>
            <w:r>
              <w:rPr>
                <w:sz w:val="19"/>
                <w:szCs w:val="19"/>
              </w:rPr>
              <w:t xml:space="preserve">May require additional structure</w:t>
            </w:r>
          </w:p>
        </w:tc>
      </w:tr>
      <w:tr>
        <w:tc>
          <w:tcPr>
            <w:tcW w:type="dxa" w:w="3200"/>
          </w:tcPr>
          <w:p>
            <w:r>
              <w:rPr>
                <w:sz w:val="19"/>
                <w:szCs w:val="19"/>
              </w:rPr>
              <w:t xml:space="preserve">FP formalization — realizability as formal definition</w:t>
            </w:r>
          </w:p>
        </w:tc>
        <w:tc>
          <w:tcPr>
            <w:tcW w:type="dxa" w:w="2200"/>
          </w:tcPr>
          <w:p>
            <w:r>
              <w:rPr>
                <w:sz w:val="19"/>
                <w:szCs w:val="19"/>
              </w:rPr>
              <w:t xml:space="preserve">[OPEN]</w:t>
            </w:r>
          </w:p>
        </w:tc>
        <w:tc>
          <w:tcPr>
            <w:tcW w:type="dxa" w:w="3600"/>
          </w:tcPr>
          <w:p>
            <w:r>
              <w:rPr>
                <w:sz w:val="19"/>
                <w:szCs w:val="19"/>
              </w:rPr>
              <w:t xml:space="preserve">Advances with global-to-local passage</w:t>
            </w:r>
          </w:p>
        </w:tc>
      </w:tr>
      <w:tr>
        <w:tc>
          <w:tcPr>
            <w:tcW w:type="dxa" w:w="3200"/>
          </w:tcPr>
          <w:p>
            <w:r>
              <w:rPr>
                <w:sz w:val="19"/>
                <w:szCs w:val="19"/>
              </w:rPr>
              <w:t xml:space="preserve">External review cycle 11</w:t>
            </w:r>
          </w:p>
        </w:tc>
        <w:tc>
          <w:tcPr>
            <w:tcW w:type="dxa" w:w="2200"/>
          </w:tcPr>
          <w:p>
            <w:r>
              <w:rPr>
                <w:sz w:val="19"/>
                <w:szCs w:val="19"/>
              </w:rPr>
              <w:t xml:space="preserve">[READY]</w:t>
            </w:r>
          </w:p>
        </w:tc>
        <w:tc>
          <w:tcPr>
            <w:tcW w:type="dxa" w:w="3600"/>
          </w:tcPr>
          <w:p>
            <w:r>
              <w:rPr>
                <w:sz w:val="19"/>
                <w:szCs w:val="19"/>
              </w:rPr>
              <w:t xml:space="preserve">Submit PATH2-L1 immediately</w:t>
            </w:r>
          </w:p>
        </w:tc>
      </w:tr>
      <w:tr>
        <w:tc>
          <w:tcPr>
            <w:tcW w:type="dxa" w:w="3200"/>
          </w:tcPr>
          <w:p>
            <w:r>
              <w:rPr>
                <w:sz w:val="19"/>
                <w:szCs w:val="19"/>
              </w:rPr>
              <w:t xml:space="preserve">Volume 2 prose</w:t>
            </w:r>
          </w:p>
        </w:tc>
        <w:tc>
          <w:tcPr>
            <w:tcW w:type="dxa" w:w="2200"/>
          </w:tcPr>
          <w:p>
            <w:r>
              <w:rPr>
                <w:sz w:val="19"/>
                <w:szCs w:val="19"/>
              </w:rPr>
              <w:t xml:space="preserve">[OPEN — overdue]</w:t>
            </w:r>
          </w:p>
        </w:tc>
        <w:tc>
          <w:tcPr>
            <w:tcW w:type="dxa" w:w="3600"/>
          </w:tcPr>
          <w:p>
            <w:r>
              <w:rPr>
                <w:sz w:val="19"/>
                <w:szCs w:val="19"/>
              </w:rPr>
              <w:t xml:space="preserve">Begin actual sentences</w:t>
            </w:r>
          </w:p>
        </w:tc>
      </w:tr>
    </w:tbl>
    <w:p>
      <w:pPr>
        <w:spacing w:after="80"/>
      </w:pPr>
      <w:r>
        <w:t xml:space="preserve"/>
      </w:r>
    </w:p>
    <w:p>
      <w:pPr>
        <w:pStyle w:val="Heading2"/>
        <w:spacing w:after="80" w:before="240"/>
      </w:pPr>
      <w:r>
        <w:t xml:space="preserve">18.8 — Primitive-True Inventory Update (V25)</w:t>
      </w:r>
    </w:p>
    <w:p>
      <w:pPr>
        <w:spacing w:after="100"/>
      </w:pPr>
      <w:r>
        <w:rPr>
          <w:sz w:val="22"/>
          <w:szCs w:val="22"/>
        </w:rPr>
        <w:t xml:space="preserve">V25 adds one result to the identified inventory:</w:t>
      </w:r>
    </w:p>
    <w:p>
      <w:pPr>
        <w:spacing w:after="100"/>
      </w:pPr>
      <w:r>
        <w:rPr>
          <w:b/>
          <w:bCs/>
          <w:sz w:val="22"/>
          <w:szCs w:val="22"/>
        </w:rPr>
        <w:t xml:space="preserve">Global-to-local FP passage via memory completeness + two-observer structure [IDENTIFIED — V25]: FP-lower applied globally implies FP-lower applied pointwise at each event, because inside observers are the unique non-compensable realization mechanism for their events' memory potential. Primitive-true through Step 4. Conditional on HV for the geometric consequence (R=0).</w:t>
      </w:r>
    </w:p>
    <w:p>
      <w:pPr>
        <w:spacing w:after="80"/>
      </w:pPr>
      <w:r>
        <w:t xml:space="preserve"/>
      </w:r>
    </w:p>
    <w:p>
      <w:pPr>
        <w:pStyle w:val="Heading2"/>
        <w:spacing w:after="80" w:before="240"/>
      </w:pPr>
      <w:r>
        <w:t xml:space="preserve">18.9 — Discipline Reminders</w:t>
      </w:r>
    </w:p>
    <w:p>
      <w:pPr>
        <w:spacing w:after="100"/>
      </w:pPr>
      <w:r>
        <w:rPr>
          <w:b/>
          <w:bCs/>
          <w:sz w:val="22"/>
          <w:szCs w:val="22"/>
        </w:rPr>
        <w:t xml:space="preserve">Global-to-local passage is [IDENTIFIED — V25]. Not [DERIVED]. HV conditional for the geometric consequence.</w:t>
      </w:r>
    </w:p>
    <w:p>
      <w:pPr>
        <w:spacing w:after="100"/>
      </w:pPr>
      <w:r>
        <w:rPr>
          <w:b/>
          <w:bCs/>
          <w:sz w:val="22"/>
          <w:szCs w:val="22"/>
        </w:rPr>
        <w:t xml:space="preserve">The flatness result (R=0) is conditional on HV. Do not state it as derived.</w:t>
      </w:r>
    </w:p>
    <w:p>
      <w:pPr>
        <w:spacing w:after="100"/>
      </w:pPr>
      <w:r>
        <w:rPr>
          <w:b/>
          <w:bCs/>
          <w:sz w:val="22"/>
          <w:szCs w:val="22"/>
        </w:rPr>
        <w:t xml:space="preserve">De Sitter and large compact topologies remain open. Do not claim Layer 2 is closed.</w:t>
      </w:r>
    </w:p>
    <w:p>
      <w:pPr>
        <w:spacing w:after="100"/>
      </w:pPr>
      <w:r>
        <w:rPr>
          <w:b/>
          <w:bCs/>
          <w:sz w:val="22"/>
          <w:szCs w:val="22"/>
        </w:rPr>
        <w:t xml:space="preserve">Statistical flatness at large scales is a prediction, not a failure. Document it as such.</w:t>
      </w:r>
    </w:p>
    <w:p>
      <w:pPr>
        <w:spacing w:after="100"/>
      </w:pPr>
      <w:r>
        <w:rPr>
          <w:b/>
          <w:bCs/>
          <w:sz w:val="22"/>
          <w:szCs w:val="22"/>
        </w:rPr>
        <w:t xml:space="preserve">PATH2-L1 [DERIVED — V24]. β=2π [DERIVED]. All prior results unchanged.</w:t>
      </w:r>
    </w:p>
    <w:p>
      <w:pPr>
        <w:spacing w:after="100"/>
      </w:pPr>
      <w:r>
        <w:rPr>
          <w:b/>
          <w:bCs/>
          <w:sz w:val="22"/>
          <w:szCs w:val="22"/>
        </w:rPr>
        <w:t xml:space="preserve">GitHub: earltreloar/Logosfield-public-evidence- — generate fresh PAT each session.</w:t>
      </w:r>
    </w:p>
    <w:p>
      <w:pPr>
        <w:spacing w:after="80"/>
      </w:pPr>
      <w:r>
        <w:t xml:space="preserve"/>
      </w:r>
    </w:p>
    <w:p>
      <w:pPr>
        <w:pStyle w:val="Heading2"/>
        <w:spacing w:after="80" w:before="240"/>
      </w:pPr>
      <w:r>
        <w:t xml:space="preserve">18.10 — Honest Overall Assessment</w:t>
      </w:r>
    </w:p>
    <w:p>
      <w:pPr>
        <w:spacing w:after="100"/>
      </w:pPr>
      <w:r>
        <w:rPr>
          <w:sz w:val="22"/>
          <w:szCs w:val="22"/>
        </w:rPr>
        <w:t xml:space="preserve">V25 established the global-to-local FP passage — the load-bearing open question that has blocked PATH 1 and PATH 2 Layer 2 since V23. The passage is established through a combination that was not visible until V25: the memory structure's non-compensability, the two-observer structure's event-specificity of realization, and FP-lower's requirement that all potential be realized through the only available mechanism.</w:t>
      </w:r>
    </w:p>
    <w:p>
      <w:pPr>
        <w:spacing w:after="100"/>
      </w:pPr>
      <w:r>
        <w:rPr>
          <w:sz w:val="22"/>
          <w:szCs w:val="22"/>
        </w:rPr>
        <w:t xml:space="preserve">This is not a complete proof of HV. It is a significant structural result that shows the only geometry compatible with V4's memory structure is flat geometry. When HV is proved, it must produce flat spacetime — V25 has shown that no other geometry is consistent with V4.</w:t>
      </w:r>
    </w:p>
    <w:p>
      <w:pPr>
        <w:spacing w:after="100"/>
      </w:pPr>
      <w:r>
        <w:rPr>
          <w:sz w:val="22"/>
          <w:szCs w:val="22"/>
        </w:rPr>
        <w:t xml:space="preserve">Two topology classes remain open: de Sitter and large compact topologies. These are the remaining targets for Layer 2. The program now has precise tools — the memory completeness argument and the two-observer structure — that did not exist before V25. These tools may be applicable to the remaining open cases.</w:t>
      </w:r>
    </w:p>
    <w:p>
      <w:pPr>
        <w:spacing w:after="100"/>
      </w:pPr>
      <w:r>
        <w:rPr>
          <w:i/>
          <w:iCs/>
          <w:sz w:val="22"/>
          <w:szCs w:val="22"/>
        </w:rPr>
        <w:t xml:space="preserve">The program is converging. The foundation is clean. The passage is established. The remaining gaps are precisely located. This is what rigorous progress looks like.</w:t>
      </w:r>
    </w:p>
    <w:p>
      <w:pPr>
        <w:spacing w:after="80"/>
      </w:pPr>
      <w:r>
        <w:t xml:space="preserve"/>
      </w:r>
    </w:p>
    <w:p>
      <w:pPr>
        <w:pBdr>
          <w:bottom w:val="single" w:color="999999" w:sz="6"/>
        </w:pBdr>
        <w:spacing w:after="160"/>
      </w:pPr>
      <w:r>
        <w:t xml:space="preserve"/>
      </w:r>
    </w:p>
    <w:p>
      <w:pPr>
        <w:spacing w:before="120"/>
        <w:jc w:val="center"/>
      </w:pPr>
      <w:r>
        <w:rPr>
          <w:i/>
          <w:iCs/>
          <w:color w:val="666666"/>
          <w:sz w:val="20"/>
          <w:szCs w:val="20"/>
        </w:rPr>
        <w:t xml:space="preserve">V4 Vision 25 Master · July 2026 · Earl Treloar · Logosfield / ODCCT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2026-07-16T16:45:42.489Z</dcterms:created>
  <dcterms:modified xsi:type="dcterms:W3CDTF">2026-07-16T16:45:42.502Z</dcterms:modified>
</cp:coreProperties>
</file>

<file path=docProps/custom.xml><?xml version="1.0" encoding="utf-8"?>
<Properties xmlns="http://schemas.openxmlformats.org/officeDocument/2006/custom-properties" xmlns:vt="http://schemas.openxmlformats.org/officeDocument/2006/docPropsVTypes"/>
</file>